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July 1, 2024</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CARTESIAN THERAPEUTICS,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300"/>
          </w:cols>
          <w:pgMar w:left="300" w:top="391" w:right="299" w:bottom="1440" w:gutter="0" w:footer="0" w:header="0"/>
        </w:sectPr>
      </w:pPr>
    </w:p>
    <w:p>
      <w:pPr>
        <w:spacing w:after="0" w:line="134"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1"/>
          <w:szCs w:val="11"/>
          <w:b w:val="1"/>
          <w:bCs w:val="1"/>
          <w:color w:val="auto"/>
        </w:rPr>
        <w:t>001-37798</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26-1622110</w:t>
      </w:r>
    </w:p>
    <w:p>
      <w:pPr>
        <w:spacing w:after="0" w:line="32" w:lineRule="exact"/>
        <w:rPr>
          <w:sz w:val="24"/>
          <w:szCs w:val="24"/>
          <w:color w:val="auto"/>
        </w:rPr>
      </w:pPr>
    </w:p>
    <w:p>
      <w:pPr>
        <w:sectPr>
          <w:pgSz w:w="11900" w:h="16838" w:orient="portrait"/>
          <w:cols w:equalWidth="0" w:num="3">
            <w:col w:w="4700" w:space="720"/>
            <w:col w:w="3020" w:space="720"/>
            <w:col w:w="2140"/>
          </w:cols>
          <w:pgMar w:left="300" w:top="391" w:right="29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1"/>
          <w:szCs w:val="1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135" w:lineRule="exact"/>
        <w:rPr>
          <w:sz w:val="24"/>
          <w:szCs w:val="24"/>
          <w:color w:val="auto"/>
        </w:rPr>
      </w:pPr>
    </w:p>
    <w:p>
      <w:pPr>
        <w:sectPr>
          <w:pgSz w:w="11900" w:h="16838" w:orient="portrait"/>
          <w:cols w:equalWidth="0" w:num="3">
            <w:col w:w="4300" w:space="720"/>
            <w:col w:w="2880" w:space="720"/>
            <w:col w:w="2680"/>
          </w:cols>
          <w:pgMar w:left="300" w:top="391" w:right="299" w:bottom="1440" w:gutter="0" w:footer="0" w:header="0"/>
          <w:type w:val="continuous"/>
        </w:sectPr>
      </w:pPr>
    </w:p>
    <w:p>
      <w:pPr>
        <w:jc w:val="right"/>
        <w:ind w:right="4300"/>
        <w:spacing w:after="0"/>
        <w:rPr>
          <w:sz w:val="20"/>
          <w:szCs w:val="20"/>
          <w:color w:val="auto"/>
        </w:rPr>
      </w:pPr>
      <w:r>
        <w:rPr>
          <w:rFonts w:ascii="Times New Roman" w:cs="Times New Roman" w:eastAsia="Times New Roman" w:hAnsi="Times New Roman"/>
          <w:sz w:val="11"/>
          <w:szCs w:val="11"/>
          <w:b w:val="1"/>
          <w:bCs w:val="1"/>
          <w:color w:val="auto"/>
        </w:rPr>
        <w:t>704 Quince Orchard Road, Gaithersburg, MD 20878</w:t>
      </w:r>
    </w:p>
    <w:p>
      <w:pPr>
        <w:spacing w:after="0" w:line="32" w:lineRule="exact"/>
        <w:rPr>
          <w:sz w:val="24"/>
          <w:szCs w:val="24"/>
          <w:color w:val="auto"/>
        </w:rPr>
      </w:pPr>
    </w:p>
    <w:p>
      <w:pPr>
        <w:jc w:val="right"/>
        <w:ind w:right="4340"/>
        <w:spacing w:after="0"/>
        <w:rPr>
          <w:sz w:val="20"/>
          <w:szCs w:val="20"/>
          <w:color w:val="auto"/>
        </w:rPr>
      </w:pPr>
      <w:r>
        <w:rPr>
          <w:rFonts w:ascii="Times New Roman" w:cs="Times New Roman" w:eastAsia="Times New Roman" w:hAnsi="Times New Roman"/>
          <w:sz w:val="12"/>
          <w:szCs w:val="12"/>
          <w:color w:val="auto"/>
        </w:rPr>
        <w:t>(Address of principal executive offices)(Zip Code)</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(617) 923-1400</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ectPr>
          <w:pgSz w:w="11900" w:h="16838" w:orient="portrait"/>
          <w:cols w:equalWidth="0" w:num="1">
            <w:col w:w="11300"/>
          </w:cols>
          <w:pgMar w:left="300" w:top="391" w:right="299" w:bottom="1440" w:gutter="0" w:footer="0" w:header="0"/>
          <w:type w:val="continuous"/>
        </w:sectPr>
      </w:pP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540" w:hanging="332"/>
        <w:spacing w:after="0"/>
        <w:tabs>
          <w:tab w:leader="none" w:pos="5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540" w:hanging="332"/>
        <w:spacing w:after="0"/>
        <w:tabs>
          <w:tab w:leader="none" w:pos="5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540" w:hanging="332"/>
        <w:spacing w:after="0"/>
        <w:tabs>
          <w:tab w:leader="none" w:pos="5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540" w:hanging="332"/>
        <w:spacing w:after="0"/>
        <w:tabs>
          <w:tab w:leader="none" w:pos="5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145"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Trading Symbol(s)</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42"/>
        </w:trPr>
        <w:tc>
          <w:tcPr>
            <w:tcW w:w="4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(Par Value $0.0001)</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RNAC</w:t>
            </w:r>
          </w:p>
        </w:tc>
        <w:tc>
          <w:tcPr>
            <w:tcW w:w="4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133"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91" w:right="299" w:bottom="1440" w:gutter="0" w:footer="0" w:header="0"/>
          <w:type w:val="continuous"/>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1.01.</w:t>
      </w:r>
      <w:r>
        <w:rPr>
          <w:sz w:val="20"/>
          <w:szCs w:val="20"/>
          <w:color w:val="auto"/>
        </w:rPr>
        <w:tab/>
      </w:r>
      <w:r>
        <w:rPr>
          <w:rFonts w:ascii="Times New Roman" w:cs="Times New Roman" w:eastAsia="Times New Roman" w:hAnsi="Times New Roman"/>
          <w:sz w:val="12"/>
          <w:szCs w:val="12"/>
          <w:b w:val="1"/>
          <w:bCs w:val="1"/>
          <w:color w:val="auto"/>
        </w:rPr>
        <w:t>Entry into a Material Definitive Agreement.</w:t>
      </w:r>
    </w:p>
    <w:p>
      <w:pPr>
        <w:spacing w:after="0" w:line="154"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2"/>
          <w:szCs w:val="12"/>
          <w:color w:val="auto"/>
        </w:rPr>
        <w:t>On July 2, 2024, Cartesian Therapeutics, Inc., a Delaware corporation (the “Company”), entered into a Securities Purchase Agreement (the “Purchase Agreement”) for a private placement (the “Private Placement”) with certain institutional and accredited investors (each, a “Purchaser” and collectively, the “Purchasers”). The closing of the Private Placement is expected to occur on July 3, 2024 (the “Closing Date”).</w:t>
      </w:r>
    </w:p>
    <w:p>
      <w:pPr>
        <w:spacing w:after="0" w:line="11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Pursuant to the Purchase Agreement, the Purchasers have agreed to purchase an aggregate of 3,563,247 shares of the Company’s common stock, par value $0.0001 per share (“Common Stock”), at a price per share of $20.00, and 2,937,903 shares (the “Preferred Shares”) of the Company’s Series B Non-Voting Convertible Preferred Stock, par value $0.0001 per share (the “Series B Preferred Stock”), at a price per share of $20.00, for an aggregate purchase price of approximately $130.0 million. Each Preferred Share is convertible into one share of the Company’s Common Stock. The powers, preferences, rights, qualifications, limitations and restrictions applicable to the Preferred Shares are set forth in the Certificate of Designation (as defined below). See Item 5.03 for further information regarding the Preferred Shares and the Certificate of Designation.</w:t>
      </w:r>
    </w:p>
    <w:p>
      <w:pPr>
        <w:spacing w:after="0" w:line="12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Purchase Agreement contains customary representations and warranties of the Company, on the one hand, and the Purchasers, on the other hand, and customary conditions to closing. Pursuant to the Purchase Agreement, the Company has agreed to submit to its stockholders the approval of the conversion of the Preferred Shares into shares of Common Stock in accordance with Nasdaq Stock Market Rules (the “Conversion Proposal”) at a special meeting of stockholders, which will be held no later than October 31, 2024.</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Also on July 2, 2024, the Company entered into a Registration Rights Agreement (the “Registration Rights Agreement”) with the Purchasers, which provides that the Company will register the resale of the shares of Common Stock issued to the Purchasers pursuant to the Purchase Agreement and the shares of Common Stock issuable upon conversion of the Preferred Shares. The Company is required to prepare and file a registration statement with the Securities and Exchange Commission no later than the 30th calendar day following the Closing Date and to use its commercially reasonable efforts to have the registration statement declared effective within 90 days after the Closing Date, subject to certain exceptions and specified penalties if timely effectiveness is not achieved.</w:t>
      </w:r>
    </w:p>
    <w:p>
      <w:pPr>
        <w:spacing w:after="0" w:line="122"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2"/>
          <w:szCs w:val="12"/>
          <w:color w:val="auto"/>
        </w:rPr>
        <w:t>The Company has also agreed to, among other things, indemnify the Purchasers, their officers, directors, agents, partners, members, managers, stockholders, affiliates, investment advisers and employees of each of them under the registration statement from certain liabilities and pay all fees and expenses (excluding any legal fees of the selling holder(s), and any underwriting discounts and selling commissions) incident to the Company’s obligations under the Registration Rights Agreement.</w:t>
      </w:r>
    </w:p>
    <w:p>
      <w:pPr>
        <w:spacing w:after="0" w:line="11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The securities to be issued and sold to the Purchasers under the Purchase Agreement will not be registered under the Securities Act of 1933, as amended (the “Securities Act”) in reliance on the exemption from registration provided by Section 4(a)(2) of the Securities Act and/or Rule 506 of Regulation D promulgated thereunder, or under any state securities laws. The Company relied on this exemption from registration based in part on representations made by the Purchasers. The securities may not be offered or sold in the United States absent registration or an applicable exemption from registration requirements. Neither this Current Report on Form 8-K, nor the exhibits attached hereto, is an offer to sell or the solicitation of an offer to buy the securities described herein.</w:t>
      </w:r>
    </w:p>
    <w:p>
      <w:pPr>
        <w:spacing w:after="0" w:line="122"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The Company has engaged Leerink Partners LLC, TD Securities (USA) LLC, and Needham &amp; Company, LLC as placement agents for the Private Placement. The Company has agreed to pay customary placement fees and reimburse certain expenses of the placement agents.</w:t>
      </w:r>
    </w:p>
    <w:p>
      <w:pPr>
        <w:spacing w:after="0" w:line="111"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The foregoing summary of the Purchase Agreement and the Registration Rights Agreement do not purport to be complete and are qualified in their entirety by reference to the Purchase Agreement and the form of Registration Rights Agreement, copies of which are filed as Exhibits 10.1 and 10.2 to this Current Report on Form 8-K, respectively, and are incorporated by reference herein.</w:t>
      </w:r>
    </w:p>
    <w:p>
      <w:pPr>
        <w:spacing w:after="0" w:line="11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As of June 26, 2024, the Company had 17,816,238 shares of Common Stock issued and outstanding. Following the closing of the Private Placement, the Company expects to have 21,379,485 shares of Common Stock issued and outstanding and 24,317,388 shares of Common Stock issued and outstanding on a pro forma basis, which gives effect to the full conversion of the Series B Preferred Stock as of the Closing Date, without regard to beneficial ownership limitations that may limit the ability of certain holders of Series B Preferred Stock to convert such shares to Common Stock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156845</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3.02.</w:t>
      </w:r>
      <w:r>
        <w:rPr>
          <w:sz w:val="20"/>
          <w:szCs w:val="20"/>
          <w:color w:val="auto"/>
        </w:rPr>
        <w:tab/>
      </w:r>
      <w:r>
        <w:rPr>
          <w:rFonts w:ascii="Times New Roman" w:cs="Times New Roman" w:eastAsia="Times New Roman" w:hAnsi="Times New Roman"/>
          <w:sz w:val="12"/>
          <w:szCs w:val="12"/>
          <w:b w:val="1"/>
          <w:bCs w:val="1"/>
          <w:color w:val="auto"/>
        </w:rPr>
        <w:t>Unregistered Sales of Equity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extent required by Form 8-K, the disclosures in Item 1.01 above are incorporated herein by reference.</w:t>
      </w:r>
    </w:p>
    <w:p>
      <w:pPr>
        <w:spacing w:after="0" w:line="14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5.02.</w:t>
      </w:r>
      <w:r>
        <w:rPr>
          <w:sz w:val="20"/>
          <w:szCs w:val="20"/>
          <w:color w:val="auto"/>
        </w:rPr>
        <w:tab/>
      </w:r>
      <w:r>
        <w:rPr>
          <w:rFonts w:ascii="Times New Roman" w:cs="Times New Roman" w:eastAsia="Times New Roman" w:hAnsi="Times New Roman"/>
          <w:sz w:val="12"/>
          <w:szCs w:val="12"/>
          <w:b w:val="1"/>
          <w:bCs w:val="1"/>
          <w:color w:val="auto"/>
        </w:rPr>
        <w:t>Departure of Directors or Certain Officers; Election of Directors; Appointment of Certain Officers; Compensatory Arrangements of Certain Officers.</w:t>
      </w:r>
    </w:p>
    <w:p>
      <w:pPr>
        <w:spacing w:after="0" w:line="154"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2"/>
          <w:szCs w:val="12"/>
          <w:color w:val="auto"/>
        </w:rPr>
        <w:t>On July 1, 2024, the Board of Directors (the “Board”) of the Company appointed Kemal Malik, MBBS as a Class II director, and fixed the size of the Board at nine directors. Dr. Malik has been appointed to serve until the Company’s annual meeting of stockholders to be held in 2027 and until his successor is duly elected and qualified or his earlier death, disqualification, resignation or removal. Dr. Malik initially will serve on the Compensation Committee and the Science, IP and Quality Committee of the Board.</w:t>
      </w:r>
    </w:p>
    <w:p>
      <w:pPr>
        <w:spacing w:after="0" w:line="11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2"/>
          <w:szCs w:val="12"/>
          <w:color w:val="auto"/>
        </w:rPr>
        <w:t>Dr. Malik, age 61 has served on the board of directors of Syncona Ltd. since June 2020. Dr. Malik previously served on the board of directors of Acceleron Pharma Inc. until its acquisition by Merck Sharp &amp; Dohme Corp. in 2021. From February 2014 to December 2019, Dr. Malik served on the Board of Management of Bayer AG and was responsible for Innovation and the Asia/Pacific Regions. Dr. Malik joined Bayer in 1995 as Head of Metabolism and Oncology Europe in the then Pharmaceuticals Business Group. He subsequently served as Head of Global Medical Development before being appointed Head of Global Development and a member of the Executive Committee of Bayer Healthcare AG until his appointment to the Board of Management of Bayer AG. Dr. Malik received his Bachelor of Medicine, Bachelor of Surgery from the University of London.</w:t>
      </w:r>
    </w:p>
    <w:p>
      <w:pPr>
        <w:spacing w:after="0" w:line="12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Dr. Malik is eligible to participate in the Company’s Non-Employee Director Compensation Plan, which provides for (i) annual retainers of $40,000 for his Board service, $6,000 for his Compensation Committee service, and $6,000 for his Science, IP and Quality Committee service, (ii) an initial award of an option (the “Option”) to purchase 7,600 shares of Common Stock, and (iii) an initial award of restricted stock units (the “RSUs”) that may be settled for 5,933 shares of Common Stock. The Option has an exercise price equal to $24.27 per share, the fair market value of a share of the Common Stock on the date of grant. The Option will vest and become exercisable in 36 substantially equal monthly installments following the date of grant and the RSUs will vest and become exercisable in three substantially equal annual installments following the date of grant, in each case subject to Dr. Malik’s continued service on the Board through each such vesting date. Dr. Malik has also entered into the Company’s standard indemnification agreement for directors and officers.</w:t>
      </w:r>
    </w:p>
    <w:p>
      <w:pPr>
        <w:spacing w:after="0" w:line="1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5.03.</w:t>
      </w:r>
      <w:r>
        <w:rPr>
          <w:sz w:val="20"/>
          <w:szCs w:val="20"/>
          <w:color w:val="auto"/>
        </w:rPr>
        <w:tab/>
      </w:r>
      <w:r>
        <w:rPr>
          <w:rFonts w:ascii="Times New Roman" w:cs="Times New Roman" w:eastAsia="Times New Roman" w:hAnsi="Times New Roman"/>
          <w:sz w:val="12"/>
          <w:szCs w:val="12"/>
          <w:b w:val="1"/>
          <w:bCs w:val="1"/>
          <w:color w:val="auto"/>
        </w:rPr>
        <w:t>Amendments to Articles of Incorporation or Bylaws; Change in Fiscal Year.</w:t>
      </w:r>
    </w:p>
    <w:p>
      <w:pPr>
        <w:spacing w:after="0" w:line="15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On July 2, 2024, the Company filed a Certificate of Designation of Preferences, Rights and Limitations of the Series B Non-Voting Convertible Preferred Stock (the “Certificate of Designation”) with the Secretary of State of the State of Delaware in connection with the Private Placement. The Certificate of Designation provides for the designation of shares of the Series B Preferred Stock.</w:t>
      </w:r>
    </w:p>
    <w:p>
      <w:pPr>
        <w:spacing w:after="0" w:line="11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Holders of shares of Series B Preferred Stock are entitled to receive dividends on shares of Series B Preferred Stock equal to, on an as-if-converted-to-Common Stock basis, and in the same form as dividends actually paid on shares of the Common Stock. Except as otherwise required by law, the Series B Preferred Stock does not have voting rights. However, as long as any shares of Series B Preferred Stock are outstanding, the Company will not, without the affirmative vote of the holders of a majority of the then outstanding shares of the Series B Preferred Stock, (a) alter or change adversely the powers, preferences or rights given to the Series B Preferred Stock, (b) alter or amend the Certificate of Designation, or (c) amend its certificate of incorporation or other charter documents in any manner that adversely affects any rights of the holders of Series B Preferred Stock. The Series B Preferred Stock does not have a preference upon any liquidation, dissolution or winding-up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ind w:right="20"/>
        <w:spacing w:after="0" w:line="260" w:lineRule="auto"/>
        <w:rPr>
          <w:sz w:val="20"/>
          <w:szCs w:val="20"/>
          <w:color w:val="auto"/>
        </w:rPr>
      </w:pPr>
      <w:r>
        <w:rPr>
          <w:rFonts w:ascii="Times New Roman" w:cs="Times New Roman" w:eastAsia="Times New Roman" w:hAnsi="Times New Roman"/>
          <w:sz w:val="12"/>
          <w:szCs w:val="12"/>
          <w:color w:val="auto"/>
        </w:rPr>
        <w:t>Following stockholder approval of the Conversion Proposal, each share of Series B Preferred Stock will automatically convert into one share of Common Stock, subject to certain limitations, including that a holder of Series B Preferred Stock is prohibited from converting shares of Series B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Partners LLC or any of its affiliates.</w:t>
      </w:r>
    </w:p>
    <w:p>
      <w:pPr>
        <w:spacing w:after="0" w:line="122"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Series B Preferred Stock does not purport to be complete and is qualified in its entirety by reference to the Certificate of Designation, a copy of which is filed as Exhibit 3.1 to this Current Report on Form 8-K and is incorporated herein by reference.</w:t>
      </w:r>
    </w:p>
    <w:p>
      <w:pPr>
        <w:spacing w:after="0" w:line="1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2"/>
          <w:szCs w:val="12"/>
          <w:b w:val="1"/>
          <w:bCs w:val="1"/>
          <w:color w:val="auto"/>
        </w:rPr>
        <w:t>Regulation FD Disclosure.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July 2, 2024, the Company issued a press release announcing the Private Placement. A copy of the press release is furnished as Exhibit 99.1 to this Current Report on Form 8-K.</w:t>
      </w:r>
    </w:p>
    <w:p>
      <w:pPr>
        <w:spacing w:after="0" w:line="15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On July 2, 2024, the Company issued a press release announcing positive topline data from its Phase 2b trial of Descartes-08 in patients with myasthenia gravis. A copy of the press release is furnished as Exhibit 99.2 to this Current Report on Form 8-K. The Company will host a conference call to discuss the Phase 2b data on July 2, 2024 at 8:00 a.m., Eastern Time, and a live audio webcast of the call will be available through the Events &amp; Presentations section of the Company’s website.</w:t>
      </w:r>
    </w:p>
    <w:p>
      <w:pPr>
        <w:spacing w:after="0" w:line="11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2"/>
          <w:szCs w:val="12"/>
          <w:color w:val="auto"/>
        </w:rPr>
        <w:t>The information in Item 7.01 of this Form 8-K, including Exhibits 99.1 and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1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July 2, 2024, the Company announced positive topline data from its Phase 2b trial of Descartes-08 in patients with myasthenia gravis. A copy of the slide presentation regarding the data is attached hereto as Exhibit 99.3.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72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58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8"/>
              </w:rPr>
              <w:t>(d) Exhibits</w:t>
            </w:r>
          </w:p>
        </w:tc>
        <w:tc>
          <w:tcPr>
            <w:tcW w:w="10720" w:type="dxa"/>
            <w:vAlign w:val="bottom"/>
          </w:tcPr>
          <w:p>
            <w:pPr>
              <w:spacing w:after="0"/>
              <w:rPr>
                <w:sz w:val="24"/>
                <w:szCs w:val="24"/>
                <w:color w:val="auto"/>
              </w:rPr>
            </w:pPr>
          </w:p>
        </w:tc>
      </w:tr>
      <w:tr>
        <w:trPr>
          <w:trHeight w:val="273"/>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10720" w:type="dxa"/>
            <w:vAlign w:val="bottom"/>
          </w:tcPr>
          <w:p>
            <w:pPr>
              <w:spacing w:after="0"/>
              <w:rPr>
                <w:sz w:val="23"/>
                <w:szCs w:val="23"/>
                <w:color w:val="auto"/>
              </w:rPr>
            </w:pPr>
          </w:p>
        </w:tc>
      </w:tr>
      <w:tr>
        <w:trPr>
          <w:trHeight w:val="159"/>
        </w:trPr>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No.</w:t>
            </w:r>
          </w:p>
        </w:tc>
        <w:tc>
          <w:tcPr>
            <w:tcW w:w="10720" w:type="dxa"/>
            <w:vAlign w:val="bottom"/>
          </w:tcPr>
          <w:p>
            <w:pPr>
              <w:ind w:left="4880"/>
              <w:spacing w:after="0"/>
              <w:rPr>
                <w:sz w:val="20"/>
                <w:szCs w:val="20"/>
                <w:color w:val="auto"/>
              </w:rPr>
            </w:pPr>
            <w:r>
              <w:rPr>
                <w:rFonts w:ascii="Times New Roman" w:cs="Times New Roman" w:eastAsia="Times New Roman" w:hAnsi="Times New Roman"/>
                <w:sz w:val="12"/>
                <w:szCs w:val="12"/>
                <w:b w:val="1"/>
                <w:bCs w:val="1"/>
                <w:color w:val="auto"/>
              </w:rPr>
              <w:t>Exhibit Description</w:t>
            </w:r>
          </w:p>
        </w:tc>
      </w:tr>
      <w:tr>
        <w:trPr>
          <w:trHeight w:val="144"/>
        </w:trPr>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720" w:type="dxa"/>
            <w:vAlign w:val="bottom"/>
          </w:tcPr>
          <w:p>
            <w:pPr>
              <w:spacing w:after="0"/>
              <w:rPr>
                <w:sz w:val="12"/>
                <w:szCs w:val="12"/>
                <w:color w:val="auto"/>
              </w:rPr>
            </w:pPr>
          </w:p>
        </w:tc>
      </w:tr>
      <w:tr>
        <w:trPr>
          <w:trHeight w:val="124"/>
        </w:trPr>
        <w:tc>
          <w:tcPr>
            <w:tcW w:w="2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3.</w:t>
            </w:r>
            <w:r>
              <w:rPr>
                <w:rFonts w:ascii="Times New Roman" w:cs="Times New Roman" w:eastAsia="Times New Roman" w:hAnsi="Times New Roman"/>
                <w:sz w:val="12"/>
                <w:szCs w:val="12"/>
                <w:u w:val="single" w:color="auto"/>
                <w:color w:val="0000EE"/>
              </w:rPr>
              <w:t>1</w:t>
            </w:r>
          </w:p>
        </w:tc>
        <w:tc>
          <w:tcPr>
            <w:tcW w:w="380" w:type="dxa"/>
            <w:vAlign w:val="bottom"/>
            <w:shd w:val="clear" w:color="auto" w:fill="CCEEFF"/>
          </w:tcPr>
          <w:p>
            <w:pPr>
              <w:spacing w:after="0"/>
              <w:rPr>
                <w:sz w:val="10"/>
                <w:szCs w:val="10"/>
                <w:color w:val="auto"/>
              </w:rPr>
            </w:pPr>
          </w:p>
        </w:tc>
        <w:tc>
          <w:tcPr>
            <w:tcW w:w="10720" w:type="dxa"/>
            <w:vAlign w:val="bottom"/>
            <w:shd w:val="clear" w:color="auto" w:fill="CCEEFF"/>
          </w:tcPr>
          <w:p>
            <w:pPr>
              <w:ind w:left="40"/>
              <w:spacing w:after="0" w:line="117" w:lineRule="exact"/>
              <w:rPr>
                <w:sz w:val="20"/>
                <w:szCs w:val="20"/>
                <w:color w:val="auto"/>
              </w:rPr>
            </w:pPr>
            <w:r>
              <w:rPr>
                <w:rFonts w:ascii="Times New Roman" w:cs="Times New Roman" w:eastAsia="Times New Roman" w:hAnsi="Times New Roman"/>
                <w:sz w:val="12"/>
                <w:szCs w:val="12"/>
                <w:color w:val="auto"/>
              </w:rPr>
              <w:t>Certificate of Designation of Series B Non-Voting Convertible Preferred Stock</w:t>
            </w:r>
          </w:p>
        </w:tc>
      </w:tr>
      <w:tr>
        <w:trPr>
          <w:trHeight w:val="144"/>
        </w:trPr>
        <w:tc>
          <w:tcPr>
            <w:tcW w:w="140" w:type="dxa"/>
            <w:vAlign w:val="bottom"/>
            <w:tcBorders>
              <w:top w:val="single" w:sz="8" w:color="0000EE"/>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10720" w:type="dxa"/>
            <w:vAlign w:val="bottom"/>
            <w:tcBorders>
              <w:top w:val="single" w:sz="8" w:color="CCEEFF"/>
            </w:tcBorders>
          </w:tcPr>
          <w:p>
            <w:pPr>
              <w:spacing w:after="0"/>
              <w:rPr>
                <w:sz w:val="12"/>
                <w:szCs w:val="12"/>
                <w:color w:val="auto"/>
              </w:rPr>
            </w:pPr>
          </w:p>
        </w:tc>
      </w:tr>
      <w:tr>
        <w:trPr>
          <w:trHeight w:val="124"/>
        </w:trPr>
        <w:tc>
          <w:tcPr>
            <w:tcW w:w="58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10.</w:t>
            </w:r>
            <w:r>
              <w:rPr>
                <w:rFonts w:ascii="Times New Roman" w:cs="Times New Roman" w:eastAsia="Times New Roman" w:hAnsi="Times New Roman"/>
                <w:sz w:val="12"/>
                <w:szCs w:val="12"/>
                <w:u w:val="single" w:color="auto"/>
                <w:color w:val="0000EE"/>
              </w:rPr>
              <w:t>1</w:t>
            </w:r>
          </w:p>
        </w:tc>
        <w:tc>
          <w:tcPr>
            <w:tcW w:w="10720" w:type="dxa"/>
            <w:vAlign w:val="bottom"/>
            <w:shd w:val="clear" w:color="auto" w:fill="CCEEFF"/>
          </w:tcPr>
          <w:p>
            <w:pPr>
              <w:ind w:left="40"/>
              <w:spacing w:after="0" w:line="117" w:lineRule="exact"/>
              <w:rPr>
                <w:sz w:val="20"/>
                <w:szCs w:val="20"/>
                <w:color w:val="auto"/>
              </w:rPr>
            </w:pPr>
            <w:r>
              <w:rPr>
                <w:rFonts w:ascii="Times New Roman" w:cs="Times New Roman" w:eastAsia="Times New Roman" w:hAnsi="Times New Roman"/>
                <w:sz w:val="12"/>
                <w:szCs w:val="12"/>
                <w:color w:val="auto"/>
              </w:rPr>
              <w:t>Securities Purchase Agreement, dated as of July 2, 2024, by and between Cartesian Therapeutics, Inc. and each purchaser identified on Annex A thereto</w:t>
            </w:r>
          </w:p>
        </w:tc>
      </w:tr>
      <w:tr>
        <w:trPr>
          <w:trHeight w:val="144"/>
        </w:trPr>
        <w:tc>
          <w:tcPr>
            <w:tcW w:w="1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10720" w:type="dxa"/>
            <w:vAlign w:val="bottom"/>
            <w:tcBorders>
              <w:top w:val="single" w:sz="8" w:color="CCEEFF"/>
            </w:tcBorders>
          </w:tcPr>
          <w:p>
            <w:pPr>
              <w:spacing w:after="0"/>
              <w:rPr>
                <w:sz w:val="12"/>
                <w:szCs w:val="12"/>
                <w:color w:val="auto"/>
              </w:rPr>
            </w:pPr>
          </w:p>
        </w:tc>
      </w:tr>
      <w:tr>
        <w:trPr>
          <w:trHeight w:val="124"/>
        </w:trPr>
        <w:tc>
          <w:tcPr>
            <w:tcW w:w="58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10.</w:t>
            </w:r>
            <w:r>
              <w:rPr>
                <w:rFonts w:ascii="Times New Roman" w:cs="Times New Roman" w:eastAsia="Times New Roman" w:hAnsi="Times New Roman"/>
                <w:sz w:val="12"/>
                <w:szCs w:val="12"/>
                <w:u w:val="single" w:color="auto"/>
                <w:color w:val="0000EE"/>
              </w:rPr>
              <w:t>2</w:t>
            </w:r>
          </w:p>
        </w:tc>
        <w:tc>
          <w:tcPr>
            <w:tcW w:w="10720" w:type="dxa"/>
            <w:vAlign w:val="bottom"/>
            <w:shd w:val="clear" w:color="auto" w:fill="CCEEFF"/>
          </w:tcPr>
          <w:p>
            <w:pPr>
              <w:ind w:left="40"/>
              <w:spacing w:after="0" w:line="117" w:lineRule="exact"/>
              <w:rPr>
                <w:sz w:val="20"/>
                <w:szCs w:val="20"/>
                <w:color w:val="auto"/>
              </w:rPr>
            </w:pPr>
            <w:r>
              <w:rPr>
                <w:rFonts w:ascii="Times New Roman" w:cs="Times New Roman" w:eastAsia="Times New Roman" w:hAnsi="Times New Roman"/>
                <w:sz w:val="12"/>
                <w:szCs w:val="12"/>
                <w:color w:val="auto"/>
              </w:rPr>
              <w:t>Form of Registration Rights Agreement</w:t>
            </w:r>
          </w:p>
        </w:tc>
      </w:tr>
      <w:tr>
        <w:trPr>
          <w:trHeight w:val="144"/>
        </w:trPr>
        <w:tc>
          <w:tcPr>
            <w:tcW w:w="1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10720" w:type="dxa"/>
            <w:vAlign w:val="bottom"/>
            <w:tcBorders>
              <w:top w:val="single" w:sz="8" w:color="CCEEFF"/>
            </w:tcBorders>
          </w:tcPr>
          <w:p>
            <w:pPr>
              <w:spacing w:after="0"/>
              <w:rPr>
                <w:sz w:val="12"/>
                <w:szCs w:val="12"/>
                <w:color w:val="auto"/>
              </w:rPr>
            </w:pPr>
          </w:p>
        </w:tc>
      </w:tr>
      <w:tr>
        <w:trPr>
          <w:trHeight w:val="124"/>
        </w:trPr>
        <w:tc>
          <w:tcPr>
            <w:tcW w:w="58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10720" w:type="dxa"/>
            <w:vAlign w:val="bottom"/>
            <w:shd w:val="clear" w:color="auto" w:fill="CCEEFF"/>
          </w:tcPr>
          <w:p>
            <w:pPr>
              <w:ind w:left="40"/>
              <w:spacing w:after="0" w:line="117" w:lineRule="exact"/>
              <w:rPr>
                <w:sz w:val="20"/>
                <w:szCs w:val="20"/>
                <w:color w:val="auto"/>
              </w:rPr>
            </w:pPr>
            <w:r>
              <w:rPr>
                <w:rFonts w:ascii="Times New Roman" w:cs="Times New Roman" w:eastAsia="Times New Roman" w:hAnsi="Times New Roman"/>
                <w:sz w:val="12"/>
                <w:szCs w:val="12"/>
                <w:color w:val="auto"/>
              </w:rPr>
              <w:t>Press Release of Cartesian Therapeutics, Inc., dated July 2, 2024</w:t>
            </w:r>
          </w:p>
        </w:tc>
      </w:tr>
      <w:tr>
        <w:trPr>
          <w:trHeight w:val="144"/>
        </w:trPr>
        <w:tc>
          <w:tcPr>
            <w:tcW w:w="1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10720" w:type="dxa"/>
            <w:vAlign w:val="bottom"/>
            <w:tcBorders>
              <w:top w:val="single" w:sz="8" w:color="CCEEFF"/>
            </w:tcBorders>
          </w:tcPr>
          <w:p>
            <w:pPr>
              <w:spacing w:after="0"/>
              <w:rPr>
                <w:sz w:val="12"/>
                <w:szCs w:val="12"/>
                <w:color w:val="auto"/>
              </w:rPr>
            </w:pPr>
          </w:p>
        </w:tc>
      </w:tr>
      <w:tr>
        <w:trPr>
          <w:trHeight w:val="124"/>
        </w:trPr>
        <w:tc>
          <w:tcPr>
            <w:tcW w:w="58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2</w:t>
            </w:r>
          </w:p>
        </w:tc>
        <w:tc>
          <w:tcPr>
            <w:tcW w:w="10720" w:type="dxa"/>
            <w:vAlign w:val="bottom"/>
            <w:shd w:val="clear" w:color="auto" w:fill="CCEEFF"/>
          </w:tcPr>
          <w:p>
            <w:pPr>
              <w:ind w:left="40"/>
              <w:spacing w:after="0" w:line="117" w:lineRule="exact"/>
              <w:rPr>
                <w:sz w:val="20"/>
                <w:szCs w:val="20"/>
                <w:color w:val="auto"/>
              </w:rPr>
            </w:pPr>
            <w:r>
              <w:rPr>
                <w:rFonts w:ascii="Times New Roman" w:cs="Times New Roman" w:eastAsia="Times New Roman" w:hAnsi="Times New Roman"/>
                <w:sz w:val="12"/>
                <w:szCs w:val="12"/>
                <w:color w:val="auto"/>
              </w:rPr>
              <w:t>Press Release of Cartesian Therapeutics, Inc., dated July 2, 2024</w:t>
            </w:r>
          </w:p>
        </w:tc>
      </w:tr>
      <w:tr>
        <w:trPr>
          <w:trHeight w:val="144"/>
        </w:trPr>
        <w:tc>
          <w:tcPr>
            <w:tcW w:w="1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10720" w:type="dxa"/>
            <w:vAlign w:val="bottom"/>
            <w:tcBorders>
              <w:top w:val="single" w:sz="8" w:color="CCEEFF"/>
            </w:tcBorders>
          </w:tcPr>
          <w:p>
            <w:pPr>
              <w:spacing w:after="0"/>
              <w:rPr>
                <w:sz w:val="12"/>
                <w:szCs w:val="12"/>
                <w:color w:val="auto"/>
              </w:rPr>
            </w:pPr>
          </w:p>
        </w:tc>
      </w:tr>
      <w:tr>
        <w:trPr>
          <w:trHeight w:val="124"/>
        </w:trPr>
        <w:tc>
          <w:tcPr>
            <w:tcW w:w="58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3</w:t>
            </w:r>
          </w:p>
        </w:tc>
        <w:tc>
          <w:tcPr>
            <w:tcW w:w="10720" w:type="dxa"/>
            <w:vAlign w:val="bottom"/>
            <w:shd w:val="clear" w:color="auto" w:fill="CCEEFF"/>
          </w:tcPr>
          <w:p>
            <w:pPr>
              <w:ind w:left="40"/>
              <w:spacing w:after="0" w:line="117" w:lineRule="exact"/>
              <w:rPr>
                <w:sz w:val="20"/>
                <w:szCs w:val="20"/>
                <w:color w:val="auto"/>
              </w:rPr>
            </w:pPr>
            <w:r>
              <w:rPr>
                <w:rFonts w:ascii="Times New Roman" w:cs="Times New Roman" w:eastAsia="Times New Roman" w:hAnsi="Times New Roman"/>
                <w:sz w:val="12"/>
                <w:szCs w:val="12"/>
                <w:color w:val="auto"/>
              </w:rPr>
              <w:t>Cartesian Therapeutics, Inc. Phase 2b Data Presentation</w:t>
            </w:r>
          </w:p>
        </w:tc>
      </w:tr>
      <w:tr>
        <w:trPr>
          <w:trHeight w:val="144"/>
        </w:trPr>
        <w:tc>
          <w:tcPr>
            <w:tcW w:w="1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10720" w:type="dxa"/>
            <w:vAlign w:val="bottom"/>
            <w:tcBorders>
              <w:top w:val="single" w:sz="8" w:color="CCEEFF"/>
            </w:tcBorders>
          </w:tcPr>
          <w:p>
            <w:pPr>
              <w:spacing w:after="0"/>
              <w:rPr>
                <w:sz w:val="12"/>
                <w:szCs w:val="12"/>
                <w:color w:val="auto"/>
              </w:rPr>
            </w:pPr>
          </w:p>
        </w:tc>
      </w:tr>
      <w:tr>
        <w:trPr>
          <w:trHeight w:val="144"/>
        </w:trPr>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380" w:type="dxa"/>
            <w:vAlign w:val="bottom"/>
            <w:shd w:val="clear" w:color="auto" w:fill="CCEEFF"/>
          </w:tcPr>
          <w:p>
            <w:pPr>
              <w:spacing w:after="0"/>
              <w:rPr>
                <w:sz w:val="12"/>
                <w:szCs w:val="12"/>
                <w:color w:val="auto"/>
              </w:rPr>
            </w:pPr>
          </w:p>
        </w:tc>
        <w:tc>
          <w:tcPr>
            <w:tcW w:w="10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261"/>
        </w:trPr>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720" w:type="dxa"/>
            <w:vAlign w:val="bottom"/>
            <w:tcBorders>
              <w:bottom w:val="single" w:sz="8" w:color="auto"/>
            </w:tcBorders>
          </w:tcPr>
          <w:p>
            <w:pPr>
              <w:spacing w:after="0"/>
              <w:rPr>
                <w:sz w:val="22"/>
                <w:szCs w:val="22"/>
                <w:color w:val="auto"/>
              </w:rPr>
            </w:pPr>
          </w:p>
        </w:tc>
      </w:tr>
    </w:tbl>
    <w:p>
      <w:pPr>
        <w:sectPr>
          <w:pgSz w:w="11900" w:h="16838" w:orient="portrait"/>
          <w:cols w:equalWidth="0" w:num="1">
            <w:col w:w="11300"/>
          </w:cols>
          <w:pgMar w:left="300" w:top="129" w:right="2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Date: July 2, 2024</w:t>
            </w:r>
          </w:p>
        </w:tc>
        <w:tc>
          <w:tcPr>
            <w:tcW w:w="9160" w:type="dxa"/>
            <w:vAlign w:val="bottom"/>
            <w:gridSpan w:val="2"/>
          </w:tcPr>
          <w:p>
            <w:pPr>
              <w:ind w:left="1280"/>
              <w:spacing w:after="0"/>
              <w:rPr>
                <w:sz w:val="20"/>
                <w:szCs w:val="20"/>
                <w:color w:val="auto"/>
              </w:rPr>
            </w:pPr>
            <w:r>
              <w:rPr>
                <w:rFonts w:ascii="Times New Roman" w:cs="Times New Roman" w:eastAsia="Times New Roman" w:hAnsi="Times New Roman"/>
                <w:sz w:val="12"/>
                <w:szCs w:val="12"/>
                <w:b w:val="1"/>
                <w:bCs w:val="1"/>
                <w:color w:val="auto"/>
              </w:rPr>
              <w:t>CARTESIAN THERAPEUTICS, INC.</w:t>
            </w:r>
          </w:p>
        </w:tc>
      </w:tr>
      <w:tr>
        <w:trPr>
          <w:trHeight w:val="288"/>
        </w:trPr>
        <w:tc>
          <w:tcPr>
            <w:tcW w:w="2140" w:type="dxa"/>
            <w:vAlign w:val="bottom"/>
          </w:tcPr>
          <w:p>
            <w:pPr>
              <w:spacing w:after="0"/>
              <w:rPr>
                <w:sz w:val="24"/>
                <w:szCs w:val="24"/>
                <w:color w:val="auto"/>
              </w:rPr>
            </w:pPr>
          </w:p>
        </w:tc>
        <w:tc>
          <w:tcPr>
            <w:tcW w:w="184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By:</w:t>
            </w:r>
          </w:p>
        </w:tc>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Carsten Brunn, Ph.D.</w:t>
            </w:r>
          </w:p>
        </w:tc>
      </w:tr>
      <w:tr>
        <w:trPr>
          <w:trHeight w:val="131"/>
        </w:trPr>
        <w:tc>
          <w:tcPr>
            <w:tcW w:w="21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3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Carsten Brunn, Ph.D.</w:t>
            </w:r>
          </w:p>
        </w:tc>
      </w:tr>
      <w:tr>
        <w:trPr>
          <w:trHeight w:val="155"/>
        </w:trPr>
        <w:tc>
          <w:tcPr>
            <w:tcW w:w="21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351"/>
        </w:trPr>
        <w:tc>
          <w:tcPr>
            <w:tcW w:w="2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5" w:right="2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3.1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CARTESIAN THERAPEUTICS,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CERTIFICATE OF DESIGNATION OF PREFERENCES,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RIGHTS AND LIMITATIONS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SERIES B NON-VOTING CONVERTIBLE PREFERRED STOCK</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Pursuant to Section 151 of the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General Corporation Law of the State of Delaware</w:t>
      </w:r>
    </w:p>
    <w:p>
      <w:pPr>
        <w:spacing w:after="0" w:line="13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2"/>
          <w:szCs w:val="12"/>
          <w:color w:val="auto"/>
        </w:rPr>
        <w:t>THE UNDERSIGNED DOES HEREBY CERTIFY, on behalf of Cartesian Therapeutics, Inc., a Delaware corporation (the “</w:t>
      </w:r>
      <w:r>
        <w:rPr>
          <w:rFonts w:ascii="Times New Roman" w:cs="Times New Roman" w:eastAsia="Times New Roman" w:hAnsi="Times New Roman"/>
          <w:sz w:val="12"/>
          <w:szCs w:val="12"/>
          <w:b w:val="1"/>
          <w:bCs w:val="1"/>
          <w:i w:val="1"/>
          <w:iCs w:val="1"/>
          <w:color w:val="auto"/>
        </w:rPr>
        <w:t>Corporation</w:t>
      </w:r>
      <w:r>
        <w:rPr>
          <w:rFonts w:ascii="Times New Roman" w:cs="Times New Roman" w:eastAsia="Times New Roman" w:hAnsi="Times New Roman"/>
          <w:sz w:val="12"/>
          <w:szCs w:val="12"/>
          <w:color w:val="auto"/>
        </w:rPr>
        <w:t>”), that the following resolution was duly adopted by the Board of Directors of the Corporation (the “</w:t>
      </w:r>
      <w:r>
        <w:rPr>
          <w:rFonts w:ascii="Times New Roman" w:cs="Times New Roman" w:eastAsia="Times New Roman" w:hAnsi="Times New Roman"/>
          <w:sz w:val="12"/>
          <w:szCs w:val="12"/>
          <w:b w:val="1"/>
          <w:bCs w:val="1"/>
          <w:i w:val="1"/>
          <w:iCs w:val="1"/>
          <w:color w:val="auto"/>
        </w:rPr>
        <w:t>Board of Directors</w:t>
      </w:r>
      <w:r>
        <w:rPr>
          <w:rFonts w:ascii="Times New Roman" w:cs="Times New Roman" w:eastAsia="Times New Roman" w:hAnsi="Times New Roman"/>
          <w:sz w:val="12"/>
          <w:szCs w:val="12"/>
          <w:color w:val="auto"/>
        </w:rPr>
        <w:t>”), in accordance with the provisions of Section 151 of the General Corporation Law of the State of Delaware (the “</w:t>
      </w:r>
      <w:r>
        <w:rPr>
          <w:rFonts w:ascii="Times New Roman" w:cs="Times New Roman" w:eastAsia="Times New Roman" w:hAnsi="Times New Roman"/>
          <w:sz w:val="12"/>
          <w:szCs w:val="12"/>
          <w:b w:val="1"/>
          <w:bCs w:val="1"/>
          <w:i w:val="1"/>
          <w:iCs w:val="1"/>
          <w:color w:val="auto"/>
        </w:rPr>
        <w:t>DGCL</w:t>
      </w:r>
      <w:r>
        <w:rPr>
          <w:rFonts w:ascii="Times New Roman" w:cs="Times New Roman" w:eastAsia="Times New Roman" w:hAnsi="Times New Roman"/>
          <w:sz w:val="12"/>
          <w:szCs w:val="12"/>
          <w:color w:val="auto"/>
        </w:rPr>
        <w:t>”), at a meeting duly called and held on July 1, 2024, which resolution provides for the creation of a series of the Corporation’s Preferred Stock, par value $0.0001 per share, which is designated as “Series B Non-Voting Convertible Preferred Stock,” with the preferences, rights and limitations set forth therein relating to dividends, conversion, redemption, dissolution and distribution of assets of the Corporation.</w:t>
      </w:r>
    </w:p>
    <w:p>
      <w:pPr>
        <w:spacing w:after="0" w:line="117" w:lineRule="exact"/>
        <w:rPr>
          <w:sz w:val="20"/>
          <w:szCs w:val="20"/>
          <w:color w:val="auto"/>
        </w:rPr>
      </w:pPr>
    </w:p>
    <w:p>
      <w:pPr>
        <w:ind w:right="140"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Restated Certificate of Incorporation of the Corporation, as amended (the “</w:t>
      </w:r>
      <w:r>
        <w:rPr>
          <w:rFonts w:ascii="Times New Roman" w:cs="Times New Roman" w:eastAsia="Times New Roman" w:hAnsi="Times New Roman"/>
          <w:sz w:val="12"/>
          <w:szCs w:val="12"/>
          <w:b w:val="1"/>
          <w:bCs w:val="1"/>
          <w:i w:val="1"/>
          <w:iCs w:val="1"/>
          <w:color w:val="auto"/>
        </w:rPr>
        <w:t>Certificate of Incorporation</w:t>
      </w:r>
      <w:r>
        <w:rPr>
          <w:rFonts w:ascii="Times New Roman" w:cs="Times New Roman" w:eastAsia="Times New Roman" w:hAnsi="Times New Roman"/>
          <w:sz w:val="12"/>
          <w:szCs w:val="12"/>
          <w:color w:val="auto"/>
        </w:rPr>
        <w:t>”), provides for a class of its authorized stock known as Preferred Stock, consisting of 10,000,000 shares,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$0.0001 par value per share (the “</w:t>
      </w:r>
      <w:r>
        <w:rPr>
          <w:rFonts w:ascii="Times New Roman" w:cs="Times New Roman" w:eastAsia="Times New Roman" w:hAnsi="Times New Roman"/>
          <w:sz w:val="12"/>
          <w:szCs w:val="12"/>
          <w:b w:val="1"/>
          <w:bCs w:val="1"/>
          <w:i w:val="1"/>
          <w:iCs w:val="1"/>
          <w:color w:val="auto"/>
        </w:rPr>
        <w:t>Preferred Stock</w:t>
      </w:r>
      <w:r>
        <w:rPr>
          <w:rFonts w:ascii="Times New Roman" w:cs="Times New Roman" w:eastAsia="Times New Roman" w:hAnsi="Times New Roman"/>
          <w:sz w:val="12"/>
          <w:szCs w:val="12"/>
          <w:color w:val="auto"/>
        </w:rPr>
        <w:t>”), issuable from time to time in one or more series.</w:t>
      </w:r>
    </w:p>
    <w:p>
      <w:pPr>
        <w:spacing w:after="0" w:line="103" w:lineRule="exact"/>
        <w:rPr>
          <w:sz w:val="20"/>
          <w:szCs w:val="20"/>
          <w:color w:val="auto"/>
        </w:rPr>
      </w:pPr>
    </w:p>
    <w:p>
      <w:pPr>
        <w:ind w:right="20" w:firstLine="294"/>
        <w:spacing w:after="0" w:line="262" w:lineRule="auto"/>
        <w:rPr>
          <w:sz w:val="20"/>
          <w:szCs w:val="20"/>
          <w:color w:val="auto"/>
        </w:rPr>
      </w:pPr>
      <w:r>
        <w:rPr>
          <w:rFonts w:ascii="Times New Roman" w:cs="Times New Roman" w:eastAsia="Times New Roman" w:hAnsi="Times New Roman"/>
          <w:sz w:val="12"/>
          <w:szCs w:val="12"/>
          <w:b w:val="1"/>
          <w:bCs w:val="1"/>
          <w:color w:val="auto"/>
        </w:rPr>
        <w:t>RESOLVED</w:t>
      </w:r>
      <w:r>
        <w:rPr>
          <w:rFonts w:ascii="Times New Roman" w:cs="Times New Roman" w:eastAsia="Times New Roman" w:hAnsi="Times New Roman"/>
          <w:sz w:val="12"/>
          <w:szCs w:val="12"/>
          <w:color w:val="auto"/>
        </w:rPr>
        <w:t>: that, pursuant to authority conferred upon the Board of Directors by the Certificate of Incorporation, (i) a series of Preferred Stock of the Corporation be, and hereby is authorized by the Board of Directors, (ii)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Board of Directors hereby authorizes the issuance of 2,937,903 shares of “Series B Non-Voting Convertible Preferred Stock,” and (iii) the Board of Directors hereby fixes the designations, powers, preferences and relative, participating, optional or other special rights, and the qualifications, limitations or restrictions thereof, of such shares of Preferred Stock, in addition to any provisions set forth in the Certificate of Incorporation that are applicable to the Preferred Stock of all classes and series, as follows: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TERMS OF SERIES B NON-VOTING CONVERTIBLE PREFERRED STOCK</w:t>
      </w:r>
    </w:p>
    <w:p>
      <w:pPr>
        <w:spacing w:after="0" w:line="154" w:lineRule="exact"/>
        <w:rPr>
          <w:sz w:val="20"/>
          <w:szCs w:val="20"/>
          <w:color w:val="auto"/>
        </w:rPr>
      </w:pPr>
    </w:p>
    <w:p>
      <w:pPr>
        <w:ind w:left="660" w:right="6080" w:hanging="7"/>
        <w:spacing w:after="0" w:line="497" w:lineRule="auto"/>
        <w:tabs>
          <w:tab w:leader="none" w:pos="7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 For the purposes hereof, the following terms shall have the following meanings: “</w:t>
      </w:r>
      <w:r>
        <w:rPr>
          <w:rFonts w:ascii="Times New Roman" w:cs="Times New Roman" w:eastAsia="Times New Roman" w:hAnsi="Times New Roman"/>
          <w:sz w:val="12"/>
          <w:szCs w:val="12"/>
          <w:b w:val="1"/>
          <w:bCs w:val="1"/>
          <w:i w:val="1"/>
          <w:iCs w:val="1"/>
          <w:color w:val="auto"/>
        </w:rPr>
        <w:t>Alternate Consideration</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w:t>
      </w:r>
    </w:p>
    <w:p>
      <w:pPr>
        <w:ind w:left="6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Attribution Parties</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6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Automatic Conversion</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left="660" w:right="6640"/>
        <w:spacing w:after="0" w:line="50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Beneficial Ownership Limitation</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i w:val="1"/>
          <w:iCs w:val="1"/>
          <w:color w:val="auto"/>
        </w:rPr>
        <w:t>Beneficial Ownership Statement</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i w:val="1"/>
          <w:iCs w:val="1"/>
          <w:color w:val="auto"/>
        </w:rPr>
        <w:t>Board of Directors</w:t>
      </w:r>
      <w:r>
        <w:rPr>
          <w:rFonts w:ascii="Times New Roman" w:cs="Times New Roman" w:eastAsia="Times New Roman" w:hAnsi="Times New Roman"/>
          <w:sz w:val="12"/>
          <w:szCs w:val="12"/>
          <w:color w:val="auto"/>
        </w:rPr>
        <w:t>” shall have the meaning set forth in the Recitals.</w:t>
      </w:r>
    </w:p>
    <w:p>
      <w:pPr>
        <w:spacing w:after="0" w:line="2" w:lineRule="exact"/>
        <w:rPr>
          <w:sz w:val="20"/>
          <w:szCs w:val="20"/>
          <w:color w:val="auto"/>
        </w:rPr>
      </w:pPr>
    </w:p>
    <w:p>
      <w:pPr>
        <w:ind w:right="100" w:firstLine="66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Business Day</w:t>
      </w:r>
      <w:r>
        <w:rPr>
          <w:rFonts w:ascii="Times New Roman" w:cs="Times New Roman" w:eastAsia="Times New Roman" w:hAnsi="Times New Roman"/>
          <w:sz w:val="12"/>
          <w:szCs w:val="12"/>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Buy-In</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6.5.4</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Certificate of Incorporation</w:t>
      </w:r>
      <w:r>
        <w:rPr>
          <w:rFonts w:ascii="Times New Roman" w:cs="Times New Roman" w:eastAsia="Times New Roman" w:hAnsi="Times New Roman"/>
          <w:sz w:val="12"/>
          <w:szCs w:val="12"/>
          <w:color w:val="auto"/>
        </w:rPr>
        <w:t>” shall have the meaning set forth in the Recitals.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24" w:right="299" w:bottom="1440" w:gutter="0" w:footer="0" w:header="0"/>
        </w:sectPr>
      </w:pPr>
    </w:p>
    <w:bookmarkStart w:id="6" w:name="page7"/>
    <w:bookmarkEnd w:id="6"/>
    <w:p>
      <w:pPr>
        <w:ind w:firstLine="661"/>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Closing Sale Price</w:t>
      </w:r>
      <w:r>
        <w:rPr>
          <w:rFonts w:ascii="Times New Roman" w:cs="Times New Roman" w:eastAsia="Times New Roman" w:hAnsi="Times New Roman"/>
          <w:sz w:val="12"/>
          <w:szCs w:val="12"/>
          <w:color w:val="auto"/>
        </w:rPr>
        <w:t>”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Corporation.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Commission</w:t>
      </w:r>
      <w:r>
        <w:rPr>
          <w:rFonts w:ascii="Times New Roman" w:cs="Times New Roman" w:eastAsia="Times New Roman" w:hAnsi="Times New Roman"/>
          <w:sz w:val="12"/>
          <w:szCs w:val="12"/>
          <w:color w:val="auto"/>
        </w:rPr>
        <w:t>” means the United States Securities and Exchange Commission.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Common Stock</w:t>
      </w:r>
      <w:r>
        <w:rPr>
          <w:rFonts w:ascii="Times New Roman" w:cs="Times New Roman" w:eastAsia="Times New Roman" w:hAnsi="Times New Roman"/>
          <w:sz w:val="12"/>
          <w:szCs w:val="12"/>
          <w:color w:val="auto"/>
        </w:rPr>
        <w:t>” means the Corporation’s common stock, par value $0.0001 per share, and stock of any other class of securities into which such securities may hereafter be reclassified or changed.</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Conversion</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Conversion Ratio</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Conversion Shares</w:t>
      </w:r>
      <w:r>
        <w:rPr>
          <w:rFonts w:ascii="Times New Roman" w:cs="Times New Roman" w:eastAsia="Times New Roman" w:hAnsi="Times New Roman"/>
          <w:sz w:val="12"/>
          <w:szCs w:val="12"/>
          <w:color w:val="auto"/>
        </w:rPr>
        <w:t>” means, collectively, the shares of Common Stock issuable upon conversion of the shares of Series B Non-Voting Preferred Stock in accordance with the terms hereof.</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Converted Stock</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Corporation</w:t>
      </w:r>
      <w:r>
        <w:rPr>
          <w:rFonts w:ascii="Times New Roman" w:cs="Times New Roman" w:eastAsia="Times New Roman" w:hAnsi="Times New Roman"/>
          <w:sz w:val="12"/>
          <w:szCs w:val="12"/>
          <w:color w:val="auto"/>
        </w:rPr>
        <w:t>” shall have the meaning set forth in the Recitals.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DGCL</w:t>
      </w:r>
      <w:r>
        <w:rPr>
          <w:rFonts w:ascii="Times New Roman" w:cs="Times New Roman" w:eastAsia="Times New Roman" w:hAnsi="Times New Roman"/>
          <w:sz w:val="12"/>
          <w:szCs w:val="12"/>
          <w:color w:val="auto"/>
        </w:rPr>
        <w:t>” shall have the meaning set forth in the Recitals.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DTC</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DWAC</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Exchange Act</w:t>
      </w:r>
      <w:r>
        <w:rPr>
          <w:rFonts w:ascii="Times New Roman" w:cs="Times New Roman" w:eastAsia="Times New Roman" w:hAnsi="Times New Roman"/>
          <w:sz w:val="12"/>
          <w:szCs w:val="12"/>
          <w:color w:val="auto"/>
        </w:rPr>
        <w:t>” means the Securities Exchange Act of 1934, as amended, and the rules and regulations promulgated thereunder.</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Fair Value</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6.5.3</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Fundamental Transaction</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Holder</w:t>
      </w:r>
      <w:r>
        <w:rPr>
          <w:rFonts w:ascii="Times New Roman" w:cs="Times New Roman" w:eastAsia="Times New Roman" w:hAnsi="Times New Roman"/>
          <w:sz w:val="12"/>
          <w:szCs w:val="12"/>
          <w:color w:val="auto"/>
        </w:rPr>
        <w:t>” means a holder of shares of Series B Non-Voting Preferred Stock.</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Liquidation</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Notice-of-Conversion</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Optional Conversion</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Optional Conversion Date</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80" w:firstLine="66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Person</w:t>
      </w:r>
      <w:r>
        <w:rPr>
          <w:rFonts w:ascii="Times New Roman" w:cs="Times New Roman" w:eastAsia="Times New Roman" w:hAnsi="Times New Roman"/>
          <w:sz w:val="12"/>
          <w:szCs w:val="1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Preferred Stock</w:t>
      </w:r>
      <w:r>
        <w:rPr>
          <w:rFonts w:ascii="Times New Roman" w:cs="Times New Roman" w:eastAsia="Times New Roman" w:hAnsi="Times New Roman"/>
          <w:sz w:val="12"/>
          <w:szCs w:val="12"/>
          <w:color w:val="auto"/>
        </w:rPr>
        <w:t>” shall have the meaning set forth in the Recitals.</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Series A Non-Voting Preferred Stock</w:t>
      </w:r>
      <w:r>
        <w:rPr>
          <w:rFonts w:ascii="Times New Roman" w:cs="Times New Roman" w:eastAsia="Times New Roman" w:hAnsi="Times New Roman"/>
          <w:sz w:val="12"/>
          <w:szCs w:val="12"/>
          <w:color w:val="auto"/>
        </w:rPr>
        <w:t>” means the Corporation’s Series A Non-Voting Convertible Preferred Stock, par value $0.0001 per share.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Series B Non-Voting Preferred Stock</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Share Delivery Date</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6.5.1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Stockholder Approval</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Trading Day</w:t>
      </w:r>
      <w:r>
        <w:rPr>
          <w:rFonts w:ascii="Times New Roman" w:cs="Times New Roman" w:eastAsia="Times New Roman" w:hAnsi="Times New Roman"/>
          <w:sz w:val="12"/>
          <w:szCs w:val="12"/>
          <w:color w:val="auto"/>
        </w:rPr>
        <w:t>” means a day on which the principal Trading Market is open for business.</w:t>
      </w:r>
    </w:p>
    <w:p>
      <w:pPr>
        <w:spacing w:after="0" w:line="150" w:lineRule="exact"/>
        <w:rPr>
          <w:sz w:val="20"/>
          <w:szCs w:val="20"/>
          <w:color w:val="auto"/>
        </w:rPr>
      </w:pPr>
    </w:p>
    <w:p>
      <w:pPr>
        <w:ind w:right="20" w:firstLine="66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Trading Market</w:t>
      </w:r>
      <w:r>
        <w:rPr>
          <w:rFonts w:ascii="Times New Roman" w:cs="Times New Roman" w:eastAsia="Times New Roman" w:hAnsi="Times New Roman"/>
          <w:sz w:val="12"/>
          <w:szCs w:val="12"/>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03" w:lineRule="exact"/>
        <w:rPr>
          <w:sz w:val="20"/>
          <w:szCs w:val="20"/>
          <w:color w:val="auto"/>
        </w:rPr>
      </w:pPr>
    </w:p>
    <w:p>
      <w:pPr>
        <w:ind w:firstLine="653"/>
        <w:spacing w:after="0" w:line="286" w:lineRule="auto"/>
        <w:tabs>
          <w:tab w:leader="none" w:pos="781"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Designation, Amount and Par Value</w:t>
      </w:r>
      <w:r>
        <w:rPr>
          <w:rFonts w:ascii="Times New Roman" w:cs="Times New Roman" w:eastAsia="Times New Roman" w:hAnsi="Times New Roman"/>
          <w:sz w:val="12"/>
          <w:szCs w:val="12"/>
          <w:color w:val="auto"/>
        </w:rPr>
        <w:t>. The series of Preferred Stock shall be designated as the Corporation’s Series B Non-Voting Convertible Preferred Stock (the “</w:t>
      </w:r>
      <w:r>
        <w:rPr>
          <w:rFonts w:ascii="Times New Roman" w:cs="Times New Roman" w:eastAsia="Times New Roman" w:hAnsi="Times New Roman"/>
          <w:sz w:val="12"/>
          <w:szCs w:val="12"/>
          <w:b w:val="1"/>
          <w:bCs w:val="1"/>
          <w:i w:val="1"/>
          <w:iCs w:val="1"/>
          <w:color w:val="auto"/>
        </w:rPr>
        <w:t>Series B Non-Voting Preferred Stock</w:t>
      </w:r>
      <w:r>
        <w:rPr>
          <w:rFonts w:ascii="Times New Roman" w:cs="Times New Roman" w:eastAsia="Times New Roman" w:hAnsi="Times New Roman"/>
          <w:sz w:val="12"/>
          <w:szCs w:val="12"/>
          <w:color w:val="auto"/>
        </w:rPr>
        <w:t>”) and the number of shares so designated shall be 2,937,903. Each share of Series B Non-Voting Preferred Stock shall have a par value of $0.0001 per share.</w:t>
      </w:r>
    </w:p>
    <w:p>
      <w:pPr>
        <w:spacing w:after="0" w:line="107" w:lineRule="exact"/>
        <w:rPr>
          <w:rFonts w:ascii="Times New Roman" w:cs="Times New Roman" w:eastAsia="Times New Roman" w:hAnsi="Times New Roman"/>
          <w:sz w:val="12"/>
          <w:szCs w:val="12"/>
          <w:color w:val="auto"/>
        </w:rPr>
      </w:pPr>
    </w:p>
    <w:p>
      <w:pPr>
        <w:ind w:right="60" w:firstLine="653"/>
        <w:spacing w:after="0" w:line="257" w:lineRule="auto"/>
        <w:tabs>
          <w:tab w:leader="none" w:pos="781"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Dividends</w:t>
      </w:r>
      <w:r>
        <w:rPr>
          <w:rFonts w:ascii="Times New Roman" w:cs="Times New Roman" w:eastAsia="Times New Roman" w:hAnsi="Times New Roman"/>
          <w:sz w:val="12"/>
          <w:szCs w:val="12"/>
          <w:color w:val="auto"/>
        </w:rPr>
        <w:t>. Holders shall be entitled to receive, and the Corporation shall pay, dividends on shares of the Series B Non-Voting Preferred Stock (on an as-if-converted-to-Common-Stock basis, without regard to the Beneficial Ownership Limitation)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Other than as set forth in the previous sentence, no other dividends shall be paid on shares of Series B Non-Voting Preferred Stock, and the Corporation shall pay no dividends (other than dividends payable in the form of Common Stock) on shares of the Common Stock unless it simultaneously complies with the previous sentence.</w:t>
      </w:r>
    </w:p>
    <w:p>
      <w:pPr>
        <w:spacing w:after="0" w:line="125" w:lineRule="exact"/>
        <w:rPr>
          <w:rFonts w:ascii="Times New Roman" w:cs="Times New Roman" w:eastAsia="Times New Roman" w:hAnsi="Times New Roman"/>
          <w:sz w:val="12"/>
          <w:szCs w:val="12"/>
          <w:color w:val="auto"/>
        </w:rPr>
      </w:pPr>
    </w:p>
    <w:p>
      <w:pPr>
        <w:ind w:left="780" w:hanging="127"/>
        <w:spacing w:after="0"/>
        <w:tabs>
          <w:tab w:leader="none" w:pos="7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Voting Rights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40" w:firstLine="955"/>
        <w:spacing w:after="0" w:line="282" w:lineRule="auto"/>
        <w:rPr>
          <w:sz w:val="20"/>
          <w:szCs w:val="20"/>
          <w:color w:val="auto"/>
        </w:rPr>
      </w:pPr>
      <w:r>
        <w:rPr>
          <w:rFonts w:ascii="Times New Roman" w:cs="Times New Roman" w:eastAsia="Times New Roman" w:hAnsi="Times New Roman"/>
          <w:sz w:val="11"/>
          <w:szCs w:val="11"/>
          <w:color w:val="auto"/>
        </w:rPr>
        <w:t>4.1 Except as otherwise provided herein or as otherwise required by the DGCL, the Series B Non-Voting Preferred Stock shall have no voting rights. However, as long as any shares of Series B Non-Voting Preferred Stock are outstanding, the Corporation shall not, without the affirmative vote of the holders of a majority of the then outstanding shares of the Series B Non-Voting Preferred Stock, alter or change adversely the powers, preferences or rights given to the Series B Non-Voting Preferred Stock or alter or amend this Certificate of Designation, amend or repeal any provision of, or add any provision to, the Certificate of Incorporation or Amended and Restated Bylaws of the Corporation,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B Non-Voting Preferred Stock, regardless of whether any of the foregoing actions shall be by means of amendment to the Certificate of Incorporation or by merger, consolidation, recapitalization, reclassification, conversion or otherwise. Holders of shares of Common Stock acquired upon the conversion of shares of Series B Non-Voting Preferred Stock shall be entitled to the same voting rights as each other holder of Common Stock, except that such holders may not vote such shares upon the proposal for Stockholder Approval in accordance with Rule 5635 of the listing rules of The Nasdaq Stock Market LLC.</w:t>
      </w:r>
    </w:p>
    <w:p>
      <w:pPr>
        <w:spacing w:after="0" w:line="112" w:lineRule="exact"/>
        <w:rPr>
          <w:sz w:val="20"/>
          <w:szCs w:val="20"/>
          <w:color w:val="auto"/>
        </w:rPr>
      </w:pPr>
    </w:p>
    <w:p>
      <w:pPr>
        <w:ind w:right="120" w:firstLine="955"/>
        <w:spacing w:after="0" w:line="279" w:lineRule="auto"/>
        <w:rPr>
          <w:sz w:val="20"/>
          <w:szCs w:val="20"/>
          <w:color w:val="auto"/>
        </w:rPr>
      </w:pPr>
      <w:r>
        <w:rPr>
          <w:rFonts w:ascii="Times New Roman" w:cs="Times New Roman" w:eastAsia="Times New Roman" w:hAnsi="Times New Roman"/>
          <w:sz w:val="12"/>
          <w:szCs w:val="12"/>
          <w:color w:val="auto"/>
        </w:rPr>
        <w:t xml:space="preserve">4.2 Any vote required or permitted under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xml:space="preserve"> may be taken at a meeting of the Holders or through the execution of an action by written consent in lieu of such meeting, provided that the consent is executed by Holders representing a majority of the outstanding shares of Series B Non-Voting Preferred Stock.</w:t>
      </w:r>
    </w:p>
    <w:p>
      <w:pPr>
        <w:spacing w:after="0" w:line="111" w:lineRule="exact"/>
        <w:rPr>
          <w:sz w:val="20"/>
          <w:szCs w:val="20"/>
          <w:color w:val="auto"/>
        </w:rPr>
      </w:pPr>
    </w:p>
    <w:p>
      <w:pPr>
        <w:ind w:left="780" w:hanging="127"/>
        <w:spacing w:after="0"/>
        <w:tabs>
          <w:tab w:leader="none" w:pos="7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Rank; Liquidation</w:t>
      </w:r>
      <w:r>
        <w:rPr>
          <w:rFonts w:ascii="Times New Roman" w:cs="Times New Roman" w:eastAsia="Times New Roman" w:hAnsi="Times New Roman"/>
          <w:sz w:val="12"/>
          <w:szCs w:val="12"/>
          <w:color w:val="auto"/>
        </w:rPr>
        <w: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 w:name="page9"/>
    <w:bookmarkEnd w:id="8"/>
    <w:p>
      <w:pPr>
        <w:ind w:right="40" w:firstLine="955"/>
        <w:spacing w:after="0" w:line="279" w:lineRule="auto"/>
        <w:rPr>
          <w:sz w:val="20"/>
          <w:szCs w:val="20"/>
          <w:color w:val="auto"/>
        </w:rPr>
      </w:pPr>
      <w:r>
        <w:rPr>
          <w:rFonts w:ascii="Times New Roman" w:cs="Times New Roman" w:eastAsia="Times New Roman" w:hAnsi="Times New Roman"/>
          <w:sz w:val="12"/>
          <w:szCs w:val="12"/>
          <w:color w:val="auto"/>
        </w:rPr>
        <w:t>5.1 The Series B Non-Voting Preferred Stock shall rank on parity with the Common Stock and the Series A Non-Voting Preferred Stock as to distributions of assets upon liquidation, dissolution or winding up of the Corporation, whether voluntarily or involuntarily.</w:t>
      </w:r>
    </w:p>
    <w:p>
      <w:pPr>
        <w:spacing w:after="0" w:line="107" w:lineRule="exact"/>
        <w:rPr>
          <w:sz w:val="20"/>
          <w:szCs w:val="20"/>
          <w:color w:val="auto"/>
        </w:rPr>
      </w:pPr>
    </w:p>
    <w:p>
      <w:pPr>
        <w:ind w:firstLine="955"/>
        <w:spacing w:after="0" w:line="257" w:lineRule="auto"/>
        <w:rPr>
          <w:sz w:val="20"/>
          <w:szCs w:val="20"/>
          <w:color w:val="auto"/>
        </w:rPr>
      </w:pPr>
      <w:r>
        <w:rPr>
          <w:rFonts w:ascii="Times New Roman" w:cs="Times New Roman" w:eastAsia="Times New Roman" w:hAnsi="Times New Roman"/>
          <w:sz w:val="12"/>
          <w:szCs w:val="12"/>
          <w:color w:val="auto"/>
        </w:rPr>
        <w:t>5.2 Upon any liquidation, dissolution or winding-up of the Corporation, whether voluntary or involuntary (a “</w:t>
      </w:r>
      <w:r>
        <w:rPr>
          <w:rFonts w:ascii="Times New Roman" w:cs="Times New Roman" w:eastAsia="Times New Roman" w:hAnsi="Times New Roman"/>
          <w:sz w:val="12"/>
          <w:szCs w:val="12"/>
          <w:b w:val="1"/>
          <w:bCs w:val="1"/>
          <w:i w:val="1"/>
          <w:iCs w:val="1"/>
          <w:color w:val="auto"/>
        </w:rPr>
        <w:t>Liquidation</w:t>
      </w:r>
      <w:r>
        <w:rPr>
          <w:rFonts w:ascii="Times New Roman" w:cs="Times New Roman" w:eastAsia="Times New Roman" w:hAnsi="Times New Roman"/>
          <w:sz w:val="12"/>
          <w:szCs w:val="12"/>
          <w:color w:val="auto"/>
        </w:rPr>
        <w:t xml:space="preserve">”), each Holder shall be entitled to receive out of the assets, whether capital or surplus, of the Corporation the same amount that a holder of Common Stock would receive if the Series B Non-Voting Preferred Stock were fully converted (disregarding for such purpose any Beneficial Ownership Limitation) to Common Stock which amounts shall be paid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with all holders of Common Stock, plus an additional amount equal to any dividends declared on but unpaid to such shares. If, upon any such Liquidation, the assets of the Corporation shall be insufficient to pay the Holders of shares of the Series B Non-Voting Preferred Stock the amount required under the preceding sentence, then all remaining assets of the Corporation shall be distributed ratably to the Holders and the holders of Common Stock in accordance with the respective amounts that would be payable on all such securities if all amounts payable thereon were paid in full. For the avoidance of any doubt, a Fundamental Transaction shall not be deemed a Liquidation unless the Corporation expressly declares that such Fundamental Transaction shall be treated as if it were a Liquidation.</w:t>
      </w:r>
    </w:p>
    <w:p>
      <w:pPr>
        <w:spacing w:after="0" w:line="125" w:lineRule="exact"/>
        <w:rPr>
          <w:sz w:val="20"/>
          <w:szCs w:val="20"/>
          <w:color w:val="auto"/>
        </w:rPr>
      </w:pPr>
    </w:p>
    <w:p>
      <w:pPr>
        <w:ind w:left="780" w:hanging="127"/>
        <w:spacing w:after="0"/>
        <w:tabs>
          <w:tab w:leader="none" w:pos="7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Conversion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20" w:firstLine="955"/>
        <w:spacing w:after="0" w:line="252" w:lineRule="auto"/>
        <w:rPr>
          <w:sz w:val="20"/>
          <w:szCs w:val="20"/>
          <w:color w:val="auto"/>
        </w:rPr>
      </w:pPr>
      <w:r>
        <w:rPr>
          <w:rFonts w:ascii="Times New Roman" w:cs="Times New Roman" w:eastAsia="Times New Roman" w:hAnsi="Times New Roman"/>
          <w:sz w:val="12"/>
          <w:szCs w:val="12"/>
          <w:color w:val="auto"/>
        </w:rPr>
        <w:t xml:space="preserve">6.1 </w:t>
      </w:r>
      <w:r>
        <w:rPr>
          <w:rFonts w:ascii="Times New Roman" w:cs="Times New Roman" w:eastAsia="Times New Roman" w:hAnsi="Times New Roman"/>
          <w:sz w:val="12"/>
          <w:szCs w:val="12"/>
          <w:u w:val="single" w:color="auto"/>
          <w:color w:val="auto"/>
        </w:rPr>
        <w:t>Automatic Conversion on Stockholder Approval</w:t>
      </w:r>
      <w:r>
        <w:rPr>
          <w:rFonts w:ascii="Times New Roman" w:cs="Times New Roman" w:eastAsia="Times New Roman" w:hAnsi="Times New Roman"/>
          <w:sz w:val="12"/>
          <w:szCs w:val="12"/>
          <w:color w:val="auto"/>
        </w:rPr>
        <w:t>. Effective as of 5:00 p.m. Eastern time on the third Business Day after the date that the Corporation’s stockholders approve the conversion of the Series B Non-Voting Preferred Stock into shares of Common Stock in accordance with the listing rules of the Nasdaq Stock Market LLC (the “</w:t>
      </w:r>
      <w:r>
        <w:rPr>
          <w:rFonts w:ascii="Times New Roman" w:cs="Times New Roman" w:eastAsia="Times New Roman" w:hAnsi="Times New Roman"/>
          <w:sz w:val="12"/>
          <w:szCs w:val="12"/>
          <w:b w:val="1"/>
          <w:bCs w:val="1"/>
          <w:i w:val="1"/>
          <w:iCs w:val="1"/>
          <w:color w:val="auto"/>
        </w:rPr>
        <w:t>Stockholder Approval</w:t>
      </w:r>
      <w:r>
        <w:rPr>
          <w:rFonts w:ascii="Times New Roman" w:cs="Times New Roman" w:eastAsia="Times New Roman" w:hAnsi="Times New Roman"/>
          <w:sz w:val="12"/>
          <w:szCs w:val="12"/>
          <w:color w:val="auto"/>
        </w:rPr>
        <w:t>”), each share of Series B Non-Voting Preferred Stock then outstanding shall automatically convert into a number of shares of Common Stock equal to the Conversion Ratio, subject to the Beneficial Ownership Limitation (the “</w:t>
      </w:r>
      <w:r>
        <w:rPr>
          <w:rFonts w:ascii="Times New Roman" w:cs="Times New Roman" w:eastAsia="Times New Roman" w:hAnsi="Times New Roman"/>
          <w:sz w:val="12"/>
          <w:szCs w:val="12"/>
          <w:b w:val="1"/>
          <w:bCs w:val="1"/>
          <w:i w:val="1"/>
          <w:iCs w:val="1"/>
          <w:color w:val="auto"/>
        </w:rPr>
        <w:t>Automatic Conversion</w:t>
      </w:r>
      <w:r>
        <w:rPr>
          <w:rFonts w:ascii="Times New Roman" w:cs="Times New Roman" w:eastAsia="Times New Roman" w:hAnsi="Times New Roman"/>
          <w:sz w:val="12"/>
          <w:szCs w:val="12"/>
          <w:color w:val="auto"/>
        </w:rPr>
        <w:t>”). The Corporation shall inform each Holder of the occurrence of the Stockholder Approval within one Business Day of such Stockholder Approval, it being understood that the filing of a Current Report on Form 8-K reporting the Stockholder Approval shall be deemed sufficient to inform the Holders in respect thereof. In determining the application of the Beneficial Ownership Limitation solely with respect to the Automatic Conversion, the Corporation shall calculate beneficial ownership for each Holder assuming beneficial ownership by such Holder of: (x) the number of shares of Common Stock issuable to such Holder in such Automatic Conversion, plus (y) any additional shares of Common Stock for which a Holder has provided the Corporation with prior written notice of beneficial ownership within 30 days prior to the date of Stockholder Approval (a “</w:t>
      </w:r>
      <w:r>
        <w:rPr>
          <w:rFonts w:ascii="Times New Roman" w:cs="Times New Roman" w:eastAsia="Times New Roman" w:hAnsi="Times New Roman"/>
          <w:sz w:val="12"/>
          <w:szCs w:val="12"/>
          <w:b w:val="1"/>
          <w:bCs w:val="1"/>
          <w:i w:val="1"/>
          <w:iCs w:val="1"/>
          <w:color w:val="auto"/>
        </w:rPr>
        <w:t>Beneficial Ownership Statement</w:t>
      </w:r>
      <w:r>
        <w:rPr>
          <w:rFonts w:ascii="Times New Roman" w:cs="Times New Roman" w:eastAsia="Times New Roman" w:hAnsi="Times New Roman"/>
          <w:sz w:val="12"/>
          <w:szCs w:val="12"/>
          <w:color w:val="auto"/>
        </w:rPr>
        <w:t>”) and assuming the conversion of all shares of Preferred Stock held by all other holders of Preferred Stock less the aggregate number of shares of Preferred Stock held by all other holders of Preferred Stock that will not convert into shares of Common Stock on account of the application of any Beneficial Ownership Limitation applicable to any such other holders. If a Holder fails to provide the Corporation with a Beneficial Ownership Statement within 30 days prior to the date of Stockholder Approval, then the Corporation shall presume the Holder’s beneficial ownership of Common Stock (excluding the Conversion Shares) to be zero or such other number of shares of Common Stock as the Corporation shall have reason to believe are beneficially owned by such Holder. The shares of Series B Non-Voting Preferred Stock that are converted in the Automatic Conversion are referred to as the “</w:t>
      </w:r>
      <w:r>
        <w:rPr>
          <w:rFonts w:ascii="Times New Roman" w:cs="Times New Roman" w:eastAsia="Times New Roman" w:hAnsi="Times New Roman"/>
          <w:sz w:val="12"/>
          <w:szCs w:val="12"/>
          <w:b w:val="1"/>
          <w:bCs w:val="1"/>
          <w:i w:val="1"/>
          <w:iCs w:val="1"/>
          <w:color w:val="auto"/>
        </w:rPr>
        <w:t>Converted Stock</w:t>
      </w:r>
      <w:r>
        <w:rPr>
          <w:rFonts w:ascii="Times New Roman" w:cs="Times New Roman" w:eastAsia="Times New Roman" w:hAnsi="Times New Roman"/>
          <w:sz w:val="12"/>
          <w:szCs w:val="12"/>
          <w:color w:val="auto"/>
        </w:rPr>
        <w:t xml:space="preserve">”. For the avoidance of doubt, any shares of Series B Non-Voting Preferred Stock that are not automatically converted pursuant to the Automatic Conversion as a result of a Beneficial Ownership Limitation shall remain outstanding until such shares of Series B Non-Voting Preferred Stock are converted pursuant to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The Conversion Shares shall be issued only in book-entry form as follows:</w:t>
      </w:r>
    </w:p>
    <w:p>
      <w:pPr>
        <w:spacing w:after="0" w:line="132" w:lineRule="exact"/>
        <w:rPr>
          <w:sz w:val="20"/>
          <w:szCs w:val="20"/>
          <w:color w:val="auto"/>
        </w:rPr>
      </w:pPr>
    </w:p>
    <w:p>
      <w:pPr>
        <w:ind w:right="140" w:firstLine="1728"/>
        <w:spacing w:after="0" w:line="279" w:lineRule="auto"/>
        <w:rPr>
          <w:sz w:val="20"/>
          <w:szCs w:val="20"/>
          <w:color w:val="auto"/>
        </w:rPr>
      </w:pPr>
      <w:r>
        <w:rPr>
          <w:rFonts w:ascii="Times New Roman" w:cs="Times New Roman" w:eastAsia="Times New Roman" w:hAnsi="Times New Roman"/>
          <w:sz w:val="12"/>
          <w:szCs w:val="12"/>
          <w:color w:val="auto"/>
        </w:rPr>
        <w:t>6.1.1 Converted Stock that is registered in book-entry form shall be automatically cancelled upon the Automatic Conversion and converted into the corresponding Conversion Shares, which shares shall be issued in book-entry form and without any action on the part of the Holders and shall be delivered to the Holders within two Business Days of the effectiveness of the Automatic Conversion.</w:t>
      </w:r>
    </w:p>
    <w:p>
      <w:pPr>
        <w:spacing w:after="0" w:line="111" w:lineRule="exact"/>
        <w:rPr>
          <w:sz w:val="20"/>
          <w:szCs w:val="20"/>
          <w:color w:val="auto"/>
        </w:rPr>
      </w:pPr>
    </w:p>
    <w:p>
      <w:pPr>
        <w:ind w:right="300" w:firstLine="1728"/>
        <w:spacing w:after="0" w:line="265" w:lineRule="auto"/>
        <w:rPr>
          <w:sz w:val="20"/>
          <w:szCs w:val="20"/>
          <w:color w:val="auto"/>
        </w:rPr>
      </w:pPr>
      <w:r>
        <w:rPr>
          <w:rFonts w:ascii="Times New Roman" w:cs="Times New Roman" w:eastAsia="Times New Roman" w:hAnsi="Times New Roman"/>
          <w:sz w:val="12"/>
          <w:szCs w:val="12"/>
          <w:color w:val="auto"/>
        </w:rPr>
        <w:t>6.1.2 Notwithstanding the cancellation of the Converted Stock upon the Automatic Conversion, Holders of Converted Stock shall continue to have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the Converted Stock.</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 w:name="page10"/>
    <w:bookmarkEnd w:id="9"/>
    <w:p>
      <w:pPr>
        <w:ind w:left="8" w:right="20" w:firstLine="955"/>
        <w:spacing w:after="0" w:line="254" w:lineRule="auto"/>
        <w:rPr>
          <w:sz w:val="20"/>
          <w:szCs w:val="20"/>
          <w:color w:val="auto"/>
        </w:rPr>
      </w:pPr>
      <w:r>
        <w:rPr>
          <w:rFonts w:ascii="Times New Roman" w:cs="Times New Roman" w:eastAsia="Times New Roman" w:hAnsi="Times New Roman"/>
          <w:sz w:val="12"/>
          <w:szCs w:val="12"/>
          <w:u w:val="single" w:color="auto"/>
          <w:color w:val="auto"/>
        </w:rPr>
        <w:t>6.2 Conversion at Option of Holder</w:t>
      </w:r>
      <w:r>
        <w:rPr>
          <w:rFonts w:ascii="Times New Roman" w:cs="Times New Roman" w:eastAsia="Times New Roman" w:hAnsi="Times New Roman"/>
          <w:sz w:val="12"/>
          <w:szCs w:val="12"/>
          <w:color w:val="auto"/>
        </w:rPr>
        <w:t xml:space="preserve">. Subject to </w:t>
      </w:r>
      <w:r>
        <w:rPr>
          <w:rFonts w:ascii="Times New Roman" w:cs="Times New Roman" w:eastAsia="Times New Roman" w:hAnsi="Times New Roman"/>
          <w:sz w:val="12"/>
          <w:szCs w:val="12"/>
          <w:u w:val="single" w:color="auto"/>
          <w:color w:val="auto"/>
        </w:rPr>
        <w:t>Sections 6.1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6.4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6.5.3</w:t>
      </w:r>
      <w:r>
        <w:rPr>
          <w:rFonts w:ascii="Times New Roman" w:cs="Times New Roman" w:eastAsia="Times New Roman" w:hAnsi="Times New Roman"/>
          <w:sz w:val="12"/>
          <w:szCs w:val="12"/>
          <w:color w:val="auto"/>
        </w:rPr>
        <w:t>, each share of Series B Non-Voting Preferred Stock then outstanding that is not otherwise converted into Common Stock upon the Automatic Conversion as a result of the applicability of the Beneficial Ownership Limitation shall be convertible, at any time and from time to time following 5:00 p.m. Eastern time on the third Business Day after the date that the Stockholder Approval is obtained by the Corporation, at the option of the Holder thereof into a number of shares of Common Stock equal to the Conversion Ratio, subject to the Beneficial Ownership Limitation and only to the extent the same shall have ceased to apply (each, an “</w:t>
      </w:r>
      <w:r>
        <w:rPr>
          <w:rFonts w:ascii="Times New Roman" w:cs="Times New Roman" w:eastAsia="Times New Roman" w:hAnsi="Times New Roman"/>
          <w:sz w:val="12"/>
          <w:szCs w:val="12"/>
          <w:b w:val="1"/>
          <w:bCs w:val="1"/>
          <w:i w:val="1"/>
          <w:iCs w:val="1"/>
          <w:color w:val="auto"/>
        </w:rPr>
        <w:t>Optional Conversion</w:t>
      </w:r>
      <w:r>
        <w:rPr>
          <w:rFonts w:ascii="Times New Roman" w:cs="Times New Roman" w:eastAsia="Times New Roman" w:hAnsi="Times New Roman"/>
          <w:sz w:val="12"/>
          <w:szCs w:val="12"/>
          <w:color w:val="auto"/>
        </w:rPr>
        <w:t xml:space="preserve">”). Holders shall effect conversions by providing the Corporation with the form of conversion notice attached hereto as </w:t>
      </w:r>
      <w:r>
        <w:rPr>
          <w:rFonts w:ascii="Times New Roman" w:cs="Times New Roman" w:eastAsia="Times New Roman" w:hAnsi="Times New Roman"/>
          <w:sz w:val="12"/>
          <w:szCs w:val="12"/>
          <w:b w:val="1"/>
          <w:bCs w:val="1"/>
          <w:u w:val="single" w:color="auto"/>
          <w:color w:val="auto"/>
        </w:rPr>
        <w:t>Annex A</w:t>
      </w:r>
      <w:r>
        <w:rPr>
          <w:rFonts w:ascii="Times New Roman" w:cs="Times New Roman" w:eastAsia="Times New Roman" w:hAnsi="Times New Roman"/>
          <w:sz w:val="12"/>
          <w:szCs w:val="12"/>
          <w:color w:val="auto"/>
        </w:rPr>
        <w:t xml:space="preserve"> (a “</w:t>
      </w:r>
      <w:r>
        <w:rPr>
          <w:rFonts w:ascii="Times New Roman" w:cs="Times New Roman" w:eastAsia="Times New Roman" w:hAnsi="Times New Roman"/>
          <w:sz w:val="12"/>
          <w:szCs w:val="12"/>
          <w:b w:val="1"/>
          <w:bCs w:val="1"/>
          <w:i w:val="1"/>
          <w:iCs w:val="1"/>
          <w:color w:val="auto"/>
        </w:rPr>
        <w:t>Notice of Conversion</w:t>
      </w:r>
      <w:r>
        <w:rPr>
          <w:rFonts w:ascii="Times New Roman" w:cs="Times New Roman" w:eastAsia="Times New Roman" w:hAnsi="Times New Roman"/>
          <w:sz w:val="12"/>
          <w:szCs w:val="12"/>
          <w:color w:val="auto"/>
        </w:rPr>
        <w:t>”), duly completed and executed. Provided the Corporation’s transfer agent is participating in the Depository Trust Company (“</w:t>
      </w:r>
      <w:r>
        <w:rPr>
          <w:rFonts w:ascii="Times New Roman" w:cs="Times New Roman" w:eastAsia="Times New Roman" w:hAnsi="Times New Roman"/>
          <w:sz w:val="12"/>
          <w:szCs w:val="12"/>
          <w:b w:val="1"/>
          <w:bCs w:val="1"/>
          <w:i w:val="1"/>
          <w:iCs w:val="1"/>
          <w:color w:val="auto"/>
        </w:rPr>
        <w:t>DTC</w:t>
      </w:r>
      <w:r>
        <w:rPr>
          <w:rFonts w:ascii="Times New Roman" w:cs="Times New Roman" w:eastAsia="Times New Roman" w:hAnsi="Times New Roman"/>
          <w:sz w:val="12"/>
          <w:szCs w:val="12"/>
          <w:color w:val="auto"/>
        </w:rPr>
        <w:t>”) Fast Automated Securities Transfer program, the Notice of Conversion may specify, at the Holder’s election, whether the applicable Conversion Shares shall be credited to the account of the Holder’s prime broker with DTC through its Deposit Withdrawal Agent Commission (“</w:t>
      </w:r>
      <w:r>
        <w:rPr>
          <w:rFonts w:ascii="Times New Roman" w:cs="Times New Roman" w:eastAsia="Times New Roman" w:hAnsi="Times New Roman"/>
          <w:sz w:val="12"/>
          <w:szCs w:val="12"/>
          <w:b w:val="1"/>
          <w:bCs w:val="1"/>
          <w:i w:val="1"/>
          <w:iCs w:val="1"/>
          <w:color w:val="auto"/>
        </w:rPr>
        <w:t>DWAC</w:t>
      </w:r>
      <w:r>
        <w:rPr>
          <w:rFonts w:ascii="Times New Roman" w:cs="Times New Roman" w:eastAsia="Times New Roman" w:hAnsi="Times New Roman"/>
          <w:sz w:val="12"/>
          <w:szCs w:val="12"/>
          <w:color w:val="auto"/>
        </w:rPr>
        <w:t>”) system (a “</w:t>
      </w:r>
      <w:r>
        <w:rPr>
          <w:rFonts w:ascii="Times New Roman" w:cs="Times New Roman" w:eastAsia="Times New Roman" w:hAnsi="Times New Roman"/>
          <w:sz w:val="12"/>
          <w:szCs w:val="12"/>
          <w:b w:val="1"/>
          <w:bCs w:val="1"/>
          <w:i w:val="1"/>
          <w:iCs w:val="1"/>
          <w:color w:val="auto"/>
        </w:rPr>
        <w:t>DWAC Delivery</w:t>
      </w:r>
      <w:r>
        <w:rPr>
          <w:rFonts w:ascii="Times New Roman" w:cs="Times New Roman" w:eastAsia="Times New Roman" w:hAnsi="Times New Roman"/>
          <w:sz w:val="12"/>
          <w:szCs w:val="12"/>
          <w:color w:val="auto"/>
        </w:rPr>
        <w:t>”). The date on which an Optional Conversion shall be deemed effective (the “</w:t>
      </w:r>
      <w:r>
        <w:rPr>
          <w:rFonts w:ascii="Times New Roman" w:cs="Times New Roman" w:eastAsia="Times New Roman" w:hAnsi="Times New Roman"/>
          <w:sz w:val="12"/>
          <w:szCs w:val="12"/>
          <w:b w:val="1"/>
          <w:bCs w:val="1"/>
          <w:i w:val="1"/>
          <w:iCs w:val="1"/>
          <w:color w:val="auto"/>
        </w:rPr>
        <w:t>Optional Conversion Date</w:t>
      </w:r>
      <w:r>
        <w:rPr>
          <w:rFonts w:ascii="Times New Roman" w:cs="Times New Roman" w:eastAsia="Times New Roman" w:hAnsi="Times New Roman"/>
          <w:sz w:val="12"/>
          <w:szCs w:val="12"/>
          <w:color w:val="auto"/>
        </w:rPr>
        <w:t>”) shall be the Trading Day that the Notice of Conversion, completed and executed, is sent via email to, and received during regular business hours by, the Corporation. The calculations set forth in the Notice of Conversion shall control in the absence of manifest or mathematical error.</w:t>
      </w:r>
    </w:p>
    <w:p>
      <w:pPr>
        <w:spacing w:after="0" w:line="124" w:lineRule="exact"/>
        <w:rPr>
          <w:sz w:val="20"/>
          <w:szCs w:val="20"/>
          <w:color w:val="auto"/>
        </w:rPr>
      </w:pPr>
    </w:p>
    <w:p>
      <w:pPr>
        <w:ind w:left="8" w:right="40" w:firstLine="955"/>
        <w:spacing w:after="0" w:line="286" w:lineRule="auto"/>
        <w:rPr>
          <w:sz w:val="20"/>
          <w:szCs w:val="20"/>
          <w:color w:val="auto"/>
        </w:rPr>
      </w:pPr>
      <w:r>
        <w:rPr>
          <w:rFonts w:ascii="Times New Roman" w:cs="Times New Roman" w:eastAsia="Times New Roman" w:hAnsi="Times New Roman"/>
          <w:sz w:val="12"/>
          <w:szCs w:val="12"/>
          <w:color w:val="auto"/>
        </w:rPr>
        <w:t xml:space="preserve">6.3 </w:t>
      </w:r>
      <w:r>
        <w:rPr>
          <w:rFonts w:ascii="Times New Roman" w:cs="Times New Roman" w:eastAsia="Times New Roman" w:hAnsi="Times New Roman"/>
          <w:sz w:val="12"/>
          <w:szCs w:val="12"/>
          <w:u w:val="single" w:color="auto"/>
          <w:color w:val="auto"/>
        </w:rPr>
        <w:t>Conversion Ratio</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i w:val="1"/>
          <w:iCs w:val="1"/>
          <w:color w:val="auto"/>
        </w:rPr>
        <w:t>Conversion Ratio</w:t>
      </w:r>
      <w:r>
        <w:rPr>
          <w:rFonts w:ascii="Times New Roman" w:cs="Times New Roman" w:eastAsia="Times New Roman" w:hAnsi="Times New Roman"/>
          <w:sz w:val="12"/>
          <w:szCs w:val="12"/>
          <w:color w:val="auto"/>
        </w:rPr>
        <w:t>” for each share of Series B Non-Voting Preferred Stock shall be one share of Common Stock issuable upon the conversion (the “</w:t>
      </w:r>
      <w:r>
        <w:rPr>
          <w:rFonts w:ascii="Times New Roman" w:cs="Times New Roman" w:eastAsia="Times New Roman" w:hAnsi="Times New Roman"/>
          <w:sz w:val="12"/>
          <w:szCs w:val="12"/>
          <w:b w:val="1"/>
          <w:bCs w:val="1"/>
          <w:i w:val="1"/>
          <w:iCs w:val="1"/>
          <w:color w:val="auto"/>
        </w:rPr>
        <w:t>Conversion</w:t>
      </w:r>
      <w:r>
        <w:rPr>
          <w:rFonts w:ascii="Times New Roman" w:cs="Times New Roman" w:eastAsia="Times New Roman" w:hAnsi="Times New Roman"/>
          <w:sz w:val="12"/>
          <w:szCs w:val="12"/>
          <w:color w:val="auto"/>
        </w:rPr>
        <w:t>”) of each share of Series B Non-Voting Preferred Stock (corresponding to a ratio of 1:1), subject to adjustment as provided herein.</w:t>
      </w:r>
    </w:p>
    <w:p>
      <w:pPr>
        <w:spacing w:after="0" w:line="107" w:lineRule="exact"/>
        <w:rPr>
          <w:sz w:val="20"/>
          <w:szCs w:val="20"/>
          <w:color w:val="auto"/>
        </w:rPr>
      </w:pPr>
    </w:p>
    <w:p>
      <w:pPr>
        <w:ind w:left="8" w:firstLine="955"/>
        <w:spacing w:after="0" w:line="274" w:lineRule="auto"/>
        <w:rPr>
          <w:sz w:val="20"/>
          <w:szCs w:val="20"/>
          <w:color w:val="auto"/>
        </w:rPr>
      </w:pPr>
      <w:r>
        <w:rPr>
          <w:rFonts w:ascii="Times New Roman" w:cs="Times New Roman" w:eastAsia="Times New Roman" w:hAnsi="Times New Roman"/>
          <w:sz w:val="11"/>
          <w:szCs w:val="11"/>
          <w:color w:val="auto"/>
        </w:rPr>
        <w:t xml:space="preserve">6.4 </w:t>
      </w:r>
      <w:r>
        <w:rPr>
          <w:rFonts w:ascii="Times New Roman" w:cs="Times New Roman" w:eastAsia="Times New Roman" w:hAnsi="Times New Roman"/>
          <w:sz w:val="11"/>
          <w:szCs w:val="11"/>
          <w:u w:val="single" w:color="auto"/>
          <w:color w:val="auto"/>
        </w:rPr>
        <w:t>Beneficial Ownership Limitation</w:t>
      </w:r>
      <w:r>
        <w:rPr>
          <w:rFonts w:ascii="Times New Roman" w:cs="Times New Roman" w:eastAsia="Times New Roman" w:hAnsi="Times New Roman"/>
          <w:sz w:val="11"/>
          <w:szCs w:val="11"/>
          <w:color w:val="auto"/>
        </w:rPr>
        <w:t xml:space="preserve">. Notwithstanding anything herein to the contrary, the Corporation shall not effect any conversion of any share of Series B Non-Voting Preferred Stock, including pursuant to </w:t>
      </w:r>
      <w:r>
        <w:rPr>
          <w:rFonts w:ascii="Times New Roman" w:cs="Times New Roman" w:eastAsia="Times New Roman" w:hAnsi="Times New Roman"/>
          <w:sz w:val="11"/>
          <w:szCs w:val="11"/>
          <w:u w:val="single" w:color="auto"/>
          <w:color w:val="auto"/>
        </w:rPr>
        <w:t>Section 6.1</w:t>
      </w:r>
      <w:r>
        <w:rPr>
          <w:rFonts w:ascii="Times New Roman" w:cs="Times New Roman" w:eastAsia="Times New Roman" w:hAnsi="Times New Roman"/>
          <w:sz w:val="11"/>
          <w:szCs w:val="11"/>
          <w:color w:val="auto"/>
        </w:rPr>
        <w:t xml:space="preserve">, and a Holder shall not have the right to convert any portion of the Series B Non-Voting Preferred Stock pursuant to </w:t>
      </w:r>
      <w:r>
        <w:rPr>
          <w:rFonts w:ascii="Times New Roman" w:cs="Times New Roman" w:eastAsia="Times New Roman" w:hAnsi="Times New Roman"/>
          <w:sz w:val="11"/>
          <w:szCs w:val="11"/>
          <w:u w:val="single" w:color="auto"/>
          <w:color w:val="auto"/>
        </w:rPr>
        <w:t>Section 6.2</w:t>
      </w:r>
      <w:r>
        <w:rPr>
          <w:rFonts w:ascii="Times New Roman" w:cs="Times New Roman" w:eastAsia="Times New Roman" w:hAnsi="Times New Roman"/>
          <w:sz w:val="11"/>
          <w:szCs w:val="11"/>
          <w:color w:val="auto"/>
        </w:rPr>
        <w:t>, to the extent that, after giving effect to an attempted conversion set forth on an applicable Notice of Conversion with respect to the Series B Non-Voting Preferred Stock, such Holder (or any of such Holder’s Affiliates or any other Person who would be a beneficial owner of Common Stock beneficially owned by the Holder for purposes of Section 13(d) or Section 16 of the Exchange Act and the applicable rules and regulations of the Commission, including any “group” of which the Holder is a member (the foregoing, “</w:t>
      </w:r>
      <w:r>
        <w:rPr>
          <w:rFonts w:ascii="Times New Roman" w:cs="Times New Roman" w:eastAsia="Times New Roman" w:hAnsi="Times New Roman"/>
          <w:sz w:val="11"/>
          <w:szCs w:val="11"/>
          <w:b w:val="1"/>
          <w:bCs w:val="1"/>
          <w:i w:val="1"/>
          <w:iCs w:val="1"/>
          <w:color w:val="auto"/>
        </w:rPr>
        <w:t>Attribution Parties</w:t>
      </w:r>
      <w:r>
        <w:rPr>
          <w:rFonts w:ascii="Times New Roman" w:cs="Times New Roman" w:eastAsia="Times New Roman" w:hAnsi="Times New Roman"/>
          <w:sz w:val="11"/>
          <w:szCs w:val="11"/>
          <w:color w:val="auto"/>
        </w:rPr>
        <w:t xml:space="preserve">”)), would beneficially own a number of shares of Common Stock in excess of the Beneficial Ownership Limitation. For purposes of the foregoing sentence, the aggregate number of shares of Common Stock beneficially owned by such Holder and its Attribution Parties shall include the number of shares of Common Stock issuable upon conversion of the Series B Non-Voting Preferred Stock subject to the Notice of Conversion or the Automatic Conversion, as applicable, with respect to which such determination is being made, but shall exclude the number of shares of Common Stock which are issuable upon (A) conversion of the remaining, unconverted Series B Non-Voting Preferred Stock beneficially owned by such Holder or any of its Attribution Parties, and (B) exercise or conversion of the unexercised or unconverted portion of any other securities of the Corporation (including any Series A Non-Voting Preferred Stock or 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Times New Roman" w:cs="Times New Roman" w:eastAsia="Times New Roman" w:hAnsi="Times New Roman"/>
          <w:sz w:val="11"/>
          <w:szCs w:val="11"/>
          <w:u w:val="single" w:color="auto"/>
          <w:color w:val="auto"/>
        </w:rPr>
        <w:t>Section 6.4</w:t>
      </w:r>
      <w:r>
        <w:rPr>
          <w:rFonts w:ascii="Times New Roman" w:cs="Times New Roman" w:eastAsia="Times New Roman" w:hAnsi="Times New Roman"/>
          <w:sz w:val="11"/>
          <w:szCs w:val="11"/>
          <w:color w:val="auto"/>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cs="Times New Roman" w:eastAsia="Times New Roman" w:hAnsi="Times New Roman"/>
          <w:sz w:val="11"/>
          <w:szCs w:val="11"/>
          <w:u w:val="single" w:color="auto"/>
          <w:color w:val="auto"/>
        </w:rPr>
        <w:t>Section 6.4</w:t>
      </w:r>
      <w:r>
        <w:rPr>
          <w:rFonts w:ascii="Times New Roman" w:cs="Times New Roman" w:eastAsia="Times New Roman" w:hAnsi="Times New Roman"/>
          <w:sz w:val="11"/>
          <w:szCs w:val="11"/>
          <w:color w:val="auto"/>
        </w:rPr>
        <w:t>, in determining the number of outstanding shares of Common Stock, a Holder may rely on the number of outstanding shares of Common Stock as stated in the most recent of the following:</w:t>
      </w:r>
    </w:p>
    <w:p>
      <w:pPr>
        <w:spacing w:after="0" w:line="6" w:lineRule="exact"/>
        <w:rPr>
          <w:sz w:val="20"/>
          <w:szCs w:val="20"/>
          <w:color w:val="auto"/>
        </w:rPr>
      </w:pPr>
    </w:p>
    <w:p>
      <w:pPr>
        <w:ind w:left="8" w:right="20" w:hanging="8"/>
        <w:spacing w:after="0" w:line="273" w:lineRule="auto"/>
        <w:tabs>
          <w:tab w:leader="none" w:pos="205"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Corporation’s most recent periodic or annual filing with the Commission, as the case may be, (B) a more recent public announcement by the Corporation that is filed with the Commission, or (C) a more recent notice by the Corporation or the Corporation’s transfer agent to the Holder setting forth the number of shares of Common Stock then outstanding. Upon the written request of a Holder (which may be by email), the Corporation shall, within two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B Non-Voting Preferred Stock, by such Holder or its Attribution Parties since the date as of which such number of outstanding shares of Common Stock was last publicly reported or confirmed to the Holder. The “</w:t>
      </w:r>
      <w:r>
        <w:rPr>
          <w:rFonts w:ascii="Times New Roman" w:cs="Times New Roman" w:eastAsia="Times New Roman" w:hAnsi="Times New Roman"/>
          <w:sz w:val="11"/>
          <w:szCs w:val="11"/>
          <w:b w:val="1"/>
          <w:bCs w:val="1"/>
          <w:i w:val="1"/>
          <w:iCs w:val="1"/>
          <w:color w:val="auto"/>
        </w:rPr>
        <w:t>Beneficial Ownership Limitation</w:t>
      </w:r>
      <w:r>
        <w:rPr>
          <w:rFonts w:ascii="Times New Roman" w:cs="Times New Roman" w:eastAsia="Times New Roman" w:hAnsi="Times New Roman"/>
          <w:sz w:val="11"/>
          <w:szCs w:val="11"/>
          <w:color w:val="auto"/>
        </w:rPr>
        <w:t xml:space="preserve">” shall initially be set at the discretion of each Holder between 0% and 19.9% of the number of shares of the Common Stock outstanding immediately after giving effect to the issuance of shares of Common Stock pursuant to the Notice of Conversion or the Automatic Conversion, as applicable (to the extent permitted pursuant to this </w:t>
      </w:r>
      <w:r>
        <w:rPr>
          <w:rFonts w:ascii="Times New Roman" w:cs="Times New Roman" w:eastAsia="Times New Roman" w:hAnsi="Times New Roman"/>
          <w:sz w:val="11"/>
          <w:szCs w:val="11"/>
          <w:u w:val="single" w:color="auto"/>
          <w:color w:val="auto"/>
        </w:rPr>
        <w:t>Section</w:t>
      </w:r>
    </w:p>
    <w:p>
      <w:pPr>
        <w:ind w:left="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u w:val="single" w:color="auto"/>
          <w:color w:val="auto"/>
        </w:rPr>
        <w:t>6.4</w:t>
      </w:r>
      <w:r>
        <w:rPr>
          <w:rFonts w:ascii="Times New Roman" w:cs="Times New Roman" w:eastAsia="Times New Roman" w:hAnsi="Times New Roman"/>
          <w:sz w:val="12"/>
          <w:szCs w:val="12"/>
          <w:color w:val="auto"/>
        </w:rPr>
        <w:t>). The Corporation shall be entitled to rely on representations made to it by the Holder in any Notice of Conversion regarding its Beneficial Ownership Limitation. Notwithstanding the foregoing, by written notice to the Corporation,</w:t>
      </w:r>
    </w:p>
    <w:p>
      <w:pPr>
        <w:spacing w:after="0" w:line="6" w:lineRule="exact"/>
        <w:rPr>
          <w:rFonts w:ascii="Times New Roman" w:cs="Times New Roman" w:eastAsia="Times New Roman" w:hAnsi="Times New Roman"/>
          <w:sz w:val="11"/>
          <w:szCs w:val="11"/>
          <w:color w:val="auto"/>
        </w:rPr>
      </w:pPr>
    </w:p>
    <w:p>
      <w:pPr>
        <w:ind w:left="8" w:right="80"/>
        <w:spacing w:after="0" w:line="251"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 xml:space="preserve">(i) the Holder may reset the Beneficial Ownership Limitation percentage to a higher percentage, not to exceed 19.9%, which increase will not be effective until the 61st day after such written notice is delivered to the Corporation, and (ii) the Holder may reset the Beneficial Ownership Limitation percentage to a lower percentage effective immediately after the delivery of such notice to the Corporation, provided that such decrease shall not become effective until the later of (x) 5:00 p.m. Eastern time on the third Business Day after the date of the Stockholder Approval and (y) if Stockholder Approval is not obtained within six months after the initial issuance of the Series B Non-Voting Preferred Stock, the date that is three Business Days after the date that is six months after the initial issuance of the Series B Non-Voting Preferred Stock. Upon such an increase by a Holder of the Beneficial Ownership Limitation pursuant to clause (i), not to exceed 19.9%, the Beneficial Ownership Limitation may not be further increased by such Holder without first providing the minimum notice required by this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Notwithstanding the foregoing, at any time following notice of a Fundamental Transaction, the Holder may waive and/or change the Beneficial Ownership Limitation effective immediately upon written notice to the Corporation and may reinstitute a Beneficial Ownership Limitation at any time thereafter effective immediately upon written notice to the Corporation. The provisions of this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shall be construed, corrected and implemented in a manner so as to effectuate the intended Beneficial Ownership Limitation herein contained and the shares of Common Stock underlying the Series B Non-Voting Preferred Stock in excess of the Beneficial Ownership Limitation shall not be deemed to be beneficially owned by the Purchaser for any purpose including for purposes of Section 13(d) or Rule 16a-1(a)(1) of the Exchange Act.</w:t>
      </w:r>
    </w:p>
    <w:p>
      <w:pPr>
        <w:spacing w:after="0" w:line="24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0" w:name="page11"/>
    <w:bookmarkEnd w:id="10"/>
    <w:p>
      <w:pPr>
        <w:ind w:left="940"/>
        <w:spacing w:after="0"/>
        <w:rPr>
          <w:sz w:val="20"/>
          <w:szCs w:val="20"/>
          <w:color w:val="auto"/>
        </w:rPr>
      </w:pPr>
      <w:r>
        <w:rPr>
          <w:rFonts w:ascii="Times New Roman" w:cs="Times New Roman" w:eastAsia="Times New Roman" w:hAnsi="Times New Roman"/>
          <w:sz w:val="12"/>
          <w:szCs w:val="12"/>
          <w:color w:val="auto"/>
        </w:rPr>
        <w:t xml:space="preserve">6.5 </w:t>
      </w:r>
      <w:r>
        <w:rPr>
          <w:rFonts w:ascii="Times New Roman" w:cs="Times New Roman" w:eastAsia="Times New Roman" w:hAnsi="Times New Roman"/>
          <w:sz w:val="12"/>
          <w:szCs w:val="12"/>
          <w:u w:val="single" w:color="auto"/>
          <w:color w:val="auto"/>
        </w:rPr>
        <w:t>Mechanics of Conversion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60" w:firstLine="1322"/>
        <w:spacing w:after="0" w:line="257" w:lineRule="auto"/>
        <w:rPr>
          <w:sz w:val="20"/>
          <w:szCs w:val="20"/>
          <w:color w:val="auto"/>
        </w:rPr>
      </w:pPr>
      <w:r>
        <w:rPr>
          <w:rFonts w:ascii="Times New Roman" w:cs="Times New Roman" w:eastAsia="Times New Roman" w:hAnsi="Times New Roman"/>
          <w:sz w:val="12"/>
          <w:szCs w:val="12"/>
          <w:color w:val="auto"/>
        </w:rPr>
        <w:t xml:space="preserve">6.5.1 </w:t>
      </w:r>
      <w:r>
        <w:rPr>
          <w:rFonts w:ascii="Times New Roman" w:cs="Times New Roman" w:eastAsia="Times New Roman" w:hAnsi="Times New Roman"/>
          <w:sz w:val="12"/>
          <w:szCs w:val="12"/>
          <w:u w:val="single" w:color="auto"/>
          <w:color w:val="auto"/>
        </w:rPr>
        <w:t>Electronic Issuance</w:t>
      </w:r>
      <w:r>
        <w:rPr>
          <w:rFonts w:ascii="Times New Roman" w:cs="Times New Roman" w:eastAsia="Times New Roman" w:hAnsi="Times New Roman"/>
          <w:sz w:val="12"/>
          <w:szCs w:val="12"/>
          <w:color w:val="auto"/>
        </w:rPr>
        <w:t>. Upon Conversion not later than three Trading Days after, in the case of the Automatic Conversion, the Stockholder Approval, or in the case of an Optional Conversion, the Optional Conversion Date (the “</w:t>
      </w:r>
      <w:r>
        <w:rPr>
          <w:rFonts w:ascii="Times New Roman" w:cs="Times New Roman" w:eastAsia="Times New Roman" w:hAnsi="Times New Roman"/>
          <w:sz w:val="12"/>
          <w:szCs w:val="12"/>
          <w:b w:val="1"/>
          <w:bCs w:val="1"/>
          <w:i w:val="1"/>
          <w:iCs w:val="1"/>
          <w:color w:val="auto"/>
        </w:rPr>
        <w:t>Share Delivery Date</w:t>
      </w:r>
      <w:r>
        <w:rPr>
          <w:rFonts w:ascii="Times New Roman" w:cs="Times New Roman" w:eastAsia="Times New Roman" w:hAnsi="Times New Roman"/>
          <w:sz w:val="12"/>
          <w:szCs w:val="12"/>
          <w:color w:val="auto"/>
        </w:rPr>
        <w:t>”), the Corporation shall electronically transfer such Conversion Shares by crediting the account of the Holder’s prime broker with DTC through its DWAC system. If, in the case of any Notice of Conversion such shares are not electronically delivered to or as directed by, the applicable Holder by the Share Delivery Date, the applicable Holder shall be entitled to elect to rescind such Notice of Conversion by written notice to the Corporation at any time on or before electronic receipt of such shares, in which event such Holder shall direct the return of any shares of Common Stock delivered to the Holder through the DWAC system, representing the shares of Series B Non-Voting Preferred Stock unsuccessfully tendered for conversion to the Corporation.</w:t>
      </w:r>
    </w:p>
    <w:p>
      <w:pPr>
        <w:spacing w:after="0" w:line="125" w:lineRule="exact"/>
        <w:rPr>
          <w:sz w:val="20"/>
          <w:szCs w:val="20"/>
          <w:color w:val="auto"/>
        </w:rPr>
      </w:pPr>
    </w:p>
    <w:p>
      <w:pPr>
        <w:ind w:firstLine="1322"/>
        <w:spacing w:after="0" w:line="253" w:lineRule="auto"/>
        <w:rPr>
          <w:sz w:val="20"/>
          <w:szCs w:val="20"/>
          <w:color w:val="auto"/>
        </w:rPr>
      </w:pPr>
      <w:r>
        <w:rPr>
          <w:rFonts w:ascii="Times New Roman" w:cs="Times New Roman" w:eastAsia="Times New Roman" w:hAnsi="Times New Roman"/>
          <w:sz w:val="12"/>
          <w:szCs w:val="12"/>
          <w:color w:val="auto"/>
        </w:rPr>
        <w:t xml:space="preserve">6.5.2 </w:t>
      </w:r>
      <w:r>
        <w:rPr>
          <w:rFonts w:ascii="Times New Roman" w:cs="Times New Roman" w:eastAsia="Times New Roman" w:hAnsi="Times New Roman"/>
          <w:sz w:val="12"/>
          <w:szCs w:val="12"/>
          <w:u w:val="single" w:color="auto"/>
          <w:color w:val="auto"/>
        </w:rPr>
        <w:t>Obligation Absolute</w:t>
      </w:r>
      <w:r>
        <w:rPr>
          <w:rFonts w:ascii="Times New Roman" w:cs="Times New Roman" w:eastAsia="Times New Roman" w:hAnsi="Times New Roman"/>
          <w:sz w:val="12"/>
          <w:szCs w:val="12"/>
          <w:color w:val="auto"/>
        </w:rPr>
        <w:t xml:space="preserve">. Subject to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and subject to Holder’s right to rescind a Notice of Conversion pursuant to </w:t>
      </w:r>
      <w:r>
        <w:rPr>
          <w:rFonts w:ascii="Times New Roman" w:cs="Times New Roman" w:eastAsia="Times New Roman" w:hAnsi="Times New Roman"/>
          <w:sz w:val="12"/>
          <w:szCs w:val="12"/>
          <w:u w:val="single" w:color="auto"/>
          <w:color w:val="auto"/>
        </w:rPr>
        <w:t>Section 6.5.1</w:t>
      </w:r>
      <w:r>
        <w:rPr>
          <w:rFonts w:ascii="Times New Roman" w:cs="Times New Roman" w:eastAsia="Times New Roman" w:hAnsi="Times New Roman"/>
          <w:sz w:val="12"/>
          <w:szCs w:val="12"/>
          <w:color w:val="auto"/>
        </w:rPr>
        <w:t xml:space="preserve">, the Corporation’s obligation to issue and deliver the Conversion Shares upon conversion of Series B Non-Voting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and subject to Holder’s right to rescind a Notice of Conversion pursuant to </w:t>
      </w:r>
      <w:r>
        <w:rPr>
          <w:rFonts w:ascii="Times New Roman" w:cs="Times New Roman" w:eastAsia="Times New Roman" w:hAnsi="Times New Roman"/>
          <w:sz w:val="12"/>
          <w:szCs w:val="12"/>
          <w:u w:val="single" w:color="auto"/>
          <w:color w:val="auto"/>
        </w:rPr>
        <w:t>Section 6.5.1</w:t>
      </w:r>
      <w:r>
        <w:rPr>
          <w:rFonts w:ascii="Times New Roman" w:cs="Times New Roman" w:eastAsia="Times New Roman" w:hAnsi="Times New Roman"/>
          <w:sz w:val="12"/>
          <w:szCs w:val="12"/>
          <w:color w:val="auto"/>
        </w:rPr>
        <w:t xml:space="preserve">, in the event a Holder shall elect to convert any or all of its Series B Non-Voting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B Non-Voting Preferred Stock of such Holder shall have been sought and obtained by the Corporation, and the Corporation posts a surety bond for the benefit of such Holder in the amount of 150% of the value of the Conversion Shares into which would be converted the Series B Non-Voting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and subject to Holder’s right to rescind a Notice of Conversion pursuant to </w:t>
      </w:r>
      <w:r>
        <w:rPr>
          <w:rFonts w:ascii="Times New Roman" w:cs="Times New Roman" w:eastAsia="Times New Roman" w:hAnsi="Times New Roman"/>
          <w:sz w:val="12"/>
          <w:szCs w:val="12"/>
          <w:u w:val="single" w:color="auto"/>
          <w:color w:val="auto"/>
        </w:rPr>
        <w:t>Section 6.5.1</w:t>
      </w:r>
      <w:r>
        <w:rPr>
          <w:rFonts w:ascii="Times New Roman" w:cs="Times New Roman" w:eastAsia="Times New Roman" w:hAnsi="Times New Roman"/>
          <w:sz w:val="12"/>
          <w:szCs w:val="12"/>
          <w:color w:val="auto"/>
        </w:rPr>
        <w:t>, issue Conversion Shares upon a properly noticed conversion.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 w:name="page12"/>
    <w:bookmarkEnd w:id="11"/>
    <w:p>
      <w:pPr>
        <w:ind w:firstLine="1322"/>
        <w:spacing w:after="0" w:line="254" w:lineRule="auto"/>
        <w:rPr>
          <w:sz w:val="20"/>
          <w:szCs w:val="20"/>
          <w:color w:val="auto"/>
        </w:rPr>
      </w:pPr>
      <w:r>
        <w:rPr>
          <w:rFonts w:ascii="Times New Roman" w:cs="Times New Roman" w:eastAsia="Times New Roman" w:hAnsi="Times New Roman"/>
          <w:sz w:val="12"/>
          <w:szCs w:val="12"/>
          <w:color w:val="auto"/>
        </w:rPr>
        <w:t xml:space="preserve">6.5.3 </w:t>
      </w:r>
      <w:r>
        <w:rPr>
          <w:rFonts w:ascii="Times New Roman" w:cs="Times New Roman" w:eastAsia="Times New Roman" w:hAnsi="Times New Roman"/>
          <w:sz w:val="12"/>
          <w:szCs w:val="12"/>
          <w:u w:val="single" w:color="auto"/>
          <w:color w:val="auto"/>
        </w:rPr>
        <w:t>Cash Settlement</w:t>
      </w:r>
      <w:r>
        <w:rPr>
          <w:rFonts w:ascii="Times New Roman" w:cs="Times New Roman" w:eastAsia="Times New Roman" w:hAnsi="Times New Roman"/>
          <w:sz w:val="12"/>
          <w:szCs w:val="12"/>
          <w:color w:val="auto"/>
        </w:rPr>
        <w:t xml:space="preserve">. If, at any time after the Stockholder Approval, the Corporation fails to electronically deliver (or cause its transfer agent to electronically deliver) such shares pursuant to </w:t>
      </w:r>
      <w:r>
        <w:rPr>
          <w:rFonts w:ascii="Times New Roman" w:cs="Times New Roman" w:eastAsia="Times New Roman" w:hAnsi="Times New Roman"/>
          <w:sz w:val="12"/>
          <w:szCs w:val="12"/>
          <w:u w:val="single" w:color="auto"/>
          <w:color w:val="auto"/>
        </w:rPr>
        <w:t>Section 6.5.1</w:t>
      </w:r>
      <w:r>
        <w:rPr>
          <w:rFonts w:ascii="Times New Roman" w:cs="Times New Roman" w:eastAsia="Times New Roman" w:hAnsi="Times New Roman"/>
          <w:sz w:val="12"/>
          <w:szCs w:val="12"/>
          <w:color w:val="auto"/>
        </w:rPr>
        <w:t xml:space="preserve"> on or prior to the third Trading Day after the Share Delivery Date applicable to such conversion (other than due to a failure caused by (i) materially incorrect or incomplete information provided by Holder to the Corporation or (ii) the application of the Beneficial Ownership Limitation after Stockholder Approval), then, unless the Holder has rescinded the applicable Notice of Conversion pursuant to </w:t>
      </w:r>
      <w:r>
        <w:rPr>
          <w:rFonts w:ascii="Times New Roman" w:cs="Times New Roman" w:eastAsia="Times New Roman" w:hAnsi="Times New Roman"/>
          <w:sz w:val="12"/>
          <w:szCs w:val="12"/>
          <w:u w:val="single" w:color="auto"/>
          <w:color w:val="auto"/>
        </w:rPr>
        <w:t>Section 6.5.1</w:t>
      </w:r>
      <w:r>
        <w:rPr>
          <w:rFonts w:ascii="Times New Roman" w:cs="Times New Roman" w:eastAsia="Times New Roman" w:hAnsi="Times New Roman"/>
          <w:sz w:val="12"/>
          <w:szCs w:val="12"/>
          <w:color w:val="auto"/>
        </w:rPr>
        <w:t xml:space="preserve">, the Corporation shall, at the request of the Holder, pay an amount equal to the Fair Value of such undelivered shares, with such payment to be made within two Business Days from the date of request by the Holder, whereupon the Corporation’s obligations to deliver such shares underlying the Notice of Conversion shall be extinguished upon payment in full of the Fair Value of such undelivered shares. For purposes of this </w:t>
      </w:r>
      <w:r>
        <w:rPr>
          <w:rFonts w:ascii="Times New Roman" w:cs="Times New Roman" w:eastAsia="Times New Roman" w:hAnsi="Times New Roman"/>
          <w:sz w:val="12"/>
          <w:szCs w:val="12"/>
          <w:u w:val="single" w:color="auto"/>
          <w:color w:val="auto"/>
        </w:rPr>
        <w:t>Section 6.5.3</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i w:val="1"/>
          <w:iCs w:val="1"/>
          <w:color w:val="auto"/>
        </w:rPr>
        <w:t>Fair Value</w:t>
      </w:r>
      <w:r>
        <w:rPr>
          <w:rFonts w:ascii="Times New Roman" w:cs="Times New Roman" w:eastAsia="Times New Roman" w:hAnsi="Times New Roman"/>
          <w:sz w:val="12"/>
          <w:szCs w:val="12"/>
          <w:color w:val="auto"/>
        </w:rPr>
        <w:t xml:space="preserve">” of shares shall be fixed with reference to the last reported Closing Sale Price on the principal Trading Market on which the Common Stock is listed as of the Trading Day immediately prior to the date on which the Notice of Conversion is delivered to the Corporation. For the avoidance of doubt, the cash settlement provisions set forth in this </w:t>
      </w:r>
      <w:r>
        <w:rPr>
          <w:rFonts w:ascii="Times New Roman" w:cs="Times New Roman" w:eastAsia="Times New Roman" w:hAnsi="Times New Roman"/>
          <w:sz w:val="12"/>
          <w:szCs w:val="12"/>
          <w:u w:val="single" w:color="auto"/>
          <w:color w:val="auto"/>
        </w:rPr>
        <w:t>Section 6.5.3</w:t>
      </w:r>
      <w:r>
        <w:rPr>
          <w:rFonts w:ascii="Times New Roman" w:cs="Times New Roman" w:eastAsia="Times New Roman" w:hAnsi="Times New Roman"/>
          <w:sz w:val="12"/>
          <w:szCs w:val="12"/>
          <w:color w:val="auto"/>
        </w:rPr>
        <w:t xml:space="preserve"> shall be available irrespective of the reason for the Corporation’s failure to timely deliver Conversion Shares (other than a failure caused by (i) materially incorrect or incomplete information provided by Holder to the Corporation or (ii) the application of the Beneficial Ownership Limitation after Stockholder Approval), including due to limitations set forth in </w:t>
      </w:r>
      <w:r>
        <w:rPr>
          <w:rFonts w:ascii="Times New Roman" w:cs="Times New Roman" w:eastAsia="Times New Roman" w:hAnsi="Times New Roman"/>
          <w:sz w:val="12"/>
          <w:szCs w:val="12"/>
          <w:u w:val="single" w:color="auto"/>
          <w:color w:val="auto"/>
        </w:rPr>
        <w:t>Section 6.5.6</w:t>
      </w:r>
      <w:r>
        <w:rPr>
          <w:rFonts w:ascii="Times New Roman" w:cs="Times New Roman" w:eastAsia="Times New Roman" w:hAnsi="Times New Roman"/>
          <w:sz w:val="12"/>
          <w:szCs w:val="12"/>
          <w:color w:val="auto"/>
        </w:rPr>
        <w:t>, the lack of obtaining Stockholder Approval, or due to applicable Trading Market rules.</w:t>
      </w:r>
    </w:p>
    <w:p>
      <w:pPr>
        <w:spacing w:after="0" w:line="126" w:lineRule="exact"/>
        <w:rPr>
          <w:sz w:val="20"/>
          <w:szCs w:val="20"/>
          <w:color w:val="auto"/>
        </w:rPr>
      </w:pPr>
    </w:p>
    <w:p>
      <w:pPr>
        <w:ind w:firstLine="1322"/>
        <w:spacing w:after="0" w:line="252" w:lineRule="auto"/>
        <w:rPr>
          <w:sz w:val="20"/>
          <w:szCs w:val="20"/>
          <w:color w:val="auto"/>
        </w:rPr>
      </w:pPr>
      <w:r>
        <w:rPr>
          <w:rFonts w:ascii="Times New Roman" w:cs="Times New Roman" w:eastAsia="Times New Roman" w:hAnsi="Times New Roman"/>
          <w:sz w:val="12"/>
          <w:szCs w:val="12"/>
          <w:color w:val="auto"/>
        </w:rPr>
        <w:t xml:space="preserve">6.5.4 </w:t>
      </w:r>
      <w:r>
        <w:rPr>
          <w:rFonts w:ascii="Times New Roman" w:cs="Times New Roman" w:eastAsia="Times New Roman" w:hAnsi="Times New Roman"/>
          <w:sz w:val="12"/>
          <w:szCs w:val="12"/>
          <w:u w:val="single" w:color="auto"/>
          <w:color w:val="auto"/>
        </w:rPr>
        <w:t>Buy-In on Failure to Timely Deliver Certificates</w:t>
      </w:r>
      <w:r>
        <w:rPr>
          <w:rFonts w:ascii="Times New Roman" w:cs="Times New Roman" w:eastAsia="Times New Roman" w:hAnsi="Times New Roman"/>
          <w:sz w:val="12"/>
          <w:szCs w:val="12"/>
          <w:color w:val="auto"/>
        </w:rPr>
        <w:t xml:space="preserve">. If, after obtaining the Stockholder Approval, the Corporation fails to effect a DWAC Delivery by the Share Delivery Date pursuant to </w:t>
      </w:r>
      <w:r>
        <w:rPr>
          <w:rFonts w:ascii="Times New Roman" w:cs="Times New Roman" w:eastAsia="Times New Roman" w:hAnsi="Times New Roman"/>
          <w:sz w:val="12"/>
          <w:szCs w:val="12"/>
          <w:u w:val="single" w:color="auto"/>
          <w:color w:val="auto"/>
        </w:rPr>
        <w:t>Section 6.5.1</w:t>
      </w:r>
      <w:r>
        <w:rPr>
          <w:rFonts w:ascii="Times New Roman" w:cs="Times New Roman" w:eastAsia="Times New Roman" w:hAnsi="Times New Roman"/>
          <w:sz w:val="12"/>
          <w:szCs w:val="12"/>
          <w:color w:val="auto"/>
        </w:rPr>
        <w:t xml:space="preserve"> (other than due to a failure caused by materially incorrect or incomplete information provided by Holder to the Corporation or the application of the Beneficial Ownership Limitation after Stockholder Approval),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cs="Times New Roman" w:eastAsia="Times New Roman" w:hAnsi="Times New Roman"/>
          <w:sz w:val="12"/>
          <w:szCs w:val="12"/>
          <w:b w:val="1"/>
          <w:bCs w:val="1"/>
          <w:i w:val="1"/>
          <w:iCs w:val="1"/>
          <w:color w:val="auto"/>
        </w:rPr>
        <w:t>Buy-In</w:t>
      </w:r>
      <w:r>
        <w:rPr>
          <w:rFonts w:ascii="Times New Roman" w:cs="Times New Roman" w:eastAsia="Times New Roman" w:hAnsi="Times New Roman"/>
          <w:sz w:val="12"/>
          <w:szCs w:val="12"/>
          <w:color w:val="auto"/>
        </w:rPr>
        <w:t xml:space="preserve">”), then the Corporation shall (A) pay in cash to such Holder (in addition to any 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B Non-Voting Preferred Stock equal to the number of shares of Series B Non-Voting Preferred Stock submitted for conversion or deliver to such Holder the number of shares of Common Stock that would have been issued if the Corporation had timely complied with its delivery requirements under </w:t>
      </w:r>
      <w:r>
        <w:rPr>
          <w:rFonts w:ascii="Times New Roman" w:cs="Times New Roman" w:eastAsia="Times New Roman" w:hAnsi="Times New Roman"/>
          <w:sz w:val="12"/>
          <w:szCs w:val="12"/>
          <w:u w:val="single" w:color="auto"/>
          <w:color w:val="auto"/>
        </w:rPr>
        <w:t>Section 6.5.1</w:t>
      </w:r>
      <w:r>
        <w:rPr>
          <w:rFonts w:ascii="Times New Roman" w:cs="Times New Roman" w:eastAsia="Times New Roman" w:hAnsi="Times New Roman"/>
          <w:sz w:val="12"/>
          <w:szCs w:val="12"/>
          <w:color w:val="auto"/>
        </w:rPr>
        <w:t xml:space="preserve">. For example, if a Holder purchases shares of Common Stock having a total purchase price of $11,000 to cover a Buy-In with respect to an attempted conversion of shares of Series B Non-Voting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Trading Days after the occurrence of a Buy-In, indicating the amounts payable to 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shares of Common Stock upon conversion of the shares of Series B Non-Voting Preferred Stock as required pursuant to the terms hereof or the cash settlement remedy set forth in </w:t>
      </w:r>
      <w:r>
        <w:rPr>
          <w:rFonts w:ascii="Times New Roman" w:cs="Times New Roman" w:eastAsia="Times New Roman" w:hAnsi="Times New Roman"/>
          <w:sz w:val="12"/>
          <w:szCs w:val="12"/>
          <w:u w:val="single" w:color="auto"/>
          <w:color w:val="auto"/>
        </w:rPr>
        <w:t>Section 6.5.3</w:t>
      </w:r>
      <w:r>
        <w:rPr>
          <w:rFonts w:ascii="Times New Roman" w:cs="Times New Roman" w:eastAsia="Times New Roman" w:hAnsi="Times New Roman"/>
          <w:sz w:val="12"/>
          <w:szCs w:val="12"/>
          <w:color w:val="auto"/>
        </w:rPr>
        <w:t xml:space="preserve">; provided, however, that the Holder shall not be entitled to both (i) require the reissuance of the shares of Series B Non-Voting Preferred Stock submitted for conversion for which such conversion was not timely honored and (ii) receive the number of shares of Common Stock that would have been issued if the Corporation had timely complied with its delivery requirements under </w:t>
      </w:r>
      <w:r>
        <w:rPr>
          <w:rFonts w:ascii="Times New Roman" w:cs="Times New Roman" w:eastAsia="Times New Roman" w:hAnsi="Times New Roman"/>
          <w:sz w:val="12"/>
          <w:szCs w:val="12"/>
          <w:u w:val="single" w:color="auto"/>
          <w:color w:val="auto"/>
        </w:rPr>
        <w:t>Section 6.5.1</w:t>
      </w:r>
      <w:r>
        <w:rPr>
          <w:rFonts w:ascii="Times New Roman" w:cs="Times New Roman" w:eastAsia="Times New Roman" w:hAnsi="Times New Roman"/>
          <w:sz w:val="12"/>
          <w:szCs w:val="12"/>
          <w:color w:val="auto"/>
        </w:rPr>
        <w:t>.</w:t>
      </w:r>
    </w:p>
    <w:p>
      <w:pPr>
        <w:spacing w:after="0" w:line="131" w:lineRule="exact"/>
        <w:rPr>
          <w:sz w:val="20"/>
          <w:szCs w:val="20"/>
          <w:color w:val="auto"/>
        </w:rPr>
      </w:pPr>
    </w:p>
    <w:p>
      <w:pPr>
        <w:ind w:right="40" w:firstLine="1322"/>
        <w:spacing w:after="0" w:line="260" w:lineRule="auto"/>
        <w:rPr>
          <w:sz w:val="20"/>
          <w:szCs w:val="20"/>
          <w:color w:val="auto"/>
        </w:rPr>
      </w:pPr>
      <w:r>
        <w:rPr>
          <w:rFonts w:ascii="Times New Roman" w:cs="Times New Roman" w:eastAsia="Times New Roman" w:hAnsi="Times New Roman"/>
          <w:sz w:val="12"/>
          <w:szCs w:val="12"/>
          <w:color w:val="auto"/>
        </w:rPr>
        <w:t xml:space="preserve">6.5.5 </w:t>
      </w:r>
      <w:r>
        <w:rPr>
          <w:rFonts w:ascii="Times New Roman" w:cs="Times New Roman" w:eastAsia="Times New Roman" w:hAnsi="Times New Roman"/>
          <w:sz w:val="12"/>
          <w:szCs w:val="12"/>
          <w:u w:val="single" w:color="auto"/>
          <w:color w:val="auto"/>
        </w:rPr>
        <w:t>Reservation of Shares Issuable Upon Conversion</w:t>
      </w:r>
      <w:r>
        <w:rPr>
          <w:rFonts w:ascii="Times New Roman" w:cs="Times New Roman" w:eastAsia="Times New Roman" w:hAnsi="Times New Roman"/>
          <w:sz w:val="12"/>
          <w:szCs w:val="12"/>
          <w:color w:val="auto"/>
        </w:rPr>
        <w:t xml:space="preserve">. The Corporation covenants that at all times it will reserve and keep available out of its authorized and unissued shares of Common Stock for the sole purpose of issuance upon conversion of the Series B Non-Voting Preferred Stock, free from preemptive rights or any other actual contingent purchase rights of Persons other than the Holders of the Series B Non-Voting Preferred Stock, not less than such aggregate number of shares of the Common Stock as shall be issuable (taking into account the adjustments of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upon the conversion of all outstanding shares of Series B Non-Voting Preferred Stock. The Corporation covenants that all shares of Common Stock that shall be so issuable shall, upon issue, be duly authorized, validly issued, fully paid and non-assessable.</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2" w:name="page13"/>
    <w:bookmarkEnd w:id="12"/>
    <w:p>
      <w:pPr>
        <w:ind w:right="20" w:firstLine="1322"/>
        <w:spacing w:after="0" w:line="291" w:lineRule="auto"/>
        <w:rPr>
          <w:sz w:val="20"/>
          <w:szCs w:val="20"/>
          <w:color w:val="auto"/>
        </w:rPr>
      </w:pPr>
      <w:r>
        <w:rPr>
          <w:rFonts w:ascii="Times New Roman" w:cs="Times New Roman" w:eastAsia="Times New Roman" w:hAnsi="Times New Roman"/>
          <w:sz w:val="11"/>
          <w:szCs w:val="11"/>
          <w:color w:val="auto"/>
        </w:rPr>
        <w:t xml:space="preserve">6.5.6 </w:t>
      </w:r>
      <w:r>
        <w:rPr>
          <w:rFonts w:ascii="Times New Roman" w:cs="Times New Roman" w:eastAsia="Times New Roman" w:hAnsi="Times New Roman"/>
          <w:sz w:val="11"/>
          <w:szCs w:val="11"/>
          <w:u w:val="single" w:color="auto"/>
          <w:color w:val="auto"/>
        </w:rPr>
        <w:t>Fractional Shares</w:t>
      </w:r>
      <w:r>
        <w:rPr>
          <w:rFonts w:ascii="Times New Roman" w:cs="Times New Roman" w:eastAsia="Times New Roman" w:hAnsi="Times New Roman"/>
          <w:sz w:val="11"/>
          <w:szCs w:val="11"/>
          <w:color w:val="auto"/>
        </w:rPr>
        <w:t>. No fractional shares of Common Stock shall be issued upon conversion of the Series B Non-Voting Preferred Stock, no certificates or scrip for any such fractional shares shall be issued and no cash shall be paid for any such fractional shares. Any fractional shares of Common Stock that a Holder of Series B Non-Voting Preferred Stock would otherwise be entitled to receive shall be aggregated with all fractional shares of Common Stock issuable to such Holder and any remaining fractional shares shall be rounded down to the nearest whole share. Whether or not fractional shares would be issuable upon such conversion shall be determined on the basis of the total number of shares of Series B Non-Voting Preferred Stock the Holder is at the time converting into Common Stock and the aggregate number of shares of Common Stock issuable upon such conversion.</w:t>
      </w:r>
    </w:p>
    <w:p>
      <w:pPr>
        <w:spacing w:after="0" w:line="107" w:lineRule="exact"/>
        <w:rPr>
          <w:sz w:val="20"/>
          <w:szCs w:val="20"/>
          <w:color w:val="auto"/>
        </w:rPr>
      </w:pPr>
    </w:p>
    <w:p>
      <w:pPr>
        <w:ind w:firstLine="1322"/>
        <w:spacing w:after="0" w:line="260" w:lineRule="auto"/>
        <w:rPr>
          <w:sz w:val="20"/>
          <w:szCs w:val="20"/>
          <w:color w:val="auto"/>
        </w:rPr>
      </w:pPr>
      <w:r>
        <w:rPr>
          <w:rFonts w:ascii="Times New Roman" w:cs="Times New Roman" w:eastAsia="Times New Roman" w:hAnsi="Times New Roman"/>
          <w:sz w:val="12"/>
          <w:szCs w:val="12"/>
          <w:color w:val="auto"/>
        </w:rPr>
        <w:t xml:space="preserve">6.5.7 </w:t>
      </w:r>
      <w:r>
        <w:rPr>
          <w:rFonts w:ascii="Times New Roman" w:cs="Times New Roman" w:eastAsia="Times New Roman" w:hAnsi="Times New Roman"/>
          <w:sz w:val="12"/>
          <w:szCs w:val="12"/>
          <w:u w:val="single" w:color="auto"/>
          <w:color w:val="auto"/>
        </w:rPr>
        <w:t>Transfer Taxes</w:t>
      </w:r>
      <w:r>
        <w:rPr>
          <w:rFonts w:ascii="Times New Roman" w:cs="Times New Roman" w:eastAsia="Times New Roman" w:hAnsi="Times New Roman"/>
          <w:sz w:val="12"/>
          <w:szCs w:val="12"/>
          <w:color w:val="auto"/>
        </w:rPr>
        <w:t>. The issuance of shares of the Common Stock upon conversion of the Series B Non-Voting Preferred Stock shall be made without charge to any Holder for any documentary stamp or similar taxes that may be payable in respect of the issue or delivery of such shares, provided that the Corporation shall not be required to pay any tax that may be payable in respect of any transfer involved in the issuance and delivery of any such shares upon conversion in a name other than that of the registered Holder(s) of such shares of Series B Non-Voting Preferred Stock and the Corporation shall not be required to issue or deliver such shares unless or until the Person or Persons requesting the issuance thereof shall have paid to the Corporation the amount of such tax or shall have established to the satisfaction of the Corporation that such tax has been paid.</w:t>
      </w:r>
    </w:p>
    <w:p>
      <w:pPr>
        <w:spacing w:after="0" w:line="122" w:lineRule="exact"/>
        <w:rPr>
          <w:sz w:val="20"/>
          <w:szCs w:val="20"/>
          <w:color w:val="auto"/>
        </w:rPr>
      </w:pPr>
    </w:p>
    <w:p>
      <w:pPr>
        <w:ind w:right="20" w:firstLine="972"/>
        <w:spacing w:after="0" w:line="260" w:lineRule="auto"/>
        <w:rPr>
          <w:sz w:val="20"/>
          <w:szCs w:val="20"/>
          <w:color w:val="auto"/>
        </w:rPr>
      </w:pPr>
      <w:r>
        <w:rPr>
          <w:rFonts w:ascii="Times New Roman" w:cs="Times New Roman" w:eastAsia="Times New Roman" w:hAnsi="Times New Roman"/>
          <w:sz w:val="12"/>
          <w:szCs w:val="12"/>
          <w:color w:val="auto"/>
        </w:rPr>
        <w:t xml:space="preserve">6.6 </w:t>
      </w:r>
      <w:r>
        <w:rPr>
          <w:rFonts w:ascii="Times New Roman" w:cs="Times New Roman" w:eastAsia="Times New Roman" w:hAnsi="Times New Roman"/>
          <w:sz w:val="12"/>
          <w:szCs w:val="12"/>
          <w:u w:val="single" w:color="auto"/>
          <w:color w:val="auto"/>
        </w:rPr>
        <w:t>Status as Stockholder</w:t>
      </w:r>
      <w:r>
        <w:rPr>
          <w:rFonts w:ascii="Times New Roman" w:cs="Times New Roman" w:eastAsia="Times New Roman" w:hAnsi="Times New Roman"/>
          <w:sz w:val="12"/>
          <w:szCs w:val="12"/>
          <w:color w:val="auto"/>
        </w:rPr>
        <w:t>. Upon the date of conversion of the applicable shares of Series B Non-Voting Preferred Stock, (i) such shares shall be deemed converted into shares of Common Stock and (ii) the Holder’s rights as a holder of such converted shares of Series B Non-Voting Preferred Stock shall cease and terminate, excepting only the right to receive such shares of Common Stock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B Non-Voting Preferred Stock. In no event shall the Series B Non-Voting Preferred Stock convert into shares of Common Stock prior to the Stockholder Approval.</w:t>
      </w:r>
    </w:p>
    <w:p>
      <w:pPr>
        <w:spacing w:after="0" w:line="122" w:lineRule="exact"/>
        <w:rPr>
          <w:sz w:val="20"/>
          <w:szCs w:val="20"/>
          <w:color w:val="auto"/>
        </w:rPr>
      </w:pPr>
    </w:p>
    <w:p>
      <w:pPr>
        <w:ind w:left="780" w:hanging="127"/>
        <w:spacing w:after="0"/>
        <w:tabs>
          <w:tab w:leader="none" w:pos="7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Certain Adjustments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20" w:firstLine="955"/>
        <w:spacing w:after="0" w:line="255" w:lineRule="auto"/>
        <w:rPr>
          <w:sz w:val="20"/>
          <w:szCs w:val="20"/>
          <w:color w:val="auto"/>
        </w:rPr>
      </w:pPr>
      <w:r>
        <w:rPr>
          <w:rFonts w:ascii="Times New Roman" w:cs="Times New Roman" w:eastAsia="Times New Roman" w:hAnsi="Times New Roman"/>
          <w:sz w:val="12"/>
          <w:szCs w:val="12"/>
          <w:color w:val="auto"/>
        </w:rPr>
        <w:t xml:space="preserve">7.1 </w:t>
      </w:r>
      <w:r>
        <w:rPr>
          <w:rFonts w:ascii="Times New Roman" w:cs="Times New Roman" w:eastAsia="Times New Roman" w:hAnsi="Times New Roman"/>
          <w:sz w:val="12"/>
          <w:szCs w:val="12"/>
          <w:u w:val="single" w:color="auto"/>
          <w:color w:val="auto"/>
        </w:rPr>
        <w:t>Stock Dividends and Stock Splits</w:t>
      </w:r>
      <w:r>
        <w:rPr>
          <w:rFonts w:ascii="Times New Roman" w:cs="Times New Roman" w:eastAsia="Times New Roman" w:hAnsi="Times New Roman"/>
          <w:sz w:val="12"/>
          <w:szCs w:val="12"/>
          <w:color w:val="auto"/>
        </w:rPr>
        <w:t xml:space="preserve">. If the Corporation, at any time while this Series B Non-Voting Preferred Stock is outstanding: (A) pays a stock dividend or otherwise makes a distribution or distributions payable in shares of Common Stock (which, for avoidance of doubt, shall not include any shares of Common Stock issued by the Corporation upon conversion of this Series B Non-Voting Preferred Stock) with respect to the then outstanding shares of Common Stock; (B) subdivides outstanding shares of Common Stock into a larger number of shares; or (C) combines (including by way of a reverse stock split) outstanding shares of Common Stock into a smaller number of shares, then the Conversion Ratio shall be multiplied by a fraction of which the numerator shall be the number of shares of Common Stock (excluding any treasury shares of the Corporation) outstanding immediately after such event and of which the denominator shall be the number of shares of Common Stock outstanding immediately before such event (excluding any treasury shares of the Corporation). Any adjustment made pursuant to this </w:t>
      </w:r>
      <w:r>
        <w:rPr>
          <w:rFonts w:ascii="Times New Roman" w:cs="Times New Roman" w:eastAsia="Times New Roman" w:hAnsi="Times New Roman"/>
          <w:sz w:val="12"/>
          <w:szCs w:val="12"/>
          <w:u w:val="single" w:color="auto"/>
          <w:color w:val="auto"/>
        </w:rPr>
        <w:t>Section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7.1</w:t>
      </w:r>
      <w:r>
        <w:rPr>
          <w:rFonts w:ascii="Times New Roman" w:cs="Times New Roman" w:eastAsia="Times New Roman" w:hAnsi="Times New Roman"/>
          <w:sz w:val="12"/>
          <w:szCs w:val="12"/>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or combination.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ind w:firstLine="955"/>
        <w:spacing w:after="0" w:line="252" w:lineRule="auto"/>
        <w:rPr>
          <w:sz w:val="20"/>
          <w:szCs w:val="20"/>
          <w:color w:val="auto"/>
        </w:rPr>
      </w:pPr>
      <w:r>
        <w:rPr>
          <w:rFonts w:ascii="Times New Roman" w:cs="Times New Roman" w:eastAsia="Times New Roman" w:hAnsi="Times New Roman"/>
          <w:sz w:val="12"/>
          <w:szCs w:val="12"/>
          <w:color w:val="auto"/>
        </w:rPr>
        <w:t xml:space="preserve">7.2 </w:t>
      </w:r>
      <w:r>
        <w:rPr>
          <w:rFonts w:ascii="Times New Roman" w:cs="Times New Roman" w:eastAsia="Times New Roman" w:hAnsi="Times New Roman"/>
          <w:sz w:val="12"/>
          <w:szCs w:val="12"/>
          <w:u w:val="single" w:color="auto"/>
          <w:color w:val="auto"/>
        </w:rPr>
        <w:t>Fundamental Transaction</w:t>
      </w:r>
      <w:r>
        <w:rPr>
          <w:rFonts w:ascii="Times New Roman" w:cs="Times New Roman" w:eastAsia="Times New Roman" w:hAnsi="Times New Roman"/>
          <w:sz w:val="12"/>
          <w:szCs w:val="12"/>
          <w:color w:val="auto"/>
        </w:rPr>
        <w:t xml:space="preserve">. If, at any time while this Series B Non-Voting Preferred Stock is outstanding, (A)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(B) the Corporation effects any sale, lease, transfer or exclusive license of all or substantially all of its assets in one transaction or a series of related transactions, (C) any tender offer or exchange offer (whether by the Corporation or another Person) is completed pursuant to which more than 50% of the Common Stock not held by the Corporation or such Person is exchanged for or converted into other securities, cash or property, or (D) the Corporation effects any reclassification of the Common Stock or any compulsory share exchange pursuant (other than as a result of a dividend, subdivision or combination covered by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to which the Common Stock is effectively converted into or exchanged for other securities, cash or property (in any such case, a “</w:t>
      </w:r>
      <w:r>
        <w:rPr>
          <w:rFonts w:ascii="Times New Roman" w:cs="Times New Roman" w:eastAsia="Times New Roman" w:hAnsi="Times New Roman"/>
          <w:sz w:val="12"/>
          <w:szCs w:val="12"/>
          <w:b w:val="1"/>
          <w:bCs w:val="1"/>
          <w:i w:val="1"/>
          <w:iCs w:val="1"/>
          <w:color w:val="auto"/>
        </w:rPr>
        <w:t>Fundamental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Transaction</w:t>
      </w:r>
      <w:r>
        <w:rPr>
          <w:rFonts w:ascii="Times New Roman" w:cs="Times New Roman" w:eastAsia="Times New Roman" w:hAnsi="Times New Roman"/>
          <w:sz w:val="12"/>
          <w:szCs w:val="12"/>
          <w:color w:val="auto"/>
        </w:rPr>
        <w:t>”), then, upon any subsequent conversion of this Series B Non-Voting Preferred Stock the Holders shall have the right to receive, in lieu of the right to receive Conversion Shares, for each Conversion Share that would have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Times New Roman" w:cs="Times New Roman" w:eastAsia="Times New Roman" w:hAnsi="Times New Roman"/>
          <w:sz w:val="12"/>
          <w:szCs w:val="12"/>
          <w:b w:val="1"/>
          <w:bCs w:val="1"/>
          <w:i w:val="1"/>
          <w:iCs w:val="1"/>
          <w:color w:val="auto"/>
        </w:rPr>
        <w:t>Alternate Consideration</w:t>
      </w:r>
      <w:r>
        <w:rPr>
          <w:rFonts w:ascii="Times New Roman" w:cs="Times New Roman" w:eastAsia="Times New Roman" w:hAnsi="Times New Roman"/>
          <w:sz w:val="12"/>
          <w:szCs w:val="12"/>
          <w:color w:val="auto"/>
        </w:rPr>
        <w:t xml:space="preserve">”). For purposes of any such subsequent conversion, the determination of the Conversion Ratio shall be appropriately adjusted to apply to 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this Series B Non-Voting Preferred Stock following such Fundamental Transaction. To the extent necessary to effectuate the foregoing provisions, any successor to the Corporation or surviving entity in such Fundamental Transaction shall file a new certificate of designations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xml:space="preserve"> and ensuring that this Series B Non-Voting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20 calendar days prior to the date on which such Fundamental Transaction is expected to become effective or close. Notwithstanding anything to the contrary herein, the Corporation’s disposition of certain assets pursuant to that certain Contingent Value Rights Agreement dated as of December 6, 2023 by and between the Corporation and Equiniti Trust Company, LLC, as may be amended from time to time, shall not constitute a Fundamental Transaction.</w:t>
      </w:r>
    </w:p>
    <w:p>
      <w:pPr>
        <w:spacing w:after="0" w:line="127" w:lineRule="exact"/>
        <w:rPr>
          <w:sz w:val="20"/>
          <w:szCs w:val="20"/>
          <w:color w:val="auto"/>
        </w:rPr>
      </w:pPr>
    </w:p>
    <w:p>
      <w:pPr>
        <w:ind w:right="200" w:firstLine="955"/>
        <w:spacing w:after="0" w:line="279" w:lineRule="auto"/>
        <w:rPr>
          <w:sz w:val="20"/>
          <w:szCs w:val="20"/>
          <w:color w:val="auto"/>
        </w:rPr>
      </w:pPr>
      <w:r>
        <w:rPr>
          <w:rFonts w:ascii="Times New Roman" w:cs="Times New Roman" w:eastAsia="Times New Roman" w:hAnsi="Times New Roman"/>
          <w:sz w:val="12"/>
          <w:szCs w:val="12"/>
          <w:color w:val="auto"/>
        </w:rPr>
        <w:t xml:space="preserve">7.3 </w:t>
      </w:r>
      <w:r>
        <w:rPr>
          <w:rFonts w:ascii="Times New Roman" w:cs="Times New Roman" w:eastAsia="Times New Roman" w:hAnsi="Times New Roman"/>
          <w:sz w:val="12"/>
          <w:szCs w:val="12"/>
          <w:u w:val="single" w:color="auto"/>
          <w:color w:val="auto"/>
        </w:rPr>
        <w:t>Calculations</w:t>
      </w:r>
      <w:r>
        <w:rPr>
          <w:rFonts w:ascii="Times New Roman" w:cs="Times New Roman" w:eastAsia="Times New Roman" w:hAnsi="Times New Roman"/>
          <w:sz w:val="12"/>
          <w:szCs w:val="12"/>
          <w:color w:val="auto"/>
        </w:rPr>
        <w:t xml:space="preserve">. All calculations under this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xml:space="preserve"> shall be made to the nearest cent or the nearest 1/100th of a share, as the case may be. For purposes of this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the number of shares of Common Stock deemed to be issued and outstanding as of a given date shall be the sum of the number of shares of Common Stock (excluding any treasury shares of the Corporation) issued and outstanding.</w:t>
      </w:r>
    </w:p>
    <w:p>
      <w:pPr>
        <w:spacing w:after="0" w:line="111" w:lineRule="exact"/>
        <w:rPr>
          <w:sz w:val="20"/>
          <w:szCs w:val="20"/>
          <w:color w:val="auto"/>
        </w:rPr>
      </w:pPr>
    </w:p>
    <w:p>
      <w:pPr>
        <w:ind w:firstLine="653"/>
        <w:spacing w:after="0" w:line="279" w:lineRule="auto"/>
        <w:tabs>
          <w:tab w:leader="none" w:pos="781"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Redemption</w:t>
      </w:r>
      <w:r>
        <w:rPr>
          <w:rFonts w:ascii="Times New Roman" w:cs="Times New Roman" w:eastAsia="Times New Roman" w:hAnsi="Times New Roman"/>
          <w:sz w:val="12"/>
          <w:szCs w:val="12"/>
          <w:color w:val="auto"/>
        </w:rPr>
        <w:t xml:space="preserve">. The shares of Series B Non-Voting Preferred Stock shall not be redeemable; provided, however, that the foregoing shall not limit the ability of the Corporation to purchase or otherwise deal in such shares to the extent otherwise permitted hereby and by law, nor shall the foregoing limit the Holder’s rights under </w:t>
      </w:r>
      <w:r>
        <w:rPr>
          <w:rFonts w:ascii="Times New Roman" w:cs="Times New Roman" w:eastAsia="Times New Roman" w:hAnsi="Times New Roman"/>
          <w:sz w:val="12"/>
          <w:szCs w:val="12"/>
          <w:u w:val="single" w:color="auto"/>
          <w:color w:val="auto"/>
        </w:rPr>
        <w:t>Section 6.5.3</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right="20" w:firstLine="653"/>
        <w:spacing w:after="0" w:line="257" w:lineRule="auto"/>
        <w:tabs>
          <w:tab w:leader="none" w:pos="781"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xml:space="preserve">. A Holder may transfer any shares of Series B Non-Voting Preferred Stock together with the accompanying rights set forth herein, held by such holder without the consent of the Corporation; provided that such transfer is in compliance with applicable securities laws. The Corporation shall in good faith (i) do and perform, or cause to be done and performed, all such further acts and things, and (ii) execute and deliver all such other agreements, certificates, instruments and documents, in each case, as any holder of Series B Non-Voting Preferred Stock may reasonably request in order to carry out the intent and accomplish the purposes of this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xml:space="preserve">. The transferee of any shares of Series B Non-Voting Preferred Stock shall be subject to the Beneficial Ownership Limitation applicable to the transferor as of the time of such transfer (including in the event that TAS Partners LLC or any of its affiliates is the transferor of such shares, in which case the Beneficial Ownership Limitation shall apply with respect to such transferee and shall be set at 19.9% unless and until further decreased pursuant to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w:t>
      </w:r>
    </w:p>
    <w:p>
      <w:pPr>
        <w:spacing w:after="0" w:line="125" w:lineRule="exact"/>
        <w:rPr>
          <w:rFonts w:ascii="Times New Roman" w:cs="Times New Roman" w:eastAsia="Times New Roman" w:hAnsi="Times New Roman"/>
          <w:sz w:val="12"/>
          <w:szCs w:val="12"/>
          <w:color w:val="auto"/>
        </w:rPr>
      </w:pPr>
    </w:p>
    <w:p>
      <w:pPr>
        <w:ind w:right="160" w:firstLine="653"/>
        <w:spacing w:after="0" w:line="257" w:lineRule="auto"/>
        <w:tabs>
          <w:tab w:leader="none" w:pos="841"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Series B Non-Voting Preferred Stock Register</w:t>
      </w:r>
      <w:r>
        <w:rPr>
          <w:rFonts w:ascii="Times New Roman" w:cs="Times New Roman" w:eastAsia="Times New Roman" w:hAnsi="Times New Roman"/>
          <w:sz w:val="12"/>
          <w:szCs w:val="12"/>
          <w:color w:val="auto"/>
        </w:rPr>
        <w:t xml:space="preserve">. The Corporation shall maintain at its principal executive offices (or such other office or agency of the Corporation as it may designate by notice to the Holders in accordance with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a register for the Series B Non-Voting Preferred Stock, in which the Corporation shall record (i) the name, address, and electronic mail address of each holder in whose name the shares of Series B Non-Voting Preferred Stock have been issued and (ii) the name, address, and electronic mail address of each transferee of any shares of Series B Non-Voting Preferred Stock. The Corporation may deem and treat the registered Holder of shares of Series B Non-Voting Preferred Stock as the absolute owner thereof for the purpose of any conversion thereof and for all other purposes. The Corporation shall keep the register open and available at all times during business hours for inspection by any holder of Series B Non-Voting Preferred Stock or his, her or its legal representatives.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4" w:name="page15"/>
    <w:bookmarkEnd w:id="14"/>
    <w:p>
      <w:pPr>
        <w:ind w:left="-20" w:firstLine="653"/>
        <w:spacing w:after="0" w:line="265" w:lineRule="auto"/>
        <w:tabs>
          <w:tab w:leader="none" w:pos="816"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Any notice required or permitted by the provisions of this Certificate of Designation to be given to a Holder of shares of Series B Non-Voting Preferred Stock shall be mailed, postage prepaid, to the post office address last shown on the records of the Corporation, or given by electronic communication in compliance with the provisions of the Delaware General Corporation Law, and shall be deemed sent upon such mailing or electronic transmission.</w:t>
      </w:r>
    </w:p>
    <w:p>
      <w:pPr>
        <w:spacing w:after="0" w:line="118" w:lineRule="exact"/>
        <w:rPr>
          <w:rFonts w:ascii="Times New Roman" w:cs="Times New Roman" w:eastAsia="Times New Roman" w:hAnsi="Times New Roman"/>
          <w:sz w:val="12"/>
          <w:szCs w:val="12"/>
          <w:color w:val="auto"/>
        </w:rPr>
      </w:pPr>
    </w:p>
    <w:p>
      <w:pPr>
        <w:ind w:left="820" w:hanging="187"/>
        <w:spacing w:after="0"/>
        <w:tabs>
          <w:tab w:leader="none" w:pos="8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Book-Entry</w:t>
      </w:r>
      <w:r>
        <w:rPr>
          <w:rFonts w:ascii="Times New Roman" w:cs="Times New Roman" w:eastAsia="Times New Roman" w:hAnsi="Times New Roman"/>
          <w:sz w:val="12"/>
          <w:szCs w:val="12"/>
          <w:color w:val="auto"/>
        </w:rPr>
        <w:t>. The Series B Non-Voting Preferred Stock will be issued in book-entry form.</w:t>
      </w:r>
    </w:p>
    <w:p>
      <w:pPr>
        <w:spacing w:after="0" w:line="150" w:lineRule="exact"/>
        <w:rPr>
          <w:rFonts w:ascii="Times New Roman" w:cs="Times New Roman" w:eastAsia="Times New Roman" w:hAnsi="Times New Roman"/>
          <w:sz w:val="12"/>
          <w:szCs w:val="12"/>
          <w:color w:val="auto"/>
        </w:rPr>
      </w:pPr>
    </w:p>
    <w:p>
      <w:pPr>
        <w:ind w:left="-20" w:right="40" w:firstLine="653"/>
        <w:spacing w:after="0" w:line="255" w:lineRule="auto"/>
        <w:tabs>
          <w:tab w:leader="none" w:pos="821"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Waiver</w:t>
      </w:r>
      <w:r>
        <w:rPr>
          <w:rFonts w:ascii="Times New Roman" w:cs="Times New Roman" w:eastAsia="Times New Roman" w:hAnsi="Times New Roman"/>
          <w:sz w:val="12"/>
          <w:szCs w:val="12"/>
          <w:color w:val="auto"/>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B Non-Voting Preferred Stock granted hereunder may be waived as to all shares of Series B Non-Voting Preferred Stock (and the Holders thereof) upon the written consent of the Holders of not less than a majority of the shares of Series B Non-Voting Preferred Stock then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w:t>
      </w:r>
    </w:p>
    <w:p>
      <w:pPr>
        <w:spacing w:after="0" w:line="125" w:lineRule="exact"/>
        <w:rPr>
          <w:rFonts w:ascii="Times New Roman" w:cs="Times New Roman" w:eastAsia="Times New Roman" w:hAnsi="Times New Roman"/>
          <w:sz w:val="12"/>
          <w:szCs w:val="12"/>
          <w:color w:val="auto"/>
        </w:rPr>
      </w:pPr>
    </w:p>
    <w:p>
      <w:pPr>
        <w:ind w:left="-20" w:right="460" w:firstLine="653"/>
        <w:spacing w:after="0" w:line="279" w:lineRule="auto"/>
        <w:tabs>
          <w:tab w:leader="none" w:pos="821"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w:t>
      </w:r>
    </w:p>
    <w:p>
      <w:pPr>
        <w:spacing w:after="0" w:line="111" w:lineRule="exact"/>
        <w:rPr>
          <w:rFonts w:ascii="Times New Roman" w:cs="Times New Roman" w:eastAsia="Times New Roman" w:hAnsi="Times New Roman"/>
          <w:sz w:val="12"/>
          <w:szCs w:val="12"/>
          <w:color w:val="auto"/>
        </w:rPr>
      </w:pPr>
    </w:p>
    <w:p>
      <w:pPr>
        <w:jc w:val="both"/>
        <w:ind w:left="-20" w:right="100" w:firstLine="653"/>
        <w:spacing w:after="0" w:line="265" w:lineRule="auto"/>
        <w:tabs>
          <w:tab w:leader="none" w:pos="821"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Status of Converted Series B Non-Voting Preferred Stock</w:t>
      </w:r>
      <w:r>
        <w:rPr>
          <w:rFonts w:ascii="Times New Roman" w:cs="Times New Roman" w:eastAsia="Times New Roman" w:hAnsi="Times New Roman"/>
          <w:sz w:val="12"/>
          <w:szCs w:val="12"/>
          <w:color w:val="auto"/>
        </w:rPr>
        <w:t>. If any shares of Series B Non-Voting Preferred Stock shall be converted or redeemed by the Corporation, such shares shall, to the fullest extent permitted by applicable law, be retired and cancelled upon such acquisition, and shall not be reissued as a share of Series B Non-Voting Preferred Stock. Any share of Series B Non-Voting Preferred Stock so acquired shall, upon its retirement and cancellation, and upon the taking of any action required by applicable law, resume the status of authorized but unissued shares of preferred stock and shall no longer be designated as Series B Non-Voting Preferred Stock.</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Remainder of Page Intentionally Left Blank</w:t>
      </w:r>
      <w:r>
        <w:rPr>
          <w:rFonts w:ascii="Times New Roman" w:cs="Times New Roman" w:eastAsia="Times New Roman" w:hAnsi="Times New Roman"/>
          <w:sz w:val="12"/>
          <w:szCs w:val="12"/>
          <w:color w:val="auto"/>
        </w:rPr>
        <w:t>]</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21590</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5" w:name="page16"/>
    <w:bookmarkEnd w:id="15"/>
    <w:p>
      <w:pPr>
        <w:ind w:right="240"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Cartesian Therapeutics, Inc. has caused this Certificate of Designation of Preferences, Rights and Limitations of Series B Non-Voting Convertible Preferred Stock to be duly executed by its Chief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Executive Officer on July 2, 2024.</w:t>
      </w:r>
    </w:p>
    <w:p>
      <w:pPr>
        <w:spacing w:after="0" w:line="10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CARTESIAN THERAPEUTICS, INC.</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98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w w:val="98"/>
              </w:rPr>
              <w:t>/s/ Carsten Brunn, Ph.D.</w:t>
            </w:r>
          </w:p>
        </w:tc>
        <w:tc>
          <w:tcPr>
            <w:tcW w:w="4140" w:type="dxa"/>
            <w:vAlign w:val="bottom"/>
            <w:gridSpan w:val="2"/>
          </w:tcPr>
          <w:p>
            <w:pPr>
              <w:spacing w:after="0"/>
              <w:rPr>
                <w:sz w:val="12"/>
                <w:szCs w:val="12"/>
                <w:color w:val="auto"/>
              </w:rPr>
            </w:pPr>
          </w:p>
        </w:tc>
      </w:tr>
      <w:tr>
        <w:trPr>
          <w:trHeight w:val="158"/>
        </w:trPr>
        <w:tc>
          <w:tcPr>
            <w:tcW w:w="5980" w:type="dxa"/>
            <w:vAlign w:val="bottom"/>
          </w:tcPr>
          <w:p>
            <w:pPr>
              <w:ind w:left="5660"/>
              <w:spacing w:after="0"/>
              <w:rPr>
                <w:sz w:val="20"/>
                <w:szCs w:val="20"/>
                <w:color w:val="auto"/>
              </w:rPr>
            </w:pPr>
            <w:r>
              <w:rPr>
                <w:rFonts w:ascii="Times New Roman" w:cs="Times New Roman" w:eastAsia="Times New Roman" w:hAnsi="Times New Roman"/>
                <w:sz w:val="12"/>
                <w:szCs w:val="12"/>
                <w:color w:val="auto"/>
                <w:w w:val="93"/>
              </w:rPr>
              <w:t>Name:</w:t>
            </w:r>
          </w:p>
        </w:tc>
        <w:tc>
          <w:tcPr>
            <w:tcW w:w="240" w:type="dxa"/>
            <w:vAlign w:val="bottom"/>
          </w:tcPr>
          <w:p>
            <w:pPr>
              <w:spacing w:after="0"/>
              <w:rPr>
                <w:sz w:val="13"/>
                <w:szCs w:val="13"/>
                <w:color w:val="auto"/>
              </w:rPr>
            </w:pPr>
          </w:p>
        </w:tc>
        <w:tc>
          <w:tcPr>
            <w:tcW w:w="5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Carsten Brunn, Ph.D.</w:t>
            </w:r>
          </w:p>
        </w:tc>
      </w:tr>
      <w:tr>
        <w:trPr>
          <w:trHeight w:val="117"/>
        </w:trPr>
        <w:tc>
          <w:tcPr>
            <w:tcW w:w="5980" w:type="dxa"/>
            <w:vAlign w:val="bottom"/>
          </w:tcPr>
          <w:p>
            <w:pPr>
              <w:ind w:left="5660"/>
              <w:spacing w:after="0" w:line="117" w:lineRule="exact"/>
              <w:rPr>
                <w:sz w:val="20"/>
                <w:szCs w:val="20"/>
                <w:color w:val="auto"/>
              </w:rPr>
            </w:pPr>
            <w:r>
              <w:rPr>
                <w:rFonts w:ascii="Times New Roman" w:cs="Times New Roman" w:eastAsia="Times New Roman" w:hAnsi="Times New Roman"/>
                <w:sz w:val="12"/>
                <w:szCs w:val="12"/>
                <w:color w:val="auto"/>
              </w:rPr>
              <w:t>Title:</w:t>
            </w:r>
          </w:p>
        </w:tc>
        <w:tc>
          <w:tcPr>
            <w:tcW w:w="240" w:type="dxa"/>
            <w:vAlign w:val="bottom"/>
          </w:tcPr>
          <w:p>
            <w:pPr>
              <w:spacing w:after="0"/>
              <w:rPr>
                <w:sz w:val="10"/>
                <w:szCs w:val="10"/>
                <w:color w:val="auto"/>
              </w:rPr>
            </w:pPr>
          </w:p>
        </w:tc>
        <w:tc>
          <w:tcPr>
            <w:tcW w:w="5080" w:type="dxa"/>
            <w:vAlign w:val="bottom"/>
            <w:gridSpan w:val="3"/>
          </w:tcPr>
          <w:p>
            <w:pPr>
              <w:spacing w:after="0" w:line="117" w:lineRule="exact"/>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377"/>
        </w:trPr>
        <w:tc>
          <w:tcPr>
            <w:tcW w:w="5980" w:type="dxa"/>
            <w:vAlign w:val="bottom"/>
          </w:tcPr>
          <w:p>
            <w:pPr>
              <w:jc w:val="right"/>
              <w:ind w:right="223"/>
              <w:spacing w:after="0"/>
              <w:rPr>
                <w:sz w:val="20"/>
                <w:szCs w:val="20"/>
                <w:color w:val="auto"/>
              </w:rPr>
            </w:pPr>
            <w:r>
              <w:rPr>
                <w:rFonts w:ascii="Times New Roman" w:cs="Times New Roman" w:eastAsia="Times New Roman" w:hAnsi="Times New Roman"/>
                <w:sz w:val="10"/>
                <w:szCs w:val="10"/>
                <w:color w:val="auto"/>
              </w:rPr>
              <w:t>11</w:t>
            </w:r>
          </w:p>
        </w:tc>
        <w:tc>
          <w:tcPr>
            <w:tcW w:w="24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60" w:type="dxa"/>
            <w:vAlign w:val="bottom"/>
          </w:tcPr>
          <w:p>
            <w:pPr>
              <w:spacing w:after="0"/>
              <w:rPr>
                <w:sz w:val="24"/>
                <w:szCs w:val="24"/>
                <w:color w:val="auto"/>
              </w:rPr>
            </w:pPr>
          </w:p>
        </w:tc>
      </w:tr>
      <w:tr>
        <w:trPr>
          <w:trHeight w:val="26"/>
        </w:trPr>
        <w:tc>
          <w:tcPr>
            <w:tcW w:w="5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5" w:right="2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2"/>
          <w:szCs w:val="12"/>
          <w:b w:val="1"/>
          <w:bCs w:val="1"/>
          <w:color w:val="auto"/>
        </w:rPr>
        <w:t>ANNEX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NOTICE OF CONVERSION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(TO BE EXECUTED BY THE REGISTERED HOLDER IN ORDER TO CONVERT SHARES OF SERIES B NON-VOTING CONVERTIBLE PREFERRED STOCK)</w:t>
      </w:r>
    </w:p>
    <w:p>
      <w:pPr>
        <w:spacing w:after="0" w:line="15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The undersigned Holder hereby irrevocably elects to convert the number of shares of Series B Non-Voting Preferred Stock indicated below, represented in book-entry form, into shares of common stock, par value $0.0001 per share (the “</w:t>
      </w:r>
      <w:r>
        <w:rPr>
          <w:rFonts w:ascii="Times New Roman" w:cs="Times New Roman" w:eastAsia="Times New Roman" w:hAnsi="Times New Roman"/>
          <w:sz w:val="12"/>
          <w:szCs w:val="12"/>
          <w:b w:val="1"/>
          <w:bCs w:val="1"/>
          <w:i w:val="1"/>
          <w:iCs w:val="1"/>
          <w:color w:val="auto"/>
        </w:rPr>
        <w:t>Common Stock</w:t>
      </w:r>
      <w:r>
        <w:rPr>
          <w:rFonts w:ascii="Times New Roman" w:cs="Times New Roman" w:eastAsia="Times New Roman" w:hAnsi="Times New Roman"/>
          <w:sz w:val="12"/>
          <w:szCs w:val="12"/>
          <w:color w:val="auto"/>
        </w:rPr>
        <w:t>”), of Cartesian Therapeutics, Inc., a Delaware corporation (the “</w:t>
      </w:r>
      <w:r>
        <w:rPr>
          <w:rFonts w:ascii="Times New Roman" w:cs="Times New Roman" w:eastAsia="Times New Roman" w:hAnsi="Times New Roman"/>
          <w:sz w:val="12"/>
          <w:szCs w:val="12"/>
          <w:b w:val="1"/>
          <w:bCs w:val="1"/>
          <w:i w:val="1"/>
          <w:iCs w:val="1"/>
          <w:color w:val="auto"/>
        </w:rPr>
        <w:t>Corporation</w:t>
      </w:r>
      <w:r>
        <w:rPr>
          <w:rFonts w:ascii="Times New Roman" w:cs="Times New Roman" w:eastAsia="Times New Roman" w:hAnsi="Times New Roman"/>
          <w:sz w:val="12"/>
          <w:szCs w:val="12"/>
          <w:color w:val="auto"/>
        </w:rPr>
        <w:t>”),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B Non-Voting Convertible Preferred Stock (the “</w:t>
      </w:r>
      <w:r>
        <w:rPr>
          <w:rFonts w:ascii="Times New Roman" w:cs="Times New Roman" w:eastAsia="Times New Roman" w:hAnsi="Times New Roman"/>
          <w:sz w:val="12"/>
          <w:szCs w:val="12"/>
          <w:b w:val="1"/>
          <w:bCs w:val="1"/>
          <w:i w:val="1"/>
          <w:iCs w:val="1"/>
          <w:color w:val="auto"/>
        </w:rPr>
        <w:t>Certificate of Designation</w:t>
      </w:r>
      <w:r>
        <w:rPr>
          <w:rFonts w:ascii="Times New Roman" w:cs="Times New Roman" w:eastAsia="Times New Roman" w:hAnsi="Times New Roman"/>
          <w:sz w:val="12"/>
          <w:szCs w:val="12"/>
          <w:color w:val="auto"/>
        </w:rPr>
        <w:t>”) filed by the Corporation with the Secretary of State of the State of Delaware on July 2, 2024.</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 xml:space="preserve">As of the date hereof, the number of shares of Common Stock beneficially owned by the undersigned Holder (together with such Holder’s Attribution Parties), including the number of shares of Common Stock issuable upon conversion of the Series B Non-Voting Preferred Stock subject to this Notice of Conversion, but excluding the number of shares of Common Stock which are issuable upon (A) conversion of the remaining, unconverted Series B Non-Voting Preferred Stock beneficially owned by such Holder or any of its Attribution Parties, and (B) exercise or conversion of the unexercised or unconverted portion of any other securities of the Corporation (including any Series A Non-Voting Convertible Preferred Stock or warrants) beneficially owned by such Holder or any of its Attribution Parties that are subject to a limitation on conversion or exercise similar to the limitation contained in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of the Certificate of Designation, is _____.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CONVERSION CALCULATIONS: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to Effect Conversion: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Number of shares of Series B Non-Voting Preferred Stock owned prior to Conversion: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Number of shares of Series B Non-Voting Preferred Stock to be Converted: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Number of shares of Common Stock to be Issued: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Address for delivery of physical certificates: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DWAC Delivery, please provide the following: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Broker No.: ________________</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Account No.: _______________</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[HOLDER]</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5738495</wp:posOffset>
            </wp:positionH>
            <wp:positionV relativeFrom="paragraph">
              <wp:posOffset>10795</wp:posOffset>
            </wp:positionV>
            <wp:extent cx="1434465"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34465" cy="1143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6458585</wp:posOffset>
            </wp:positionH>
            <wp:positionV relativeFrom="paragraph">
              <wp:posOffset>10795</wp:posOffset>
            </wp:positionV>
            <wp:extent cx="714375"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 cy="1143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6098540</wp:posOffset>
            </wp:positionH>
            <wp:positionV relativeFrom="paragraph">
              <wp:posOffset>10795</wp:posOffset>
            </wp:positionV>
            <wp:extent cx="107442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7442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245110</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10.1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PURCHASE AGREEMENT</w:t>
      </w:r>
    </w:p>
    <w:p>
      <w:pPr>
        <w:spacing w:after="0" w:line="150" w:lineRule="exact"/>
        <w:rPr>
          <w:sz w:val="20"/>
          <w:szCs w:val="20"/>
          <w:color w:val="auto"/>
        </w:rPr>
      </w:pPr>
    </w:p>
    <w:p>
      <w:pPr>
        <w:ind w:right="340" w:firstLine="294"/>
        <w:spacing w:after="0" w:line="286" w:lineRule="auto"/>
        <w:rPr>
          <w:sz w:val="20"/>
          <w:szCs w:val="20"/>
          <w:color w:val="auto"/>
        </w:rPr>
      </w:pPr>
      <w:r>
        <w:rPr>
          <w:rFonts w:ascii="Times New Roman" w:cs="Times New Roman" w:eastAsia="Times New Roman" w:hAnsi="Times New Roman"/>
          <w:sz w:val="12"/>
          <w:szCs w:val="12"/>
          <w:color w:val="auto"/>
        </w:rPr>
        <w:t xml:space="preserve">This </w:t>
      </w:r>
      <w:r>
        <w:rPr>
          <w:rFonts w:ascii="Times New Roman" w:cs="Times New Roman" w:eastAsia="Times New Roman" w:hAnsi="Times New Roman"/>
          <w:sz w:val="12"/>
          <w:szCs w:val="12"/>
          <w:b w:val="1"/>
          <w:bCs w:val="1"/>
          <w:color w:val="auto"/>
        </w:rPr>
        <w:t>SECURITIES PURCHASE AGREEMENT</w:t>
      </w:r>
      <w:r>
        <w:rPr>
          <w:rFonts w:ascii="Times New Roman" w:cs="Times New Roman" w:eastAsia="Times New Roman" w:hAnsi="Times New Roman"/>
          <w:sz w:val="12"/>
          <w:szCs w:val="12"/>
          <w:color w:val="auto"/>
        </w:rPr>
        <w:t xml:space="preserve"> (this “</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xml:space="preserve">”) is dated as of July 2, 2024, by and between </w:t>
      </w:r>
      <w:r>
        <w:rPr>
          <w:rFonts w:ascii="Times New Roman" w:cs="Times New Roman" w:eastAsia="Times New Roman" w:hAnsi="Times New Roman"/>
          <w:sz w:val="12"/>
          <w:szCs w:val="12"/>
          <w:b w:val="1"/>
          <w:bCs w:val="1"/>
          <w:color w:val="auto"/>
        </w:rPr>
        <w:t>C</w:t>
      </w:r>
      <w:r>
        <w:rPr>
          <w:rFonts w:ascii="Times New Roman" w:cs="Times New Roman" w:eastAsia="Times New Roman" w:hAnsi="Times New Roman"/>
          <w:sz w:val="8"/>
          <w:szCs w:val="8"/>
          <w:b w:val="1"/>
          <w:bCs w:val="1"/>
          <w:color w:val="auto"/>
        </w:rPr>
        <w:t>artesian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T</w:t>
      </w:r>
      <w:r>
        <w:rPr>
          <w:rFonts w:ascii="Times New Roman" w:cs="Times New Roman" w:eastAsia="Times New Roman" w:hAnsi="Times New Roman"/>
          <w:sz w:val="8"/>
          <w:szCs w:val="8"/>
          <w:b w:val="1"/>
          <w:bCs w:val="1"/>
          <w:color w:val="auto"/>
        </w:rPr>
        <w:t>herapeutics</w:t>
      </w:r>
      <w:r>
        <w:rPr>
          <w:rFonts w:ascii="Times New Roman" w:cs="Times New Roman" w:eastAsia="Times New Roman" w:hAnsi="Times New Roman"/>
          <w:sz w:val="12"/>
          <w:szCs w:val="12"/>
          <w:b w:val="1"/>
          <w:bCs w:val="1"/>
          <w:color w:val="auto"/>
        </w:rPr>
        <w:t>, I</w:t>
      </w:r>
      <w:r>
        <w:rPr>
          <w:rFonts w:ascii="Times New Roman" w:cs="Times New Roman" w:eastAsia="Times New Roman" w:hAnsi="Times New Roman"/>
          <w:sz w:val="8"/>
          <w:szCs w:val="8"/>
          <w:b w:val="1"/>
          <w:bCs w:val="1"/>
          <w:color w:val="auto"/>
        </w:rPr>
        <w:t>nc</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a Delaware corporation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and each purchaser identified on Annex A hereto (each, including its successors and assigns, a “</w:t>
      </w:r>
      <w:r>
        <w:rPr>
          <w:rFonts w:ascii="Times New Roman" w:cs="Times New Roman" w:eastAsia="Times New Roman" w:hAnsi="Times New Roman"/>
          <w:sz w:val="12"/>
          <w:szCs w:val="12"/>
          <w:b w:val="1"/>
          <w:bCs w:val="1"/>
          <w:i w:val="1"/>
          <w:iCs w:val="1"/>
          <w:color w:val="auto"/>
        </w:rPr>
        <w:t>Purchaser</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i w:val="1"/>
          <w:iCs w:val="1"/>
          <w:color w:val="auto"/>
        </w:rPr>
        <w:t>Purchasers</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0" w:lineRule="exact"/>
        <w:rPr>
          <w:sz w:val="20"/>
          <w:szCs w:val="20"/>
          <w:color w:val="auto"/>
        </w:rPr>
      </w:pPr>
    </w:p>
    <w:p>
      <w:pPr>
        <w:ind w:right="60"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A. </w:t>
      </w:r>
      <w:r>
        <w:rPr>
          <w:rFonts w:ascii="Times New Roman" w:cs="Times New Roman" w:eastAsia="Times New Roman" w:hAnsi="Times New Roman"/>
          <w:sz w:val="12"/>
          <w:szCs w:val="12"/>
          <w:color w:val="auto"/>
        </w:rPr>
        <w:t>The Company and each Purchaser is executing and delivering this Agreement in reliance upon the exemption from securities registration afforded by Section 4(a)(2) of the Securities Act of 1933, as amended, and the rules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regulations thereunder (the “</w:t>
      </w:r>
      <w:r>
        <w:rPr>
          <w:rFonts w:ascii="Times New Roman" w:cs="Times New Roman" w:eastAsia="Times New Roman" w:hAnsi="Times New Roman"/>
          <w:sz w:val="12"/>
          <w:szCs w:val="12"/>
          <w:b w:val="1"/>
          <w:bCs w:val="1"/>
          <w:i w:val="1"/>
          <w:iCs w:val="1"/>
          <w:color w:val="auto"/>
        </w:rPr>
        <w:t>Securities Act</w:t>
      </w:r>
      <w:r>
        <w:rPr>
          <w:rFonts w:ascii="Times New Roman" w:cs="Times New Roman" w:eastAsia="Times New Roman" w:hAnsi="Times New Roman"/>
          <w:sz w:val="12"/>
          <w:szCs w:val="12"/>
          <w:color w:val="auto"/>
        </w:rPr>
        <w:t>”), and Rule 506 of Regulation D (“</w:t>
      </w:r>
      <w:r>
        <w:rPr>
          <w:rFonts w:ascii="Times New Roman" w:cs="Times New Roman" w:eastAsia="Times New Roman" w:hAnsi="Times New Roman"/>
          <w:sz w:val="12"/>
          <w:szCs w:val="12"/>
          <w:b w:val="1"/>
          <w:bCs w:val="1"/>
          <w:i w:val="1"/>
          <w:iCs w:val="1"/>
          <w:color w:val="auto"/>
        </w:rPr>
        <w:t>Regulation D</w:t>
      </w:r>
      <w:r>
        <w:rPr>
          <w:rFonts w:ascii="Times New Roman" w:cs="Times New Roman" w:eastAsia="Times New Roman" w:hAnsi="Times New Roman"/>
          <w:sz w:val="12"/>
          <w:szCs w:val="12"/>
          <w:color w:val="auto"/>
        </w:rPr>
        <w:t>”) as promulgated by the United States Securities and Exchange Commission (the “</w:t>
      </w:r>
      <w:r>
        <w:rPr>
          <w:rFonts w:ascii="Times New Roman" w:cs="Times New Roman" w:eastAsia="Times New Roman" w:hAnsi="Times New Roman"/>
          <w:sz w:val="12"/>
          <w:szCs w:val="12"/>
          <w:b w:val="1"/>
          <w:bCs w:val="1"/>
          <w:i w:val="1"/>
          <w:iCs w:val="1"/>
          <w:color w:val="auto"/>
        </w:rPr>
        <w:t>Commission</w:t>
      </w:r>
      <w:r>
        <w:rPr>
          <w:rFonts w:ascii="Times New Roman" w:cs="Times New Roman" w:eastAsia="Times New Roman" w:hAnsi="Times New Roman"/>
          <w:sz w:val="12"/>
          <w:szCs w:val="12"/>
          <w:color w:val="auto"/>
        </w:rPr>
        <w:t>”) under the Securities Act.</w:t>
      </w:r>
    </w:p>
    <w:p>
      <w:pPr>
        <w:spacing w:after="0" w:line="103" w:lineRule="exact"/>
        <w:rPr>
          <w:sz w:val="20"/>
          <w:szCs w:val="20"/>
          <w:color w:val="auto"/>
        </w:rPr>
      </w:pPr>
    </w:p>
    <w:p>
      <w:pPr>
        <w:ind w:right="40" w:firstLine="294"/>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B. </w:t>
      </w:r>
      <w:r>
        <w:rPr>
          <w:rFonts w:ascii="Times New Roman" w:cs="Times New Roman" w:eastAsia="Times New Roman" w:hAnsi="Times New Roman"/>
          <w:sz w:val="12"/>
          <w:szCs w:val="12"/>
          <w:color w:val="auto"/>
        </w:rPr>
        <w:t>Each Purchaser, severally and not jointly, wishes to purchase, and the Company wishes to issue and sell, upon the terms and conditions stated in this Agreement, an aggregate of 3,563,247 shares (the “</w:t>
      </w:r>
      <w:r>
        <w:rPr>
          <w:rFonts w:ascii="Times New Roman" w:cs="Times New Roman" w:eastAsia="Times New Roman" w:hAnsi="Times New Roman"/>
          <w:sz w:val="12"/>
          <w:szCs w:val="12"/>
          <w:b w:val="1"/>
          <w:bCs w:val="1"/>
          <w:i w:val="1"/>
          <w:iCs w:val="1"/>
          <w:color w:val="auto"/>
        </w:rPr>
        <w:t>Common Shares</w:t>
      </w:r>
      <w:r>
        <w:rPr>
          <w:rFonts w:ascii="Times New Roman" w:cs="Times New Roman" w:eastAsia="Times New Roman" w:hAnsi="Times New Roman"/>
          <w:sz w:val="12"/>
          <w:szCs w:val="12"/>
          <w:color w:val="auto"/>
        </w:rPr>
        <w:t>”)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Company’s common stock, par value $0.0001 per share (“</w:t>
      </w:r>
      <w:r>
        <w:rPr>
          <w:rFonts w:ascii="Times New Roman" w:cs="Times New Roman" w:eastAsia="Times New Roman" w:hAnsi="Times New Roman"/>
          <w:sz w:val="12"/>
          <w:szCs w:val="12"/>
          <w:b w:val="1"/>
          <w:bCs w:val="1"/>
          <w:i w:val="1"/>
          <w:iCs w:val="1"/>
          <w:color w:val="auto"/>
        </w:rPr>
        <w:t>Common Stock</w:t>
      </w:r>
      <w:r>
        <w:rPr>
          <w:rFonts w:ascii="Times New Roman" w:cs="Times New Roman" w:eastAsia="Times New Roman" w:hAnsi="Times New Roman"/>
          <w:sz w:val="12"/>
          <w:szCs w:val="12"/>
          <w:color w:val="auto"/>
        </w:rPr>
        <w:t>”), and 2,937,903 shares (the “</w:t>
      </w:r>
      <w:r>
        <w:rPr>
          <w:rFonts w:ascii="Times New Roman" w:cs="Times New Roman" w:eastAsia="Times New Roman" w:hAnsi="Times New Roman"/>
          <w:sz w:val="12"/>
          <w:szCs w:val="12"/>
          <w:b w:val="1"/>
          <w:bCs w:val="1"/>
          <w:i w:val="1"/>
          <w:iCs w:val="1"/>
          <w:color w:val="auto"/>
        </w:rPr>
        <w:t>Preferred Shares</w:t>
      </w:r>
      <w:r>
        <w:rPr>
          <w:rFonts w:ascii="Times New Roman" w:cs="Times New Roman" w:eastAsia="Times New Roman" w:hAnsi="Times New Roman"/>
          <w:sz w:val="12"/>
          <w:szCs w:val="12"/>
          <w:color w:val="auto"/>
        </w:rPr>
        <w:t>” and together with the Common Shares, the “</w:t>
      </w:r>
      <w:r>
        <w:rPr>
          <w:rFonts w:ascii="Times New Roman" w:cs="Times New Roman" w:eastAsia="Times New Roman" w:hAnsi="Times New Roman"/>
          <w:sz w:val="12"/>
          <w:szCs w:val="12"/>
          <w:b w:val="1"/>
          <w:bCs w:val="1"/>
          <w:i w:val="1"/>
          <w:iCs w:val="1"/>
          <w:color w:val="auto"/>
        </w:rPr>
        <w:t>Securities</w:t>
      </w:r>
      <w:r>
        <w:rPr>
          <w:rFonts w:ascii="Times New Roman" w:cs="Times New Roman" w:eastAsia="Times New Roman" w:hAnsi="Times New Roman"/>
          <w:sz w:val="12"/>
          <w:szCs w:val="12"/>
          <w:color w:val="auto"/>
        </w:rPr>
        <w:t>”) of Series B Non-Voting Convertible Preferred Stock, par value $0.0001 per share (and including any other class of securities into which the Series B Non-Voting Convertible Preferred Stock may hereafter be reclassified or changed into, the “</w:t>
      </w:r>
      <w:r>
        <w:rPr>
          <w:rFonts w:ascii="Times New Roman" w:cs="Times New Roman" w:eastAsia="Times New Roman" w:hAnsi="Times New Roman"/>
          <w:sz w:val="12"/>
          <w:szCs w:val="12"/>
          <w:b w:val="1"/>
          <w:bCs w:val="1"/>
          <w:i w:val="1"/>
          <w:iCs w:val="1"/>
          <w:color w:val="auto"/>
        </w:rPr>
        <w:t>Series B Preferred Stock</w:t>
      </w:r>
      <w:r>
        <w:rPr>
          <w:rFonts w:ascii="Times New Roman" w:cs="Times New Roman" w:eastAsia="Times New Roman" w:hAnsi="Times New Roman"/>
          <w:sz w:val="12"/>
          <w:szCs w:val="12"/>
          <w:color w:val="auto"/>
        </w:rPr>
        <w:t xml:space="preserve">”) of the Company, having the designation, preferences, conversion or other rights, voting powers, restrictions, limitations as to dividends, qualifications and terms and conditions as specified in the Certificate of Designation of Series B Preferred Stock in the form attached hereto as </w:t>
      </w:r>
      <w:r>
        <w:rPr>
          <w:rFonts w:ascii="Times New Roman" w:cs="Times New Roman" w:eastAsia="Times New Roman" w:hAnsi="Times New Roman"/>
          <w:sz w:val="12"/>
          <w:szCs w:val="12"/>
          <w:b w:val="1"/>
          <w:bCs w:val="1"/>
          <w:color w:val="auto"/>
        </w:rPr>
        <w:t>Exhibit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i w:val="1"/>
          <w:iCs w:val="1"/>
          <w:color w:val="auto"/>
        </w:rPr>
        <w:t>Certificate of Designation</w:t>
      </w:r>
      <w:r>
        <w:rPr>
          <w:rFonts w:ascii="Times New Roman" w:cs="Times New Roman" w:eastAsia="Times New Roman" w:hAnsi="Times New Roman"/>
          <w:sz w:val="12"/>
          <w:szCs w:val="12"/>
          <w:color w:val="auto"/>
        </w:rPr>
        <w:t>”), which will be convertible into shares (the “</w:t>
      </w:r>
      <w:r>
        <w:rPr>
          <w:rFonts w:ascii="Times New Roman" w:cs="Times New Roman" w:eastAsia="Times New Roman" w:hAnsi="Times New Roman"/>
          <w:sz w:val="12"/>
          <w:szCs w:val="12"/>
          <w:b w:val="1"/>
          <w:bCs w:val="1"/>
          <w:i w:val="1"/>
          <w:iCs w:val="1"/>
          <w:color w:val="auto"/>
        </w:rPr>
        <w:t>Conversion Shares</w:t>
      </w:r>
      <w:r>
        <w:rPr>
          <w:rFonts w:ascii="Times New Roman" w:cs="Times New Roman" w:eastAsia="Times New Roman" w:hAnsi="Times New Roman"/>
          <w:sz w:val="12"/>
          <w:szCs w:val="12"/>
          <w:color w:val="auto"/>
        </w:rPr>
        <w:t>”) of the Common Stock in accordance with the terms set forth in the Certificate of Designation, for an aggregate purchase price of $130,023,000.</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color w:val="auto"/>
        </w:rPr>
        <w:t xml:space="preserve">C. </w:t>
      </w:r>
      <w:r>
        <w:rPr>
          <w:rFonts w:ascii="Times New Roman" w:cs="Times New Roman" w:eastAsia="Times New Roman" w:hAnsi="Times New Roman"/>
          <w:sz w:val="12"/>
          <w:szCs w:val="12"/>
          <w:color w:val="auto"/>
        </w:rPr>
        <w:t>Pursuant to the terms and conditions of the Certificate of Designation, the conversion of the Series B Preferred Stock shall be subject to receipt of the Requisite Stockholder Approval (as defined herein).</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color w:val="auto"/>
        </w:rPr>
        <w:t xml:space="preserve">D. </w:t>
      </w:r>
      <w:r>
        <w:rPr>
          <w:rFonts w:ascii="Times New Roman" w:cs="Times New Roman" w:eastAsia="Times New Roman" w:hAnsi="Times New Roman"/>
          <w:sz w:val="12"/>
          <w:szCs w:val="12"/>
          <w:color w:val="auto"/>
        </w:rPr>
        <w:t>The Company has engaged Leerink Partners LLC, TD Securities (USA) LLC and Needham &amp; Company, LLC as its exclusive placement agents (the “</w:t>
      </w:r>
      <w:r>
        <w:rPr>
          <w:rFonts w:ascii="Times New Roman" w:cs="Times New Roman" w:eastAsia="Times New Roman" w:hAnsi="Times New Roman"/>
          <w:sz w:val="12"/>
          <w:szCs w:val="12"/>
          <w:b w:val="1"/>
          <w:bCs w:val="1"/>
          <w:i w:val="1"/>
          <w:iCs w:val="1"/>
          <w:color w:val="auto"/>
        </w:rPr>
        <w:t>Placement Agents</w:t>
      </w:r>
      <w:r>
        <w:rPr>
          <w:rFonts w:ascii="Times New Roman" w:cs="Times New Roman" w:eastAsia="Times New Roman" w:hAnsi="Times New Roman"/>
          <w:sz w:val="12"/>
          <w:szCs w:val="12"/>
          <w:color w:val="auto"/>
        </w:rPr>
        <w:t>”) for the offering of the Securities on a “best efforts”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basis.</w:t>
      </w:r>
    </w:p>
    <w:p>
      <w:pPr>
        <w:spacing w:after="0" w:line="135" w:lineRule="exact"/>
        <w:rPr>
          <w:sz w:val="20"/>
          <w:szCs w:val="20"/>
          <w:color w:val="auto"/>
        </w:rPr>
      </w:pPr>
    </w:p>
    <w:p>
      <w:pPr>
        <w:jc w:val="both"/>
        <w:ind w:right="220" w:firstLine="294"/>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E. </w:t>
      </w:r>
      <w:r>
        <w:rPr>
          <w:rFonts w:ascii="Times New Roman" w:cs="Times New Roman" w:eastAsia="Times New Roman" w:hAnsi="Times New Roman"/>
          <w:sz w:val="12"/>
          <w:szCs w:val="12"/>
          <w:color w:val="auto"/>
        </w:rPr>
        <w:t>Prior to the Closing: (i) the parties hereto shall execute and deliver a Registration Rights Agreement, substantially in the form attached hereto as</w:t>
      </w:r>
      <w:r>
        <w:rPr>
          <w:rFonts w:ascii="Times New Roman" w:cs="Times New Roman" w:eastAsia="Times New Roman" w:hAnsi="Times New Roman"/>
          <w:sz w:val="12"/>
          <w:szCs w:val="12"/>
          <w:b w:val="1"/>
          <w:bCs w:val="1"/>
          <w:color w:val="auto"/>
        </w:rPr>
        <w:t xml:space="preserve"> Exhibit B </w:t>
      </w: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i w:val="1"/>
          <w:iCs w:val="1"/>
          <w:color w:val="auto"/>
        </w:rPr>
        <w:t>Registration Rights Agreement</w:t>
      </w:r>
      <w:r>
        <w:rPr>
          <w:rFonts w:ascii="Times New Roman" w:cs="Times New Roman" w:eastAsia="Times New Roman" w:hAnsi="Times New Roman"/>
          <w:sz w:val="12"/>
          <w:szCs w:val="12"/>
          <w:color w:val="auto"/>
        </w:rPr>
        <w:t>”), pursuant to which, among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 things, the Company will agree to provide certain registration rights with respect to the Common Shares and the Conversion Shares under the Securities Act and the rules and regulations promulgated thereunder and applicable state securities laws and (ii) the Company shall file with the Delaware Secretary of State the Certificate of Designation, duly executed by an officer of the Company.</w:t>
      </w:r>
    </w:p>
    <w:p>
      <w:pPr>
        <w:spacing w:after="0" w:line="1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color w:val="auto"/>
        </w:rPr>
        <w:t xml:space="preserve">NOW, THEREFORE, </w:t>
      </w:r>
      <w:r>
        <w:rPr>
          <w:rFonts w:ascii="Times New Roman" w:cs="Times New Roman" w:eastAsia="Times New Roman" w:hAnsi="Times New Roman"/>
          <w:sz w:val="12"/>
          <w:szCs w:val="12"/>
          <w:color w:val="auto"/>
        </w:rPr>
        <w:t>in consideration of the mutual covenants contained in this Agreement, and for other good and valuable consideration, the receipt and adequacy of which are hereby acknowledged, the Company and each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Purchaser, severally and not jointly, hereby agree as follows: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DEFINITIONS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color w:val="auto"/>
        </w:rPr>
        <w:t>1.1 Definitions</w:t>
      </w:r>
      <w:r>
        <w:rPr>
          <w:rFonts w:ascii="Times New Roman" w:cs="Times New Roman" w:eastAsia="Times New Roman" w:hAnsi="Times New Roman"/>
          <w:sz w:val="12"/>
          <w:szCs w:val="12"/>
          <w:color w:val="auto"/>
        </w:rPr>
        <w:t>. In addition to the terms defined elsewhere in this Agreement, for all purposes of this Agreement, the following terms shall have the meanings indicated in this Section 1.1:</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Acquiring Person</w:t>
      </w:r>
      <w:r>
        <w:rPr>
          <w:rFonts w:ascii="Times New Roman" w:cs="Times New Roman" w:eastAsia="Times New Roman" w:hAnsi="Times New Roman"/>
          <w:sz w:val="12"/>
          <w:szCs w:val="12"/>
          <w:color w:val="auto"/>
        </w:rPr>
        <w:t>” has the meaning set forth in Section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179070</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24" w:right="299" w:bottom="1440" w:gutter="0" w:footer="0" w:header="0"/>
        </w:sectPr>
      </w:pPr>
    </w:p>
    <w:bookmarkStart w:id="18" w:name="page19"/>
    <w:bookmarkEnd w:id="18"/>
    <w:p>
      <w:pPr>
        <w:ind w:firstLine="294"/>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Affiliate</w:t>
      </w:r>
      <w:r>
        <w:rPr>
          <w:rFonts w:ascii="Times New Roman" w:cs="Times New Roman" w:eastAsia="Times New Roman" w:hAnsi="Times New Roman"/>
          <w:sz w:val="12"/>
          <w:szCs w:val="12"/>
          <w:color w:val="auto"/>
        </w:rPr>
        <w:t>” means, with respect to any Person, any other Person that, directly or indirectly through one or more intermediaries, Controls, is controlled by or is under common control with such Person, as such terms are used in and construed under Rule 405 under the Securities Act.</w:t>
      </w:r>
    </w:p>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has the meaning set forth in the Preamble.</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Attribution Parties</w:t>
      </w:r>
      <w:r>
        <w:rPr>
          <w:rFonts w:ascii="Times New Roman" w:cs="Times New Roman" w:eastAsia="Times New Roman" w:hAnsi="Times New Roman"/>
          <w:sz w:val="12"/>
          <w:szCs w:val="12"/>
          <w:color w:val="auto"/>
        </w:rPr>
        <w:t>” has the meaning set forth in Section 4.11.</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Balance Sheet</w:t>
      </w:r>
      <w:r>
        <w:rPr>
          <w:rFonts w:ascii="Times New Roman" w:cs="Times New Roman" w:eastAsia="Times New Roman" w:hAnsi="Times New Roman"/>
          <w:sz w:val="12"/>
          <w:szCs w:val="12"/>
          <w:color w:val="auto"/>
        </w:rPr>
        <w:t>” means the unaudited consolidated balance sheet of the Company and its Subsidiaries as of March 31, 2024 included in the Company’s Quarterly Report on Form 10-Q filed with the Commission on May 8, 2024.</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Beneficial Ownership Limitation</w:t>
      </w:r>
      <w:r>
        <w:rPr>
          <w:rFonts w:ascii="Times New Roman" w:cs="Times New Roman" w:eastAsia="Times New Roman" w:hAnsi="Times New Roman"/>
          <w:sz w:val="12"/>
          <w:szCs w:val="12"/>
          <w:color w:val="auto"/>
        </w:rPr>
        <w:t>” has the meaning set forth in Section 4.11.</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Board of Directors</w:t>
      </w:r>
      <w:r>
        <w:rPr>
          <w:rFonts w:ascii="Times New Roman" w:cs="Times New Roman" w:eastAsia="Times New Roman" w:hAnsi="Times New Roman"/>
          <w:sz w:val="12"/>
          <w:szCs w:val="12"/>
          <w:color w:val="auto"/>
        </w:rPr>
        <w:t>” means the board of directors of the Company.</w:t>
      </w:r>
    </w:p>
    <w:p>
      <w:pPr>
        <w:spacing w:after="0" w:line="150" w:lineRule="exact"/>
        <w:rPr>
          <w:sz w:val="20"/>
          <w:szCs w:val="20"/>
          <w:color w:val="auto"/>
        </w:rPr>
      </w:pPr>
    </w:p>
    <w:p>
      <w:pPr>
        <w:ind w:right="60" w:firstLine="294"/>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Business Day</w:t>
      </w:r>
      <w:r>
        <w:rPr>
          <w:rFonts w:ascii="Times New Roman" w:cs="Times New Roman" w:eastAsia="Times New Roman" w:hAnsi="Times New Roman"/>
          <w:sz w:val="12"/>
          <w:szCs w:val="12"/>
          <w:color w:val="auto"/>
        </w:rPr>
        <w:t>” means any day except Saturday, Sunday, any day which is a federal legal holiday in the United States or any day on which banking institutions in the State of New York are authorized or required by law or other governmental action to close.</w:t>
      </w:r>
    </w:p>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Bylaws</w:t>
      </w:r>
      <w:r>
        <w:rPr>
          <w:rFonts w:ascii="Times New Roman" w:cs="Times New Roman" w:eastAsia="Times New Roman" w:hAnsi="Times New Roman"/>
          <w:sz w:val="12"/>
          <w:szCs w:val="12"/>
          <w:color w:val="auto"/>
        </w:rPr>
        <w:t>” has the meaning set forth in Section 2.3(a)(vi).</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Certificate of Designation</w:t>
      </w:r>
      <w:r>
        <w:rPr>
          <w:rFonts w:ascii="Times New Roman" w:cs="Times New Roman" w:eastAsia="Times New Roman" w:hAnsi="Times New Roman"/>
          <w:sz w:val="12"/>
          <w:szCs w:val="12"/>
          <w:color w:val="auto"/>
        </w:rPr>
        <w:t>” has the meaning set forth in the Recitals.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Charter</w:t>
      </w:r>
      <w:r>
        <w:rPr>
          <w:rFonts w:ascii="Times New Roman" w:cs="Times New Roman" w:eastAsia="Times New Roman" w:hAnsi="Times New Roman"/>
          <w:sz w:val="12"/>
          <w:szCs w:val="12"/>
          <w:color w:val="auto"/>
        </w:rPr>
        <w:t>” has the meaning set forth in Section 2.3(a)(vi).</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Closing</w:t>
      </w:r>
      <w:r>
        <w:rPr>
          <w:rFonts w:ascii="Times New Roman" w:cs="Times New Roman" w:eastAsia="Times New Roman" w:hAnsi="Times New Roman"/>
          <w:sz w:val="12"/>
          <w:szCs w:val="12"/>
          <w:color w:val="auto"/>
        </w:rPr>
        <w:t>” has the meaning set forth in Section 2.2(a).</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Clinical Information</w:t>
      </w:r>
      <w:r>
        <w:rPr>
          <w:rFonts w:ascii="Times New Roman" w:cs="Times New Roman" w:eastAsia="Times New Roman" w:hAnsi="Times New Roman"/>
          <w:sz w:val="12"/>
          <w:szCs w:val="12"/>
          <w:color w:val="auto"/>
        </w:rPr>
        <w:t>” has the meaning set forth in Section 3.1(z).</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Closing Date</w:t>
      </w:r>
      <w:r>
        <w:rPr>
          <w:rFonts w:ascii="Times New Roman" w:cs="Times New Roman" w:eastAsia="Times New Roman" w:hAnsi="Times New Roman"/>
          <w:sz w:val="12"/>
          <w:szCs w:val="12"/>
          <w:color w:val="auto"/>
        </w:rPr>
        <w:t>” has the meaning set forth in Section 2.2(a).</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Code</w:t>
      </w:r>
      <w:r>
        <w:rPr>
          <w:rFonts w:ascii="Times New Roman" w:cs="Times New Roman" w:eastAsia="Times New Roman" w:hAnsi="Times New Roman"/>
          <w:sz w:val="12"/>
          <w:szCs w:val="12"/>
          <w:color w:val="auto"/>
        </w:rPr>
        <w:t>” means the Internal Revenue Code of 1986, as amended.</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Commission</w:t>
      </w:r>
      <w:r>
        <w:rPr>
          <w:rFonts w:ascii="Times New Roman" w:cs="Times New Roman" w:eastAsia="Times New Roman" w:hAnsi="Times New Roman"/>
          <w:sz w:val="12"/>
          <w:szCs w:val="12"/>
          <w:color w:val="auto"/>
        </w:rPr>
        <w:t>” has the meaning set forth in the Recitals.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Common Shares</w:t>
      </w:r>
      <w:r>
        <w:rPr>
          <w:rFonts w:ascii="Times New Roman" w:cs="Times New Roman" w:eastAsia="Times New Roman" w:hAnsi="Times New Roman"/>
          <w:sz w:val="12"/>
          <w:szCs w:val="12"/>
          <w:color w:val="auto"/>
        </w:rPr>
        <w:t>” has the meaning set forth in the Recitals.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Common Stock</w:t>
      </w:r>
      <w:r>
        <w:rPr>
          <w:rFonts w:ascii="Times New Roman" w:cs="Times New Roman" w:eastAsia="Times New Roman" w:hAnsi="Times New Roman"/>
          <w:sz w:val="12"/>
          <w:szCs w:val="12"/>
          <w:color w:val="auto"/>
        </w:rPr>
        <w:t>” has the meaning set forth in the Recitals.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has the meaning set forth in the Preamble.</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Counsel</w:t>
      </w:r>
      <w:r>
        <w:rPr>
          <w:rFonts w:ascii="Times New Roman" w:cs="Times New Roman" w:eastAsia="Times New Roman" w:hAnsi="Times New Roman"/>
          <w:sz w:val="12"/>
          <w:szCs w:val="12"/>
          <w:color w:val="auto"/>
        </w:rPr>
        <w:t>” means Covington &amp; Burling LLP, with offices at One International Place, Suite 1020, Boston, Massachusetts 02110.</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Covered Person</w:t>
      </w:r>
      <w:r>
        <w:rPr>
          <w:rFonts w:ascii="Times New Roman" w:cs="Times New Roman" w:eastAsia="Times New Roman" w:hAnsi="Times New Roman"/>
          <w:sz w:val="12"/>
          <w:szCs w:val="12"/>
          <w:color w:val="auto"/>
        </w:rPr>
        <w:t>” has the meaning set forth in Section 3.1(mm).</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Deliverables</w:t>
      </w:r>
      <w:r>
        <w:rPr>
          <w:rFonts w:ascii="Times New Roman" w:cs="Times New Roman" w:eastAsia="Times New Roman" w:hAnsi="Times New Roman"/>
          <w:sz w:val="12"/>
          <w:szCs w:val="12"/>
          <w:color w:val="auto"/>
        </w:rPr>
        <w:t>” has the meaning set forth in Section 2.3(a).</w:t>
      </w:r>
    </w:p>
    <w:p>
      <w:pPr>
        <w:spacing w:after="0" w:line="150" w:lineRule="exact"/>
        <w:rPr>
          <w:sz w:val="20"/>
          <w:szCs w:val="20"/>
          <w:color w:val="auto"/>
        </w:rPr>
      </w:pPr>
    </w:p>
    <w:p>
      <w:pPr>
        <w:ind w:right="60" w:firstLine="294"/>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Company’s Knowledge</w:t>
      </w:r>
      <w:r>
        <w:rPr>
          <w:rFonts w:ascii="Times New Roman" w:cs="Times New Roman" w:eastAsia="Times New Roman" w:hAnsi="Times New Roman"/>
          <w:sz w:val="12"/>
          <w:szCs w:val="12"/>
          <w:color w:val="auto"/>
        </w:rPr>
        <w:t>” means with respect to any statement made to the Company’s Knowledge, that the statement is based upon the actual knowledge, or knowledge that would have been acquired after reasonable inquiry, of the executive officers or directors of the Company having responsibility for the matter or matters that are the subject of the statement.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9" w:name="page20"/>
    <w:bookmarkEnd w:id="19"/>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Confidential Data</w:t>
      </w:r>
      <w:r>
        <w:rPr>
          <w:rFonts w:ascii="Times New Roman" w:cs="Times New Roman" w:eastAsia="Times New Roman" w:hAnsi="Times New Roman"/>
          <w:sz w:val="12"/>
          <w:szCs w:val="12"/>
          <w:color w:val="auto"/>
        </w:rPr>
        <w:t>” has the meaning set forth in Section 3.1(nn).</w:t>
      </w:r>
    </w:p>
    <w:p>
      <w:pPr>
        <w:spacing w:after="0" w:line="150" w:lineRule="exact"/>
        <w:rPr>
          <w:sz w:val="20"/>
          <w:szCs w:val="20"/>
          <w:color w:val="auto"/>
        </w:rPr>
      </w:pPr>
    </w:p>
    <w:p>
      <w:pPr>
        <w:ind w:right="100" w:firstLine="294"/>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Contract</w:t>
      </w:r>
      <w:r>
        <w:rPr>
          <w:rFonts w:ascii="Times New Roman" w:cs="Times New Roman" w:eastAsia="Times New Roman" w:hAnsi="Times New Roman"/>
          <w:sz w:val="12"/>
          <w:szCs w:val="12"/>
          <w:color w:val="auto"/>
        </w:rPr>
        <w:t>” means, with respect to any Person, any written or oral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103" w:lineRule="exact"/>
        <w:rPr>
          <w:sz w:val="20"/>
          <w:szCs w:val="20"/>
          <w:color w:val="auto"/>
        </w:rPr>
      </w:pPr>
    </w:p>
    <w:p>
      <w:pPr>
        <w:ind w:firstLine="294"/>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Control</w:t>
      </w:r>
      <w:r>
        <w:rPr>
          <w:rFonts w:ascii="Times New Roman" w:cs="Times New Roman" w:eastAsia="Times New Roman" w:hAnsi="Times New Roman"/>
          <w:sz w:val="12"/>
          <w:szCs w:val="12"/>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Conversion Shares</w:t>
      </w:r>
      <w:r>
        <w:rPr>
          <w:rFonts w:ascii="Times New Roman" w:cs="Times New Roman" w:eastAsia="Times New Roman" w:hAnsi="Times New Roman"/>
          <w:sz w:val="12"/>
          <w:szCs w:val="12"/>
          <w:color w:val="auto"/>
        </w:rPr>
        <w:t>” has the meaning set forth in the Recitals.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Disclosure Deadline</w:t>
      </w:r>
      <w:r>
        <w:rPr>
          <w:rFonts w:ascii="Times New Roman" w:cs="Times New Roman" w:eastAsia="Times New Roman" w:hAnsi="Times New Roman"/>
          <w:sz w:val="12"/>
          <w:szCs w:val="12"/>
          <w:color w:val="auto"/>
        </w:rPr>
        <w:t>” has the meaning set forth in Section 4.4.</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Disqualification Event</w:t>
      </w:r>
      <w:r>
        <w:rPr>
          <w:rFonts w:ascii="Times New Roman" w:cs="Times New Roman" w:eastAsia="Times New Roman" w:hAnsi="Times New Roman"/>
          <w:sz w:val="12"/>
          <w:szCs w:val="12"/>
          <w:color w:val="auto"/>
        </w:rPr>
        <w:t>” has the meaning set forth in Section 3.1(mm).</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DTC</w:t>
      </w:r>
      <w:r>
        <w:rPr>
          <w:rFonts w:ascii="Times New Roman" w:cs="Times New Roman" w:eastAsia="Times New Roman" w:hAnsi="Times New Roman"/>
          <w:sz w:val="12"/>
          <w:szCs w:val="12"/>
          <w:color w:val="auto"/>
        </w:rPr>
        <w:t>” has the meaning set forth in Section 4.1(c).</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EDGAR</w:t>
      </w:r>
      <w:r>
        <w:rPr>
          <w:rFonts w:ascii="Times New Roman" w:cs="Times New Roman" w:eastAsia="Times New Roman" w:hAnsi="Times New Roman"/>
          <w:sz w:val="12"/>
          <w:szCs w:val="12"/>
          <w:color w:val="auto"/>
        </w:rPr>
        <w:t>” means the Commission’s Electronic Data Gathering, Analysis and Retrieval system.</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Effect</w:t>
      </w:r>
      <w:r>
        <w:rPr>
          <w:rFonts w:ascii="Times New Roman" w:cs="Times New Roman" w:eastAsia="Times New Roman" w:hAnsi="Times New Roman"/>
          <w:sz w:val="12"/>
          <w:szCs w:val="12"/>
          <w:color w:val="auto"/>
        </w:rPr>
        <w:t>” means any effect, change, event, circumstance, state of fact, occurrence or development.</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Effective Date</w:t>
      </w:r>
      <w:r>
        <w:rPr>
          <w:rFonts w:ascii="Times New Roman" w:cs="Times New Roman" w:eastAsia="Times New Roman" w:hAnsi="Times New Roman"/>
          <w:sz w:val="12"/>
          <w:szCs w:val="12"/>
          <w:color w:val="auto"/>
        </w:rPr>
        <w:t>” means the date on which the initial Registration Statement required by Section 2(a) of the Registration Rights Agreement is first declared effective by the Commission.</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Environmental Law</w:t>
      </w:r>
      <w:r>
        <w:rPr>
          <w:rFonts w:ascii="Times New Roman" w:cs="Times New Roman" w:eastAsia="Times New Roman" w:hAnsi="Times New Roman"/>
          <w:sz w:val="12"/>
          <w:szCs w:val="12"/>
          <w:color w:val="auto"/>
        </w:rPr>
        <w:t>” has the meaning set forth in Section 3.1(cc).</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ERISA</w:t>
      </w:r>
      <w:r>
        <w:rPr>
          <w:rFonts w:ascii="Times New Roman" w:cs="Times New Roman" w:eastAsia="Times New Roman" w:hAnsi="Times New Roman"/>
          <w:sz w:val="12"/>
          <w:szCs w:val="12"/>
          <w:color w:val="auto"/>
        </w:rPr>
        <w:t>” means the Employee Retirement Income Security Act of 1974, as amended.</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Exchange Act</w:t>
      </w:r>
      <w:r>
        <w:rPr>
          <w:rFonts w:ascii="Times New Roman" w:cs="Times New Roman" w:eastAsia="Times New Roman" w:hAnsi="Times New Roman"/>
          <w:sz w:val="12"/>
          <w:szCs w:val="12"/>
          <w:color w:val="auto"/>
        </w:rPr>
        <w:t>” means the Securities Exchange Act of 1934, as amended, or any successor statute, and the rules and regulations promulgated thereunder.</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Extended Stockholder Approval Period</w:t>
      </w:r>
      <w:r>
        <w:rPr>
          <w:rFonts w:ascii="Times New Roman" w:cs="Times New Roman" w:eastAsia="Times New Roman" w:hAnsi="Times New Roman"/>
          <w:sz w:val="12"/>
          <w:szCs w:val="12"/>
          <w:color w:val="auto"/>
        </w:rPr>
        <w:t>” has the meaning set forth in Section 4.12.</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GAAP</w:t>
      </w:r>
      <w:r>
        <w:rPr>
          <w:rFonts w:ascii="Times New Roman" w:cs="Times New Roman" w:eastAsia="Times New Roman" w:hAnsi="Times New Roman"/>
          <w:sz w:val="12"/>
          <w:szCs w:val="12"/>
          <w:color w:val="auto"/>
        </w:rPr>
        <w:t>” means generally accepted accounting principles and practices in effect from time to time within the United States applied consistently throughout the period involved.</w:t>
      </w:r>
    </w:p>
    <w:p>
      <w:pPr>
        <w:spacing w:after="0" w:line="150" w:lineRule="exact"/>
        <w:rPr>
          <w:sz w:val="20"/>
          <w:szCs w:val="20"/>
          <w:color w:val="auto"/>
        </w:rPr>
      </w:pPr>
    </w:p>
    <w:p>
      <w:pPr>
        <w:ind w:right="40" w:firstLine="294"/>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Governmental Authority</w:t>
      </w:r>
      <w:r>
        <w:rPr>
          <w:rFonts w:ascii="Times New Roman" w:cs="Times New Roman" w:eastAsia="Times New Roman" w:hAnsi="Times New Roman"/>
          <w:sz w:val="12"/>
          <w:szCs w:val="12"/>
          <w:color w:val="auto"/>
        </w:rPr>
        <w:t>”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any taxing authority) or (d) self-regulatory organization (including Nasdaq).</w:t>
      </w:r>
    </w:p>
    <w:p>
      <w:pPr>
        <w:spacing w:after="0" w:line="1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Hazardous Materials</w:t>
      </w:r>
      <w:r>
        <w:rPr>
          <w:rFonts w:ascii="Times New Roman" w:cs="Times New Roman" w:eastAsia="Times New Roman" w:hAnsi="Times New Roman"/>
          <w:sz w:val="12"/>
          <w:szCs w:val="12"/>
          <w:color w:val="auto"/>
        </w:rPr>
        <w:t>” has the meaning set forth in Section 3.1(cc).</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HIPAA</w:t>
      </w:r>
      <w:r>
        <w:rPr>
          <w:rFonts w:ascii="Times New Roman" w:cs="Times New Roman" w:eastAsia="Times New Roman" w:hAnsi="Times New Roman"/>
          <w:sz w:val="12"/>
          <w:szCs w:val="12"/>
          <w:color w:val="auto"/>
        </w:rPr>
        <w:t>” has the meaning set forth in Section 3.1(nn).</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Indemnified Person</w:t>
      </w:r>
      <w:r>
        <w:rPr>
          <w:rFonts w:ascii="Times New Roman" w:cs="Times New Roman" w:eastAsia="Times New Roman" w:hAnsi="Times New Roman"/>
          <w:sz w:val="12"/>
          <w:szCs w:val="12"/>
          <w:color w:val="auto"/>
        </w:rPr>
        <w:t>” has the meaning set forth in Section 4.14.</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Intellectual Property</w:t>
      </w:r>
      <w:r>
        <w:rPr>
          <w:rFonts w:ascii="Times New Roman" w:cs="Times New Roman" w:eastAsia="Times New Roman" w:hAnsi="Times New Roman"/>
          <w:sz w:val="12"/>
          <w:szCs w:val="12"/>
          <w:color w:val="auto"/>
        </w:rPr>
        <w:t>” has the meaning set forth in Section 3.1(o).</w:t>
      </w:r>
    </w:p>
    <w:p>
      <w:pPr>
        <w:spacing w:after="0" w:line="2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100"/>
          </w:cols>
          <w:pgMar w:left="300" w:top="125" w:right="499" w:bottom="1440" w:gutter="0" w:footer="0" w:header="0"/>
        </w:sectPr>
      </w:pPr>
    </w:p>
    <w:bookmarkStart w:id="20" w:name="page21"/>
    <w:bookmarkEnd w:id="20"/>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Irrevocable Transfer Agent Instructions</w:t>
      </w:r>
      <w:r>
        <w:rPr>
          <w:rFonts w:ascii="Times New Roman" w:cs="Times New Roman" w:eastAsia="Times New Roman" w:hAnsi="Times New Roman"/>
          <w:sz w:val="12"/>
          <w:szCs w:val="12"/>
          <w:color w:val="auto"/>
        </w:rPr>
        <w:t xml:space="preserve">” means, with respect to the Company, the Irrevocable Transfer Agent Instructions, in substantially the form of </w:t>
      </w:r>
      <w:r>
        <w:rPr>
          <w:rFonts w:ascii="Times New Roman" w:cs="Times New Roman" w:eastAsia="Times New Roman" w:hAnsi="Times New Roman"/>
          <w:sz w:val="12"/>
          <w:szCs w:val="12"/>
          <w:b w:val="1"/>
          <w:bCs w:val="1"/>
          <w:color w:val="auto"/>
        </w:rPr>
        <w:t>Exhibit D</w:t>
      </w:r>
      <w:r>
        <w:rPr>
          <w:rFonts w:ascii="Times New Roman" w:cs="Times New Roman" w:eastAsia="Times New Roman" w:hAnsi="Times New Roman"/>
          <w:sz w:val="12"/>
          <w:szCs w:val="12"/>
          <w:color w:val="auto"/>
        </w:rPr>
        <w:t>, executed by the Company and delivered to the Transfer Agent.</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IT Systems</w:t>
      </w:r>
      <w:r>
        <w:rPr>
          <w:rFonts w:ascii="Times New Roman" w:cs="Times New Roman" w:eastAsia="Times New Roman" w:hAnsi="Times New Roman"/>
          <w:sz w:val="12"/>
          <w:szCs w:val="12"/>
          <w:color w:val="auto"/>
        </w:rPr>
        <w:t>” has the meaning set forth in Section 3.1(nn).</w:t>
      </w:r>
    </w:p>
    <w:p>
      <w:pPr>
        <w:spacing w:after="0" w:line="150" w:lineRule="exact"/>
        <w:rPr>
          <w:sz w:val="20"/>
          <w:szCs w:val="20"/>
          <w:color w:val="auto"/>
        </w:rPr>
      </w:pPr>
    </w:p>
    <w:p>
      <w:pPr>
        <w:jc w:val="both"/>
        <w:ind w:right="140" w:firstLine="294"/>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Law</w:t>
      </w:r>
      <w:r>
        <w:rPr>
          <w:rFonts w:ascii="Times New Roman" w:cs="Times New Roman" w:eastAsia="Times New Roman" w:hAnsi="Times New Roman"/>
          <w:sz w:val="12"/>
          <w:szCs w:val="12"/>
          <w:color w:val="auto"/>
        </w:rPr>
        <w:t>” means any federal, state, national, supra-national, foreign, local or municipal or other law, statute, constitution, principle of common law, resolution, ordinance, code, edict, decree, rule, regulation, ruling, order, judgment or requirement issued, enacted, adopted, promulgated, implemented or otherwise put into effect by or under the authority of any Governmental Authority (including under the authority of Nasdaq or the Financial Industry Regulatory Authority, Inc.).</w:t>
      </w:r>
    </w:p>
    <w:p>
      <w:pPr>
        <w:spacing w:after="0" w:line="114" w:lineRule="exact"/>
        <w:rPr>
          <w:sz w:val="20"/>
          <w:szCs w:val="20"/>
          <w:color w:val="auto"/>
        </w:rPr>
      </w:pPr>
    </w:p>
    <w:p>
      <w:pPr>
        <w:ind w:firstLine="294"/>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Material Adverse Effect</w:t>
      </w:r>
      <w:r>
        <w:rPr>
          <w:rFonts w:ascii="Times New Roman" w:cs="Times New Roman" w:eastAsia="Times New Roman" w:hAnsi="Times New Roman"/>
          <w:sz w:val="12"/>
          <w:szCs w:val="12"/>
          <w:color w:val="auto"/>
        </w:rPr>
        <w:t>” means any Effect, individually or together with any other Effect, that (a) has had, has, or would reasonably be expected to have a material adverse effect on the business, properties, financial condition, results of operations or prospects related thereto of the Company and its Subsidiaries, taken as a whole; (b) prevents or materially interferes with the consummation of the transactions contemplated hereby or (c) results in the delisting of the Common Stock from Nasdaq.</w:t>
      </w:r>
    </w:p>
    <w:p>
      <w:pPr>
        <w:spacing w:after="0" w:line="1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Nasdaq</w:t>
      </w:r>
      <w:r>
        <w:rPr>
          <w:rFonts w:ascii="Times New Roman" w:cs="Times New Roman" w:eastAsia="Times New Roman" w:hAnsi="Times New Roman"/>
          <w:sz w:val="12"/>
          <w:szCs w:val="12"/>
          <w:color w:val="auto"/>
        </w:rPr>
        <w:t>” means The Nasdaq Stock Market LLC.</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New York Courts</w:t>
      </w:r>
      <w:r>
        <w:rPr>
          <w:rFonts w:ascii="Times New Roman" w:cs="Times New Roman" w:eastAsia="Times New Roman" w:hAnsi="Times New Roman"/>
          <w:sz w:val="12"/>
          <w:szCs w:val="12"/>
          <w:color w:val="auto"/>
        </w:rPr>
        <w:t>” means the state and federal courts sitting in the City of New York, Borough of Manhattan.</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Outside Date</w:t>
      </w:r>
      <w:r>
        <w:rPr>
          <w:rFonts w:ascii="Times New Roman" w:cs="Times New Roman" w:eastAsia="Times New Roman" w:hAnsi="Times New Roman"/>
          <w:sz w:val="12"/>
          <w:szCs w:val="12"/>
          <w:color w:val="auto"/>
        </w:rPr>
        <w:t>” means the fifth Business Day following the date of this Agreement.</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 Share Purchase Price</w:t>
      </w:r>
      <w:r>
        <w:rPr>
          <w:rFonts w:ascii="Times New Roman" w:cs="Times New Roman" w:eastAsia="Times New Roman" w:hAnsi="Times New Roman"/>
          <w:sz w:val="12"/>
          <w:szCs w:val="12"/>
          <w:color w:val="auto"/>
        </w:rPr>
        <w:t>” means $20.00 per Common Share and $20.00 per Preferred Share.</w:t>
      </w:r>
    </w:p>
    <w:p>
      <w:pPr>
        <w:spacing w:after="0" w:line="150" w:lineRule="exact"/>
        <w:rPr>
          <w:sz w:val="20"/>
          <w:szCs w:val="20"/>
          <w:color w:val="auto"/>
        </w:rPr>
      </w:pPr>
    </w:p>
    <w:p>
      <w:pPr>
        <w:ind w:right="260" w:firstLine="294"/>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Person</w:t>
      </w:r>
      <w:r>
        <w:rPr>
          <w:rFonts w:ascii="Times New Roman" w:cs="Times New Roman" w:eastAsia="Times New Roman" w:hAnsi="Times New Roman"/>
          <w:sz w:val="12"/>
          <w:szCs w:val="12"/>
          <w:color w:val="auto"/>
        </w:rPr>
        <w:t>” means an individual or a corporation, partnership, trust, incorporated or unincorporated association, joint venture, limited liability company, joint stock company, government (or an agency or subdivision thereof) or other entity of any kind.</w:t>
      </w:r>
    </w:p>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Personal Data</w:t>
      </w:r>
      <w:r>
        <w:rPr>
          <w:rFonts w:ascii="Times New Roman" w:cs="Times New Roman" w:eastAsia="Times New Roman" w:hAnsi="Times New Roman"/>
          <w:sz w:val="12"/>
          <w:szCs w:val="12"/>
          <w:color w:val="auto"/>
        </w:rPr>
        <w:t>” has the meaning set forth in Section 3.1(nn).</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Placement Agents</w:t>
      </w:r>
      <w:r>
        <w:rPr>
          <w:rFonts w:ascii="Times New Roman" w:cs="Times New Roman" w:eastAsia="Times New Roman" w:hAnsi="Times New Roman"/>
          <w:sz w:val="12"/>
          <w:szCs w:val="12"/>
          <w:color w:val="auto"/>
        </w:rPr>
        <w:t>” has the meaning set forth in the Recitals.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Plan</w:t>
      </w:r>
      <w:r>
        <w:rPr>
          <w:rFonts w:ascii="Times New Roman" w:cs="Times New Roman" w:eastAsia="Times New Roman" w:hAnsi="Times New Roman"/>
          <w:sz w:val="12"/>
          <w:szCs w:val="12"/>
          <w:color w:val="auto"/>
        </w:rPr>
        <w:t>” has the meaning set forth in Section 3.1(l).</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Preferred Shares</w:t>
      </w:r>
      <w:r>
        <w:rPr>
          <w:rFonts w:ascii="Times New Roman" w:cs="Times New Roman" w:eastAsia="Times New Roman" w:hAnsi="Times New Roman"/>
          <w:sz w:val="12"/>
          <w:szCs w:val="12"/>
          <w:color w:val="auto"/>
        </w:rPr>
        <w:t>” has the meaning set forth in the Recitals.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Press Release</w:t>
      </w:r>
      <w:r>
        <w:rPr>
          <w:rFonts w:ascii="Times New Roman" w:cs="Times New Roman" w:eastAsia="Times New Roman" w:hAnsi="Times New Roman"/>
          <w:sz w:val="12"/>
          <w:szCs w:val="12"/>
          <w:color w:val="auto"/>
        </w:rPr>
        <w:t>” has the meaning set forth in Section 4.4.</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Principal Trading Market</w:t>
      </w:r>
      <w:r>
        <w:rPr>
          <w:rFonts w:ascii="Times New Roman" w:cs="Times New Roman" w:eastAsia="Times New Roman" w:hAnsi="Times New Roman"/>
          <w:sz w:val="12"/>
          <w:szCs w:val="12"/>
          <w:color w:val="auto"/>
        </w:rPr>
        <w:t>” means the Trading Market on which the Common Stock is primarily listed on and quoted for trading, which, as of the date of this Agreement and the Closing Date, shall be the Nasdaq Global Market.</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Privacy Laws</w:t>
      </w:r>
      <w:r>
        <w:rPr>
          <w:rFonts w:ascii="Times New Roman" w:cs="Times New Roman" w:eastAsia="Times New Roman" w:hAnsi="Times New Roman"/>
          <w:sz w:val="12"/>
          <w:szCs w:val="12"/>
          <w:color w:val="auto"/>
        </w:rPr>
        <w:t>” has the meaning set forth in Section 3.1(oo).</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Privacy Statements</w:t>
      </w:r>
      <w:r>
        <w:rPr>
          <w:rFonts w:ascii="Times New Roman" w:cs="Times New Roman" w:eastAsia="Times New Roman" w:hAnsi="Times New Roman"/>
          <w:sz w:val="12"/>
          <w:szCs w:val="12"/>
          <w:color w:val="auto"/>
        </w:rPr>
        <w:t>” has the meaning set forth in Section 3.1(oo).</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Proceeding</w:t>
      </w:r>
      <w:r>
        <w:rPr>
          <w:rFonts w:ascii="Times New Roman" w:cs="Times New Roman" w:eastAsia="Times New Roman" w:hAnsi="Times New Roman"/>
          <w:sz w:val="12"/>
          <w:szCs w:val="12"/>
          <w:color w:val="auto"/>
        </w:rPr>
        <w:t>” means an action, claim, suit, investigation or proceeding (including, without limitation, an investigation or partial proceeding, such as a deposition), whether commenced or threatened.</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Process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Processing</w:t>
      </w:r>
      <w:r>
        <w:rPr>
          <w:rFonts w:ascii="Times New Roman" w:cs="Times New Roman" w:eastAsia="Times New Roman" w:hAnsi="Times New Roman"/>
          <w:sz w:val="12"/>
          <w:szCs w:val="12"/>
          <w:color w:val="auto"/>
        </w:rPr>
        <w:t>” has the meanings set forth in Section 3.1(oo).</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Purchaser</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Purchasers</w:t>
      </w:r>
      <w:r>
        <w:rPr>
          <w:rFonts w:ascii="Times New Roman" w:cs="Times New Roman" w:eastAsia="Times New Roman" w:hAnsi="Times New Roman"/>
          <w:sz w:val="12"/>
          <w:szCs w:val="12"/>
          <w:color w:val="auto"/>
        </w:rPr>
        <w:t>” has the meaning set forth in the Preamble.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1" w:name="page22"/>
    <w:bookmarkEnd w:id="21"/>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Purchaser Deliverables</w:t>
      </w:r>
      <w:r>
        <w:rPr>
          <w:rFonts w:ascii="Times New Roman" w:cs="Times New Roman" w:eastAsia="Times New Roman" w:hAnsi="Times New Roman"/>
          <w:sz w:val="12"/>
          <w:szCs w:val="12"/>
          <w:color w:val="auto"/>
        </w:rPr>
        <w:t>” has the meaning set forth in Section 2.3(b).</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Purchaser Party</w:t>
      </w:r>
      <w:r>
        <w:rPr>
          <w:rFonts w:ascii="Times New Roman" w:cs="Times New Roman" w:eastAsia="Times New Roman" w:hAnsi="Times New Roman"/>
          <w:sz w:val="12"/>
          <w:szCs w:val="12"/>
          <w:color w:val="auto"/>
        </w:rPr>
        <w:t>” has the meaning set forth in Section 4.14.</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Registrable Securities</w:t>
      </w:r>
      <w:r>
        <w:rPr>
          <w:rFonts w:ascii="Times New Roman" w:cs="Times New Roman" w:eastAsia="Times New Roman" w:hAnsi="Times New Roman"/>
          <w:sz w:val="12"/>
          <w:szCs w:val="12"/>
          <w:color w:val="auto"/>
        </w:rPr>
        <w:t>” has the meaning set forth in the Registration Rights Agreement.</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Registration Rights Agreement</w:t>
      </w:r>
      <w:r>
        <w:rPr>
          <w:rFonts w:ascii="Times New Roman" w:cs="Times New Roman" w:eastAsia="Times New Roman" w:hAnsi="Times New Roman"/>
          <w:sz w:val="12"/>
          <w:szCs w:val="12"/>
          <w:color w:val="auto"/>
        </w:rPr>
        <w:t>” has the meaning set forth in the Recitals.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Registration Statement</w:t>
      </w:r>
      <w:r>
        <w:rPr>
          <w:rFonts w:ascii="Times New Roman" w:cs="Times New Roman" w:eastAsia="Times New Roman" w:hAnsi="Times New Roman"/>
          <w:sz w:val="12"/>
          <w:szCs w:val="12"/>
          <w:color w:val="auto"/>
        </w:rPr>
        <w:t>” means a registration statement meeting the requirements set forth in the Registration Rights Agreement and covering the resale by the Purchasers of the Registrable Securities.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Regulation D</w:t>
      </w:r>
      <w:r>
        <w:rPr>
          <w:rFonts w:ascii="Times New Roman" w:cs="Times New Roman" w:eastAsia="Times New Roman" w:hAnsi="Times New Roman"/>
          <w:sz w:val="12"/>
          <w:szCs w:val="12"/>
          <w:color w:val="auto"/>
        </w:rPr>
        <w:t>” has the meaning set forth in the Recitals.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Regulatory Agencies</w:t>
      </w:r>
      <w:r>
        <w:rPr>
          <w:rFonts w:ascii="Times New Roman" w:cs="Times New Roman" w:eastAsia="Times New Roman" w:hAnsi="Times New Roman"/>
          <w:sz w:val="12"/>
          <w:szCs w:val="12"/>
          <w:color w:val="auto"/>
        </w:rPr>
        <w:t>” has the meaning set forth in Section 3.1(kk).</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Requisite Stockholder Approval</w:t>
      </w:r>
      <w:r>
        <w:rPr>
          <w:rFonts w:ascii="Times New Roman" w:cs="Times New Roman" w:eastAsia="Times New Roman" w:hAnsi="Times New Roman"/>
          <w:sz w:val="12"/>
          <w:szCs w:val="12"/>
          <w:color w:val="auto"/>
        </w:rPr>
        <w:t>” has the meaning set forth in Section 4.12.</w:t>
      </w:r>
    </w:p>
    <w:p>
      <w:pPr>
        <w:spacing w:after="0" w:line="150" w:lineRule="exact"/>
        <w:rPr>
          <w:sz w:val="20"/>
          <w:szCs w:val="20"/>
          <w:color w:val="auto"/>
        </w:rPr>
      </w:pPr>
    </w:p>
    <w:p>
      <w:pPr>
        <w:ind w:right="380" w:firstLine="294"/>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Rule 144</w:t>
      </w:r>
      <w:r>
        <w:rPr>
          <w:rFonts w:ascii="Times New Roman" w:cs="Times New Roman" w:eastAsia="Times New Roman" w:hAnsi="Times New Roman"/>
          <w:sz w:val="12"/>
          <w:szCs w:val="12"/>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Sanctioned Country</w:t>
      </w:r>
      <w:r>
        <w:rPr>
          <w:rFonts w:ascii="Times New Roman" w:cs="Times New Roman" w:eastAsia="Times New Roman" w:hAnsi="Times New Roman"/>
          <w:sz w:val="12"/>
          <w:szCs w:val="12"/>
          <w:color w:val="auto"/>
        </w:rPr>
        <w:t>” has the meaning set forth in Section 3.1(gg).</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Sanctions</w:t>
      </w:r>
      <w:r>
        <w:rPr>
          <w:rFonts w:ascii="Times New Roman" w:cs="Times New Roman" w:eastAsia="Times New Roman" w:hAnsi="Times New Roman"/>
          <w:sz w:val="12"/>
          <w:szCs w:val="12"/>
          <w:color w:val="auto"/>
        </w:rPr>
        <w:t>” has the meaning set forth in Section 3.1(gg).</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Sarbanes-Oxley Act</w:t>
      </w:r>
      <w:r>
        <w:rPr>
          <w:rFonts w:ascii="Times New Roman" w:cs="Times New Roman" w:eastAsia="Times New Roman" w:hAnsi="Times New Roman"/>
          <w:sz w:val="12"/>
          <w:szCs w:val="12"/>
          <w:color w:val="auto"/>
        </w:rPr>
        <w:t>” has the meaning set forth in Section 3.1(s).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SEC Reports</w:t>
      </w:r>
      <w:r>
        <w:rPr>
          <w:rFonts w:ascii="Times New Roman" w:cs="Times New Roman" w:eastAsia="Times New Roman" w:hAnsi="Times New Roman"/>
          <w:sz w:val="12"/>
          <w:szCs w:val="12"/>
          <w:color w:val="auto"/>
        </w:rPr>
        <w:t>” has the meaning set forth in Section 3.1(g).</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Secretary’s Certificate</w:t>
      </w:r>
      <w:r>
        <w:rPr>
          <w:rFonts w:ascii="Times New Roman" w:cs="Times New Roman" w:eastAsia="Times New Roman" w:hAnsi="Times New Roman"/>
          <w:sz w:val="12"/>
          <w:szCs w:val="12"/>
          <w:color w:val="auto"/>
        </w:rPr>
        <w:t>” has the meaning set forth in 2.3(a)(vi).</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Securities</w:t>
      </w:r>
      <w:r>
        <w:rPr>
          <w:rFonts w:ascii="Times New Roman" w:cs="Times New Roman" w:eastAsia="Times New Roman" w:hAnsi="Times New Roman"/>
          <w:sz w:val="12"/>
          <w:szCs w:val="12"/>
          <w:color w:val="auto"/>
        </w:rPr>
        <w:t>” has the meaning set forth in the Recitals.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Securities Act</w:t>
      </w:r>
      <w:r>
        <w:rPr>
          <w:rFonts w:ascii="Times New Roman" w:cs="Times New Roman" w:eastAsia="Times New Roman" w:hAnsi="Times New Roman"/>
          <w:sz w:val="12"/>
          <w:szCs w:val="12"/>
          <w:color w:val="auto"/>
        </w:rPr>
        <w:t>” has the meaning set forth in the Recitals.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Series A Preferred Stock</w:t>
      </w:r>
      <w:r>
        <w:rPr>
          <w:rFonts w:ascii="Times New Roman" w:cs="Times New Roman" w:eastAsia="Times New Roman" w:hAnsi="Times New Roman"/>
          <w:sz w:val="12"/>
          <w:szCs w:val="12"/>
          <w:color w:val="auto"/>
        </w:rPr>
        <w:t>” means Series A Non-Voting Convertible Preferred Stock of the Company, par value $0.0001 per share.</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Series B Preferred Stock</w:t>
      </w:r>
      <w:r>
        <w:rPr>
          <w:rFonts w:ascii="Times New Roman" w:cs="Times New Roman" w:eastAsia="Times New Roman" w:hAnsi="Times New Roman"/>
          <w:sz w:val="12"/>
          <w:szCs w:val="12"/>
          <w:color w:val="auto"/>
        </w:rPr>
        <w:t>” has the meaning set forth in the Recitals.</w:t>
      </w:r>
    </w:p>
    <w:p>
      <w:pPr>
        <w:spacing w:after="0" w:line="150" w:lineRule="exact"/>
        <w:rPr>
          <w:sz w:val="20"/>
          <w:szCs w:val="20"/>
          <w:color w:val="auto"/>
        </w:rPr>
      </w:pPr>
    </w:p>
    <w:p>
      <w:pPr>
        <w:ind w:right="20" w:firstLine="294"/>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Short Sales</w:t>
      </w:r>
      <w:r>
        <w:rPr>
          <w:rFonts w:ascii="Times New Roman" w:cs="Times New Roman" w:eastAsia="Times New Roman" w:hAnsi="Times New Roman"/>
          <w:sz w:val="12"/>
          <w:szCs w:val="12"/>
          <w:color w:val="auto"/>
        </w:rPr>
        <w:t>”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w:t>
      </w:r>
    </w:p>
    <w:p>
      <w:pPr>
        <w:spacing w:after="0" w:line="1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Special Meeting</w:t>
      </w:r>
      <w:r>
        <w:rPr>
          <w:rFonts w:ascii="Times New Roman" w:cs="Times New Roman" w:eastAsia="Times New Roman" w:hAnsi="Times New Roman"/>
          <w:sz w:val="12"/>
          <w:szCs w:val="12"/>
          <w:color w:val="auto"/>
        </w:rPr>
        <w:t>” has the meaning set forth in Section 4.12.</w:t>
      </w:r>
    </w:p>
    <w:p>
      <w:pPr>
        <w:spacing w:after="0" w:line="150" w:lineRule="exact"/>
        <w:rPr>
          <w:sz w:val="20"/>
          <w:szCs w:val="20"/>
          <w:color w:val="auto"/>
        </w:rPr>
      </w:pPr>
    </w:p>
    <w:p>
      <w:pPr>
        <w:ind w:firstLine="294"/>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Subscription Amount</w:t>
      </w:r>
      <w:r>
        <w:rPr>
          <w:rFonts w:ascii="Times New Roman" w:cs="Times New Roman" w:eastAsia="Times New Roman" w:hAnsi="Times New Roman"/>
          <w:sz w:val="12"/>
          <w:szCs w:val="12"/>
          <w:color w:val="auto"/>
        </w:rPr>
        <w:t>” means, with respect to each Purchaser, the aggregate amount to be paid for the Securities purchased hereunder by such Purchaser set forth in the “Aggregate Purchase Price” column opposite such Purchaser’s name in the table set forth on Annex A, in United States dollars and in immediately available funds, which amount represents the number and type of Securities purchased by such Purchaser multiplied by the applicable Per Share Purchase Price.</w:t>
      </w: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22" w:name="page23"/>
    <w:bookmarkEnd w:id="22"/>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Subsidiary</w:t>
      </w:r>
      <w:r>
        <w:rPr>
          <w:rFonts w:ascii="Times New Roman" w:cs="Times New Roman" w:eastAsia="Times New Roman" w:hAnsi="Times New Roman"/>
          <w:sz w:val="12"/>
          <w:szCs w:val="12"/>
          <w:color w:val="auto"/>
        </w:rPr>
        <w:t>” means any significant subsidiary of the Company.</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Trading Day</w:t>
      </w:r>
      <w:r>
        <w:rPr>
          <w:rFonts w:ascii="Times New Roman" w:cs="Times New Roman" w:eastAsia="Times New Roman" w:hAnsi="Times New Roman"/>
          <w:sz w:val="12"/>
          <w:szCs w:val="12"/>
          <w:color w:val="auto"/>
        </w:rPr>
        <w:t>” means a day on which the Principal Trading Market is open for business.</w:t>
      </w:r>
    </w:p>
    <w:p>
      <w:pPr>
        <w:spacing w:after="0" w:line="150" w:lineRule="exact"/>
        <w:rPr>
          <w:sz w:val="20"/>
          <w:szCs w:val="20"/>
          <w:color w:val="auto"/>
        </w:rPr>
      </w:pPr>
    </w:p>
    <w:p>
      <w:pPr>
        <w:ind w:right="360" w:firstLine="294"/>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Trading Market</w:t>
      </w:r>
      <w:r>
        <w:rPr>
          <w:rFonts w:ascii="Times New Roman" w:cs="Times New Roman" w:eastAsia="Times New Roman" w:hAnsi="Times New Roman"/>
          <w:sz w:val="12"/>
          <w:szCs w:val="12"/>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03" w:lineRule="exact"/>
        <w:rPr>
          <w:sz w:val="20"/>
          <w:szCs w:val="20"/>
          <w:color w:val="auto"/>
        </w:rPr>
      </w:pPr>
    </w:p>
    <w:p>
      <w:pPr>
        <w:ind w:right="500" w:firstLine="294"/>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Transaction Documents</w:t>
      </w:r>
      <w:r>
        <w:rPr>
          <w:rFonts w:ascii="Times New Roman" w:cs="Times New Roman" w:eastAsia="Times New Roman" w:hAnsi="Times New Roman"/>
          <w:sz w:val="12"/>
          <w:szCs w:val="12"/>
          <w:color w:val="auto"/>
        </w:rPr>
        <w:t>” means this Agreement, the schedules and exhibits attached hereto, the Registration Rights Agreement, the Certificate of Designation, the Irrevocable Transfer Agent Instructions and any other documents or agreements explicitly contemplated hereunder.</w:t>
      </w:r>
    </w:p>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Transfer Agent</w:t>
      </w:r>
      <w:r>
        <w:rPr>
          <w:rFonts w:ascii="Times New Roman" w:cs="Times New Roman" w:eastAsia="Times New Roman" w:hAnsi="Times New Roman"/>
          <w:sz w:val="12"/>
          <w:szCs w:val="12"/>
          <w:color w:val="auto"/>
        </w:rPr>
        <w:t>” means Equiniti Trust Company, LLC, the current transfer agent of the Company, or any successor transfer agent for the Company.</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USPTO</w:t>
      </w:r>
      <w:r>
        <w:rPr>
          <w:rFonts w:ascii="Times New Roman" w:cs="Times New Roman" w:eastAsia="Times New Roman" w:hAnsi="Times New Roman"/>
          <w:sz w:val="12"/>
          <w:szCs w:val="12"/>
          <w:color w:val="auto"/>
        </w:rPr>
        <w:t>” has the meaning set forth in Section 3.1(o).</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ARTICLE 2</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PURCHASE AND SALE</w:t>
      </w:r>
    </w:p>
    <w:p>
      <w:pPr>
        <w:spacing w:after="0" w:line="150" w:lineRule="exact"/>
        <w:rPr>
          <w:sz w:val="20"/>
          <w:szCs w:val="20"/>
          <w:color w:val="auto"/>
        </w:rPr>
      </w:pPr>
    </w:p>
    <w:p>
      <w:pPr>
        <w:ind w:right="20" w:firstLine="294"/>
        <w:spacing w:after="0" w:line="268" w:lineRule="auto"/>
        <w:rPr>
          <w:sz w:val="20"/>
          <w:szCs w:val="20"/>
          <w:color w:val="auto"/>
        </w:rPr>
      </w:pPr>
      <w:r>
        <w:rPr>
          <w:rFonts w:ascii="Times New Roman" w:cs="Times New Roman" w:eastAsia="Times New Roman" w:hAnsi="Times New Roman"/>
          <w:sz w:val="12"/>
          <w:szCs w:val="12"/>
          <w:b w:val="1"/>
          <w:bCs w:val="1"/>
          <w:color w:val="auto"/>
        </w:rPr>
        <w:t>2.1 Purchase and Sale</w:t>
      </w:r>
      <w:r>
        <w:rPr>
          <w:rFonts w:ascii="Times New Roman" w:cs="Times New Roman" w:eastAsia="Times New Roman" w:hAnsi="Times New Roman"/>
          <w:sz w:val="12"/>
          <w:szCs w:val="12"/>
          <w:color w:val="auto"/>
        </w:rPr>
        <w:t>. On the Closing Date, upon the terms and subject to the conditions set forth herein, the Company will issue and sell to the Purchasers, and the Purchasers will purchase, severally and not jointly, the number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Securities set forth opposite the names of each such Purchaser under the headings “Number of Common Shares Purchased” and “Number of Preferred Shares Purchased” on Annex A, for the aggregate purchase price set forth opposite the name of such Purchaser under the heading “Aggregate Purchase Price” on Annex A.</w:t>
      </w:r>
    </w:p>
    <w:p>
      <w:pPr>
        <w:spacing w:after="0" w:line="1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color w:val="auto"/>
        </w:rPr>
        <w:t>2.2 Closing</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60" w:firstLine="653"/>
        <w:spacing w:after="0" w:line="286" w:lineRule="auto"/>
        <w:tabs>
          <w:tab w:leader="none" w:pos="831" w:val="left"/>
        </w:tabs>
        <w:numPr>
          <w:ilvl w:val="0"/>
          <w:numId w:val="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Closing</w:t>
      </w:r>
      <w:r>
        <w:rPr>
          <w:rFonts w:ascii="Times New Roman" w:cs="Times New Roman" w:eastAsia="Times New Roman" w:hAnsi="Times New Roman"/>
          <w:sz w:val="12"/>
          <w:szCs w:val="12"/>
          <w:color w:val="auto"/>
        </w:rPr>
        <w:t>. Upon the satisfaction or waiver of the conditions set forth in Section 2.1, Section 2.2 and Article 5, the closing of the purchase and sale of the Securities (the “</w:t>
      </w:r>
      <w:r>
        <w:rPr>
          <w:rFonts w:ascii="Times New Roman" w:cs="Times New Roman" w:eastAsia="Times New Roman" w:hAnsi="Times New Roman"/>
          <w:sz w:val="12"/>
          <w:szCs w:val="12"/>
          <w:b w:val="1"/>
          <w:bCs w:val="1"/>
          <w:i w:val="1"/>
          <w:iCs w:val="1"/>
          <w:color w:val="auto"/>
        </w:rPr>
        <w:t>Closing</w:t>
      </w:r>
      <w:r>
        <w:rPr>
          <w:rFonts w:ascii="Times New Roman" w:cs="Times New Roman" w:eastAsia="Times New Roman" w:hAnsi="Times New Roman"/>
          <w:sz w:val="12"/>
          <w:szCs w:val="12"/>
          <w:color w:val="auto"/>
        </w:rPr>
        <w:t>”) shall take place remotely via exchange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executed documents and funds on the first Business Day after the date hereof (the “</w:t>
      </w:r>
      <w:r>
        <w:rPr>
          <w:rFonts w:ascii="Times New Roman" w:cs="Times New Roman" w:eastAsia="Times New Roman" w:hAnsi="Times New Roman"/>
          <w:sz w:val="12"/>
          <w:szCs w:val="12"/>
          <w:b w:val="1"/>
          <w:bCs w:val="1"/>
          <w:i w:val="1"/>
          <w:iCs w:val="1"/>
          <w:color w:val="auto"/>
        </w:rPr>
        <w:t>Closing Date</w:t>
      </w:r>
      <w:r>
        <w:rPr>
          <w:rFonts w:ascii="Times New Roman" w:cs="Times New Roman" w:eastAsia="Times New Roman" w:hAnsi="Times New Roman"/>
          <w:sz w:val="12"/>
          <w:szCs w:val="12"/>
          <w:color w:val="auto"/>
        </w:rPr>
        <w:t>”).</w:t>
      </w:r>
    </w:p>
    <w:p>
      <w:pPr>
        <w:spacing w:after="0" w:line="103" w:lineRule="exact"/>
        <w:rPr>
          <w:rFonts w:ascii="Times New Roman" w:cs="Times New Roman" w:eastAsia="Times New Roman" w:hAnsi="Times New Roman"/>
          <w:sz w:val="12"/>
          <w:szCs w:val="12"/>
          <w:b w:val="1"/>
          <w:bCs w:val="1"/>
          <w:color w:val="auto"/>
        </w:rPr>
      </w:pPr>
    </w:p>
    <w:p>
      <w:pPr>
        <w:ind w:firstLine="653"/>
        <w:spacing w:after="0" w:line="254" w:lineRule="auto"/>
        <w:tabs>
          <w:tab w:leader="none" w:pos="838" w:val="left"/>
        </w:tabs>
        <w:numPr>
          <w:ilvl w:val="0"/>
          <w:numId w:val="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Payment and Delivery of Securities</w:t>
      </w:r>
      <w:r>
        <w:rPr>
          <w:rFonts w:ascii="Times New Roman" w:cs="Times New Roman" w:eastAsia="Times New Roman" w:hAnsi="Times New Roman"/>
          <w:sz w:val="12"/>
          <w:szCs w:val="12"/>
          <w:color w:val="auto"/>
        </w:rPr>
        <w:t>. On or prior to the Closing Date and subject to the last sentence of this Section 2.2(b), each Purchaser shall deliver to the Company such Purchaser’s Subscription Amount via wire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transfer of immediately available funds to the account designated in Annex B or by other means approved by the Company on or prior to the Closing Date. At the Closing, the Company shall deliver to such Purchaser against payment therefor a book-entry statement from the Transfer Agent evidencing the number and type of Securities set forth opposite such Purchaser’s name on Annex A, registered in the name of such Purchaser (or its nominee in accordance with its delivery instructions), free and clear of any liens or restrictions (other than those arising under state and federal securities laws) and bearing the legend set forth in Section 4.1(b). If a Purchaser has delivered the Subscription Amount prior to the Closing Date, and the Closing does not occur for any reason on or prior to the fifth Business Day following the expected Closing Date, the Company shall promptly (but not later than one Business Day thereafter) return such Purchaser’s Subscription Amount to such Purchaser by wire transfer of United States dollars in immediately available funds to the account specified by such Purchaser, and any book entries for the Securities shall be deemed cancelled; provided that, unless this Agreement has been terminated pursuant to Section 6.18, such return of funds shall not terminate this Agreement or relieve the Purchasers of their respective obligations to purchase the Securities at the Closing. Notwithstanding anything in this Agreement to the contrary and as may be agreed to among the Company and one or more Purchasers, a Purchaser shall not be required to wire its Subscription Amount until it confirms receipt of a book-entry statement or other evidence acceptable to such Purchaser from the Transfer Agent evidencing the issuance of the Securities to such Purchaser (or its nominee in accordance with its delivery instructions) on and as of the Closing Date.</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ind w:left="280"/>
        <w:spacing w:after="0"/>
        <w:rPr>
          <w:sz w:val="20"/>
          <w:szCs w:val="20"/>
          <w:color w:val="auto"/>
        </w:rPr>
      </w:pPr>
      <w:r>
        <w:rPr>
          <w:rFonts w:ascii="Times New Roman" w:cs="Times New Roman" w:eastAsia="Times New Roman" w:hAnsi="Times New Roman"/>
          <w:sz w:val="12"/>
          <w:szCs w:val="12"/>
          <w:b w:val="1"/>
          <w:bCs w:val="1"/>
          <w:color w:val="auto"/>
        </w:rPr>
        <w:t>2.3 Closing Deliverables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20" w:hanging="167"/>
        <w:spacing w:after="0"/>
        <w:tabs>
          <w:tab w:leader="none" w:pos="820" w:val="left"/>
        </w:tabs>
        <w:numPr>
          <w:ilvl w:val="0"/>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On or prior to the Closing, the Company shall issue, deliver or cause to be delivered to each Purchaser the following (the “</w:t>
      </w:r>
      <w:r>
        <w:rPr>
          <w:rFonts w:ascii="Times New Roman" w:cs="Times New Roman" w:eastAsia="Times New Roman" w:hAnsi="Times New Roman"/>
          <w:sz w:val="12"/>
          <w:szCs w:val="12"/>
          <w:b w:val="1"/>
          <w:bCs w:val="1"/>
          <w:i w:val="1"/>
          <w:iCs w:val="1"/>
          <w:color w:val="auto"/>
        </w:rPr>
        <w:t>Company Deliverables</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b w:val="1"/>
          <w:bCs w:val="1"/>
          <w:color w:val="auto"/>
        </w:rPr>
      </w:pPr>
    </w:p>
    <w:p>
      <w:pPr>
        <w:ind w:right="440" w:firstLine="947"/>
        <w:spacing w:after="0" w:line="279" w:lineRule="auto"/>
        <w:tabs>
          <w:tab w:leader="none" w:pos="1098" w:val="left"/>
        </w:tabs>
        <w:numPr>
          <w:ilvl w:val="1"/>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evidence of the issuance of the Securities in the names of such Purchaser by book-entry statement from the Transfer Agent (in the name of such Purchaser as set forth on such Purchaser’s Stock Issuance Questionnaire, the form of which is included as </w:t>
      </w:r>
      <w:r>
        <w:rPr>
          <w:rFonts w:ascii="Times New Roman" w:cs="Times New Roman" w:eastAsia="Times New Roman" w:hAnsi="Times New Roman"/>
          <w:sz w:val="12"/>
          <w:szCs w:val="12"/>
          <w:b w:val="1"/>
          <w:bCs w:val="1"/>
          <w:color w:val="auto"/>
        </w:rPr>
        <w:t>Exhibit C</w:t>
      </w:r>
      <w:r>
        <w:rPr>
          <w:rFonts w:ascii="Times New Roman" w:cs="Times New Roman" w:eastAsia="Times New Roman" w:hAnsi="Times New Roman"/>
          <w:sz w:val="12"/>
          <w:szCs w:val="12"/>
          <w:color w:val="auto"/>
        </w:rPr>
        <w:t xml:space="preserve"> hereto);</w:t>
      </w:r>
    </w:p>
    <w:p>
      <w:pPr>
        <w:spacing w:after="0" w:line="111" w:lineRule="exact"/>
        <w:rPr>
          <w:rFonts w:ascii="Times New Roman" w:cs="Times New Roman" w:eastAsia="Times New Roman" w:hAnsi="Times New Roman"/>
          <w:sz w:val="12"/>
          <w:szCs w:val="12"/>
          <w:b w:val="1"/>
          <w:bCs w:val="1"/>
          <w:color w:val="auto"/>
        </w:rPr>
      </w:pPr>
    </w:p>
    <w:p>
      <w:pPr>
        <w:ind w:left="1120" w:hanging="173"/>
        <w:spacing w:after="0"/>
        <w:tabs>
          <w:tab w:leader="none" w:pos="1120" w:val="left"/>
        </w:tabs>
        <w:numPr>
          <w:ilvl w:val="1"/>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 legal opinion of Company Counsel, dated as of the Closing Date and in form and substance reasonably satisfactory to the Purchasers, executed by such counsel and addressed to the Purchasers and the</w:t>
      </w:r>
    </w:p>
    <w:p>
      <w:pPr>
        <w:spacing w:after="0" w:line="16" w:lineRule="exact"/>
        <w:rPr>
          <w:rFonts w:ascii="Times New Roman" w:cs="Times New Roman" w:eastAsia="Times New Roman" w:hAnsi="Times New Roman"/>
          <w:sz w:val="12"/>
          <w:szCs w:val="12"/>
          <w:b w:val="1"/>
          <w:bCs w:val="1"/>
          <w:color w:val="auto"/>
        </w:rPr>
      </w:pPr>
    </w:p>
    <w:p>
      <w:pPr>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Placement Agents;</w:t>
      </w:r>
    </w:p>
    <w:p>
      <w:pPr>
        <w:spacing w:after="0" w:line="139" w:lineRule="exact"/>
        <w:rPr>
          <w:rFonts w:ascii="Times New Roman" w:cs="Times New Roman" w:eastAsia="Times New Roman" w:hAnsi="Times New Roman"/>
          <w:sz w:val="12"/>
          <w:szCs w:val="12"/>
          <w:b w:val="1"/>
          <w:bCs w:val="1"/>
          <w:color w:val="auto"/>
        </w:rPr>
      </w:pPr>
    </w:p>
    <w:p>
      <w:pPr>
        <w:ind w:left="1160" w:hanging="213"/>
        <w:spacing w:after="0"/>
        <w:tabs>
          <w:tab w:leader="none" w:pos="1160" w:val="left"/>
        </w:tabs>
        <w:numPr>
          <w:ilvl w:val="1"/>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Registration Rights Agreement, duly executed by the Company;</w:t>
      </w:r>
    </w:p>
    <w:p>
      <w:pPr>
        <w:spacing w:after="0" w:line="150" w:lineRule="exact"/>
        <w:rPr>
          <w:rFonts w:ascii="Times New Roman" w:cs="Times New Roman" w:eastAsia="Times New Roman" w:hAnsi="Times New Roman"/>
          <w:sz w:val="12"/>
          <w:szCs w:val="12"/>
          <w:b w:val="1"/>
          <w:bCs w:val="1"/>
          <w:color w:val="auto"/>
        </w:rPr>
      </w:pPr>
    </w:p>
    <w:p>
      <w:pPr>
        <w:ind w:right="40" w:firstLine="947"/>
        <w:spacing w:after="0" w:line="279" w:lineRule="auto"/>
        <w:tabs>
          <w:tab w:leader="none" w:pos="1158" w:val="left"/>
        </w:tabs>
        <w:numPr>
          <w:ilvl w:val="1"/>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duly executed Irrevocable Transfer Agent Instructions instructing the Transfer Agent to deliver, on an expedited basis, the number of Securities set forth opposite the name of such Purchaser under the headings “Number of Common Shares Purchased” and “Number of Preferred Shares Purchased” on Annex A attached hereto, registered in the name of such Purchaser (or its nominee, as directed by such Purchaser);</w:t>
      </w:r>
    </w:p>
    <w:p>
      <w:pPr>
        <w:spacing w:after="0" w:line="111" w:lineRule="exact"/>
        <w:rPr>
          <w:rFonts w:ascii="Times New Roman" w:cs="Times New Roman" w:eastAsia="Times New Roman" w:hAnsi="Times New Roman"/>
          <w:sz w:val="12"/>
          <w:szCs w:val="12"/>
          <w:b w:val="1"/>
          <w:bCs w:val="1"/>
          <w:color w:val="auto"/>
        </w:rPr>
      </w:pPr>
    </w:p>
    <w:p>
      <w:pPr>
        <w:ind w:left="1120" w:hanging="173"/>
        <w:spacing w:after="0"/>
        <w:tabs>
          <w:tab w:leader="none" w:pos="1120" w:val="left"/>
        </w:tabs>
        <w:numPr>
          <w:ilvl w:val="1"/>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 copy of the Notification Form: Listing of Additional Shares for the listing of the Common Shares and the Conversion Shares filed by the Company with Nasdaq;</w:t>
      </w:r>
    </w:p>
    <w:p>
      <w:pPr>
        <w:spacing w:after="0" w:line="146" w:lineRule="exact"/>
        <w:rPr>
          <w:rFonts w:ascii="Times New Roman" w:cs="Times New Roman" w:eastAsia="Times New Roman" w:hAnsi="Times New Roman"/>
          <w:sz w:val="12"/>
          <w:szCs w:val="12"/>
          <w:b w:val="1"/>
          <w:bCs w:val="1"/>
          <w:color w:val="auto"/>
        </w:rPr>
      </w:pPr>
    </w:p>
    <w:p>
      <w:pPr>
        <w:jc w:val="both"/>
        <w:ind w:firstLine="947"/>
        <w:spacing w:after="0" w:line="262" w:lineRule="auto"/>
        <w:tabs>
          <w:tab w:leader="none" w:pos="1158" w:val="left"/>
        </w:tabs>
        <w:numPr>
          <w:ilvl w:val="1"/>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 certificate of the Secretary of the Company (the “</w:t>
      </w:r>
      <w:r>
        <w:rPr>
          <w:rFonts w:ascii="Times New Roman" w:cs="Times New Roman" w:eastAsia="Times New Roman" w:hAnsi="Times New Roman"/>
          <w:sz w:val="12"/>
          <w:szCs w:val="12"/>
          <w:b w:val="1"/>
          <w:bCs w:val="1"/>
          <w:i w:val="1"/>
          <w:iCs w:val="1"/>
          <w:color w:val="auto"/>
        </w:rPr>
        <w:t>Secretary’s Certificate</w:t>
      </w:r>
      <w:r>
        <w:rPr>
          <w:rFonts w:ascii="Times New Roman" w:cs="Times New Roman" w:eastAsia="Times New Roman" w:hAnsi="Times New Roman"/>
          <w:sz w:val="12"/>
          <w:szCs w:val="12"/>
          <w:color w:val="auto"/>
        </w:rPr>
        <w:t>”), dated as of the Closing Date, (A) certifying the resolutions adopted by the Board of Directors or a duly authorized committee thereof approving the transactions contemplated by this Agreement, the other Transaction Documents and the issuance of the Securities and the Conversion Shares, (B) certifying the current versions of the restated certificate of incorporation, as amended (the “</w:t>
      </w:r>
      <w:r>
        <w:rPr>
          <w:rFonts w:ascii="Times New Roman" w:cs="Times New Roman" w:eastAsia="Times New Roman" w:hAnsi="Times New Roman"/>
          <w:sz w:val="12"/>
          <w:szCs w:val="12"/>
          <w:b w:val="1"/>
          <w:bCs w:val="1"/>
          <w:i w:val="1"/>
          <w:iCs w:val="1"/>
          <w:color w:val="auto"/>
        </w:rPr>
        <w:t>Charter</w:t>
      </w:r>
      <w:r>
        <w:rPr>
          <w:rFonts w:ascii="Times New Roman" w:cs="Times New Roman" w:eastAsia="Times New Roman" w:hAnsi="Times New Roman"/>
          <w:sz w:val="12"/>
          <w:szCs w:val="12"/>
          <w:color w:val="auto"/>
        </w:rPr>
        <w:t>”), and amended and restated by-laws (the “</w:t>
      </w:r>
      <w:r>
        <w:rPr>
          <w:rFonts w:ascii="Times New Roman" w:cs="Times New Roman" w:eastAsia="Times New Roman" w:hAnsi="Times New Roman"/>
          <w:sz w:val="12"/>
          <w:szCs w:val="12"/>
          <w:b w:val="1"/>
          <w:bCs w:val="1"/>
          <w:i w:val="1"/>
          <w:iCs w:val="1"/>
          <w:color w:val="auto"/>
        </w:rPr>
        <w:t>Bylaws</w:t>
      </w:r>
      <w:r>
        <w:rPr>
          <w:rFonts w:ascii="Times New Roman" w:cs="Times New Roman" w:eastAsia="Times New Roman" w:hAnsi="Times New Roman"/>
          <w:sz w:val="12"/>
          <w:szCs w:val="12"/>
          <w:color w:val="auto"/>
        </w:rPr>
        <w:t xml:space="preserve">”), each of the Company and (C) certifying as to the signatures and authority of persons signing the Transaction Documents and related documents on behalf of the Company, in substantially the form attached hereto as </w:t>
      </w:r>
      <w:r>
        <w:rPr>
          <w:rFonts w:ascii="Times New Roman" w:cs="Times New Roman" w:eastAsia="Times New Roman" w:hAnsi="Times New Roman"/>
          <w:sz w:val="12"/>
          <w:szCs w:val="12"/>
          <w:b w:val="1"/>
          <w:bCs w:val="1"/>
          <w:color w:val="auto"/>
        </w:rPr>
        <w:t>Exhibit E</w:t>
      </w:r>
      <w:r>
        <w:rPr>
          <w:rFonts w:ascii="Times New Roman" w:cs="Times New Roman" w:eastAsia="Times New Roman" w:hAnsi="Times New Roman"/>
          <w:sz w:val="12"/>
          <w:szCs w:val="12"/>
          <w:color w:val="auto"/>
        </w:rPr>
        <w:t>;</w:t>
      </w:r>
    </w:p>
    <w:p>
      <w:pPr>
        <w:spacing w:after="0" w:line="121" w:lineRule="exact"/>
        <w:rPr>
          <w:rFonts w:ascii="Times New Roman" w:cs="Times New Roman" w:eastAsia="Times New Roman" w:hAnsi="Times New Roman"/>
          <w:sz w:val="12"/>
          <w:szCs w:val="12"/>
          <w:b w:val="1"/>
          <w:bCs w:val="1"/>
          <w:color w:val="auto"/>
        </w:rPr>
      </w:pPr>
    </w:p>
    <w:p>
      <w:pPr>
        <w:ind w:left="1180" w:hanging="233"/>
        <w:spacing w:after="0"/>
        <w:tabs>
          <w:tab w:leader="none" w:pos="1180" w:val="left"/>
        </w:tabs>
        <w:numPr>
          <w:ilvl w:val="1"/>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Compliance Certificate referred to in Section 5.1(h);</w:t>
      </w:r>
    </w:p>
    <w:p>
      <w:pPr>
        <w:spacing w:after="0" w:line="150" w:lineRule="exact"/>
        <w:rPr>
          <w:rFonts w:ascii="Times New Roman" w:cs="Times New Roman" w:eastAsia="Times New Roman" w:hAnsi="Times New Roman"/>
          <w:sz w:val="12"/>
          <w:szCs w:val="12"/>
          <w:b w:val="1"/>
          <w:bCs w:val="1"/>
          <w:color w:val="auto"/>
        </w:rPr>
      </w:pPr>
    </w:p>
    <w:p>
      <w:pPr>
        <w:ind w:left="1220" w:hanging="273"/>
        <w:spacing w:after="0"/>
        <w:tabs>
          <w:tab w:leader="none" w:pos="1220" w:val="left"/>
        </w:tabs>
        <w:numPr>
          <w:ilvl w:val="1"/>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 certificate evidencing the formation and good standing of the Company issued by the Secretary of State of the State of Delaware, as of a date within three Business Days of the Closing Date;</w:t>
      </w:r>
    </w:p>
    <w:p>
      <w:pPr>
        <w:spacing w:after="0" w:line="150" w:lineRule="exact"/>
        <w:rPr>
          <w:rFonts w:ascii="Times New Roman" w:cs="Times New Roman" w:eastAsia="Times New Roman" w:hAnsi="Times New Roman"/>
          <w:sz w:val="12"/>
          <w:szCs w:val="12"/>
          <w:b w:val="1"/>
          <w:bCs w:val="1"/>
          <w:color w:val="auto"/>
        </w:rPr>
      </w:pPr>
    </w:p>
    <w:p>
      <w:pPr>
        <w:ind w:right="60" w:firstLine="947"/>
        <w:spacing w:after="0" w:line="279" w:lineRule="auto"/>
        <w:tabs>
          <w:tab w:leader="none" w:pos="1158" w:val="left"/>
        </w:tabs>
        <w:numPr>
          <w:ilvl w:val="1"/>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 certificate evidencing the Company’s qualification as a foreign corporation and good standing issued by the Secretary of State (or comparable office) of each jurisdiction in which the Company is qualified to do business as a foreign corporation, as of a date within four Business Days of the Closing Date;</w:t>
      </w:r>
    </w:p>
    <w:p>
      <w:pPr>
        <w:spacing w:after="0" w:line="111" w:lineRule="exact"/>
        <w:rPr>
          <w:rFonts w:ascii="Times New Roman" w:cs="Times New Roman" w:eastAsia="Times New Roman" w:hAnsi="Times New Roman"/>
          <w:sz w:val="12"/>
          <w:szCs w:val="12"/>
          <w:b w:val="1"/>
          <w:bCs w:val="1"/>
          <w:color w:val="auto"/>
        </w:rPr>
      </w:pPr>
    </w:p>
    <w:p>
      <w:pPr>
        <w:ind w:left="1120" w:hanging="173"/>
        <w:spacing w:after="0"/>
        <w:tabs>
          <w:tab w:leader="none" w:pos="1120" w:val="left"/>
        </w:tabs>
        <w:numPr>
          <w:ilvl w:val="1"/>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 certified copy of the Certificate of Designation, as filed with the Secretary of State of the State of Delaware; and</w:t>
      </w:r>
    </w:p>
    <w:p>
      <w:pPr>
        <w:spacing w:after="0" w:line="146" w:lineRule="exact"/>
        <w:rPr>
          <w:rFonts w:ascii="Times New Roman" w:cs="Times New Roman" w:eastAsia="Times New Roman" w:hAnsi="Times New Roman"/>
          <w:sz w:val="12"/>
          <w:szCs w:val="12"/>
          <w:b w:val="1"/>
          <w:bCs w:val="1"/>
          <w:color w:val="auto"/>
        </w:rPr>
      </w:pPr>
    </w:p>
    <w:p>
      <w:pPr>
        <w:ind w:left="1140" w:hanging="193"/>
        <w:spacing w:after="0"/>
        <w:tabs>
          <w:tab w:leader="none" w:pos="1140" w:val="left"/>
        </w:tabs>
        <w:numPr>
          <w:ilvl w:val="1"/>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executed copies of a lock-up agreement from each executive officer and director of the Company listed on </w:t>
      </w:r>
      <w:r>
        <w:rPr>
          <w:rFonts w:ascii="Times New Roman" w:cs="Times New Roman" w:eastAsia="Times New Roman" w:hAnsi="Times New Roman"/>
          <w:sz w:val="12"/>
          <w:szCs w:val="12"/>
          <w:b w:val="1"/>
          <w:bCs w:val="1"/>
          <w:color w:val="auto"/>
        </w:rPr>
        <w:t>Exhibit G</w:t>
      </w:r>
      <w:r>
        <w:rPr>
          <w:rFonts w:ascii="Times New Roman" w:cs="Times New Roman" w:eastAsia="Times New Roman" w:hAnsi="Times New Roman"/>
          <w:sz w:val="12"/>
          <w:szCs w:val="12"/>
          <w:color w:val="auto"/>
        </w:rPr>
        <w:t xml:space="preserve"> hereto, in the form attached as Annex C hereto.</w:t>
      </w:r>
    </w:p>
    <w:p>
      <w:pPr>
        <w:spacing w:after="0" w:line="150" w:lineRule="exact"/>
        <w:rPr>
          <w:rFonts w:ascii="Times New Roman" w:cs="Times New Roman" w:eastAsia="Times New Roman" w:hAnsi="Times New Roman"/>
          <w:sz w:val="12"/>
          <w:szCs w:val="12"/>
          <w:b w:val="1"/>
          <w:bCs w:val="1"/>
          <w:color w:val="auto"/>
        </w:rPr>
      </w:pPr>
    </w:p>
    <w:p>
      <w:pPr>
        <w:ind w:left="820" w:hanging="167"/>
        <w:spacing w:after="0"/>
        <w:tabs>
          <w:tab w:leader="none" w:pos="820" w:val="left"/>
        </w:tabs>
        <w:numPr>
          <w:ilvl w:val="0"/>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On or prior to the Closing, each Purchaser shall deliver or cause to be delivered to the Company the following (the “</w:t>
      </w:r>
      <w:r>
        <w:rPr>
          <w:rFonts w:ascii="Times New Roman" w:cs="Times New Roman" w:eastAsia="Times New Roman" w:hAnsi="Times New Roman"/>
          <w:sz w:val="12"/>
          <w:szCs w:val="12"/>
          <w:b w:val="1"/>
          <w:bCs w:val="1"/>
          <w:i w:val="1"/>
          <w:iCs w:val="1"/>
          <w:color w:val="auto"/>
        </w:rPr>
        <w:t>Purchaser Deliverables</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b w:val="1"/>
          <w:bCs w:val="1"/>
          <w:color w:val="auto"/>
        </w:rPr>
      </w:pPr>
    </w:p>
    <w:p>
      <w:pPr>
        <w:ind w:left="1080" w:hanging="133"/>
        <w:spacing w:after="0"/>
        <w:tabs>
          <w:tab w:leader="none" w:pos="1080" w:val="left"/>
        </w:tabs>
        <w:numPr>
          <w:ilvl w:val="1"/>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this Agreement, duly executed by such Purchaser;</w:t>
      </w:r>
    </w:p>
    <w:p>
      <w:pPr>
        <w:spacing w:after="0" w:line="150" w:lineRule="exact"/>
        <w:rPr>
          <w:rFonts w:ascii="Times New Roman" w:cs="Times New Roman" w:eastAsia="Times New Roman" w:hAnsi="Times New Roman"/>
          <w:sz w:val="12"/>
          <w:szCs w:val="12"/>
          <w:b w:val="1"/>
          <w:bCs w:val="1"/>
          <w:color w:val="auto"/>
        </w:rPr>
      </w:pPr>
    </w:p>
    <w:p>
      <w:pPr>
        <w:ind w:firstLine="947"/>
        <w:spacing w:after="0" w:line="279" w:lineRule="auto"/>
        <w:tabs>
          <w:tab w:leader="none" w:pos="1131" w:val="left"/>
        </w:tabs>
        <w:numPr>
          <w:ilvl w:val="1"/>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such Purchaser’s Subscription Amount, in United States dollars and in immediately available funds, in the amount set forth in the “Aggregate Purchase Price” column opposite such Purchaser’s name in the table set forth on Annex A by wire transfer to the Company;</w:t>
      </w:r>
    </w:p>
    <w:p>
      <w:pPr>
        <w:spacing w:after="0" w:line="111" w:lineRule="exact"/>
        <w:rPr>
          <w:rFonts w:ascii="Times New Roman" w:cs="Times New Roman" w:eastAsia="Times New Roman" w:hAnsi="Times New Roman"/>
          <w:sz w:val="12"/>
          <w:szCs w:val="12"/>
          <w:b w:val="1"/>
          <w:bCs w:val="1"/>
          <w:color w:val="auto"/>
        </w:rPr>
      </w:pPr>
    </w:p>
    <w:p>
      <w:pPr>
        <w:ind w:left="1160" w:hanging="213"/>
        <w:spacing w:after="0"/>
        <w:tabs>
          <w:tab w:leader="none" w:pos="1160" w:val="left"/>
        </w:tabs>
        <w:numPr>
          <w:ilvl w:val="1"/>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Registration Rights Agreement, duly executed by such Purchaser; and</w:t>
      </w: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24" w:name="page25"/>
    <w:bookmarkEnd w:id="24"/>
    <w:p>
      <w:pPr>
        <w:ind w:left="1140" w:hanging="193"/>
        <w:spacing w:after="0"/>
        <w:tabs>
          <w:tab w:leader="none" w:pos="1140" w:val="left"/>
        </w:tabs>
        <w:numPr>
          <w:ilvl w:val="0"/>
          <w:numId w:val="1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a fully completed Stock Issuance Questionnaire, duly executed by such Purchaser, in the form attached hereto as </w:t>
      </w:r>
      <w:r>
        <w:rPr>
          <w:rFonts w:ascii="Times New Roman" w:cs="Times New Roman" w:eastAsia="Times New Roman" w:hAnsi="Times New Roman"/>
          <w:sz w:val="12"/>
          <w:szCs w:val="12"/>
          <w:b w:val="1"/>
          <w:bCs w:val="1"/>
          <w:color w:val="auto"/>
        </w:rPr>
        <w:t>Exhibit C</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b w:val="1"/>
          <w:bCs w:val="1"/>
          <w:color w:val="auto"/>
        </w:rPr>
      </w:pPr>
    </w:p>
    <w:p>
      <w:pPr>
        <w:ind w:left="53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ARTICLE 3</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REPRESENTATIONS AND WARRANTIES</w:t>
      </w:r>
    </w:p>
    <w:p>
      <w:pPr>
        <w:spacing w:after="0" w:line="150" w:lineRule="exact"/>
        <w:rPr>
          <w:sz w:val="20"/>
          <w:szCs w:val="20"/>
          <w:color w:val="auto"/>
        </w:rPr>
      </w:pPr>
    </w:p>
    <w:p>
      <w:pPr>
        <w:ind w:right="260"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3.1 Representations and Warranties of the Company</w:t>
      </w:r>
      <w:r>
        <w:rPr>
          <w:rFonts w:ascii="Times New Roman" w:cs="Times New Roman" w:eastAsia="Times New Roman" w:hAnsi="Times New Roman"/>
          <w:sz w:val="12"/>
          <w:szCs w:val="12"/>
          <w:color w:val="auto"/>
        </w:rPr>
        <w:t>. The Company hereby represents and warrants the following as of the date hereof and the Closing Date (except for the representations and warranties that speak as of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specific date, in which cases the applicable representations and warranties of the Company shall be deemed to speak as of the applicable referenced dates) to each of the Purchasers and to the Placement Agents:</w:t>
      </w:r>
    </w:p>
    <w:p>
      <w:pPr>
        <w:spacing w:after="0" w:line="103" w:lineRule="exact"/>
        <w:rPr>
          <w:sz w:val="20"/>
          <w:szCs w:val="20"/>
          <w:color w:val="auto"/>
        </w:rPr>
      </w:pPr>
    </w:p>
    <w:p>
      <w:pPr>
        <w:ind w:firstLine="653"/>
        <w:spacing w:after="0" w:line="253" w:lineRule="auto"/>
        <w:tabs>
          <w:tab w:leader="none" w:pos="831" w:val="left"/>
        </w:tabs>
        <w:numPr>
          <w:ilvl w:val="0"/>
          <w:numId w:val="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Due Organization; Subsidiaries</w:t>
      </w:r>
      <w:r>
        <w:rPr>
          <w:rFonts w:ascii="Times New Roman" w:cs="Times New Roman" w:eastAsia="Times New Roman" w:hAnsi="Times New Roman"/>
          <w:sz w:val="12"/>
          <w:szCs w:val="12"/>
          <w:color w:val="auto"/>
        </w:rPr>
        <w:t>. The Company has been duly incorporated and is validly existing as a corporation in good standing under the laws of the State of Delaware, with full corporate power and authority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own, lease and operate its properties and conduct its business as described in the SEC Reports. The Company has no Subsidiaries other than the Subsidiaries listed on Exhibit 21.1 to its Annual Report on Form 10-K for the year ended December 31, 2023. The Company owns all of the issued and outstanding membership interests or capital stock of each of the Subsidiaries, and other than the membership interests or capital stock of the Subsidiaries, the Company does not own, directly or indirectly, any shares of stock or any other equity interests or long-term debt securities of any corporation, firm, partnership, joint venture, association or other entity. Complete and correct copies of the charters and the bylaws or similar governing documents of the Company have been filed with the Commission on EDGAR, and no changes therein will be made on or after the date hereof through and including the Closing (other than the filing of the Certificate of Designation). Each Subsidiary has been duly incorporated and is validly existing as a corporation in good standing under the laws of the jurisdiction of its incorporation, with full limited liability company or corporate power and authority to own, lease and operate its properties and to conduct its business as described in the SEC Reports. Each Subsidiary is duly qualified to do business as a foreign limited liability company or corporation and is in good standing in each jurisdiction where the ownership or leasing of its properties or the conduct of its business requires such qualification, except where the failure to be so qualified and in good standing would not, individually or in the aggregate, reasonably be expected to have a Material Adverse Effect. All of the outstanding membership interests or shares of capital stock of each of the Subsidiaries have been duly authorized and validly issued, are fully paid and non-assessable, have been issued in compliance with all applicable securities laws, were not issued in violation of any preemptive right, resale right, right of first refusal or similar right and are owned by the Company subject to no security interest, other encumbrance or adverse claims, and no options, warrants or other rights to purchase, agreements or other obligations to issue or other rights to convert any obligation into shares of capital stock or ownership interests in the Subsidiaries are outstanding.</w:t>
      </w:r>
    </w:p>
    <w:p>
      <w:pPr>
        <w:spacing w:after="0" w:line="126" w:lineRule="exact"/>
        <w:rPr>
          <w:rFonts w:ascii="Times New Roman" w:cs="Times New Roman" w:eastAsia="Times New Roman" w:hAnsi="Times New Roman"/>
          <w:sz w:val="12"/>
          <w:szCs w:val="12"/>
          <w:b w:val="1"/>
          <w:bCs w:val="1"/>
          <w:color w:val="auto"/>
        </w:rPr>
      </w:pPr>
    </w:p>
    <w:p>
      <w:pPr>
        <w:ind w:right="40" w:firstLine="653"/>
        <w:spacing w:after="0" w:line="256" w:lineRule="auto"/>
        <w:tabs>
          <w:tab w:leader="none" w:pos="838" w:val="left"/>
        </w:tabs>
        <w:numPr>
          <w:ilvl w:val="0"/>
          <w:numId w:val="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Authorization; Enforcement; Validity</w:t>
      </w:r>
      <w:r>
        <w:rPr>
          <w:rFonts w:ascii="Times New Roman" w:cs="Times New Roman" w:eastAsia="Times New Roman" w:hAnsi="Times New Roman"/>
          <w:sz w:val="12"/>
          <w:szCs w:val="12"/>
          <w:color w:val="auto"/>
        </w:rPr>
        <w:t>. The Company has the requisite corporate power and authority to enter into the Transaction Documents and to perform its obligations under and consummate the transactions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contemplated hereby or thereby. All corporate action on the part of the Company, its directors and stockholders necessary for the authorization, execution, sale, issuance and delivery of the Securities and, subject to the Requisite Stockholder Approval, the Conversion Shares contemplated herein has been taken. Each of the Transaction Documents has been (or upon delivery will have been) duly executed and delivered by the Company and is, or when delivered in accordance with the terms hereof or thereof, will constitute the legal, valid and binding obligation of the Company enforceable against the Company in accordance with its respective terms, except (i) as such enforceability may be limited by applicable bankruptcy, examinership, insolvency, reorganization, moratorium, liquidation or similar laws relating to, or affecting generally the enforcement of, creditors’ rights and remedies or by other equitable principles of general application, (ii) as limited by Laws relating to the availability of specific performance, injunctive relief or other equitable remedies and (iii) insofar as indemnification and contribution provisions may be limited by applicable law.</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ind w:left="8" w:firstLine="653"/>
        <w:spacing w:after="0" w:line="276" w:lineRule="auto"/>
        <w:tabs>
          <w:tab w:leader="none" w:pos="832" w:val="left"/>
        </w:tabs>
        <w:numPr>
          <w:ilvl w:val="1"/>
          <w:numId w:val="14"/>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No Conflicts</w:t>
      </w:r>
      <w:r>
        <w:rPr>
          <w:rFonts w:ascii="Times New Roman" w:cs="Times New Roman" w:eastAsia="Times New Roman" w:hAnsi="Times New Roman"/>
          <w:sz w:val="11"/>
          <w:szCs w:val="11"/>
          <w:color w:val="auto"/>
        </w:rPr>
        <w:t>. The execution, delivery and performance by the Company of the Transaction Documents and the issuance, sale and delivery of the securities to be sold by the Company under the Transaction Documents</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(including the issuance of the Securities and, subject to the Requisite Stockholder Approval, the Conversion Shares upon the conversion of the Preferred Shares), the performance by the Company of its obligations under the Transaction Documents and the consummation of the transactions contemplated hereby or thereby (including without limitation, the issuance of the Securities and the reservation for the issuance of the Conversion Shares) do not and will not conflict with, result in any breach or violation of or constitute a default under (nor constitute any event which, with notice, lapse of time or both, would reasonably be expected to result in any breach or violation of, constitute a default under or give the holder of any indebtedness (or a person acting on such holder’s behalf) the right to require the repurchase, redemption or repayment of all or a part of such indebtedness under) (or result in the creation or imposition of a lien, charge or encumbrance on any property or assets of the Company or any Subsidiary pursuant to) (i) the Charter or Bylaws or similar organizational documents of any of the Subsidiaries, or (ii) any indenture, mortgage, deed of trust, bank loan or credit agreement or other evidence of indebtedness, or any license, lease, contract or other agreement or instrument to which the Company or any of the Subsidiaries is a party or by which any of them or any of their respective properties is subject, or (iii) any U.S. or Russian federal, state, local or foreign law, regulation or rule, or (iv) any rule or regulation of any self-regulatory organization or other non-governmental regulatory authority having jurisdiction over the Company, the Securities or, subject to the Requisite Stockholder Approval, the Conversion Shares upon the conversion of the Preferred Shares (including, without limitation, the rules and regulations of Nasdaq), or</w:t>
      </w:r>
    </w:p>
    <w:p>
      <w:pPr>
        <w:spacing w:after="0" w:line="1" w:lineRule="exact"/>
        <w:rPr>
          <w:rFonts w:ascii="Times New Roman" w:cs="Times New Roman" w:eastAsia="Times New Roman" w:hAnsi="Times New Roman"/>
          <w:sz w:val="11"/>
          <w:szCs w:val="11"/>
          <w:b w:val="1"/>
          <w:bCs w:val="1"/>
          <w:color w:val="auto"/>
        </w:rPr>
      </w:pPr>
    </w:p>
    <w:p>
      <w:pPr>
        <w:ind w:left="8" w:right="140" w:hanging="8"/>
        <w:spacing w:after="0" w:line="260" w:lineRule="auto"/>
        <w:tabs>
          <w:tab w:leader="none" w:pos="17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decree, judgment or order applicable to the Company or any of the Subsidiaries or any of their respective properties, except in the case of the foregoing clauses (ii), (iii), (iv) and (v), for any such breaches, violations, defaults, repurchases, redemptions, repayments or events that would not, individually or in the aggregate, reasonably be expected to have a Material Adverse Effect.</w:t>
      </w:r>
    </w:p>
    <w:p>
      <w:pPr>
        <w:spacing w:after="0" w:line="118" w:lineRule="exact"/>
        <w:rPr>
          <w:rFonts w:ascii="Times New Roman" w:cs="Times New Roman" w:eastAsia="Times New Roman" w:hAnsi="Times New Roman"/>
          <w:sz w:val="12"/>
          <w:szCs w:val="12"/>
          <w:color w:val="auto"/>
        </w:rPr>
      </w:pPr>
    </w:p>
    <w:p>
      <w:pPr>
        <w:ind w:left="8" w:firstLine="653"/>
        <w:spacing w:after="0" w:line="254" w:lineRule="auto"/>
        <w:tabs>
          <w:tab w:leader="none" w:pos="846" w:val="left"/>
        </w:tabs>
        <w:numPr>
          <w:ilvl w:val="1"/>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Filings, Consents and Approvals</w:t>
      </w:r>
      <w:r>
        <w:rPr>
          <w:rFonts w:ascii="Times New Roman" w:cs="Times New Roman" w:eastAsia="Times New Roman" w:hAnsi="Times New Roman"/>
          <w:sz w:val="12"/>
          <w:szCs w:val="12"/>
          <w:color w:val="auto"/>
        </w:rPr>
        <w:t>. Except for any Current Report on Form 8-K or Notice of Exempt Offering of Securities on Form D to be filed by the Company in connection with the transaction contemplated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hereby, any required filing with Nasdaq (other than the Listing of Additional Shares notification form for the listing of the Common Shares and the Conversion Shares), the Requisite Stockholder Approval, the filing of the Certificate of Designation and the Registration Statement required to be filed by the Registration Rights Agreement, neither the Company nor any of its Subsidiaries is required to give any notice to, or make any filings with, or obtain any authorization, consent, or approval of any government or governmental agency in order to consummate the transactions contemplated by the Transaction Documents. Assuming the accuracy of the representations of the Purchasers in Section 3.2, no consent, approval, authorization or other order of, or registration, qualification or filing with, any court, regulatory body, administrative agency, self-regulatory organization, stock exchange or market (including Nasdaq), or other governmental body is required for the execution and delivery of the Transaction Documents, the valid issuance, sale and delivery of the Securities to be sold pursuant to the Transaction Documents (including, subject to the Company obtaining the Requisite Stockholder Approval, the issuance of Conversion Shares upon conversion of the Preferred Shares) other than such as have been or will be made or obtained, or for any securities filings required to be made under federal or state securities laws applicable to the offering of the Securities or the issuance of Conversion Shares upon conversion of the Preferred Shares (other than the Requisite Stockholder Approval and filings that have been made, or will be made, pursuant to the rules and regulations of Nasdaq). The Company and its Subsidiaries are unaware of any facts or circumstances that might prevent the Company from obtaining or effecting any of the registration, application or filings pursuant to this Section 3.1(d).</w:t>
      </w:r>
    </w:p>
    <w:p>
      <w:pPr>
        <w:spacing w:after="0" w:line="123" w:lineRule="exact"/>
        <w:rPr>
          <w:rFonts w:ascii="Times New Roman" w:cs="Times New Roman" w:eastAsia="Times New Roman" w:hAnsi="Times New Roman"/>
          <w:sz w:val="12"/>
          <w:szCs w:val="12"/>
          <w:b w:val="1"/>
          <w:bCs w:val="1"/>
          <w:color w:val="auto"/>
        </w:rPr>
      </w:pPr>
    </w:p>
    <w:p>
      <w:pPr>
        <w:ind w:left="8" w:right="20" w:firstLine="653"/>
        <w:spacing w:after="0" w:line="257" w:lineRule="auto"/>
        <w:tabs>
          <w:tab w:leader="none" w:pos="832" w:val="left"/>
        </w:tabs>
        <w:numPr>
          <w:ilvl w:val="1"/>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Issuance of the Securities and the Conversion Shares</w:t>
      </w:r>
      <w:r>
        <w:rPr>
          <w:rFonts w:ascii="Times New Roman" w:cs="Times New Roman" w:eastAsia="Times New Roman" w:hAnsi="Times New Roman"/>
          <w:sz w:val="12"/>
          <w:szCs w:val="12"/>
          <w:color w:val="auto"/>
        </w:rPr>
        <w:t>. The issuance of the Securities has been duly authorized, and the Securities, when issued and paid for in accordance with the terms of the Transaction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Documents, will be duly and validly issued, fully paid and nonassessable and free of statutory and contractual preemptive rights, resale rights, rights of first refusal and similar rights, except for any such rights that have been waived, and restrictions (other than as provided in the Certificate of Designation or any restrictions on transfer generally imposed under applicable securities laws). The issuance of the Conversion Shares has been duly authorized and the Conversion Shares, subject to the Requisite Stockholder Approval, when issued in accordance with the terms of the Certificate of Designation, will be duly authorized, validly issued, fully paid and non-assessable, and shall be statutory and contractual preemptive rights, resale rights, rights of first refusal and similar rights, except for any such rights that have been waived, and restrictions (other than as provided in this Agreement or any restrictions on transfer generally imposed under applicable securities laws). The Company has reserved such number of shares of Common Stock sufficient to enable full conversion of all of the Preferred Shares.</w:t>
      </w:r>
    </w:p>
    <w:p>
      <w:pPr>
        <w:spacing w:after="0" w:line="23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8"/>
          </w:cols>
          <w:pgMar w:left="292" w:top="125" w:right="319" w:bottom="1440" w:gutter="0" w:footer="0" w:header="0"/>
        </w:sectPr>
      </w:pPr>
    </w:p>
    <w:bookmarkStart w:id="26" w:name="page27"/>
    <w:bookmarkEnd w:id="26"/>
    <w:p>
      <w:pPr>
        <w:ind w:right="20" w:firstLine="653"/>
        <w:spacing w:after="0" w:line="255" w:lineRule="auto"/>
        <w:tabs>
          <w:tab w:leader="none" w:pos="811" w:val="left"/>
        </w:tabs>
        <w:numPr>
          <w:ilvl w:val="0"/>
          <w:numId w:val="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Capitalization</w:t>
      </w:r>
      <w:r>
        <w:rPr>
          <w:rFonts w:ascii="Times New Roman" w:cs="Times New Roman" w:eastAsia="Times New Roman" w:hAnsi="Times New Roman"/>
          <w:sz w:val="12"/>
          <w:szCs w:val="12"/>
          <w:color w:val="auto"/>
        </w:rPr>
        <w:t>. The outstanding shares of capital stock of the Company have been duly authorized and validly issued and are fully paid and non-assessable. None of the outstanding shares of capital stock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were issued in violation of the preemptive or other similar rights of any securityholder of the Company. As of June 26, 2024, there were (i) 17,816,238 shares of Common Stock issued and outstanding and (ii) 166,341.592 shares of Series A Preferred Stock issued and outstanding. The Company has not issued any capital stock since its Quarterly Report on Form 10-Q for the quarter ended March 31, 2024, other than pursuant to awards issued under the Company’s 2016 Incentive Award Plan and Amended and Restated 2018 Employment Inducement Incentive Award Plan, or the conversion of shares of the Series A Preferred Stock into shares of Common Stock. Except for warrants, the Series A Preferred Stock, and awards pursuant to the Company’s 2016 Incentive Award Plan, employee stock purchase plan, and Amended and Restated 2018 Employment Inducement Incentive Award Plan,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capital stock of any Subsidiary.</w:t>
      </w:r>
    </w:p>
    <w:p>
      <w:pPr>
        <w:spacing w:after="0" w:line="123" w:lineRule="exact"/>
        <w:rPr>
          <w:rFonts w:ascii="Times New Roman" w:cs="Times New Roman" w:eastAsia="Times New Roman" w:hAnsi="Times New Roman"/>
          <w:sz w:val="12"/>
          <w:szCs w:val="12"/>
          <w:b w:val="1"/>
          <w:bCs w:val="1"/>
          <w:color w:val="auto"/>
        </w:rPr>
      </w:pPr>
    </w:p>
    <w:p>
      <w:pPr>
        <w:ind w:right="20" w:firstLine="653"/>
        <w:spacing w:after="0" w:line="257" w:lineRule="auto"/>
        <w:tabs>
          <w:tab w:leader="none" w:pos="831" w:val="left"/>
        </w:tabs>
        <w:numPr>
          <w:ilvl w:val="0"/>
          <w:numId w:val="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SEC Reports; Disclosure Materials</w:t>
      </w:r>
      <w:r>
        <w:rPr>
          <w:rFonts w:ascii="Times New Roman" w:cs="Times New Roman" w:eastAsia="Times New Roman" w:hAnsi="Times New Roman"/>
          <w:sz w:val="12"/>
          <w:szCs w:val="12"/>
          <w:color w:val="auto"/>
        </w:rPr>
        <w:t>. The Company has filed or furnished, as applicable, on a timely basis all forms, statements, schedules, certifications, reports and other documents required to be filed or furnished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by it with the Commission under the Exchange Act or the Securities Act since November 13, 2023 (collectively, and in each case including all exhibits and schedules thereto and documents incorporated by reference therein, the “</w:t>
      </w:r>
      <w:r>
        <w:rPr>
          <w:rFonts w:ascii="Times New Roman" w:cs="Times New Roman" w:eastAsia="Times New Roman" w:hAnsi="Times New Roman"/>
          <w:sz w:val="12"/>
          <w:szCs w:val="12"/>
          <w:b w:val="1"/>
          <w:bCs w:val="1"/>
          <w:i w:val="1"/>
          <w:iCs w:val="1"/>
          <w:color w:val="auto"/>
        </w:rPr>
        <w:t>SEC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Reports</w:t>
      </w:r>
      <w:r>
        <w:rPr>
          <w:rFonts w:ascii="Times New Roman" w:cs="Times New Roman" w:eastAsia="Times New Roman" w:hAnsi="Times New Roman"/>
          <w:sz w:val="12"/>
          <w:szCs w:val="12"/>
          <w:color w:val="auto"/>
        </w:rPr>
        <w:t>”). As of the time it was filed with the Commission (or, if amended or superseded by a filing prior to the date of this Agreement, then on the date of such filing), each of the SEC Reports complied in all material respects with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applicable requirements of the Securities Act or the Exchange Act (as the case may be) and as of the time they were filed, none of the SEC Reports contained any untrue statement of a material fact or omitted to state a material fact required to be stated therein or necessary in order to make the statements therein, in the light of the circumstances under which they were made, not misleading. There are no material outstanding or unresolved comments in comment letters from the staff of the Division of Corporation Finance of the Commission with respect to any of the SEC Reports.</w:t>
      </w:r>
    </w:p>
    <w:p>
      <w:pPr>
        <w:spacing w:after="0" w:line="121" w:lineRule="exact"/>
        <w:rPr>
          <w:rFonts w:ascii="Times New Roman" w:cs="Times New Roman" w:eastAsia="Times New Roman" w:hAnsi="Times New Roman"/>
          <w:sz w:val="12"/>
          <w:szCs w:val="12"/>
          <w:b w:val="1"/>
          <w:bCs w:val="1"/>
          <w:color w:val="auto"/>
        </w:rPr>
      </w:pPr>
    </w:p>
    <w:p>
      <w:pPr>
        <w:ind w:firstLine="653"/>
        <w:spacing w:after="0" w:line="254" w:lineRule="auto"/>
        <w:tabs>
          <w:tab w:leader="none" w:pos="838" w:val="left"/>
        </w:tabs>
        <w:numPr>
          <w:ilvl w:val="0"/>
          <w:numId w:val="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Financial Statements</w:t>
      </w:r>
      <w:r>
        <w:rPr>
          <w:rFonts w:ascii="Times New Roman" w:cs="Times New Roman" w:eastAsia="Times New Roman" w:hAnsi="Times New Roman"/>
          <w:sz w:val="12"/>
          <w:szCs w:val="12"/>
          <w:color w:val="auto"/>
        </w:rPr>
        <w:t>. As of their respective filing dates, the financial statements (including any related notes) contained or incorporated by reference in the SEC Reports (i) complied as to form in all material respects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the Securities Act and the Exchange Act, as applicable, and the published rules and regulations of the Commission applicable thereto, (ii) were prepared in accordance with GAAP (except as may be indicated in the notes to such financial statements or, in the case of unaudited financial statements, as permitted by Form 10-Q of the Commission,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consolidated financial position of the Company as of the respective dates thereof and the results of operations and cash flows of the Company for the periods covered thereby. Other than as expressly disclosed in the SEC Reports filed at least one Business Day prior to the date hereof, there has been no material change in the Company’s accounting methods or principles that would be required to be disclosed in the Company’s financial statements in accordance with GAAP. There are no financial statements (historical or pro forma) that are required to be included in the SEC Reports that are not so included as required. The interactive data in eXtensible Business Reporting Language included or incorporated by reference in the SEC Reports fairly present the information called for in all material respects and have been prepared in connection with the Commission’s rules and guidelines applicable thereto. Except as set forth in the consolidated financial statements of the Company included in the SEC Reports filed at least one Business Day prior to the date hereof, the Company has not incurred any liabilities, contingent or otherwise, except those incurred in the ordinary course of business, consistent (as to amount and nature) with past practices since the date of such financial statements, none of which, individually or in the aggregate, have had or would reasonably be expected to have a Material Adverse Effect. The books of account and other financial records of the Company and each of its Subsidiaries are true and complete in all material respects.</w:t>
      </w:r>
    </w:p>
    <w:p>
      <w:pPr>
        <w:spacing w:after="0" w:line="121" w:lineRule="exact"/>
        <w:rPr>
          <w:rFonts w:ascii="Times New Roman" w:cs="Times New Roman" w:eastAsia="Times New Roman" w:hAnsi="Times New Roman"/>
          <w:sz w:val="12"/>
          <w:szCs w:val="12"/>
          <w:b w:val="1"/>
          <w:bCs w:val="1"/>
          <w:color w:val="auto"/>
        </w:rPr>
      </w:pPr>
    </w:p>
    <w:p>
      <w:pPr>
        <w:ind w:right="580" w:firstLine="653"/>
        <w:spacing w:after="0" w:line="286" w:lineRule="auto"/>
        <w:tabs>
          <w:tab w:leader="none" w:pos="804" w:val="left"/>
        </w:tabs>
        <w:numPr>
          <w:ilvl w:val="0"/>
          <w:numId w:val="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Independent Accountants</w:t>
      </w:r>
      <w:r>
        <w:rPr>
          <w:rFonts w:ascii="Times New Roman" w:cs="Times New Roman" w:eastAsia="Times New Roman" w:hAnsi="Times New Roman"/>
          <w:sz w:val="12"/>
          <w:szCs w:val="12"/>
          <w:color w:val="auto"/>
        </w:rPr>
        <w:t>. Ernst &amp; Young LLP, whose report on the consolidated financial statements of the Company and the Subsidiaries is included in the SEC Reports, are independent registered public</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accountants as required by the Securities Act and the rules of the Public Company Accounting Oversight Board.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7" w:name="page28"/>
    <w:bookmarkEnd w:id="27"/>
    <w:p>
      <w:pPr>
        <w:ind w:left="-20" w:right="20" w:firstLine="653"/>
        <w:spacing w:after="0" w:line="262" w:lineRule="auto"/>
        <w:tabs>
          <w:tab w:leader="none" w:pos="791" w:val="left"/>
        </w:tabs>
        <w:numPr>
          <w:ilvl w:val="0"/>
          <w:numId w:val="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Absence of Certain Changes</w:t>
      </w:r>
      <w:r>
        <w:rPr>
          <w:rFonts w:ascii="Times New Roman" w:cs="Times New Roman" w:eastAsia="Times New Roman" w:hAnsi="Times New Roman"/>
          <w:sz w:val="12"/>
          <w:szCs w:val="12"/>
          <w:color w:val="auto"/>
        </w:rPr>
        <w:t>. Since the date of the Balance Sheet, there has been (i) no Material Adverse Effect, (ii) no transaction which is material to the Company and the Subsidiaries taken as a whole, (iii) no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obligation or liability, direct or contingent (including any off-balance sheet obligations), incurred by the Company or any Subsidiary, which is material to the Company and the Subsidiaries taken as a whole, (iv) no change in the capital stock or outstanding indebtedness of the Company or any Subsidiaries, other than as described in the SEC Reports and Section 3.1(f) of this Agreement and (v) no dividend or distribution of any kind declared, paid or made on the capital stock of the Company or any Subsidiary.</w:t>
      </w:r>
    </w:p>
    <w:p>
      <w:pPr>
        <w:spacing w:after="0" w:line="117" w:lineRule="exact"/>
        <w:rPr>
          <w:rFonts w:ascii="Times New Roman" w:cs="Times New Roman" w:eastAsia="Times New Roman" w:hAnsi="Times New Roman"/>
          <w:sz w:val="12"/>
          <w:szCs w:val="12"/>
          <w:b w:val="1"/>
          <w:bCs w:val="1"/>
          <w:color w:val="auto"/>
        </w:rPr>
      </w:pPr>
    </w:p>
    <w:p>
      <w:pPr>
        <w:ind w:left="-20" w:right="40" w:firstLine="653"/>
        <w:spacing w:after="0" w:line="262" w:lineRule="auto"/>
        <w:tabs>
          <w:tab w:leader="none" w:pos="818" w:val="left"/>
        </w:tabs>
        <w:numPr>
          <w:ilvl w:val="0"/>
          <w:numId w:val="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Litigation</w:t>
      </w:r>
      <w:r>
        <w:rPr>
          <w:rFonts w:ascii="Times New Roman" w:cs="Times New Roman" w:eastAsia="Times New Roman" w:hAnsi="Times New Roman"/>
          <w:sz w:val="12"/>
          <w:szCs w:val="12"/>
          <w:color w:val="auto"/>
        </w:rPr>
        <w:t>. Except as described in the SEC Reports, there is no legal, governmental, administrative or regulatory investigation, action, suit, claim or proceeding pending or, to the Company’s Knowledge, threatened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which the Company or any of its Subsidiaries or any of their respective officers or directors is a party (in their respective capacities as such), or to which any property of the Company or the Subsidiaries is or would reasonably be expected to be subject, before any court, board, body, regulatory or non-regulatory administrative agency or competent authority, which if determined adversely to the Company or any of the Subsidiaries would, individually or in the aggregate, have a Material Adverse Effect.</w:t>
      </w:r>
    </w:p>
    <w:p>
      <w:pPr>
        <w:spacing w:after="0" w:line="117" w:lineRule="exact"/>
        <w:rPr>
          <w:rFonts w:ascii="Times New Roman" w:cs="Times New Roman" w:eastAsia="Times New Roman" w:hAnsi="Times New Roman"/>
          <w:sz w:val="12"/>
          <w:szCs w:val="12"/>
          <w:b w:val="1"/>
          <w:bCs w:val="1"/>
          <w:color w:val="auto"/>
        </w:rPr>
      </w:pPr>
    </w:p>
    <w:p>
      <w:pPr>
        <w:ind w:left="-20" w:right="40" w:firstLine="653"/>
        <w:spacing w:after="0" w:line="256" w:lineRule="auto"/>
        <w:tabs>
          <w:tab w:leader="none" w:pos="784" w:val="left"/>
        </w:tabs>
        <w:numPr>
          <w:ilvl w:val="0"/>
          <w:numId w:val="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Employment Matters</w:t>
      </w:r>
      <w:r>
        <w:rPr>
          <w:rFonts w:ascii="Times New Roman" w:cs="Times New Roman" w:eastAsia="Times New Roman" w:hAnsi="Times New Roman"/>
          <w:sz w:val="12"/>
          <w:szCs w:val="12"/>
          <w:color w:val="auto"/>
        </w:rPr>
        <w:t>. Except for matters which would not, individually or in the aggregate, reasonably be expected to have a Material Adverse Effect, each “employee benefit plan” (within the meaning of Section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3(3) of ERISA) for which the Company or any member of its “Controlled Group” (defined as any organization that is a member of a controlled group of corporations within the meaning of Section 414 of the Code, including its subsidiaries, would have liability) (each a “</w:t>
      </w:r>
      <w:r>
        <w:rPr>
          <w:rFonts w:ascii="Times New Roman" w:cs="Times New Roman" w:eastAsia="Times New Roman" w:hAnsi="Times New Roman"/>
          <w:sz w:val="12"/>
          <w:szCs w:val="12"/>
          <w:b w:val="1"/>
          <w:bCs w:val="1"/>
          <w:i w:val="1"/>
          <w:iCs w:val="1"/>
          <w:color w:val="auto"/>
        </w:rPr>
        <w:t>Plan</w:t>
      </w:r>
      <w:r>
        <w:rPr>
          <w:rFonts w:ascii="Times New Roman" w:cs="Times New Roman" w:eastAsia="Times New Roman" w:hAnsi="Times New Roman"/>
          <w:sz w:val="12"/>
          <w:szCs w:val="12"/>
          <w:color w:val="auto"/>
        </w:rPr>
        <w:t>”) (i) is in compliance in all material respects with all presently applicable statutes, rules and regulations, including ERISA and the Code; (ii) with respect to each Plan subject to Title IV of ERISA (A) no “reportable event” (as defined in Section 4043 of ERISA) has occurred for which the Company or any member of its Controlled Group would have any liability; and (B) neither the Company nor any member of its Controlled Group has incurred or expects to incur liability under Title IV of ERISA (other than for contributions to the Plan or premiums payable to the Pension Benefit Guaranty Corporation, in each case in the ordinary course and without default); (iii) no Plan which is subject to Section 412 of the Code or Section 302 of ERISA has failed to satisfy the minimum funding standard within the meaning of such sections of the Code or ERISA; and (iv) each Plan that is intended to be qualified under Section 401(a) of the Code is so qualified and nothing has occurred, whether by action or by failure to act, which would reasonably be expected to cause the loss of such qualification.</w:t>
      </w:r>
    </w:p>
    <w:p>
      <w:pPr>
        <w:spacing w:after="0" w:line="121" w:lineRule="exact"/>
        <w:rPr>
          <w:rFonts w:ascii="Times New Roman" w:cs="Times New Roman" w:eastAsia="Times New Roman" w:hAnsi="Times New Roman"/>
          <w:sz w:val="12"/>
          <w:szCs w:val="12"/>
          <w:b w:val="1"/>
          <w:bCs w:val="1"/>
          <w:color w:val="auto"/>
        </w:rPr>
      </w:pPr>
    </w:p>
    <w:p>
      <w:pPr>
        <w:ind w:left="-20" w:firstLine="653"/>
        <w:spacing w:after="0" w:line="259" w:lineRule="auto"/>
        <w:tabs>
          <w:tab w:leader="none" w:pos="851" w:val="left"/>
        </w:tabs>
        <w:numPr>
          <w:ilvl w:val="0"/>
          <w:numId w:val="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Conduct of Business; Regulatory Permits</w:t>
      </w:r>
      <w:r>
        <w:rPr>
          <w:rFonts w:ascii="Times New Roman" w:cs="Times New Roman" w:eastAsia="Times New Roman" w:hAnsi="Times New Roman"/>
          <w:sz w:val="12"/>
          <w:szCs w:val="12"/>
          <w:color w:val="auto"/>
        </w:rPr>
        <w:t>. Neither the Company nor any of its Subsidiaries is in violation of any term of or in default under the Charter, the Certificate of Designation of Preferences, Rights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Limitations of Series A Non-Voting Convertible Preferred Stock, the Bylaws or their organizational charter or bylaws, respectively. Neither the Company nor any of its Subsidiaries (i) is in default of or in violation of, nor has the Company or any of its Subsidiaries received notice of a claim that it is in default under or that it is in violation of, any indenture, mortgage, deed of trust, bank loan or credit agreement or other evidence of indebtedness, or any material license, lease, contract or other agreement or instrument to which it is a party or by which any of its properties may be bound or affected, or (ii) is in violation of any judgment, decree or order or any statute, ordinance, rule or regulation applicable to the Company or its Subsidiaries.</w:t>
      </w:r>
    </w:p>
    <w:p>
      <w:pPr>
        <w:spacing w:after="0" w:line="119" w:lineRule="exact"/>
        <w:rPr>
          <w:rFonts w:ascii="Times New Roman" w:cs="Times New Roman" w:eastAsia="Times New Roman" w:hAnsi="Times New Roman"/>
          <w:sz w:val="12"/>
          <w:szCs w:val="12"/>
          <w:b w:val="1"/>
          <w:bCs w:val="1"/>
          <w:color w:val="auto"/>
        </w:rPr>
      </w:pPr>
    </w:p>
    <w:p>
      <w:pPr>
        <w:ind w:left="-20" w:firstLine="653"/>
        <w:spacing w:after="0" w:line="257" w:lineRule="auto"/>
        <w:tabs>
          <w:tab w:leader="none" w:pos="818" w:val="left"/>
        </w:tabs>
        <w:numPr>
          <w:ilvl w:val="0"/>
          <w:numId w:val="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Title to Properties and Assets</w:t>
      </w:r>
      <w:r>
        <w:rPr>
          <w:rFonts w:ascii="Times New Roman" w:cs="Times New Roman" w:eastAsia="Times New Roman" w:hAnsi="Times New Roman"/>
          <w:sz w:val="12"/>
          <w:szCs w:val="12"/>
          <w:color w:val="auto"/>
        </w:rPr>
        <w:t>. Neither the Company nor the Subsidiaries own any real property; the Company and each of the Subsidiaries have good and marketable title to all tangible personal property described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SEC Reports as being owned by any of them, free and clear of all liens, claims, security interests or other encumbrances, except those that do not materially interfere with the use or proposed use of such property by the Company or the Subsidiary, respectively, or as would not materially or adversely affect the value of such property; all the property described in the SEC Reports as being held under lease by the Company or a Subsidiary is held thereby under valid, subsisting and enforceable leases, except where such failure to hold such property would not, individually or in the aggregate, reasonably be expected to have a Material Adverse Effect and except that the enforcement thereof may be subject to (i) bankruptcy, insolvency, reorganization, receivership, moratorium, fraudulent conveyance or other similar laws relating to creditor’s rights generally and (ii) general principles of equity and the discretion of the court before which any proceeding therefor may be brought.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21590</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ind w:firstLine="653"/>
        <w:spacing w:after="0" w:line="252" w:lineRule="auto"/>
        <w:tabs>
          <w:tab w:leader="none" w:pos="831" w:val="left"/>
        </w:tabs>
        <w:numPr>
          <w:ilvl w:val="0"/>
          <w:numId w:val="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Intellectual Property Rights</w:t>
      </w:r>
      <w:r>
        <w:rPr>
          <w:rFonts w:ascii="Times New Roman" w:cs="Times New Roman" w:eastAsia="Times New Roman" w:hAnsi="Times New Roman"/>
          <w:sz w:val="12"/>
          <w:szCs w:val="12"/>
          <w:color w:val="auto"/>
        </w:rPr>
        <w:t>. Except as disclosed in the SEC Reports, the Company and the Subsidiaries own, or have obtained valid and enforceable licenses for, or other rights to use, the patent applications, patents,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trademarks, trademark registrations, tradenames, service marks, copyrights, trade secrets and other unpatented or unpatentable proprietary information necessary for, or used in the conduct, or the proposed conduct, of the business of the Company and its Subsidiaries taken as a whole in the manner described in the SEC Reports (collectively, “</w:t>
      </w:r>
      <w:r>
        <w:rPr>
          <w:rFonts w:ascii="Times New Roman" w:cs="Times New Roman" w:eastAsia="Times New Roman" w:hAnsi="Times New Roman"/>
          <w:sz w:val="12"/>
          <w:szCs w:val="12"/>
          <w:b w:val="1"/>
          <w:bCs w:val="1"/>
          <w:i w:val="1"/>
          <w:iCs w:val="1"/>
          <w:color w:val="auto"/>
        </w:rPr>
        <w:t>Intellectual Property</w:t>
      </w:r>
      <w:r>
        <w:rPr>
          <w:rFonts w:ascii="Times New Roman" w:cs="Times New Roman" w:eastAsia="Times New Roman" w:hAnsi="Times New Roman"/>
          <w:sz w:val="12"/>
          <w:szCs w:val="12"/>
          <w:color w:val="auto"/>
        </w:rPr>
        <w:t>”), except as such failure to own or obtain rights would not result in a Material Adverse Effect; except as disclosed in the SEC Reports (i) to the Company’s Knowledge, there are no third parties who have any ownership rights in or to any Intellectual Property that is owned by the Company, and, to the Company’s Knowledge, no third party has any ownership right in or to any Intellectual Property in any field of use that is exclusively licensed to the Company, other than the licensor to the Company of such Intellectual Property; (ii) the Company has not received written notice of any material infringement by third parties of any Intellectual Property; (iii) there is no pending or, to the Company’s knowledge, threatened action, suit, proceeding or claim by others alleging that the Company is infringing, misappropriating, diluting or otherwise violating any rights of others with respect to any Intellectual Property; (iv) there is no pending or, to the Company’s knowledge, threatened action, suit, proceeding or claim by others challenging the validity, enforceability or scope of any of the patent or patent applications owned or exclusively licensed by the Company included in the Intellectual Property; (v) the Company has not received written notice of any claim of material infringement with any asserted rights of others with respect to any of the Company’s products, proposed products, processes or Intellectual Property; (vi) except as would not reasonably be expected to result in a Material Adverse Effect, the development, sale and any currently proposed use of any of the products, proposed products or processes of the Company referred to in the SEC Reports, in the current or proposed conduct of the businesses of the Company in the manner and to the extent described in the SEC Reports, do not currently, and will not upon commercialization, infringe any right or valid patent claim of any third party; (vii) to the Company’s Knowledge, the parties prosecuting the patents and patent applications owned or licensed to the Company or under which the Company has rights included in the Intellectual Property have complied with their duty of candor and disclosure to the U.S. Patent and Trademark Office (the “</w:t>
      </w:r>
      <w:r>
        <w:rPr>
          <w:rFonts w:ascii="Times New Roman" w:cs="Times New Roman" w:eastAsia="Times New Roman" w:hAnsi="Times New Roman"/>
          <w:sz w:val="12"/>
          <w:szCs w:val="12"/>
          <w:b w:val="1"/>
          <w:bCs w:val="1"/>
          <w:i w:val="1"/>
          <w:iCs w:val="1"/>
          <w:color w:val="auto"/>
        </w:rPr>
        <w:t>USPTO</w:t>
      </w:r>
      <w:r>
        <w:rPr>
          <w:rFonts w:ascii="Times New Roman" w:cs="Times New Roman" w:eastAsia="Times New Roman" w:hAnsi="Times New Roman"/>
          <w:sz w:val="12"/>
          <w:szCs w:val="12"/>
          <w:color w:val="auto"/>
        </w:rPr>
        <w:t>”) in connection with such applications and the Company is not aware of any facts required to be disclosed to the USPTO that were not disclosed to the USPTO and which would preclude the grant of a patent in connection with any such application, or in the view of the Company could form a reasonable basis of a finding of invalidity with respect to any patents that have issued with respect to such applications; (viii) there is no prior art that may render any patent application within the Intellectual Property unpatentable that has not been disclosed to the U.S. Patent and Trademark Office or of which the Company is otherwise aware; (ix) the product candidates described in the SEC Reports as under development by the Company or any Subsidiary fall within the scope of the claims of one or more patents owned by, or exclusively licensed to, the Company or any Subsidiary; and (x) to the Company’s knowledge, there is no patent or published patent application in the U.S. or other jurisdiction which contains claims that dominate or may dominate the Intellectual Property or that interferes with the issued or pending claims of any such Intellectual Property; the description of the Intellectual Property included or incorporated by reference in the SEC Reports is accurate and complete in all material respects and presents fairly the information purported to be described therein.</w:t>
      </w:r>
    </w:p>
    <w:p>
      <w:pPr>
        <w:spacing w:after="0" w:line="127" w:lineRule="exact"/>
        <w:rPr>
          <w:rFonts w:ascii="Times New Roman" w:cs="Times New Roman" w:eastAsia="Times New Roman" w:hAnsi="Times New Roman"/>
          <w:sz w:val="12"/>
          <w:szCs w:val="12"/>
          <w:b w:val="1"/>
          <w:bCs w:val="1"/>
          <w:color w:val="auto"/>
        </w:rPr>
      </w:pPr>
    </w:p>
    <w:p>
      <w:pPr>
        <w:ind w:right="60" w:firstLine="653"/>
        <w:spacing w:after="0" w:line="259" w:lineRule="auto"/>
        <w:tabs>
          <w:tab w:leader="none" w:pos="838" w:val="left"/>
        </w:tabs>
        <w:numPr>
          <w:ilvl w:val="0"/>
          <w:numId w:val="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w:t>
      </w:r>
      <w:r>
        <w:rPr>
          <w:rFonts w:ascii="Times New Roman" w:cs="Times New Roman" w:eastAsia="Times New Roman" w:hAnsi="Times New Roman"/>
          <w:sz w:val="12"/>
          <w:szCs w:val="12"/>
          <w:color w:val="auto"/>
        </w:rPr>
        <w:t>. The Company and each of the Subsidiaries maintain insurance covering their respective properties, operations, personnel and businesses as the Company reasonably deems adequate; such insurance insures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against such losses and risks in accordance with customary industry practice to protect the Company and the Subsidiaries and their respective businesses and which is commercially reasonably for the current conduct of their respective businesses; to the Company’s Knowledge, all such insurance is fully in force on the date hereof and is expected to be fully in force at each time of purchase, if any; neither the Company nor any Subsidiary has reason to believe that it will not be able to (i) renew any such insurance as and when such insurance expires or (ii) obtain comparable coverage from similar institutions as may be necessary or appropriate to conduct its business as now conducted at a cost that would not, individually or in the aggregate, reasonably be expected to result in any Material Adverse Effect.</w:t>
      </w:r>
    </w:p>
    <w:p>
      <w:pPr>
        <w:spacing w:after="0" w:line="119" w:lineRule="exact"/>
        <w:rPr>
          <w:rFonts w:ascii="Times New Roman" w:cs="Times New Roman" w:eastAsia="Times New Roman" w:hAnsi="Times New Roman"/>
          <w:sz w:val="12"/>
          <w:szCs w:val="12"/>
          <w:b w:val="1"/>
          <w:bCs w:val="1"/>
          <w:color w:val="auto"/>
        </w:rPr>
      </w:pPr>
    </w:p>
    <w:p>
      <w:pPr>
        <w:ind w:left="820" w:hanging="167"/>
        <w:spacing w:after="0"/>
        <w:tabs>
          <w:tab w:leader="none" w:pos="820" w:val="left"/>
        </w:tabs>
        <w:numPr>
          <w:ilvl w:val="0"/>
          <w:numId w:val="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[Reserved]</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b w:val="1"/>
          <w:bCs w:val="1"/>
          <w:color w:val="auto"/>
        </w:rPr>
      </w:pPr>
    </w:p>
    <w:p>
      <w:pPr>
        <w:ind w:right="20" w:firstLine="653"/>
        <w:spacing w:after="0" w:line="254" w:lineRule="auto"/>
        <w:tabs>
          <w:tab w:leader="none" w:pos="824" w:val="left"/>
        </w:tabs>
        <w:numPr>
          <w:ilvl w:val="0"/>
          <w:numId w:val="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Company’s Accounting System</w:t>
      </w:r>
      <w:r>
        <w:rPr>
          <w:rFonts w:ascii="Times New Roman" w:cs="Times New Roman" w:eastAsia="Times New Roman" w:hAnsi="Times New Roman"/>
          <w:sz w:val="12"/>
          <w:szCs w:val="12"/>
          <w:color w:val="auto"/>
        </w:rPr>
        <w:t>. The Company and the Subsidiaries maintain a system of “internal control over financial reporting” (as defined in Rule 13a-15(f) of the Exchange Act) that has been designed by,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under the supervision of, the Company’s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any unauthorized access that could have a material effect on the Company’s financial statements is timely detected; and (iv) the recorded accountability for assets is compared with existing assets at reasonable intervals and appropriate action is taken with respect to any differences. Except as disclosed in the SEC Reports, there are no material weaknesses in the Company’s internal controls. The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9" w:name="page30"/>
    <w:bookmarkEnd w:id="29"/>
    <w:p>
      <w:pPr>
        <w:ind w:left="-40" w:firstLine="653"/>
        <w:spacing w:after="0" w:line="254" w:lineRule="auto"/>
        <w:tabs>
          <w:tab w:leader="none" w:pos="778" w:val="left"/>
        </w:tabs>
        <w:numPr>
          <w:ilvl w:val="0"/>
          <w:numId w:val="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Sarbanes-Oxley; Disclosure Controls</w:t>
      </w:r>
      <w:r>
        <w:rPr>
          <w:rFonts w:ascii="Times New Roman" w:cs="Times New Roman" w:eastAsia="Times New Roman" w:hAnsi="Times New Roman"/>
          <w:sz w:val="12"/>
          <w:szCs w:val="12"/>
          <w:color w:val="auto"/>
        </w:rPr>
        <w:t>. The Company and its Subsidiaries have established and maintain and evaluate “disclosure controls and procedures” (as such term is defined in Rule 13a-15 under the Exchange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Act); such disclosure controls and procedures have been designed to ensure that material information relating to the Company, including its consolidated subsidiaries, is made known to the Company’s Chief Executive Officer and its Chief Financial Officer by others within those entities, and such disclosure controls and procedures are effective to perform the functions for which they were established; except as disclosed in the SEC Reports, no “significant deficiencies” or “material weaknesses” (as such terms are defined in Rule 1-02(a)(4) of Regulation S-X under the Securities Act) of the Company were identified in connection with the audit by the Company’s independent registered public accountants of the Company’s financial statements for the fiscal year ended December 31, 2023; since the date of the most recent evaluation of such disclosure controls and procedures and internal controls, there have been no significant changes in internal controls or in other factors that could significantly affect internal controls, including any corrective actions with regard to significant deficiencies and material weaknesses and the principal executive officer and principal financial officer of the Company have made all certifications required by the Sarbanes-Oxley Act of 2002 (the “</w:t>
      </w:r>
      <w:r>
        <w:rPr>
          <w:rFonts w:ascii="Times New Roman" w:cs="Times New Roman" w:eastAsia="Times New Roman" w:hAnsi="Times New Roman"/>
          <w:sz w:val="12"/>
          <w:szCs w:val="12"/>
          <w:b w:val="1"/>
          <w:bCs w:val="1"/>
          <w:i w:val="1"/>
          <w:iCs w:val="1"/>
          <w:color w:val="auto"/>
        </w:rPr>
        <w:t>Sarbanes-Oxley Act</w:t>
      </w:r>
      <w:r>
        <w:rPr>
          <w:rFonts w:ascii="Times New Roman" w:cs="Times New Roman" w:eastAsia="Times New Roman" w:hAnsi="Times New Roman"/>
          <w:sz w:val="12"/>
          <w:szCs w:val="12"/>
          <w:color w:val="auto"/>
        </w:rPr>
        <w:t>”) and any related rules and regulations promulgated by the Commission, and the statements contained in each such certification are complete and correct in all material respects. The Company has taken all actions reasonably necessary to ensure that the Company and the Subsidiaries and their respective officers and directors, in their capacities as such, are in compliance in all material respects with the applicable provisions of the Sarbanes-Oxley Act and the rules and regulations promulgated in connection therewith.</w:t>
      </w:r>
    </w:p>
    <w:p>
      <w:pPr>
        <w:spacing w:after="0" w:line="125" w:lineRule="exact"/>
        <w:rPr>
          <w:rFonts w:ascii="Times New Roman" w:cs="Times New Roman" w:eastAsia="Times New Roman" w:hAnsi="Times New Roman"/>
          <w:sz w:val="12"/>
          <w:szCs w:val="12"/>
          <w:b w:val="1"/>
          <w:bCs w:val="1"/>
          <w:color w:val="auto"/>
        </w:rPr>
      </w:pPr>
    </w:p>
    <w:p>
      <w:pPr>
        <w:ind w:left="760" w:hanging="147"/>
        <w:spacing w:after="0"/>
        <w:tabs>
          <w:tab w:leader="none" w:pos="760" w:val="left"/>
        </w:tabs>
        <w:numPr>
          <w:ilvl w:val="0"/>
          <w:numId w:val="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[Reserved]</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b w:val="1"/>
          <w:bCs w:val="1"/>
          <w:color w:val="auto"/>
        </w:rPr>
      </w:pPr>
    </w:p>
    <w:p>
      <w:pPr>
        <w:jc w:val="both"/>
        <w:ind w:left="-40" w:right="100" w:firstLine="653"/>
        <w:spacing w:after="0" w:line="262" w:lineRule="auto"/>
        <w:tabs>
          <w:tab w:leader="none" w:pos="798" w:val="left"/>
        </w:tabs>
        <w:numPr>
          <w:ilvl w:val="0"/>
          <w:numId w:val="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Certain Fees</w:t>
      </w:r>
      <w:r>
        <w:rPr>
          <w:rFonts w:ascii="Times New Roman" w:cs="Times New Roman" w:eastAsia="Times New Roman" w:hAnsi="Times New Roman"/>
          <w:sz w:val="12"/>
          <w:szCs w:val="12"/>
          <w:color w:val="auto"/>
        </w:rPr>
        <w:t>. No person or entity will have, as a result of the transactions contemplated by this Agreement, any valid right, interest or claim against or upon the Company or a Purchaser for any commission, fee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 compensation pursuant to any agreement, arrangement or understanding entered into by or on behalf of the Company, other than the Placement Agents with respect to the offer and sale of the Securities (which placement agent fees are being paid by the Company). The Purchasers shall have no obligation with respect to any fees or with respect to any claims made by or on behalf of other Persons for fees of a type contemplated in this Section 3.1(u) that may be due in connection with the transactions contemplated by the Transaction Documents.</w:t>
      </w:r>
    </w:p>
    <w:p>
      <w:pPr>
        <w:spacing w:after="0" w:line="117" w:lineRule="exact"/>
        <w:rPr>
          <w:rFonts w:ascii="Times New Roman" w:cs="Times New Roman" w:eastAsia="Times New Roman" w:hAnsi="Times New Roman"/>
          <w:sz w:val="12"/>
          <w:szCs w:val="12"/>
          <w:b w:val="1"/>
          <w:bCs w:val="1"/>
          <w:color w:val="auto"/>
        </w:rPr>
      </w:pPr>
    </w:p>
    <w:p>
      <w:pPr>
        <w:ind w:left="-40" w:right="60" w:firstLine="653"/>
        <w:spacing w:after="0" w:line="262" w:lineRule="auto"/>
        <w:tabs>
          <w:tab w:leader="none" w:pos="791" w:val="left"/>
        </w:tabs>
        <w:numPr>
          <w:ilvl w:val="0"/>
          <w:numId w:val="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Private Placement</w:t>
      </w:r>
      <w:r>
        <w:rPr>
          <w:rFonts w:ascii="Times New Roman" w:cs="Times New Roman" w:eastAsia="Times New Roman" w:hAnsi="Times New Roman"/>
          <w:sz w:val="12"/>
          <w:szCs w:val="12"/>
          <w:color w:val="auto"/>
        </w:rPr>
        <w:t>. Assuming the accuracy of the Purchasers’ representations and warranties set forth in Section 3.2 of this Agreement, no registration under the Securities Act is required for the offer and sale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Securities by the Company to the Purchasers under the Transaction Documents or, subject to the Company obtaining the Requisite Stockholder Approval, for the issuance of the Conversion Shares upon conversion of the Preferred Shares. The issuance and sale of the Securities hereunder and, subject to the Company obtaining the Requisite Stockholder Approval, the issuance of the Conversion Shares upon conversion of the Preferred Shares does not contravene the rules and regulations of the Principal Trading Market.</w:t>
      </w:r>
    </w:p>
    <w:p>
      <w:pPr>
        <w:spacing w:after="0" w:line="117" w:lineRule="exact"/>
        <w:rPr>
          <w:rFonts w:ascii="Times New Roman" w:cs="Times New Roman" w:eastAsia="Times New Roman" w:hAnsi="Times New Roman"/>
          <w:sz w:val="12"/>
          <w:szCs w:val="12"/>
          <w:b w:val="1"/>
          <w:bCs w:val="1"/>
          <w:color w:val="auto"/>
        </w:rPr>
      </w:pPr>
    </w:p>
    <w:p>
      <w:pPr>
        <w:ind w:left="-40" w:right="420" w:firstLine="653"/>
        <w:spacing w:after="0" w:line="286" w:lineRule="auto"/>
        <w:tabs>
          <w:tab w:leader="none" w:pos="818" w:val="left"/>
        </w:tabs>
        <w:numPr>
          <w:ilvl w:val="0"/>
          <w:numId w:val="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Company Not an “</w:t>
      </w:r>
      <w:r>
        <w:rPr>
          <w:rFonts w:ascii="Times New Roman" w:cs="Times New Roman" w:eastAsia="Times New Roman" w:hAnsi="Times New Roman"/>
          <w:sz w:val="12"/>
          <w:szCs w:val="12"/>
          <w:b w:val="1"/>
          <w:bCs w:val="1"/>
          <w:i w:val="1"/>
          <w:iCs w:val="1"/>
          <w:color w:val="auto"/>
        </w:rPr>
        <w:t>Investment Company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Company is not, and will not be, immediately after receipt of payment for the Securities, required to register as an “investment company” under the Investment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Act of 1940, as amended.</w:t>
      </w:r>
    </w:p>
    <w:p>
      <w:pPr>
        <w:spacing w:after="0" w:line="103" w:lineRule="exact"/>
        <w:rPr>
          <w:rFonts w:ascii="Times New Roman" w:cs="Times New Roman" w:eastAsia="Times New Roman" w:hAnsi="Times New Roman"/>
          <w:sz w:val="12"/>
          <w:szCs w:val="12"/>
          <w:b w:val="1"/>
          <w:bCs w:val="1"/>
          <w:color w:val="auto"/>
        </w:rPr>
      </w:pPr>
    </w:p>
    <w:p>
      <w:pPr>
        <w:ind w:left="-40" w:right="60" w:firstLine="653"/>
        <w:spacing w:after="0" w:line="286" w:lineRule="auto"/>
        <w:tabs>
          <w:tab w:leader="none" w:pos="791" w:val="left"/>
        </w:tabs>
        <w:numPr>
          <w:ilvl w:val="0"/>
          <w:numId w:val="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Registration Rights</w:t>
      </w:r>
      <w:r>
        <w:rPr>
          <w:rFonts w:ascii="Times New Roman" w:cs="Times New Roman" w:eastAsia="Times New Roman" w:hAnsi="Times New Roman"/>
          <w:sz w:val="12"/>
          <w:szCs w:val="12"/>
          <w:color w:val="auto"/>
        </w:rPr>
        <w:t>. Other than the Purchasers or as set forth in the SEC Reports, no Person has any right to cause the Company to effect the registration under the Securities Act of the offer and sale of any securities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Company other than (i) those offers and sales which are currently registered on an effective registration statement on file with the Commission and (ii) such rights as have been temporarily waived.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21590</wp:posOffset>
            </wp:positionV>
            <wp:extent cx="71780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sectPr>
      </w:pPr>
    </w:p>
    <w:bookmarkStart w:id="30" w:name="page31"/>
    <w:bookmarkEnd w:id="30"/>
    <w:p>
      <w:pPr>
        <w:jc w:val="both"/>
        <w:ind w:left="8" w:right="20" w:firstLine="653"/>
        <w:spacing w:after="0" w:line="262" w:lineRule="auto"/>
        <w:tabs>
          <w:tab w:leader="none" w:pos="839" w:val="left"/>
        </w:tabs>
        <w:numPr>
          <w:ilvl w:val="0"/>
          <w:numId w:val="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Listing and Maintenance Requirements</w:t>
      </w:r>
      <w:r>
        <w:rPr>
          <w:rFonts w:ascii="Times New Roman" w:cs="Times New Roman" w:eastAsia="Times New Roman" w:hAnsi="Times New Roman"/>
          <w:sz w:val="12"/>
          <w:szCs w:val="12"/>
          <w:color w:val="auto"/>
        </w:rPr>
        <w:t>. The Company’s Common Stock is registered pursuant to Section 12(b) or Section 12(g) of the Exchange Act, and the Company has taken no action designed to terminate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registration of the Common Stock under the Exchange Act, nor has the Company received any notification that the Commission or the Principal Trading Market is contemplating terminating such registration or listing. The Company is, and immediately following the Closing will be, in compliance with all applicable listing requirements of the Principal Trading Market. The Company has filed with Nasdaq a Listing of Additional Shares notification form covering the Common Shares and the Conversion Shares and has not received any objections from Nasdaq with respect to such application with respect to the transactions contemplated hereby.</w:t>
      </w:r>
    </w:p>
    <w:p>
      <w:pPr>
        <w:spacing w:after="0" w:line="117" w:lineRule="exact"/>
        <w:rPr>
          <w:rFonts w:ascii="Times New Roman" w:cs="Times New Roman" w:eastAsia="Times New Roman" w:hAnsi="Times New Roman"/>
          <w:sz w:val="12"/>
          <w:szCs w:val="12"/>
          <w:b w:val="1"/>
          <w:bCs w:val="1"/>
          <w:color w:val="auto"/>
        </w:rPr>
      </w:pPr>
    </w:p>
    <w:p>
      <w:pPr>
        <w:ind w:left="8" w:right="20" w:firstLine="653"/>
        <w:spacing w:after="0" w:line="257" w:lineRule="auto"/>
        <w:tabs>
          <w:tab w:leader="none" w:pos="832" w:val="left"/>
        </w:tabs>
        <w:numPr>
          <w:ilvl w:val="0"/>
          <w:numId w:val="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Disclosure</w:t>
      </w:r>
      <w:r>
        <w:rPr>
          <w:rFonts w:ascii="Times New Roman" w:cs="Times New Roman" w:eastAsia="Times New Roman" w:hAnsi="Times New Roman"/>
          <w:sz w:val="12"/>
          <w:szCs w:val="12"/>
          <w:color w:val="auto"/>
        </w:rPr>
        <w:t>. Except for certain clinical data and related information with respect to the Company’s clinical trials of Descartes-08 in patients with myasthenia gravis provided to the Purchasers (the “</w:t>
      </w:r>
      <w:r>
        <w:rPr>
          <w:rFonts w:ascii="Times New Roman" w:cs="Times New Roman" w:eastAsia="Times New Roman" w:hAnsi="Times New Roman"/>
          <w:sz w:val="12"/>
          <w:szCs w:val="12"/>
          <w:b w:val="1"/>
          <w:bCs w:val="1"/>
          <w:i w:val="1"/>
          <w:iCs w:val="1"/>
          <w:color w:val="auto"/>
        </w:rPr>
        <w:t>Clinical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b w:val="1"/>
          <w:bCs w:val="1"/>
          <w:i w:val="1"/>
          <w:iCs w:val="1"/>
          <w:color w:val="auto"/>
        </w:rPr>
        <w:t>Information</w:t>
      </w:r>
      <w:r>
        <w:rPr>
          <w:rFonts w:ascii="Times New Roman" w:cs="Times New Roman" w:eastAsia="Times New Roman" w:hAnsi="Times New Roman"/>
          <w:sz w:val="12"/>
          <w:szCs w:val="12"/>
          <w:color w:val="auto"/>
        </w:rPr>
        <w:t>”), the Company confirms that it has not provided, and none of its officers or directors nor any other Person acting on its or their behalf (including, without limitation, the Placement Agents) has provided, and it has not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authorized the Placement Agents to provide, any Purchaser or its respective agents or counsel with any information that it believes constitutes material, non-public information except insofar as the existence, provisions and terms of the Transaction Documents and the proposed transactions hereunder and thereunder may constitute such information, all of which, other than the Clinical Information, will be disclosed by the Company in the Press Release as contemplated by Section 4.4 hereof. Prior to the issuance of the Press Release, the Company will issue a press release disclosing all material portions of the Clinical Information. The Company understands and confirms that the Purchasers will rely on the foregoing representations in effecting transactions in securities of the Company.</w:t>
      </w:r>
    </w:p>
    <w:p>
      <w:pPr>
        <w:spacing w:after="0" w:line="121" w:lineRule="exact"/>
        <w:rPr>
          <w:sz w:val="20"/>
          <w:szCs w:val="20"/>
          <w:color w:val="auto"/>
        </w:rPr>
      </w:pPr>
    </w:p>
    <w:p>
      <w:pPr>
        <w:ind w:left="8" w:right="60" w:firstLine="653"/>
        <w:spacing w:after="0" w:line="287" w:lineRule="auto"/>
        <w:tabs>
          <w:tab w:leader="none" w:pos="899" w:val="left"/>
        </w:tabs>
        <w:numPr>
          <w:ilvl w:val="1"/>
          <w:numId w:val="21"/>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No Integrated Offering</w:t>
      </w:r>
      <w:r>
        <w:rPr>
          <w:rFonts w:ascii="Times New Roman" w:cs="Times New Roman" w:eastAsia="Times New Roman" w:hAnsi="Times New Roman"/>
          <w:sz w:val="11"/>
          <w:szCs w:val="11"/>
          <w:color w:val="auto"/>
        </w:rPr>
        <w:t>. Assuming the accuracy of the Purchasers’ representations and warranties set forth in Section 3.2, none of the Company, its Subsidiaries, any of its Affiliates nor, to the Company’s</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Knowledge, any Person acting on its behalf has, directly or indirectly, at any time within the past six months, made any offers or sales of any Company security or solicited any offers to buy any security under circumstances that would</w:t>
      </w:r>
    </w:p>
    <w:p>
      <w:pPr>
        <w:ind w:left="8" w:right="100" w:hanging="8"/>
        <w:spacing w:after="0" w:line="255" w:lineRule="auto"/>
        <w:tabs>
          <w:tab w:leader="none" w:pos="151"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eliminate the availability of the exemption from registration under the Securities Act, including Regulation D, in connection with the offer and sale by the Company of the Securities as contemplated hereby or (ii) cause the offering of the Securities pursuant to the Transaction Documents to be integrated with prior offerings by the Company for purposes of any applicable law, regulation or stockholder approval provisions, including, without limitation, under the rules and regulations of any Trading Market on which any of the securities of the Company are listed or designated.</w:t>
      </w:r>
    </w:p>
    <w:p>
      <w:pPr>
        <w:spacing w:after="0" w:line="121" w:lineRule="exact"/>
        <w:rPr>
          <w:rFonts w:ascii="Times New Roman" w:cs="Times New Roman" w:eastAsia="Times New Roman" w:hAnsi="Times New Roman"/>
          <w:sz w:val="12"/>
          <w:szCs w:val="12"/>
          <w:color w:val="auto"/>
        </w:rPr>
      </w:pPr>
    </w:p>
    <w:p>
      <w:pPr>
        <w:jc w:val="both"/>
        <w:ind w:left="8" w:right="180" w:firstLine="653"/>
        <w:spacing w:after="0" w:line="268" w:lineRule="auto"/>
        <w:tabs>
          <w:tab w:leader="none" w:pos="912" w:val="left"/>
        </w:tabs>
        <w:numPr>
          <w:ilvl w:val="1"/>
          <w:numId w:val="2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Tax Matters</w:t>
      </w:r>
      <w:r>
        <w:rPr>
          <w:rFonts w:ascii="Times New Roman" w:cs="Times New Roman" w:eastAsia="Times New Roman" w:hAnsi="Times New Roman"/>
          <w:sz w:val="12"/>
          <w:szCs w:val="12"/>
          <w:color w:val="auto"/>
        </w:rPr>
        <w:t>. Except as described in the SEC Reports, all material tax returns required to be filed by the Company or any of the Subsidiaries have been filed (subject to permitted extensions), and all material taxes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other assessments of a similar nature (whether imposed directly or through withholding) including any material interest, additions to tax or penalties applicable thereto due or claimed to be due from such entities have been paid, other than those being contested in good faith and for which adequate reserves have been provided. The Company is classified as a Subchapter C corporation for U.S. federal tax purposes.</w:t>
      </w:r>
    </w:p>
    <w:p>
      <w:pPr>
        <w:spacing w:after="0" w:line="113" w:lineRule="exact"/>
        <w:rPr>
          <w:rFonts w:ascii="Times New Roman" w:cs="Times New Roman" w:eastAsia="Times New Roman" w:hAnsi="Times New Roman"/>
          <w:sz w:val="12"/>
          <w:szCs w:val="12"/>
          <w:b w:val="1"/>
          <w:bCs w:val="1"/>
          <w:color w:val="auto"/>
        </w:rPr>
      </w:pPr>
    </w:p>
    <w:p>
      <w:pPr>
        <w:ind w:left="8" w:firstLine="653"/>
        <w:spacing w:after="0" w:line="254" w:lineRule="auto"/>
        <w:tabs>
          <w:tab w:leader="none" w:pos="885" w:val="left"/>
        </w:tabs>
        <w:numPr>
          <w:ilvl w:val="1"/>
          <w:numId w:val="2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Compliance with Environmental Laws</w:t>
      </w:r>
      <w:r>
        <w:rPr>
          <w:rFonts w:ascii="Times New Roman" w:cs="Times New Roman" w:eastAsia="Times New Roman" w:hAnsi="Times New Roman"/>
          <w:sz w:val="12"/>
          <w:szCs w:val="12"/>
          <w:color w:val="auto"/>
        </w:rPr>
        <w:t>. The Company and the Subsidiaries are in compliance with, and hold all permits, authorizations and approvals required under, Environmental Laws (as defined below), except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 the extent that failure to so comply or to hold such permits, authorizations or approvals would not, individually or in the aggregate, reasonably be expected to have a Material Adverse Effect; the Company and the Subsidiaries are not aware of any non-compliance with Environmental Laws, any past or present events, conditions, activities, practices, actions, omissions or plans that could reasonably be expected to result in non-compliance with Environmental Laws or any current liabilities under Environmental Laws, that could individually or in the aggregate, reasonably be expected to have a Material Adverse Effect; the Company and the Subsidiaries (i) are not the subject of any investigation known to the Company, (ii) have not received any notice or claim, (iii) are not a party to any pending or, to the Company’s Knowledge, threatened action, suit or proceeding, (iv) are not bound by any judgment, decree or order or (v) have not entered into any agreement, in each case relating to any alleged violation of any Environmental Law or any actual or alleged release or threatened release or cleanup at any location of any Hazardous Materials (as defined below) (as used herein, “</w:t>
      </w:r>
      <w:r>
        <w:rPr>
          <w:rFonts w:ascii="Times New Roman" w:cs="Times New Roman" w:eastAsia="Times New Roman" w:hAnsi="Times New Roman"/>
          <w:sz w:val="12"/>
          <w:szCs w:val="12"/>
          <w:b w:val="1"/>
          <w:bCs w:val="1"/>
          <w:i w:val="1"/>
          <w:iCs w:val="1"/>
          <w:color w:val="auto"/>
        </w:rPr>
        <w:t>Environmental Law</w:t>
      </w:r>
      <w:r>
        <w:rPr>
          <w:rFonts w:ascii="Times New Roman" w:cs="Times New Roman" w:eastAsia="Times New Roman" w:hAnsi="Times New Roman"/>
          <w:sz w:val="12"/>
          <w:szCs w:val="12"/>
          <w:color w:val="auto"/>
        </w:rPr>
        <w:t>” means any federal, state, local or foreign law, statute, ordinance, rule, regulation, order, decree, judgment, injunction, permit, license, authorization or other legal requirement relating to health, safety or the protection, cleanup or restoration of the environment or natural resources, including those relating to the distribution, processing, generation, treatment, storage, disposal, transportation, other handling or release or threatened release of Hazardous Materials, and “</w:t>
      </w:r>
      <w:r>
        <w:rPr>
          <w:rFonts w:ascii="Times New Roman" w:cs="Times New Roman" w:eastAsia="Times New Roman" w:hAnsi="Times New Roman"/>
          <w:sz w:val="12"/>
          <w:szCs w:val="12"/>
          <w:b w:val="1"/>
          <w:bCs w:val="1"/>
          <w:i w:val="1"/>
          <w:iCs w:val="1"/>
          <w:color w:val="auto"/>
        </w:rPr>
        <w:t>Hazardous Materials</w:t>
      </w:r>
      <w:r>
        <w:rPr>
          <w:rFonts w:ascii="Times New Roman" w:cs="Times New Roman" w:eastAsia="Times New Roman" w:hAnsi="Times New Roman"/>
          <w:sz w:val="12"/>
          <w:szCs w:val="12"/>
          <w:color w:val="auto"/>
        </w:rPr>
        <w:t>” means any material (including, without limitation, pollutants, contaminants, hazardous or toxic substances or wastes) that is regulated by or may give rise to liability under any Environmental Law).</w:t>
      </w:r>
    </w:p>
    <w:p>
      <w:pPr>
        <w:spacing w:after="0" w:line="2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8"/>
          </w:cols>
          <w:pgMar w:left="292" w:top="125" w:right="319" w:bottom="1440" w:gutter="0" w:footer="0" w:header="0"/>
        </w:sectPr>
      </w:pPr>
    </w:p>
    <w:bookmarkStart w:id="31" w:name="page32"/>
    <w:bookmarkEnd w:id="31"/>
    <w:p>
      <w:pPr>
        <w:ind w:firstLine="653"/>
        <w:spacing w:after="0" w:line="268" w:lineRule="auto"/>
        <w:tabs>
          <w:tab w:leader="none" w:pos="904" w:val="left"/>
        </w:tabs>
        <w:numPr>
          <w:ilvl w:val="0"/>
          <w:numId w:val="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General Solicitation</w:t>
      </w:r>
      <w:r>
        <w:rPr>
          <w:rFonts w:ascii="Times New Roman" w:cs="Times New Roman" w:eastAsia="Times New Roman" w:hAnsi="Times New Roman"/>
          <w:sz w:val="12"/>
          <w:szCs w:val="12"/>
          <w:color w:val="auto"/>
        </w:rPr>
        <w:t>. Neither the Company nor, to the Company’s Knowledge, any person acting on behalf of the Company has, directly or indirectly, offered or sold any of the Securities or Conversion Shares,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solicited any offers to buy any Securities or Conversion Shares, under any circumstances that would require registration under the Securities Act of the Securities or the Conversion Shares, including by any form of general solicitation or general advertising.</w:t>
      </w:r>
    </w:p>
    <w:p>
      <w:pPr>
        <w:spacing w:after="0" w:line="113" w:lineRule="exact"/>
        <w:rPr>
          <w:rFonts w:ascii="Times New Roman" w:cs="Times New Roman" w:eastAsia="Times New Roman" w:hAnsi="Times New Roman"/>
          <w:sz w:val="12"/>
          <w:szCs w:val="12"/>
          <w:b w:val="1"/>
          <w:bCs w:val="1"/>
          <w:color w:val="auto"/>
        </w:rPr>
      </w:pPr>
    </w:p>
    <w:p>
      <w:pPr>
        <w:ind w:firstLine="653"/>
        <w:spacing w:after="0" w:line="257" w:lineRule="auto"/>
        <w:tabs>
          <w:tab w:leader="none" w:pos="877" w:val="left"/>
        </w:tabs>
        <w:numPr>
          <w:ilvl w:val="0"/>
          <w:numId w:val="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Anti-Corruption and Anti-Bribery Laws</w:t>
      </w:r>
      <w:r>
        <w:rPr>
          <w:rFonts w:ascii="Times New Roman" w:cs="Times New Roman" w:eastAsia="Times New Roman" w:hAnsi="Times New Roman"/>
          <w:sz w:val="12"/>
          <w:szCs w:val="12"/>
          <w:color w:val="auto"/>
        </w:rPr>
        <w:t>. None of the Company, any of the Subsidiaries or any of their respective officers or directors or, to the Company’s Knowledge, any agent, employee or controlled affiliate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Company or any of the Subsidiaries (i) has, directly or indirectly, made, offered, promised, or authorized the unlawful payment or provision of anything of value to any foreign or domestic government official or employee, including of any government-owned or controlled entity or of any public international organization, or any person acting in an official capacity for or on behalf of any of the foregoing, or any political party or party official or candidate for political office, or (ii) is aware of or has taken any action, directly or indirectly, that would result in a violation by such persons of the Foreign Corrupt Practices Act of 1977, as amended, and the rules and regulations thereunder, or the OECD Convention on Bribery of Foreign Public Officials in International Business Transactions; the Company, the Subsidiaries and, to the Company’s Knowledge, its controlled affiliates have instituted and maintain policies and procedures designed to ensure continued compliance therewith.</w:t>
      </w:r>
    </w:p>
    <w:p>
      <w:pPr>
        <w:spacing w:after="0" w:line="121" w:lineRule="exact"/>
        <w:rPr>
          <w:rFonts w:ascii="Times New Roman" w:cs="Times New Roman" w:eastAsia="Times New Roman" w:hAnsi="Times New Roman"/>
          <w:sz w:val="12"/>
          <w:szCs w:val="12"/>
          <w:b w:val="1"/>
          <w:bCs w:val="1"/>
          <w:color w:val="auto"/>
        </w:rPr>
      </w:pPr>
    </w:p>
    <w:p>
      <w:pPr>
        <w:ind w:right="60" w:firstLine="653"/>
        <w:spacing w:after="0" w:line="262" w:lineRule="auto"/>
        <w:tabs>
          <w:tab w:leader="none" w:pos="851" w:val="left"/>
        </w:tabs>
        <w:numPr>
          <w:ilvl w:val="0"/>
          <w:numId w:val="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Money Laundering Laws</w:t>
      </w:r>
      <w:r>
        <w:rPr>
          <w:rFonts w:ascii="Times New Roman" w:cs="Times New Roman" w:eastAsia="Times New Roman" w:hAnsi="Times New Roman"/>
          <w:sz w:val="12"/>
          <w:szCs w:val="12"/>
          <w:color w:val="auto"/>
        </w:rPr>
        <w:t>. The operations of the Company and the Subsidiaries are and have been conducted at all times in compliance with applicable financial recordkeeping and reporting requirements of the USA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PATRIOT Act, the Bank Secrecy Act of 1970, as amended, the anti-money laundering statutes of all jurisdictions, the rules and regulations thereunder and any related or similar rules, regulations or guidelines, issued, administered or enforced by any governmental agency having jurisdiction over the Company (collectively, the “</w:t>
      </w:r>
      <w:r>
        <w:rPr>
          <w:rFonts w:ascii="Times New Roman" w:cs="Times New Roman" w:eastAsia="Times New Roman" w:hAnsi="Times New Roman"/>
          <w:sz w:val="12"/>
          <w:szCs w:val="12"/>
          <w:b w:val="1"/>
          <w:bCs w:val="1"/>
          <w:i w:val="1"/>
          <w:iCs w:val="1"/>
          <w:color w:val="auto"/>
        </w:rPr>
        <w:t>Money Laundering Laws</w:t>
      </w:r>
      <w:r>
        <w:rPr>
          <w:rFonts w:ascii="Times New Roman" w:cs="Times New Roman" w:eastAsia="Times New Roman" w:hAnsi="Times New Roman"/>
          <w:sz w:val="12"/>
          <w:szCs w:val="12"/>
          <w:color w:val="auto"/>
        </w:rPr>
        <w:t>”); and no action, suit or proceeding by or before any court or governmental agency, authority or body or any arbitrator or non-governmental authority involving the Company or any of the Subsidiaries with respect to the Money Laundering Laws is pending or, to the Company’s Knowledge, threatened.</w:t>
      </w:r>
    </w:p>
    <w:p>
      <w:pPr>
        <w:spacing w:after="0" w:line="117" w:lineRule="exact"/>
        <w:rPr>
          <w:rFonts w:ascii="Times New Roman" w:cs="Times New Roman" w:eastAsia="Times New Roman" w:hAnsi="Times New Roman"/>
          <w:sz w:val="12"/>
          <w:szCs w:val="12"/>
          <w:b w:val="1"/>
          <w:bCs w:val="1"/>
          <w:color w:val="auto"/>
        </w:rPr>
      </w:pPr>
    </w:p>
    <w:p>
      <w:pPr>
        <w:ind w:firstLine="653"/>
        <w:spacing w:after="0" w:line="255" w:lineRule="auto"/>
        <w:tabs>
          <w:tab w:leader="none" w:pos="891" w:val="left"/>
        </w:tabs>
        <w:numPr>
          <w:ilvl w:val="0"/>
          <w:numId w:val="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OFAC</w:t>
      </w:r>
      <w:r>
        <w:rPr>
          <w:rFonts w:ascii="Times New Roman" w:cs="Times New Roman" w:eastAsia="Times New Roman" w:hAnsi="Times New Roman"/>
          <w:sz w:val="12"/>
          <w:szCs w:val="12"/>
          <w:color w:val="auto"/>
        </w:rPr>
        <w:t>. None of the Company, any of the Subsidiaries or any of their respective officers or directors or, to the Company’s Knowledge, any agent, employee or controlled affiliate of the Company or any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Subsidiaries is currently subject to or has been subject in the last five years to any sanctions administered or enforced by the Office of Foreign Assets Control of the U.S. Treasury Department, the United Nations Security Council, the European Union, His Majesty’s Treasury or any other relevant sanctions authority (collectively, “</w:t>
      </w:r>
      <w:r>
        <w:rPr>
          <w:rFonts w:ascii="Times New Roman" w:cs="Times New Roman" w:eastAsia="Times New Roman" w:hAnsi="Times New Roman"/>
          <w:sz w:val="12"/>
          <w:szCs w:val="12"/>
          <w:b w:val="1"/>
          <w:bCs w:val="1"/>
          <w:i w:val="1"/>
          <w:iCs w:val="1"/>
          <w:color w:val="auto"/>
        </w:rPr>
        <w:t>Sanctions</w:t>
      </w:r>
      <w:r>
        <w:rPr>
          <w:rFonts w:ascii="Times New Roman" w:cs="Times New Roman" w:eastAsia="Times New Roman" w:hAnsi="Times New Roman"/>
          <w:sz w:val="12"/>
          <w:szCs w:val="12"/>
          <w:color w:val="auto"/>
        </w:rPr>
        <w:t>”), nor is the Company or any of its Subsidiaries organized or resident in a country or territory that is the subject of Sanctions (a “</w:t>
      </w:r>
      <w:r>
        <w:rPr>
          <w:rFonts w:ascii="Times New Roman" w:cs="Times New Roman" w:eastAsia="Times New Roman" w:hAnsi="Times New Roman"/>
          <w:sz w:val="12"/>
          <w:szCs w:val="12"/>
          <w:b w:val="1"/>
          <w:bCs w:val="1"/>
          <w:i w:val="1"/>
          <w:iCs w:val="1"/>
          <w:color w:val="auto"/>
        </w:rPr>
        <w:t>Sanctioned Country</w:t>
      </w:r>
      <w:r>
        <w:rPr>
          <w:rFonts w:ascii="Times New Roman" w:cs="Times New Roman" w:eastAsia="Times New Roman" w:hAnsi="Times New Roman"/>
          <w:sz w:val="12"/>
          <w:szCs w:val="12"/>
          <w:color w:val="auto"/>
        </w:rPr>
        <w:t>”), and the Company will not knowingly directly or indirectly use the proceeds of the offering of the Securities contemplated hereby, or lend, contribute or otherwise make available such proceeds to any Subsidiary, joint venture partner or other person or entity (i) to fund or facilitate any activities of or business with any person or country that, at the time of such funding or facilitation, is known to the Company to be the subject of Sanctions or a Sanctioned Country, respectively, or (ii) in any other manner that will result in a violation by any person (including any person participating in the transaction, whether as underwriter, advisor, investor, or otherwise) of Sanctions. To best of the Company’s Knowledge, for the past five years, none of the Company or any Subsidiaries has engaged in any direct or indirect dealings or transactions with any person or country that, at the time of such dealing or transaction, was the subject of Sanctions or a Sanctioned Country, respectively.</w:t>
      </w:r>
    </w:p>
    <w:p>
      <w:pPr>
        <w:spacing w:after="0" w:line="123" w:lineRule="exact"/>
        <w:rPr>
          <w:rFonts w:ascii="Times New Roman" w:cs="Times New Roman" w:eastAsia="Times New Roman" w:hAnsi="Times New Roman"/>
          <w:sz w:val="12"/>
          <w:szCs w:val="12"/>
          <w:b w:val="1"/>
          <w:bCs w:val="1"/>
          <w:color w:val="auto"/>
        </w:rPr>
      </w:pPr>
    </w:p>
    <w:p>
      <w:pPr>
        <w:ind w:left="900" w:hanging="247"/>
        <w:spacing w:after="0"/>
        <w:tabs>
          <w:tab w:leader="none" w:pos="900" w:val="left"/>
        </w:tabs>
        <w:numPr>
          <w:ilvl w:val="0"/>
          <w:numId w:val="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[Reserved]</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b w:val="1"/>
          <w:bCs w:val="1"/>
          <w:color w:val="auto"/>
        </w:rPr>
      </w:pPr>
    </w:p>
    <w:p>
      <w:pPr>
        <w:ind w:right="20" w:firstLine="653"/>
        <w:spacing w:after="0" w:line="257" w:lineRule="auto"/>
        <w:tabs>
          <w:tab w:leader="none" w:pos="838" w:val="left"/>
        </w:tabs>
        <w:numPr>
          <w:ilvl w:val="0"/>
          <w:numId w:val="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Acknowledgment Regarding Purchaser’s Purchase of Securities</w:t>
      </w:r>
      <w:r>
        <w:rPr>
          <w:rFonts w:ascii="Times New Roman" w:cs="Times New Roman" w:eastAsia="Times New Roman" w:hAnsi="Times New Roman"/>
          <w:sz w:val="12"/>
          <w:szCs w:val="12"/>
          <w:color w:val="auto"/>
        </w:rPr>
        <w:t>. The Company acknowledges and agrees that each Purchaser is acting solely in the capacity of an arm’s length purchaser with respect to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and the other Transaction Documents and the transactions contemplated hereby and thereby, and that the obligations of each Purchaser under this Agreement and the other Transaction Documents are several and not joint. The Company further acknowledges that no Purchaser is acting as a financial advisor or fiduciary of the Company or any of its Subsidiaries (or in any similar capacity) with respect to this Agreement and the other Transaction Documents and the transactions contemplated hereby and thereby, and any advice given by a Purchaser or any of its representatives or agents in connection with this Agreement and the other Transaction Documents and the transactions contemplated hereby and thereby is merely incidental to such Purchaser’s purchase of the Securities. The Company further represents to each Purchaser that the Company’s decision to enter into the Transaction Documents has been based solely on the independent evaluation by the Company and its representatives.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jc w:val="both"/>
        <w:ind w:right="260" w:firstLine="653"/>
        <w:spacing w:after="0" w:line="268" w:lineRule="auto"/>
        <w:tabs>
          <w:tab w:leader="none" w:pos="851" w:val="left"/>
        </w:tabs>
        <w:numPr>
          <w:ilvl w:val="0"/>
          <w:numId w:val="2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Price Stabilization or Manipulation; Compliance with Regulation M</w:t>
      </w:r>
      <w:r>
        <w:rPr>
          <w:rFonts w:ascii="Times New Roman" w:cs="Times New Roman" w:eastAsia="Times New Roman" w:hAnsi="Times New Roman"/>
          <w:sz w:val="12"/>
          <w:szCs w:val="12"/>
          <w:color w:val="auto"/>
        </w:rPr>
        <w:t>. Neither the Company nor any of its Subsidiaries has taken, directly or indirectly, any action designed to or that might cause or result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stabilization or manipulation of the price of any security of the Company to facilitate the sale or resale of the Securities or Conversion Shares or otherwise, and has taken no action which could reasonably be expected to directly or indirectly violate Regulation M under the Exchange Act.</w:t>
      </w:r>
    </w:p>
    <w:p>
      <w:pPr>
        <w:spacing w:after="0" w:line="113" w:lineRule="exact"/>
        <w:rPr>
          <w:rFonts w:ascii="Times New Roman" w:cs="Times New Roman" w:eastAsia="Times New Roman" w:hAnsi="Times New Roman"/>
          <w:sz w:val="12"/>
          <w:szCs w:val="12"/>
          <w:b w:val="1"/>
          <w:bCs w:val="1"/>
          <w:color w:val="auto"/>
        </w:rPr>
      </w:pPr>
    </w:p>
    <w:p>
      <w:pPr>
        <w:ind w:firstLine="653"/>
        <w:spacing w:after="0" w:line="255" w:lineRule="auto"/>
        <w:tabs>
          <w:tab w:leader="none" w:pos="904" w:val="left"/>
        </w:tabs>
        <w:numPr>
          <w:ilvl w:val="0"/>
          <w:numId w:val="2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Clinical Data and Regulatory Compliance</w:t>
      </w:r>
      <w:r>
        <w:rPr>
          <w:rFonts w:ascii="Times New Roman" w:cs="Times New Roman" w:eastAsia="Times New Roman" w:hAnsi="Times New Roman"/>
          <w:sz w:val="12"/>
          <w:szCs w:val="12"/>
          <w:color w:val="auto"/>
        </w:rPr>
        <w:t>. The preclinical studies and clinical trials conducted by or, to the Company’s Knowledge, on behalf of the Company that are described in, or the results of which 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referred to in, the SEC Reports were and, if still pending, are being conducted in all material respects in accordance with applicable local, state and federal laws, rules and regulations, including, but not limited to, the Federal Food, Drug and Cosmetic Act and its applicable implementing regulations; each description of the results of such studies contained in the SEC Reports is accurate in all material respects and fairly presents the data derived from such studies, and the Company is not aware of any other studies the results of which the Company reasonably believes call into question the study results described or referred to in the SEC Reports; and except as disclosed in the SEC Reports, neither the Company nor any Subsidiary has received any written notices or other written correspondence from the Food and Drug Administration of the U.S. Department of Health and Human Services or any committee thereof or from any other U.S. or foreign government or drug or medical device regulatory agency having jurisdiction over the Company or any of its properties (collectively, the “</w:t>
      </w:r>
      <w:r>
        <w:rPr>
          <w:rFonts w:ascii="Times New Roman" w:cs="Times New Roman" w:eastAsia="Times New Roman" w:hAnsi="Times New Roman"/>
          <w:sz w:val="12"/>
          <w:szCs w:val="12"/>
          <w:b w:val="1"/>
          <w:bCs w:val="1"/>
          <w:i w:val="1"/>
          <w:iCs w:val="1"/>
          <w:color w:val="auto"/>
        </w:rPr>
        <w:t>Regulatory Agencies</w:t>
      </w:r>
      <w:r>
        <w:rPr>
          <w:rFonts w:ascii="Times New Roman" w:cs="Times New Roman" w:eastAsia="Times New Roman" w:hAnsi="Times New Roman"/>
          <w:sz w:val="12"/>
          <w:szCs w:val="12"/>
          <w:color w:val="auto"/>
        </w:rPr>
        <w:t>”) requiring the termination, suspension or material adverse modification of any clinical trials that are described or referred to in the SEC Reports; and the Company and the Subsidiaries have each operated and currently are in compliance with all applicable rules and regulations of the Regulatory Agencies except where the failure to be in compliance would not be expected reasonably to have a Material Adverse Effect.</w:t>
      </w:r>
    </w:p>
    <w:p>
      <w:pPr>
        <w:spacing w:after="0" w:line="123" w:lineRule="exact"/>
        <w:rPr>
          <w:rFonts w:ascii="Times New Roman" w:cs="Times New Roman" w:eastAsia="Times New Roman" w:hAnsi="Times New Roman"/>
          <w:sz w:val="12"/>
          <w:szCs w:val="12"/>
          <w:b w:val="1"/>
          <w:bCs w:val="1"/>
          <w:color w:val="auto"/>
        </w:rPr>
      </w:pPr>
    </w:p>
    <w:p>
      <w:pPr>
        <w:ind w:right="80" w:firstLine="653"/>
        <w:spacing w:after="0" w:line="286" w:lineRule="auto"/>
        <w:tabs>
          <w:tab w:leader="none" w:pos="838" w:val="left"/>
        </w:tabs>
        <w:numPr>
          <w:ilvl w:val="0"/>
          <w:numId w:val="2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Additional Agreements</w:t>
      </w:r>
      <w:r>
        <w:rPr>
          <w:rFonts w:ascii="Times New Roman" w:cs="Times New Roman" w:eastAsia="Times New Roman" w:hAnsi="Times New Roman"/>
          <w:sz w:val="12"/>
          <w:szCs w:val="12"/>
          <w:color w:val="auto"/>
        </w:rPr>
        <w:t>. The Company does not have any agreement or understanding (including side letters) with any Purchaser with respect to the transactions contemplated by the Transaction Documents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than as specified in the Transaction Documents.</w:t>
      </w:r>
    </w:p>
    <w:p>
      <w:pPr>
        <w:spacing w:after="0" w:line="103" w:lineRule="exact"/>
        <w:rPr>
          <w:rFonts w:ascii="Times New Roman" w:cs="Times New Roman" w:eastAsia="Times New Roman" w:hAnsi="Times New Roman"/>
          <w:sz w:val="12"/>
          <w:szCs w:val="12"/>
          <w:b w:val="1"/>
          <w:bCs w:val="1"/>
          <w:color w:val="auto"/>
        </w:rPr>
      </w:pPr>
    </w:p>
    <w:p>
      <w:pPr>
        <w:ind w:right="200" w:firstLine="653"/>
        <w:spacing w:after="0" w:line="259" w:lineRule="auto"/>
        <w:tabs>
          <w:tab w:leader="none" w:pos="971" w:val="left"/>
        </w:tabs>
        <w:numPr>
          <w:ilvl w:val="0"/>
          <w:numId w:val="2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Disqualification Events</w:t>
      </w:r>
      <w:r>
        <w:rPr>
          <w:rFonts w:ascii="Times New Roman" w:cs="Times New Roman" w:eastAsia="Times New Roman" w:hAnsi="Times New Roman"/>
          <w:sz w:val="12"/>
          <w:szCs w:val="12"/>
          <w:color w:val="auto"/>
        </w:rPr>
        <w:t>. No “bad actor” disqualifying event described in Rule 506(d)(1)(i)-(viii) of the Securities Act (a “</w:t>
      </w:r>
      <w:r>
        <w:rPr>
          <w:rFonts w:ascii="Times New Roman" w:cs="Times New Roman" w:eastAsia="Times New Roman" w:hAnsi="Times New Roman"/>
          <w:sz w:val="12"/>
          <w:szCs w:val="12"/>
          <w:b w:val="1"/>
          <w:bCs w:val="1"/>
          <w:i w:val="1"/>
          <w:iCs w:val="1"/>
          <w:color w:val="auto"/>
        </w:rPr>
        <w:t>Disqualification Event</w:t>
      </w:r>
      <w:r>
        <w:rPr>
          <w:rFonts w:ascii="Times New Roman" w:cs="Times New Roman" w:eastAsia="Times New Roman" w:hAnsi="Times New Roman"/>
          <w:sz w:val="12"/>
          <w:szCs w:val="12"/>
          <w:color w:val="auto"/>
        </w:rPr>
        <w:t>”) is applicable to the Company or, to the Company’s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Knowledge, any Company Covered Person (as defined below), except for a Disqualification Event as to which Rule 506(d)(2)(ii)-(iv) or (d)(3), is applicable. “</w:t>
      </w:r>
      <w:r>
        <w:rPr>
          <w:rFonts w:ascii="Times New Roman" w:cs="Times New Roman" w:eastAsia="Times New Roman" w:hAnsi="Times New Roman"/>
          <w:sz w:val="12"/>
          <w:szCs w:val="12"/>
          <w:b w:val="1"/>
          <w:bCs w:val="1"/>
          <w:i w:val="1"/>
          <w:iCs w:val="1"/>
          <w:color w:val="auto"/>
        </w:rPr>
        <w:t>Company Covered Person</w:t>
      </w:r>
      <w:r>
        <w:rPr>
          <w:rFonts w:ascii="Times New Roman" w:cs="Times New Roman" w:eastAsia="Times New Roman" w:hAnsi="Times New Roman"/>
          <w:sz w:val="12"/>
          <w:szCs w:val="12"/>
          <w:color w:val="auto"/>
        </w:rPr>
        <w:t>” means, with respect to the Company as an “issuer” for purposes of Rule 506 promulgated under the Securities Act, any person listed in the first paragraph of Rule 506(d)(1). Other than the Placement Agents, the Company is not aware of any Person (other than any Company Covered Person) that has been or will be paid (directly or indirectly) remuneration for solicitation of purchasers in connection with the sale of the Securities or the Conversion Shares pursuant to this Agreement. The Company has complied, to the extent applicable, with its disclosure obligations under Rule 506(e), and has furnished to the Placement Agents a copy of any disclosures provided thereunder.</w:t>
      </w:r>
    </w:p>
    <w:p>
      <w:pPr>
        <w:spacing w:after="0" w:line="119" w:lineRule="exact"/>
        <w:rPr>
          <w:rFonts w:ascii="Times New Roman" w:cs="Times New Roman" w:eastAsia="Times New Roman" w:hAnsi="Times New Roman"/>
          <w:sz w:val="12"/>
          <w:szCs w:val="12"/>
          <w:b w:val="1"/>
          <w:bCs w:val="1"/>
          <w:color w:val="auto"/>
        </w:rPr>
      </w:pPr>
    </w:p>
    <w:p>
      <w:pPr>
        <w:ind w:firstLine="653"/>
        <w:spacing w:after="0" w:line="254" w:lineRule="auto"/>
        <w:tabs>
          <w:tab w:leader="none" w:pos="904" w:val="left"/>
        </w:tabs>
        <w:numPr>
          <w:ilvl w:val="0"/>
          <w:numId w:val="2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Security</w:t>
      </w:r>
      <w:r>
        <w:rPr>
          <w:rFonts w:ascii="Times New Roman" w:cs="Times New Roman" w:eastAsia="Times New Roman" w:hAnsi="Times New Roman"/>
          <w:sz w:val="12"/>
          <w:szCs w:val="12"/>
          <w:color w:val="auto"/>
        </w:rPr>
        <w:t>. The Company and the Subsidiaries’ information technology assets and equipment, computers, systems, networks, hardware, software, websites, applications, and databases (collectively, “</w:t>
      </w:r>
      <w:r>
        <w:rPr>
          <w:rFonts w:ascii="Times New Roman" w:cs="Times New Roman" w:eastAsia="Times New Roman" w:hAnsi="Times New Roman"/>
          <w:sz w:val="12"/>
          <w:szCs w:val="12"/>
          <w:b w:val="1"/>
          <w:bCs w:val="1"/>
          <w:i w:val="1"/>
          <w:iCs w:val="1"/>
          <w:color w:val="auto"/>
        </w:rPr>
        <w:t>IT Systems</w:t>
      </w:r>
      <w:r>
        <w:rPr>
          <w:rFonts w:ascii="Times New Roman" w:cs="Times New Roman" w:eastAsia="Times New Roman" w:hAnsi="Times New Roman"/>
          <w:sz w:val="12"/>
          <w:szCs w:val="12"/>
          <w:color w:val="auto"/>
        </w:rPr>
        <w:t>”) 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the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Data (as defined below) that is in the Company’s possession, and sensitive, confidential or regulated data (collectively, the “</w:t>
      </w:r>
      <w:r>
        <w:rPr>
          <w:rFonts w:ascii="Times New Roman" w:cs="Times New Roman" w:eastAsia="Times New Roman" w:hAnsi="Times New Roman"/>
          <w:sz w:val="12"/>
          <w:szCs w:val="12"/>
          <w:b w:val="1"/>
          <w:bCs w:val="1"/>
          <w:i w:val="1"/>
          <w:iCs w:val="1"/>
          <w:color w:val="auto"/>
        </w:rPr>
        <w:t>Confidential Data</w:t>
      </w:r>
      <w:r>
        <w:rPr>
          <w:rFonts w:ascii="Times New Roman" w:cs="Times New Roman" w:eastAsia="Times New Roman" w:hAnsi="Times New Roman"/>
          <w:sz w:val="12"/>
          <w:szCs w:val="12"/>
          <w:color w:val="auto"/>
        </w:rPr>
        <w:t>”))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Confidential Data and to the protection of such IT Systems and Confidential Data from unauthorized use, access, misappropriation or modification. “</w:t>
      </w:r>
      <w:r>
        <w:rPr>
          <w:rFonts w:ascii="Times New Roman" w:cs="Times New Roman" w:eastAsia="Times New Roman" w:hAnsi="Times New Roman"/>
          <w:sz w:val="12"/>
          <w:szCs w:val="12"/>
          <w:b w:val="1"/>
          <w:bCs w:val="1"/>
          <w:i w:val="1"/>
          <w:iCs w:val="1"/>
          <w:color w:val="auto"/>
        </w:rPr>
        <w:t>Personal Data</w:t>
      </w:r>
      <w:r>
        <w:rPr>
          <w:rFonts w:ascii="Times New Roman" w:cs="Times New Roman" w:eastAsia="Times New Roman" w:hAnsi="Times New Roman"/>
          <w:sz w:val="12"/>
          <w:szCs w:val="12"/>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Protected Health Information as defined by the U.S. Health Insurance Portability and Accountability Act of 1996 (“</w:t>
      </w:r>
      <w:r>
        <w:rPr>
          <w:rFonts w:ascii="Times New Roman" w:cs="Times New Roman" w:eastAsia="Times New Roman" w:hAnsi="Times New Roman"/>
          <w:sz w:val="12"/>
          <w:szCs w:val="12"/>
          <w:b w:val="1"/>
          <w:bCs w:val="1"/>
          <w:i w:val="1"/>
          <w:iCs w:val="1"/>
          <w:color w:val="auto"/>
        </w:rPr>
        <w:t>HIPAA</w:t>
      </w:r>
      <w:r>
        <w:rPr>
          <w:rFonts w:ascii="Times New Roman" w:cs="Times New Roman" w:eastAsia="Times New Roman" w:hAnsi="Times New Roman"/>
          <w:sz w:val="12"/>
          <w:szCs w:val="12"/>
          <w:color w:val="auto"/>
        </w:rPr>
        <w:t>”); (iv) “personal data” as defined by the European Union General Data Protection Regulation (EU 2016/679), and (v) any other piece of information that allows the identification of such natural person.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3" w:name="page34"/>
    <w:bookmarkEnd w:id="33"/>
    <w:p>
      <w:pPr>
        <w:ind w:left="-20" w:right="40" w:firstLine="653"/>
        <w:spacing w:after="0" w:line="254" w:lineRule="auto"/>
        <w:tabs>
          <w:tab w:leader="none" w:pos="871" w:val="left"/>
        </w:tabs>
        <w:numPr>
          <w:ilvl w:val="0"/>
          <w:numId w:val="2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Compliance with Data Privacy Laws</w:t>
      </w:r>
      <w:r>
        <w:rPr>
          <w:rFonts w:ascii="Times New Roman" w:cs="Times New Roman" w:eastAsia="Times New Roman" w:hAnsi="Times New Roman"/>
          <w:sz w:val="12"/>
          <w:szCs w:val="12"/>
          <w:color w:val="auto"/>
        </w:rPr>
        <w:t>. To the Company’s Knowledge, the Company and its Subsidiaries are, and at all times since January 1, 2024 have been, in material compliance with all applicable state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federal data privacy and security Laws and regulations regarding the collection, use, storage, retention, disclosure, transfer, disposal, or any other processing (collectively “</w:t>
      </w:r>
      <w:r>
        <w:rPr>
          <w:rFonts w:ascii="Times New Roman" w:cs="Times New Roman" w:eastAsia="Times New Roman" w:hAnsi="Times New Roman"/>
          <w:sz w:val="12"/>
          <w:szCs w:val="12"/>
          <w:b w:val="1"/>
          <w:bCs w:val="1"/>
          <w:i w:val="1"/>
          <w:iCs w:val="1"/>
          <w:color w:val="auto"/>
        </w:rPr>
        <w:t>Process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Processing</w:t>
      </w:r>
      <w:r>
        <w:rPr>
          <w:rFonts w:ascii="Times New Roman" w:cs="Times New Roman" w:eastAsia="Times New Roman" w:hAnsi="Times New Roman"/>
          <w:sz w:val="12"/>
          <w:szCs w:val="12"/>
          <w:color w:val="auto"/>
        </w:rPr>
        <w:t>”) of Personal Data, including HIPAA, the California Consumer Privacy Act, and the European Union General Data Protection Regulation (EU 2016/679) (collectively, the “</w:t>
      </w:r>
      <w:r>
        <w:rPr>
          <w:rFonts w:ascii="Times New Roman" w:cs="Times New Roman" w:eastAsia="Times New Roman" w:hAnsi="Times New Roman"/>
          <w:sz w:val="12"/>
          <w:szCs w:val="12"/>
          <w:b w:val="1"/>
          <w:bCs w:val="1"/>
          <w:i w:val="1"/>
          <w:iCs w:val="1"/>
          <w:color w:val="auto"/>
        </w:rPr>
        <w:t>Privacy Laws</w:t>
      </w:r>
      <w:r>
        <w:rPr>
          <w:rFonts w:ascii="Times New Roman" w:cs="Times New Roman" w:eastAsia="Times New Roman" w:hAnsi="Times New Roman"/>
          <w:sz w:val="12"/>
          <w:szCs w:val="12"/>
          <w:color w:val="auto"/>
        </w:rPr>
        <w:t>”). To ensure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cs="Times New Roman" w:eastAsia="Times New Roman" w:hAnsi="Times New Roman"/>
          <w:sz w:val="12"/>
          <w:szCs w:val="12"/>
          <w:b w:val="1"/>
          <w:bCs w:val="1"/>
          <w:i w:val="1"/>
          <w:iCs w:val="1"/>
          <w:color w:val="auto"/>
        </w:rPr>
        <w:t>Privacy Statements</w:t>
      </w:r>
      <w:r>
        <w:rPr>
          <w:rFonts w:ascii="Times New Roman" w:cs="Times New Roman" w:eastAsia="Times New Roman" w:hAnsi="Times New Roman"/>
          <w:sz w:val="12"/>
          <w:szCs w:val="12"/>
          <w:color w:val="auto"/>
        </w:rPr>
        <w:t>”). To the Company’s Knowledge, none of such disclosures made or contained in any Privacy Statements have been materially inaccurate, misleading, incomplete, or in material violation of any Privacy Laws. The Company further certifies that neither it nor any of its Subsidiaries: (i) has received notice of any actual or potential claim, complaint, proceeding, regulatory proceeding or liability under or relating to, or actual or potential violation of, any of the Privacy Laws, contracts related to the Processing of Personal Data or Confidential Data, or Privacy Statements, and has no knowledge of any event or condition that would reasonably be expected to result in any such notice; (ii) is currently conducting or paying for, in whole or in part, any investigation, remediation, or other corrective action pursuant to any Privacy Law or contract; or (iii) is a party to any order, decree, or agreement that imposes any obligation or liability under any Privacy Law.</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3.2 Representations and Warranties of the Purchasers</w:t>
      </w:r>
      <w:r>
        <w:rPr>
          <w:rFonts w:ascii="Times New Roman" w:cs="Times New Roman" w:eastAsia="Times New Roman" w:hAnsi="Times New Roman"/>
          <w:sz w:val="12"/>
          <w:szCs w:val="12"/>
          <w:color w:val="auto"/>
        </w:rPr>
        <w:t>. Each Purchaser hereby, for itself and for no other Purchaser, represents and warrants to the Company and the Placement Agents as follows:</w:t>
      </w:r>
    </w:p>
    <w:p>
      <w:pPr>
        <w:spacing w:after="0" w:line="150" w:lineRule="exact"/>
        <w:rPr>
          <w:sz w:val="20"/>
          <w:szCs w:val="20"/>
          <w:color w:val="auto"/>
        </w:rPr>
      </w:pPr>
    </w:p>
    <w:p>
      <w:pPr>
        <w:ind w:left="-20" w:firstLine="653"/>
        <w:spacing w:after="0" w:line="256" w:lineRule="auto"/>
        <w:tabs>
          <w:tab w:leader="none" w:pos="811" w:val="left"/>
        </w:tabs>
        <w:numPr>
          <w:ilvl w:val="0"/>
          <w:numId w:val="2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Organization; Authority</w:t>
      </w:r>
      <w:r>
        <w:rPr>
          <w:rFonts w:ascii="Times New Roman" w:cs="Times New Roman" w:eastAsia="Times New Roman" w:hAnsi="Times New Roman"/>
          <w:sz w:val="12"/>
          <w:szCs w:val="12"/>
          <w:color w:val="auto"/>
        </w:rPr>
        <w:t>. Such Purchaser is an entity duly organized, validly existing and in good standing under the Laws of the jurisdiction of its organization with the requisite corporate or, if such Purchaser is not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 corporation, such partnership, limited liability company or other applicable power and authority to enter into and to consummate the transactions contemplated by the applicable Transaction Documents and otherwise to carry out its obligations hereunder and thereunder. The execution and delivery of this Agreement by such Purchaser and performance by such Purchaser of the transactions contemplated by this Agreement have been duly authorized by all necessary corporate or, if such Purchaser is not a corporation, such partnership, limited liability company or other applicable like action,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as such enforceability may be limited by applicable bankruptcy, examinership, insolvency, reorganization, moratorium, liquidation or similar laws relating to, or affecting generally the enforcement of, creditors’ rights and remedies or by other equitable principles of general application.</w:t>
      </w:r>
    </w:p>
    <w:p>
      <w:pPr>
        <w:spacing w:after="0" w:line="121" w:lineRule="exact"/>
        <w:rPr>
          <w:rFonts w:ascii="Times New Roman" w:cs="Times New Roman" w:eastAsia="Times New Roman" w:hAnsi="Times New Roman"/>
          <w:sz w:val="12"/>
          <w:szCs w:val="12"/>
          <w:b w:val="1"/>
          <w:bCs w:val="1"/>
          <w:color w:val="auto"/>
        </w:rPr>
      </w:pPr>
    </w:p>
    <w:p>
      <w:pPr>
        <w:ind w:left="-20" w:right="60" w:firstLine="653"/>
        <w:spacing w:after="0" w:line="259" w:lineRule="auto"/>
        <w:tabs>
          <w:tab w:leader="none" w:pos="818" w:val="left"/>
        </w:tabs>
        <w:numPr>
          <w:ilvl w:val="0"/>
          <w:numId w:val="2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Conflicts</w:t>
      </w:r>
      <w:r>
        <w:rPr>
          <w:rFonts w:ascii="Times New Roman" w:cs="Times New Roman" w:eastAsia="Times New Roman" w:hAnsi="Times New Roman"/>
          <w:sz w:val="12"/>
          <w:szCs w:val="12"/>
          <w:color w:val="auto"/>
        </w:rPr>
        <w:t>. The execution, delivery and performance by such Purchaser of this Agreement and the Registration Rights Agreement and the consummation by such Purchaser of the transactions contemplated hereby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thereby will not (i) result in a violation of the organizational documents of such Purchaser, (ii) conflict with, or constitute a default (or an event which with notice or lapse of time or both would become a default) under, or give to others any rights of termination, amendment, acceleration or cancellation of, any agreement, indenture or instrument to which such Purchaser is a party, or (iii) result in a violation of any Law, rule, regulation, order, judgment or decree (including U.S. federal and state securities laws) applicable to such Purchaser, except in the case of clauses (ii) and (iii) above, for such conflicts, defaults, rights or violations which would not, individually or in the aggregate, reasonably be expected to have a material adverse effect on the ability of such Purchaser to perform its obligations hereunder.</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21590</wp:posOffset>
            </wp:positionV>
            <wp:extent cx="71780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4" w:name="page35"/>
    <w:bookmarkEnd w:id="34"/>
    <w:p>
      <w:pPr>
        <w:ind w:left="-40" w:firstLine="653"/>
        <w:spacing w:after="0" w:line="256" w:lineRule="auto"/>
        <w:tabs>
          <w:tab w:leader="none" w:pos="784" w:val="left"/>
        </w:tabs>
        <w:numPr>
          <w:ilvl w:val="0"/>
          <w:numId w:val="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Investment Intent</w:t>
      </w:r>
      <w:r>
        <w:rPr>
          <w:rFonts w:ascii="Times New Roman" w:cs="Times New Roman" w:eastAsia="Times New Roman" w:hAnsi="Times New Roman"/>
          <w:sz w:val="12"/>
          <w:szCs w:val="12"/>
          <w:color w:val="auto"/>
        </w:rPr>
        <w:t>. Such Purchaser understands that the Securities are (and the Conversion Shares will be) “restricted securities” and the offer and sale thereof have not been registered under the Securities Act or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applicable U.S. state securities law, and is acquiring the Securities as principal for its own account and not with a view to, or for distributing or reselling such Securities (or the Conversion Shares) or any part thereof in violation of the Securities Act or any applicable U.S. state or other securities laws,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by making the representations herein, such Purchaser does not agree to hold any of the Securities or Conversion Shares for any minimum period of time and reserves the right, subject to the provisions of this Agreement and the Registration Rights Agreement, at all times to sell or otherwise dispose of all or any part of such Securities or Conversion Shares pursuant to an effective registration statement under the Securities Act or under an exemption from such registration and in compliance with applicable U.S. federal, state and other securities laws. Such Purchaser is acquiring the Securities hereunder in the ordinary course of its business. Such Purchaser does not presently have any agreement, plan or understanding, directly or indirectly, with any Person to distribute or effect any distribution of any of the Securities (or any securities which are derivatives thereof) to or through any person or entity in violation of federal securities law.</w:t>
      </w:r>
    </w:p>
    <w:p>
      <w:pPr>
        <w:spacing w:after="0" w:line="121" w:lineRule="exact"/>
        <w:rPr>
          <w:rFonts w:ascii="Times New Roman" w:cs="Times New Roman" w:eastAsia="Times New Roman" w:hAnsi="Times New Roman"/>
          <w:sz w:val="12"/>
          <w:szCs w:val="12"/>
          <w:b w:val="1"/>
          <w:bCs w:val="1"/>
          <w:color w:val="auto"/>
        </w:rPr>
      </w:pPr>
    </w:p>
    <w:p>
      <w:pPr>
        <w:ind w:left="780" w:hanging="167"/>
        <w:spacing w:after="0"/>
        <w:tabs>
          <w:tab w:leader="none" w:pos="780" w:val="left"/>
        </w:tabs>
        <w:numPr>
          <w:ilvl w:val="0"/>
          <w:numId w:val="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Purchaser Status</w:t>
      </w:r>
      <w:r>
        <w:rPr>
          <w:rFonts w:ascii="Times New Roman" w:cs="Times New Roman" w:eastAsia="Times New Roman" w:hAnsi="Times New Roman"/>
          <w:sz w:val="12"/>
          <w:szCs w:val="12"/>
          <w:color w:val="auto"/>
        </w:rPr>
        <w:t>. At the time such Purchaser was offered the Securities, it was, and at the date hereof it is, an “accredited investor” as defined in Rule 501(a) under the Securities Act.</w:t>
      </w:r>
    </w:p>
    <w:p>
      <w:pPr>
        <w:spacing w:after="0" w:line="150" w:lineRule="exact"/>
        <w:rPr>
          <w:rFonts w:ascii="Times New Roman" w:cs="Times New Roman" w:eastAsia="Times New Roman" w:hAnsi="Times New Roman"/>
          <w:sz w:val="12"/>
          <w:szCs w:val="12"/>
          <w:b w:val="1"/>
          <w:bCs w:val="1"/>
          <w:color w:val="auto"/>
        </w:rPr>
      </w:pPr>
    </w:p>
    <w:p>
      <w:pPr>
        <w:jc w:val="both"/>
        <w:ind w:left="-40" w:right="80" w:firstLine="653"/>
        <w:spacing w:after="0" w:line="268" w:lineRule="auto"/>
        <w:tabs>
          <w:tab w:leader="none" w:pos="784" w:val="left"/>
        </w:tabs>
        <w:numPr>
          <w:ilvl w:val="0"/>
          <w:numId w:val="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General Solicitation</w:t>
      </w:r>
      <w:r>
        <w:rPr>
          <w:rFonts w:ascii="Times New Roman" w:cs="Times New Roman" w:eastAsia="Times New Roman" w:hAnsi="Times New Roman"/>
          <w:sz w:val="12"/>
          <w:szCs w:val="12"/>
          <w:color w:val="auto"/>
        </w:rPr>
        <w:t>. Such Purchaser is not purchasing the Securities as a result of any advertisement, article, notice or other communication regarding the Securities published in any newspaper, magazine or similar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media or broadcast over television or radio or presented at any seminar or any other general advertisement. The purchase of the Securities by such Purchaser has not been solicited by or through anyone other than the Company or, on the Company’s behalf, the Placement Agents.</w:t>
      </w:r>
    </w:p>
    <w:p>
      <w:pPr>
        <w:spacing w:after="0" w:line="113" w:lineRule="exact"/>
        <w:rPr>
          <w:rFonts w:ascii="Times New Roman" w:cs="Times New Roman" w:eastAsia="Times New Roman" w:hAnsi="Times New Roman"/>
          <w:sz w:val="12"/>
          <w:szCs w:val="12"/>
          <w:b w:val="1"/>
          <w:bCs w:val="1"/>
          <w:color w:val="auto"/>
        </w:rPr>
      </w:pPr>
    </w:p>
    <w:p>
      <w:pPr>
        <w:ind w:left="-40" w:right="100" w:firstLine="653"/>
        <w:spacing w:after="0" w:line="286" w:lineRule="auto"/>
        <w:tabs>
          <w:tab w:leader="none" w:pos="771" w:val="left"/>
        </w:tabs>
        <w:numPr>
          <w:ilvl w:val="0"/>
          <w:numId w:val="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Experience of Such Purchaser</w:t>
      </w:r>
      <w:r>
        <w:rPr>
          <w:rFonts w:ascii="Times New Roman" w:cs="Times New Roman" w:eastAsia="Times New Roman" w:hAnsi="Times New Roman"/>
          <w:sz w:val="12"/>
          <w:szCs w:val="12"/>
          <w:color w:val="auto"/>
        </w:rPr>
        <w:t>. Such Purchaser, either alone or together with its representatives, has such knowledge, sophistication and experience in business and financial matters so as to be capable of evaluating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merits and risks of the prospective investment in the Securities, and has so evaluated the merits and risks of such investment. Such Purchaser is able to bear the economic risk of an investment in the Securities.</w:t>
      </w:r>
    </w:p>
    <w:p>
      <w:pPr>
        <w:spacing w:after="0" w:line="103" w:lineRule="exact"/>
        <w:rPr>
          <w:rFonts w:ascii="Times New Roman" w:cs="Times New Roman" w:eastAsia="Times New Roman" w:hAnsi="Times New Roman"/>
          <w:sz w:val="12"/>
          <w:szCs w:val="12"/>
          <w:b w:val="1"/>
          <w:bCs w:val="1"/>
          <w:color w:val="auto"/>
        </w:rPr>
      </w:pPr>
    </w:p>
    <w:p>
      <w:pPr>
        <w:ind w:left="-40" w:right="40" w:firstLine="653"/>
        <w:spacing w:after="0" w:line="285" w:lineRule="auto"/>
        <w:tabs>
          <w:tab w:leader="none" w:pos="791" w:val="left"/>
        </w:tabs>
        <w:numPr>
          <w:ilvl w:val="0"/>
          <w:numId w:val="2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Access to Information</w:t>
      </w:r>
      <w:r>
        <w:rPr>
          <w:rFonts w:ascii="Times New Roman" w:cs="Times New Roman" w:eastAsia="Times New Roman" w:hAnsi="Times New Roman"/>
          <w:sz w:val="11"/>
          <w:szCs w:val="11"/>
          <w:color w:val="auto"/>
        </w:rPr>
        <w:t>. Such Purchaser acknowledges that it has had the opportunity to review the SEC Reports and has been afforded (i) the opportunity to ask such questions as it has deemed necessary of, and to</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receive answers from, representatives of the Company concerning the terms and conditions of the offering of the Securities and the merits and risks of investing in the Securities; (ii) access to information about the Company and the Subsidiaries and their respective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Neither such inquiries nor any other investigation conducted by or on behalf of such Purchaser or its representatives or counsel shall modify, amend or affect such Purchaser’s right to rely on the truth, accuracy and completeness of the SEC Reports and the Company’s representations and warranties contained in the Transaction Documents. Such Purchaser has sought such accounting, legal and tax advice as it has considered necessary to make an informed decision with respect to its acquisition of the Securities.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21590</wp:posOffset>
            </wp:positionV>
            <wp:extent cx="717804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00"/>
          </w:cols>
          <w:pgMar w:left="340" w:top="125" w:right="359" w:bottom="1440" w:gutter="0" w:footer="0" w:header="0"/>
        </w:sectPr>
      </w:pPr>
    </w:p>
    <w:bookmarkStart w:id="35" w:name="page36"/>
    <w:bookmarkEnd w:id="35"/>
    <w:p>
      <w:pPr>
        <w:ind w:right="40" w:firstLine="653"/>
        <w:spacing w:after="0" w:line="254" w:lineRule="auto"/>
        <w:tabs>
          <w:tab w:leader="none" w:pos="838" w:val="left"/>
        </w:tabs>
        <w:numPr>
          <w:ilvl w:val="0"/>
          <w:numId w:val="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Certain Trading Activities</w:t>
      </w:r>
      <w:r>
        <w:rPr>
          <w:rFonts w:ascii="Times New Roman" w:cs="Times New Roman" w:eastAsia="Times New Roman" w:hAnsi="Times New Roman"/>
          <w:sz w:val="12"/>
          <w:szCs w:val="12"/>
          <w:color w:val="auto"/>
        </w:rPr>
        <w:t>. Other than with respect to the transactions contemplated herein, since the time that such Purchaser was first contacted by the Company, the Placement Agents or any other Person regarding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transactions contemplated hereby, the Purchaser has not, directly or indirectly, effected or agreed to effect any Short Sales. Notwithstanding the foregoing, (i) in the case of a Purchaser that is a multi-managed investment vehicle whereby separate portfolio managers manage separate portions of such Purchaser’s assets, the foregoing representation shall only apply with respect to the portion of assets managed by the portfolio manager that made the investment decision to purchase the Securities covered by this Agreement and (ii) and in the case of a Purchaser whose investment adviser utilized an information barrier with respect to the information regarding the transactions contemplated hereunder after first being contacted by the Company or such other Person representing the Company, the representation set forth above shall only apply after the point in time when the portfolio manager who manages such Purchaser’s assets was informed of the information regarding the transactions contemplated hereunder and, with respect to the Purchaser’s investment adviser, the representation set forth above shall only apply with respect to any purchases or sales, including Short Sales, of the securities of the Company on behalf of other funds or investment vehicles for which the Purchaser’s investment adviser is also an investment adviser or sub-adviser after the point in time when the portfolio manager who manages the assets of such other funds or investment vehicles for which the Purchaser’s investment adviser is also an investment adviser or sub-adviser was informed of the information regarding the transactions contemplated hereunder. Other than to other Persons party to this Agreement and to the Purchaser’s representatives or agents, including, but not limited to, the Purchaser’s legal, tax and investment advisors, such Purchaser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21" w:lineRule="exact"/>
        <w:rPr>
          <w:rFonts w:ascii="Times New Roman" w:cs="Times New Roman" w:eastAsia="Times New Roman" w:hAnsi="Times New Roman"/>
          <w:sz w:val="12"/>
          <w:szCs w:val="12"/>
          <w:b w:val="1"/>
          <w:bCs w:val="1"/>
          <w:color w:val="auto"/>
        </w:rPr>
      </w:pPr>
    </w:p>
    <w:p>
      <w:pPr>
        <w:ind w:right="20" w:firstLine="653"/>
        <w:spacing w:after="0" w:line="268" w:lineRule="auto"/>
        <w:tabs>
          <w:tab w:leader="none" w:pos="804" w:val="left"/>
        </w:tabs>
        <w:numPr>
          <w:ilvl w:val="0"/>
          <w:numId w:val="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Brokers and Finders</w:t>
      </w:r>
      <w:r>
        <w:rPr>
          <w:rFonts w:ascii="Times New Roman" w:cs="Times New Roman" w:eastAsia="Times New Roman" w:hAnsi="Times New Roman"/>
          <w:sz w:val="12"/>
          <w:szCs w:val="12"/>
          <w:color w:val="auto"/>
        </w:rPr>
        <w:t>. No Person will have, as a result of the transactions contemplated by this Agreement, any valid right, interest or claim against or upon the Purchaser for any commission, fee or other compensation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pursuant to any agreement, arrangement or understanding entered into by or on behalf of the Purchaser. No Purchaser shall have any obligation with respect to any fees, or with respect to any claims made by or on behalf of other Persons for fees, in each case of the type contemplated by this Section 3.2(i) that may be due in connection with the transactions contemplated by this Agreement or the Transaction Documents.</w:t>
      </w:r>
    </w:p>
    <w:p>
      <w:pPr>
        <w:spacing w:after="0" w:line="113" w:lineRule="exact"/>
        <w:rPr>
          <w:rFonts w:ascii="Times New Roman" w:cs="Times New Roman" w:eastAsia="Times New Roman" w:hAnsi="Times New Roman"/>
          <w:sz w:val="12"/>
          <w:szCs w:val="12"/>
          <w:b w:val="1"/>
          <w:bCs w:val="1"/>
          <w:color w:val="auto"/>
        </w:rPr>
      </w:pPr>
    </w:p>
    <w:p>
      <w:pPr>
        <w:ind w:right="40" w:firstLine="653"/>
        <w:spacing w:after="0" w:line="257" w:lineRule="auto"/>
        <w:tabs>
          <w:tab w:leader="none" w:pos="811" w:val="left"/>
        </w:tabs>
        <w:numPr>
          <w:ilvl w:val="0"/>
          <w:numId w:val="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Independent Investment Decision</w:t>
      </w:r>
      <w:r>
        <w:rPr>
          <w:rFonts w:ascii="Times New Roman" w:cs="Times New Roman" w:eastAsia="Times New Roman" w:hAnsi="Times New Roman"/>
          <w:sz w:val="12"/>
          <w:szCs w:val="12"/>
          <w:color w:val="auto"/>
        </w:rPr>
        <w:t>. Such Purchaser has independently evaluated the merits of its decision to purchase Securities pursuant to the Transaction Documents, and such Purchaser confirms that it has not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relied on the advice of any other Purchaser’s business and/or legal counsel in making such decision. Such Purchaser understands that nothing in this Agreement or any other materials presented by or on behalf of the Company to the Purchaser in connection with the purchase of the Securities constitutes legal, tax or investment advice. Such Purchaser has consulted such legal, tax and investment advisors as it, in its sole discretion, has deemed necessary or appropriate in connection with its purchase of the Securities. Such Purchaser understands that the Placement Agents have acted solely as the agent of the Company in this placement of the Securities and such Purchaser has not relied on the business or legal advice of the Placement Agents or any of their agents, counsel or Affiliates in making its investment decision hereunder, and confirms that none of such Persons has made any representations or warranties to such Purchaser in connection with the transactions contemplated by the Transaction Documents.</w:t>
      </w:r>
    </w:p>
    <w:p>
      <w:pPr>
        <w:spacing w:after="0" w:line="121" w:lineRule="exact"/>
        <w:rPr>
          <w:rFonts w:ascii="Times New Roman" w:cs="Times New Roman" w:eastAsia="Times New Roman" w:hAnsi="Times New Roman"/>
          <w:sz w:val="12"/>
          <w:szCs w:val="12"/>
          <w:b w:val="1"/>
          <w:bCs w:val="1"/>
          <w:color w:val="auto"/>
        </w:rPr>
      </w:pPr>
    </w:p>
    <w:p>
      <w:pPr>
        <w:ind w:right="200" w:firstLine="653"/>
        <w:spacing w:after="0" w:line="268" w:lineRule="auto"/>
        <w:tabs>
          <w:tab w:leader="none" w:pos="838" w:val="left"/>
        </w:tabs>
        <w:numPr>
          <w:ilvl w:val="0"/>
          <w:numId w:val="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Reliance on Exemptions</w:t>
      </w:r>
      <w:r>
        <w:rPr>
          <w:rFonts w:ascii="Times New Roman" w:cs="Times New Roman" w:eastAsia="Times New Roman" w:hAnsi="Times New Roman"/>
          <w:sz w:val="12"/>
          <w:szCs w:val="12"/>
          <w:color w:val="auto"/>
        </w:rPr>
        <w:t>. Such Purchaser understands that the Securities are being offered and sold to it in reliance on specific exemptions from the registration requirements of United States federal and state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securities laws and that the Company is relying in part upon the truth and accuracy of, and such Purchaser’s compliance with, the representations, warranties, agreements, acknowledgements and understandings of such Purchaser set forth herein in order to determine the availability of such exemptions and the eligibility of such Purchaser to acquire the Securities.</w:t>
      </w:r>
    </w:p>
    <w:p>
      <w:pPr>
        <w:spacing w:after="0" w:line="113" w:lineRule="exact"/>
        <w:rPr>
          <w:rFonts w:ascii="Times New Roman" w:cs="Times New Roman" w:eastAsia="Times New Roman" w:hAnsi="Times New Roman"/>
          <w:sz w:val="12"/>
          <w:szCs w:val="12"/>
          <w:b w:val="1"/>
          <w:bCs w:val="1"/>
          <w:color w:val="auto"/>
        </w:rPr>
      </w:pPr>
    </w:p>
    <w:p>
      <w:pPr>
        <w:ind w:firstLine="653"/>
        <w:spacing w:after="0" w:line="286" w:lineRule="auto"/>
        <w:tabs>
          <w:tab w:leader="none" w:pos="804" w:val="left"/>
        </w:tabs>
        <w:numPr>
          <w:ilvl w:val="0"/>
          <w:numId w:val="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Governmental Review</w:t>
      </w:r>
      <w:r>
        <w:rPr>
          <w:rFonts w:ascii="Times New Roman" w:cs="Times New Roman" w:eastAsia="Times New Roman" w:hAnsi="Times New Roman"/>
          <w:sz w:val="12"/>
          <w:szCs w:val="12"/>
          <w:color w:val="auto"/>
        </w:rPr>
        <w:t>. Such Purchaser understands that no United States federal or state agency or any other government or governmental agency has passed on or made any recommendation or endorsement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Securities or the fairness or suitability of the investment in the Securities nor have such authorities passed upon or endorsed the merits of the offering of the Securities.</w:t>
      </w:r>
    </w:p>
    <w:p>
      <w:pPr>
        <w:spacing w:after="0" w:line="103" w:lineRule="exact"/>
        <w:rPr>
          <w:rFonts w:ascii="Times New Roman" w:cs="Times New Roman" w:eastAsia="Times New Roman" w:hAnsi="Times New Roman"/>
          <w:sz w:val="12"/>
          <w:szCs w:val="12"/>
          <w:b w:val="1"/>
          <w:bCs w:val="1"/>
          <w:color w:val="auto"/>
        </w:rPr>
      </w:pPr>
    </w:p>
    <w:p>
      <w:pPr>
        <w:ind w:left="860" w:hanging="207"/>
        <w:spacing w:after="0"/>
        <w:tabs>
          <w:tab w:leader="none" w:pos="860" w:val="left"/>
        </w:tabs>
        <w:numPr>
          <w:ilvl w:val="0"/>
          <w:numId w:val="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Regulation M</w:t>
      </w:r>
      <w:r>
        <w:rPr>
          <w:rFonts w:ascii="Times New Roman" w:cs="Times New Roman" w:eastAsia="Times New Roman" w:hAnsi="Times New Roman"/>
          <w:sz w:val="12"/>
          <w:szCs w:val="12"/>
          <w:color w:val="auto"/>
        </w:rPr>
        <w:t>. Such Purchaser is aware that the anti-manipulation rules of Regulation M under the Exchange Act may apply to sales of Securities and other activities with respect to the Securities by the Purchasers.</w:t>
      </w:r>
    </w:p>
    <w:p>
      <w:pPr>
        <w:spacing w:after="0" w:line="150" w:lineRule="exact"/>
        <w:rPr>
          <w:rFonts w:ascii="Times New Roman" w:cs="Times New Roman" w:eastAsia="Times New Roman" w:hAnsi="Times New Roman"/>
          <w:sz w:val="12"/>
          <w:szCs w:val="12"/>
          <w:b w:val="1"/>
          <w:bCs w:val="1"/>
          <w:color w:val="auto"/>
        </w:rPr>
      </w:pPr>
    </w:p>
    <w:p>
      <w:pPr>
        <w:ind w:right="60" w:firstLine="653"/>
        <w:spacing w:after="0" w:line="257" w:lineRule="auto"/>
        <w:tabs>
          <w:tab w:leader="none" w:pos="838" w:val="left"/>
        </w:tabs>
        <w:numPr>
          <w:ilvl w:val="0"/>
          <w:numId w:val="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Beneficial Ownership</w:t>
      </w:r>
      <w:r>
        <w:rPr>
          <w:rFonts w:ascii="Times New Roman" w:cs="Times New Roman" w:eastAsia="Times New Roman" w:hAnsi="Times New Roman"/>
          <w:sz w:val="12"/>
          <w:szCs w:val="12"/>
          <w:color w:val="auto"/>
        </w:rPr>
        <w:t>. The purchase by such Purchaser of the Securities issuable to it at the Closing will not result in such Purchaser (individually or together with any other Person with whom such Purchaser has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identified, or will have identified, itself as part of a “group” in a public filing made with the Commission involving the Company’s securities) acquiring, or obtaining the right to acquire, beneficial ownership in excess of 19.9% of the outstanding shares of Common Stock or the voting power of the Company on a post transaction basis that assumes that such Closing shall have occurred. Such Purchaser does not presently intend to, alone or together with others, make a public filing with the Commission to disclose that it has (or that it together with such other Persons have) acquired, or obtained the right to acquire, as a result of such Closing when added to any other securities of the Company that it or they then own or have the right to acquire, beneficial ownership in excess of 19.9% of the outstanding shares of Common Stock or the voting power of the Company on a post transaction basis that assumes that such Closing shall have occurred. The foregoing representation and warranty in this Section 3.2(n) is not made by TAS Partners LLC or any of its Affiliates.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6" w:name="page37"/>
    <w:bookmarkEnd w:id="36"/>
    <w:p>
      <w:pPr>
        <w:ind w:right="20" w:firstLine="653"/>
        <w:spacing w:after="0" w:line="286" w:lineRule="auto"/>
        <w:tabs>
          <w:tab w:leader="none" w:pos="831" w:val="left"/>
        </w:tabs>
        <w:numPr>
          <w:ilvl w:val="0"/>
          <w:numId w:val="2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Residency</w:t>
      </w:r>
      <w:r>
        <w:rPr>
          <w:rFonts w:ascii="Times New Roman" w:cs="Times New Roman" w:eastAsia="Times New Roman" w:hAnsi="Times New Roman"/>
          <w:sz w:val="12"/>
          <w:szCs w:val="12"/>
          <w:color w:val="auto"/>
        </w:rPr>
        <w:t>. Such Purchaser’s residence (if an individual) or offices in which its investment decision with respect to the Securities was made (if an entity) are located at the address set forth under such Purchaser’s name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on Annex A hereto or as otherwise disclosed to the Company in writing (which writing may be an email from a Purchaser or its agent) or as otherwise specified below its address on Annex A hereto.</w:t>
      </w:r>
    </w:p>
    <w:p>
      <w:pPr>
        <w:spacing w:after="0" w:line="107" w:lineRule="exact"/>
        <w:rPr>
          <w:sz w:val="20"/>
          <w:szCs w:val="20"/>
          <w:color w:val="auto"/>
        </w:rPr>
      </w:pPr>
    </w:p>
    <w:p>
      <w:pPr>
        <w:ind w:right="420" w:firstLine="294"/>
        <w:spacing w:after="0" w:line="279" w:lineRule="auto"/>
        <w:rPr>
          <w:sz w:val="20"/>
          <w:szCs w:val="20"/>
          <w:color w:val="auto"/>
        </w:rPr>
      </w:pPr>
      <w:r>
        <w:rPr>
          <w:rFonts w:ascii="Times New Roman" w:cs="Times New Roman" w:eastAsia="Times New Roman" w:hAnsi="Times New Roman"/>
          <w:sz w:val="12"/>
          <w:szCs w:val="12"/>
          <w:color w:val="auto"/>
        </w:rPr>
        <w:t>The Company and each of the Purchasers acknowledge and agree that no party to this Agreement has made or makes any representations or warranties with respect to the transactions contemplated hereby other than those specifically set forth in this Article 3 and the Transaction Documents.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4</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OTHER AGREEMENTS OF THE PARTIES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color w:val="auto"/>
        </w:rPr>
        <w:t>4.1 Transfer Restrictions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653"/>
        <w:spacing w:after="0" w:line="255" w:lineRule="auto"/>
        <w:tabs>
          <w:tab w:leader="none" w:pos="831" w:val="left"/>
        </w:tabs>
        <w:numPr>
          <w:ilvl w:val="0"/>
          <w:numId w:val="3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Compliance with Laws</w:t>
      </w:r>
      <w:r>
        <w:rPr>
          <w:rFonts w:ascii="Times New Roman" w:cs="Times New Roman" w:eastAsia="Times New Roman" w:hAnsi="Times New Roman"/>
          <w:sz w:val="12"/>
          <w:szCs w:val="12"/>
          <w:color w:val="auto"/>
        </w:rPr>
        <w:t>. Notwithstanding any other provision of this Article 4, each Purchaser covenants that the Securities and Conversion Shares may be disposed of only pursuant to an effective registration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statement under, and in compliance with the requirements of, the Securities Act, or pursuant to an available exemption from, or in a transaction not subject to, the registration requirements of the Securities Act, and in compliance with any applicable U.S. state and federal securities laws. In connection with any transfer of the Securities or the Conversion Shares other than (i) pursuant to an effective registration statement, (ii) to the Company, (iii) pursuant to Rule 144 (provided that the Purchaser provides the Company with reasonable assurances (in the form of seller and, if applicable, broker representation letters) that the securities may be sold pursuant to such rule), or (iv) in connection with a bona fide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or Conversion Shares under the Securities Act and, as a condition of transfer, any such transferee shall agree in writing to be bound by the terms of this Agreement and the Registration Rights Agreement and shall have the rights of a Purchaser under this Agreement and the Registration Rights Agreement with respect to such transferred Securities or Conversion Shares.</w:t>
      </w:r>
    </w:p>
    <w:p>
      <w:pPr>
        <w:spacing w:after="0" w:line="123" w:lineRule="exact"/>
        <w:rPr>
          <w:rFonts w:ascii="Times New Roman" w:cs="Times New Roman" w:eastAsia="Times New Roman" w:hAnsi="Times New Roman"/>
          <w:sz w:val="12"/>
          <w:szCs w:val="12"/>
          <w:b w:val="1"/>
          <w:bCs w:val="1"/>
          <w:color w:val="auto"/>
        </w:rPr>
      </w:pPr>
    </w:p>
    <w:p>
      <w:pPr>
        <w:ind w:left="820" w:hanging="167"/>
        <w:spacing w:after="0"/>
        <w:tabs>
          <w:tab w:leader="none" w:pos="820" w:val="left"/>
        </w:tabs>
        <w:numPr>
          <w:ilvl w:val="0"/>
          <w:numId w:val="3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Legends</w:t>
      </w:r>
      <w:r>
        <w:rPr>
          <w:rFonts w:ascii="Times New Roman" w:cs="Times New Roman" w:eastAsia="Times New Roman" w:hAnsi="Times New Roman"/>
          <w:sz w:val="12"/>
          <w:szCs w:val="12"/>
          <w:color w:val="auto"/>
        </w:rPr>
        <w:t>. Book-entry statements evidencing the Securities and any Conversion Shares shall bear any legend as required by the “blue sky” Laws of any state and a restrictive legend in substantially the following form:</w:t>
      </w:r>
    </w:p>
    <w:p>
      <w:pPr>
        <w:spacing w:after="0" w:line="1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2"/>
          <w:szCs w:val="12"/>
          <w:color w:val="auto"/>
        </w:rPr>
        <w:t>THE OFFER AND SALE OF THE SECURITIES REPRESENTED BY THIS CERTIFICATE TO WHICH THIS CONFIRMATION RELATES HAVE NOT BEEN REGISTERED UNDER THE SECURITIES ACT OF 1933, AS AMENDED, OR THE SECURITIES LAWS OF ANY STATE OF THE UNITED STATES. THE SECURITIES MAY NOT BE SOLD, OFFERED FOR SALE, PLEDGED, HYPOTHECATED, TRANSFERRED OR ASSIGNED IN THE ABSENCE OF AN EFFECTIVE REGISTRATION STATEMENT FOR THE SECURITIES UNDER APPLICABLE SECURITIES LAWS, OR UNLESS OFFERED, SOLD, PLEDGED, HYPOTHECATED OR TRANSFERRED PURSUANT TO AN AVAILABLE EXEMPTION FROM THE REGISTRATION REQUIREMENTS OF THOSE LAWS. THE COMPANY AND ITS TRANSFER AGENT SHALL BE ENTITLED TO REQUIRE AN OPINION OF COUNSEL SATISFACTORY TO THE COMPANY AND THE TRANSFER AGENT THAT SUCH REGISTRATION IS NOT REQUIRED. NOTWITHSTANDING THE FOREGOING, THE SECURITIES MAY BE PLEDGED IN CONNECTION WITH A BONA FIDE MARGIN ACCOUNT OR OTHER LOAN OR FINANCING ARRANGEMENT SECURED BY THE SECURITIES.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ind w:right="20" w:firstLine="294"/>
        <w:spacing w:after="0" w:line="254" w:lineRule="auto"/>
        <w:rPr>
          <w:sz w:val="20"/>
          <w:szCs w:val="20"/>
          <w:color w:val="auto"/>
        </w:rPr>
      </w:pPr>
      <w:r>
        <w:rPr>
          <w:rFonts w:ascii="Times New Roman" w:cs="Times New Roman" w:eastAsia="Times New Roman" w:hAnsi="Times New Roman"/>
          <w:sz w:val="12"/>
          <w:szCs w:val="12"/>
          <w:color w:val="auto"/>
        </w:rPr>
        <w:t>The Company acknowledges and agrees that a Purchaser may from time to time pledge, and/or grant a security interest in, some or all of the legended Securities or Conversion Shares in connection with applicable securities laws, pursuant to a bona fide margin agreement in compliance with a bona fide margin loan. Such a pledge would not be subject to approval or consent of the Company and no legal opinion of legal counsel to the pledgee, secured party or pledgor shall be required in connection with the pledge, but such legal opinion shall be required in connection with a subsequent transfer or foreclosure following default by the Purchaser transferee of the pledge. No notice shall be required of such pledge, but Purchaser’s transferee shall promptly notify the Company of any such subsequent transfer or foreclosure. Each Purchaser acknowledges that the Company shall not be responsible for any pledges relating to, or the grant of any security interest in, any of the Securities or Conversion Shares or for any agreement, understanding or arrangement between any Purchaser and its pledgee or secured party. At the appropriate Purchaser’s expense, the Company will execute and deliver such reasonable documentation as a pledgee or secured party of Securities or Conversion Shares may reasonably request in connection with a pledge or transfer of the Securities or Conversion Shares, as applicable, including the preparation and filing of any required prospectus supplement under Rule 424(b)(3) of the Securities Act or other applicable provision of the Securities Act to appropriately amend the list of selling stockholders thereunder. Each Purchaser acknowledges and agrees that, except as otherwise provided in Section 4.1(c), any Securities or Conversion Shares subject to a pledge or security interest as contemplated by this Section 4.1(b) shall continue to bear the legend set forth in this Section 4.1(b) and be subject to the restrictions on transfer set forth in Section 4.1(b).</w:t>
      </w:r>
    </w:p>
    <w:p>
      <w:pPr>
        <w:spacing w:after="0" w:line="122" w:lineRule="exact"/>
        <w:rPr>
          <w:sz w:val="20"/>
          <w:szCs w:val="20"/>
          <w:color w:val="auto"/>
        </w:rPr>
      </w:pPr>
    </w:p>
    <w:p>
      <w:pPr>
        <w:ind w:firstLine="653"/>
        <w:spacing w:after="0" w:line="254" w:lineRule="auto"/>
        <w:tabs>
          <w:tab w:leader="none" w:pos="824" w:val="left"/>
        </w:tabs>
        <w:numPr>
          <w:ilvl w:val="0"/>
          <w:numId w:val="3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Removal of Legends</w:t>
      </w:r>
      <w:r>
        <w:rPr>
          <w:rFonts w:ascii="Times New Roman" w:cs="Times New Roman" w:eastAsia="Times New Roman" w:hAnsi="Times New Roman"/>
          <w:sz w:val="12"/>
          <w:szCs w:val="12"/>
          <w:color w:val="auto"/>
        </w:rPr>
        <w:t>. The legend set forth in Section 4.1(b) above shall be removed and the Company shall cause its Transfer Agent to issue book-entry statements without such legend or any other legend to the holder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applicable Securities or Conversion Shares upon which it is stamped or issue to such holder by electronic delivery at the applicable balance account at the Depository Trust Company (“</w:t>
      </w:r>
      <w:r>
        <w:rPr>
          <w:rFonts w:ascii="Times New Roman" w:cs="Times New Roman" w:eastAsia="Times New Roman" w:hAnsi="Times New Roman"/>
          <w:sz w:val="12"/>
          <w:szCs w:val="12"/>
          <w:b w:val="1"/>
          <w:bCs w:val="1"/>
          <w:i w:val="1"/>
          <w:iCs w:val="1"/>
          <w:color w:val="auto"/>
        </w:rPr>
        <w:t>DTC</w:t>
      </w:r>
      <w:r>
        <w:rPr>
          <w:rFonts w:ascii="Times New Roman" w:cs="Times New Roman" w:eastAsia="Times New Roman" w:hAnsi="Times New Roman"/>
          <w:sz w:val="12"/>
          <w:szCs w:val="12"/>
          <w:color w:val="auto"/>
        </w:rPr>
        <w:t xml:space="preserve">”) (i) upon effectiveness of the initial Registration Statement covering the resale of the Common Shares and the Conversion Shares, and upon request of a Purchaser (including, for the avoidance of doubt, by providing the Transfer Agent with an opinion of a counsel or other documentation acceptable to the Transfer Agent permitting such removal) and receipt of a representation letter from the Purchaser in the form attached hereto as </w:t>
      </w:r>
      <w:r>
        <w:rPr>
          <w:rFonts w:ascii="Times New Roman" w:cs="Times New Roman" w:eastAsia="Times New Roman" w:hAnsi="Times New Roman"/>
          <w:sz w:val="12"/>
          <w:szCs w:val="12"/>
          <w:b w:val="1"/>
          <w:bCs w:val="1"/>
          <w:color w:val="auto"/>
        </w:rPr>
        <w:t>Exhibit H</w:t>
      </w:r>
      <w:r>
        <w:rPr>
          <w:rFonts w:ascii="Times New Roman" w:cs="Times New Roman" w:eastAsia="Times New Roman" w:hAnsi="Times New Roman"/>
          <w:sz w:val="12"/>
          <w:szCs w:val="12"/>
          <w:color w:val="auto"/>
        </w:rPr>
        <w:t>, (ii) upon receipt of notice from a Purchaser stating that the applicable Securities or Conversion Shares have been sold pursuant to an effective Registration Statement, (iii) if such Securities or Conversion Shares are sold or transferred pursuant to Rule 144, or (iv) if such Securities or Conversion Shares are eligible for sale under Rule 144, without the requirement for the Company to be compliance with the current public information required under Rule 144 as to such Securities or Conversion Shares and without volume or manner-of-sale restrictions. Book-entry notations for the Securities or Conversion Shares subject to legend removal hereunder may be transmitted by the Company’s Transfer Agent to such Purchaser by crediting the DTC account of such Purchaser’s broker or other DTC participant as directed by such Purchaser, and the Company shall provide any legal opinions, or other information acceptable to the Transfer Agent in lieu of legal opinions, required by the Transfer Agent in connection with any such legend removal.</w:t>
      </w:r>
    </w:p>
    <w:p>
      <w:pPr>
        <w:spacing w:after="0" w:line="125" w:lineRule="exact"/>
        <w:rPr>
          <w:rFonts w:ascii="Times New Roman" w:cs="Times New Roman" w:eastAsia="Times New Roman" w:hAnsi="Times New Roman"/>
          <w:sz w:val="12"/>
          <w:szCs w:val="12"/>
          <w:b w:val="1"/>
          <w:bCs w:val="1"/>
          <w:color w:val="auto"/>
        </w:rPr>
      </w:pPr>
    </w:p>
    <w:p>
      <w:pPr>
        <w:ind w:firstLine="653"/>
        <w:spacing w:after="0" w:line="257" w:lineRule="auto"/>
        <w:tabs>
          <w:tab w:leader="none" w:pos="838" w:val="left"/>
        </w:tabs>
        <w:numPr>
          <w:ilvl w:val="0"/>
          <w:numId w:val="3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Irrevocable Transfer Agent Instructions</w:t>
      </w:r>
      <w:r>
        <w:rPr>
          <w:rFonts w:ascii="Times New Roman" w:cs="Times New Roman" w:eastAsia="Times New Roman" w:hAnsi="Times New Roman"/>
          <w:sz w:val="12"/>
          <w:szCs w:val="12"/>
          <w:color w:val="auto"/>
        </w:rPr>
        <w:t>. The Company represents and warrants that no instruction other than the Irrevocable Transfer Agent Instructions referred to in this Section 4.1(d) (or instructions that 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consistent therewith) will be given by the Company to its Transfer Agent in connection with this Agreement, and that the Securities and Conversion Shares shall otherwise be freely transferable on the books and records of the Company as and to the extent provided in this Agreement and the other Transaction Documents and applicable law. The Company acknowledges that a breach by it of its obligations under this Section 4.1(d) will cause irreparable harm to a Purchaser. Accordingly, the Company acknowledges that the remedy at law for a breach of its obligations under this Section 4.1(d) may be inadequate and agrees, in the event of a breach or threatened breach by the Company of the provisions of this Section 4.1(d) that a Purchaser shall be entitled, in addition to all other available remedies, to an order and/or injunction restraining any breach and requiring immediate issuance and transfer, without the necessity of showing irreparable harm or economic loss and without any bond or other security being required.</w:t>
      </w:r>
    </w:p>
    <w:p>
      <w:pPr>
        <w:spacing w:after="0" w:line="121" w:lineRule="exact"/>
        <w:rPr>
          <w:sz w:val="20"/>
          <w:szCs w:val="20"/>
          <w:color w:val="auto"/>
        </w:rPr>
      </w:pPr>
    </w:p>
    <w:p>
      <w:pPr>
        <w:ind w:right="80" w:firstLine="294"/>
        <w:spacing w:after="0" w:line="262" w:lineRule="auto"/>
        <w:rPr>
          <w:sz w:val="20"/>
          <w:szCs w:val="20"/>
          <w:color w:val="auto"/>
        </w:rPr>
      </w:pPr>
      <w:r>
        <w:rPr>
          <w:rFonts w:ascii="Times New Roman" w:cs="Times New Roman" w:eastAsia="Times New Roman" w:hAnsi="Times New Roman"/>
          <w:sz w:val="12"/>
          <w:szCs w:val="12"/>
          <w:b w:val="1"/>
          <w:bCs w:val="1"/>
          <w:color w:val="auto"/>
        </w:rPr>
        <w:t>4.2 Furnishing of Information</w:t>
      </w:r>
      <w:r>
        <w:rPr>
          <w:rFonts w:ascii="Times New Roman" w:cs="Times New Roman" w:eastAsia="Times New Roman" w:hAnsi="Times New Roman"/>
          <w:sz w:val="12"/>
          <w:szCs w:val="12"/>
          <w:color w:val="auto"/>
        </w:rPr>
        <w:t>. In order to enable the Purchasers to sell the Securities and Conversion Shares under Rule 144, until such time as Purchaser may sell the Securities and Conversion Shares without limitation under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Rule 144 (including without the need for current public information required by Rule 144(i)(2)), the Company shall use its commercially reasonable efforts to timely file (or obtain extensions in respect thereof and file within the applicable grace period) all reports required to be filed by the Company after the date hereof pursuant to the Exchange Act and, if during such period, the Company is not required to file reports pursuant to the Exchange Act, it will prepare and furnish to the Purchasers and make publicly available in accordance with Rule 144(c) such information as is required for the Purchasers to sell the Securities and Conversion Shares under Rule 144.</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ind w:right="20" w:firstLine="294"/>
        <w:spacing w:after="0" w:line="262" w:lineRule="auto"/>
        <w:rPr>
          <w:sz w:val="20"/>
          <w:szCs w:val="20"/>
          <w:color w:val="auto"/>
        </w:rPr>
      </w:pPr>
      <w:r>
        <w:rPr>
          <w:rFonts w:ascii="Times New Roman" w:cs="Times New Roman" w:eastAsia="Times New Roman" w:hAnsi="Times New Roman"/>
          <w:sz w:val="12"/>
          <w:szCs w:val="12"/>
          <w:b w:val="1"/>
          <w:bCs w:val="1"/>
          <w:color w:val="auto"/>
        </w:rPr>
        <w:t>4.3 Integration</w:t>
      </w:r>
      <w:r>
        <w:rPr>
          <w:rFonts w:ascii="Times New Roman" w:cs="Times New Roman" w:eastAsia="Times New Roman" w:hAnsi="Times New Roman"/>
          <w:sz w:val="12"/>
          <w:szCs w:val="12"/>
          <w:color w:val="auto"/>
        </w:rPr>
        <w:t>. The Company shall not, and shall use its commercially reasonable efforts to ensure that no Affiliate of the Company shall, sell, offer for sale or solicit offers to buy or otherwise negotiate in respect of any security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defined in Section 2 of the Securities Act) that will be integrated with the offer or sale of the Securities or the Conversion Shares in a manner that would require the registration under the Securities Act of the sale of the Securities or the Conversion Shares to the Purchasers, or that will be integrated with the offer or sale of the Securities or the Conversion Shares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17" w:lineRule="exact"/>
        <w:rPr>
          <w:sz w:val="20"/>
          <w:szCs w:val="20"/>
          <w:color w:val="auto"/>
        </w:rPr>
      </w:pPr>
    </w:p>
    <w:p>
      <w:pPr>
        <w:ind w:firstLine="294"/>
        <w:spacing w:after="0" w:line="253" w:lineRule="auto"/>
        <w:rPr>
          <w:sz w:val="20"/>
          <w:szCs w:val="20"/>
          <w:color w:val="auto"/>
        </w:rPr>
      </w:pPr>
      <w:r>
        <w:rPr>
          <w:rFonts w:ascii="Times New Roman" w:cs="Times New Roman" w:eastAsia="Times New Roman" w:hAnsi="Times New Roman"/>
          <w:sz w:val="12"/>
          <w:szCs w:val="12"/>
          <w:b w:val="1"/>
          <w:bCs w:val="1"/>
          <w:color w:val="auto"/>
        </w:rPr>
        <w:t>4.4 Securities Laws Disclosure; Publicity</w:t>
      </w:r>
      <w:r>
        <w:rPr>
          <w:rFonts w:ascii="Times New Roman" w:cs="Times New Roman" w:eastAsia="Times New Roman" w:hAnsi="Times New Roman"/>
          <w:sz w:val="12"/>
          <w:szCs w:val="12"/>
          <w:color w:val="auto"/>
        </w:rPr>
        <w:t>. By no later than 9:00 a.m., New York City time, on the Trading Day immediately following the date hereof (provided that, if this Agreement is executed between midnight and 9:00</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a.m., New York City time on any Trading Day, no later than 9:01 a.m. on the date hereof) (the “</w:t>
      </w:r>
      <w:r>
        <w:rPr>
          <w:rFonts w:ascii="Times New Roman" w:cs="Times New Roman" w:eastAsia="Times New Roman" w:hAnsi="Times New Roman"/>
          <w:sz w:val="12"/>
          <w:szCs w:val="12"/>
          <w:b w:val="1"/>
          <w:bCs w:val="1"/>
          <w:i w:val="1"/>
          <w:iCs w:val="1"/>
          <w:color w:val="auto"/>
        </w:rPr>
        <w:t>Disclosure Deadline</w:t>
      </w:r>
      <w:r>
        <w:rPr>
          <w:rFonts w:ascii="Times New Roman" w:cs="Times New Roman" w:eastAsia="Times New Roman" w:hAnsi="Times New Roman"/>
          <w:sz w:val="12"/>
          <w:szCs w:val="12"/>
          <w:color w:val="auto"/>
        </w:rPr>
        <w:t>”), the Company shall (a) issue a press release (the “</w:t>
      </w:r>
      <w:r>
        <w:rPr>
          <w:rFonts w:ascii="Times New Roman" w:cs="Times New Roman" w:eastAsia="Times New Roman" w:hAnsi="Times New Roman"/>
          <w:sz w:val="12"/>
          <w:szCs w:val="12"/>
          <w:b w:val="1"/>
          <w:bCs w:val="1"/>
          <w:i w:val="1"/>
          <w:iCs w:val="1"/>
          <w:color w:val="auto"/>
        </w:rPr>
        <w:t>Press Release</w:t>
      </w:r>
      <w:r>
        <w:rPr>
          <w:rFonts w:ascii="Times New Roman" w:cs="Times New Roman" w:eastAsia="Times New Roman" w:hAnsi="Times New Roman"/>
          <w:sz w:val="12"/>
          <w:szCs w:val="12"/>
          <w:color w:val="auto"/>
        </w:rPr>
        <w:t>”) reasonably acceptable to the Placement Agents disclosing (x) all material terms of the transactions contemplated hereby and by the other Transaction Documents and (y) all other material non-public information pertaining to the Company and its operations, to the extent such information has been provided or made available to any of the Purchasers prior to the issuance of the Press Release and (b) file a Current Report on Form 8-K with the Commission describing the terms of the Transaction Documents (and including as exhibits to such Current Report on Form 8-K the material Transaction Documents, the Press Release, and the press release disclosing the Clinical Information); provided that the Press Release shall not publicly disclose the name of any Purchaser or investment adviser of any Purchaser, or include the name of any Purchaser or an Affiliate of any Purchaser without the prior written consent of such Purchaser. In addition, notwithstanding the foregoing, the Company shall not publicly disclose the name of any Purchaser or investment adviser of any Purchaser, or include the name of any Purchaser or an Affiliate of any Purchaser without the prior written consent of such Purchaser (i) in any press release or marketing materials or (ii) in any filing with the Commission or any regulatory agency or Trading Market, except as required by U.S. federal securities law (A) in connection with any registration statement contemplated by the Registration Rights Agreement (which shall be subject to review and comment of the Purchasers pursuant to the terms of the Registration Rights Agreement) or the filing of final Transaction Documents (including signature pages thereto) with the Commission and (B) to the extent such disclosure is required by law, request of the Commission’s staff or Trading Market regulations, in which case the Company shall provide the Purchasers with prior written notice of and a reasonable opportunity to review such disclosure permitted under this subclause (ii). From and after the issuance of the Press Release, no Purchaser shall be in possession of any material, non-public information received from the Company, any Subsidiary or any of their respective officers, directors, employees or agents, including the Placement Agents. Each Purchaser, severally and not jointly with any other Purchaser, covenants that until such time as the transactions contemplated by this Agreement are publicly disclosed by the Company pursuant to the Press Release, such Purchaser will maintain the confidentiality of the existence and terms of this transaction and the information provided in connection therewith; provided, however, that any disclosure may be made by the Purchaser to the Purchaser’s representatives or agents, including, but not limited to, the Purchaser’s legal, tax and investment advisors.</w:t>
      </w:r>
    </w:p>
    <w:p>
      <w:pPr>
        <w:spacing w:after="0" w:line="122" w:lineRule="exact"/>
        <w:rPr>
          <w:sz w:val="20"/>
          <w:szCs w:val="20"/>
          <w:color w:val="auto"/>
        </w:rPr>
      </w:pPr>
    </w:p>
    <w:p>
      <w:pPr>
        <w:ind w:right="120" w:firstLine="294"/>
        <w:spacing w:after="0" w:line="303" w:lineRule="auto"/>
        <w:rPr>
          <w:sz w:val="20"/>
          <w:szCs w:val="20"/>
          <w:color w:val="auto"/>
        </w:rPr>
      </w:pPr>
      <w:r>
        <w:rPr>
          <w:rFonts w:ascii="Times New Roman" w:cs="Times New Roman" w:eastAsia="Times New Roman" w:hAnsi="Times New Roman"/>
          <w:sz w:val="11"/>
          <w:szCs w:val="11"/>
          <w:b w:val="1"/>
          <w:bCs w:val="1"/>
          <w:color w:val="auto"/>
        </w:rPr>
        <w:t>4.5 Shareholder Rights Plan</w:t>
      </w:r>
      <w:r>
        <w:rPr>
          <w:rFonts w:ascii="Times New Roman" w:cs="Times New Roman" w:eastAsia="Times New Roman" w:hAnsi="Times New Roman"/>
          <w:sz w:val="11"/>
          <w:szCs w:val="11"/>
          <w:color w:val="auto"/>
        </w:rPr>
        <w:t>. No claim will be made or enforced by the Company or, with the consent of the Company, any other Person, that any Purchaser is an “</w:t>
      </w:r>
      <w:r>
        <w:rPr>
          <w:rFonts w:ascii="Times New Roman" w:cs="Times New Roman" w:eastAsia="Times New Roman" w:hAnsi="Times New Roman"/>
          <w:sz w:val="11"/>
          <w:szCs w:val="11"/>
          <w:b w:val="1"/>
          <w:bCs w:val="1"/>
          <w:i w:val="1"/>
          <w:iCs w:val="1"/>
          <w:color w:val="auto"/>
        </w:rPr>
        <w:t>Acquiring Person</w:t>
      </w:r>
      <w:r>
        <w:rPr>
          <w:rFonts w:ascii="Times New Roman" w:cs="Times New Roman" w:eastAsia="Times New Roman" w:hAnsi="Times New Roman"/>
          <w:sz w:val="11"/>
          <w:szCs w:val="11"/>
          <w:color w:val="auto"/>
        </w:rPr>
        <w:t>” under any control share acquisition,</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business combination, poison pill (including any distribution under a rights agreement) or similar anti-takeover plan or arrangement or Law (including Section 203 of the Delaware General Corporation Law) in effect or hereafter adopted by the Company, or that any Purchaser could be deemed to trigger the provisions of any such plan or arrangement, in either case solely by virtue of receiving Securities or Conversion Shares under the Transaction Documents.</w:t>
      </w:r>
    </w:p>
    <w:p>
      <w:pPr>
        <w:spacing w:after="0" w:line="97" w:lineRule="exact"/>
        <w:rPr>
          <w:sz w:val="20"/>
          <w:szCs w:val="20"/>
          <w:color w:val="auto"/>
        </w:rPr>
      </w:pPr>
    </w:p>
    <w:p>
      <w:pPr>
        <w:ind w:right="60" w:firstLine="294"/>
        <w:spacing w:after="0" w:line="259" w:lineRule="auto"/>
        <w:rPr>
          <w:sz w:val="20"/>
          <w:szCs w:val="20"/>
          <w:color w:val="auto"/>
        </w:rPr>
      </w:pPr>
      <w:r>
        <w:rPr>
          <w:rFonts w:ascii="Times New Roman" w:cs="Times New Roman" w:eastAsia="Times New Roman" w:hAnsi="Times New Roman"/>
          <w:sz w:val="12"/>
          <w:szCs w:val="12"/>
          <w:b w:val="1"/>
          <w:bCs w:val="1"/>
          <w:color w:val="auto"/>
        </w:rPr>
        <w:t>4.6 Non-Public Information</w:t>
      </w:r>
      <w:r>
        <w:rPr>
          <w:rFonts w:ascii="Times New Roman" w:cs="Times New Roman" w:eastAsia="Times New Roman" w:hAnsi="Times New Roman"/>
          <w:sz w:val="12"/>
          <w:szCs w:val="12"/>
          <w:color w:val="auto"/>
        </w:rPr>
        <w:t>. Except with respect to the material terms and conditions of the transactions contemplated by the Transaction Documents, including this Agreement, or as expressly required by any applicable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securities law, the Company covenants and agrees that neither it, nor any other Person acting on its behalf, will provide any Purchaser or its agents or counsel with any information regarding the Company that the Company believes constitutes material non-public information without the express written (email being sufficient) consent of such Purchaser, (i) unless prior thereto such Purchaser shall have committed to customary obligations regarding the confidentiality and use of such information and (ii) except in the case of material, nonpublic information provided to an observer of the Board of Directors or member of the Board of Directors who is affiliated with such Purchaser. The Company understands and confirms that each Purchaser shall be relying on the foregoing covenant in effecting transactions in securities of the Company.</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9" w:name="page40"/>
    <w:bookmarkEnd w:id="39"/>
    <w:p>
      <w:pPr>
        <w:ind w:left="280"/>
        <w:spacing w:after="0"/>
        <w:rPr>
          <w:sz w:val="20"/>
          <w:szCs w:val="20"/>
          <w:color w:val="auto"/>
        </w:rPr>
      </w:pPr>
      <w:r>
        <w:rPr>
          <w:rFonts w:ascii="Times New Roman" w:cs="Times New Roman" w:eastAsia="Times New Roman" w:hAnsi="Times New Roman"/>
          <w:sz w:val="12"/>
          <w:szCs w:val="12"/>
          <w:b w:val="1"/>
          <w:bCs w:val="1"/>
          <w:color w:val="auto"/>
        </w:rPr>
        <w:t>4.7 Use of Proceeds</w:t>
      </w:r>
      <w:r>
        <w:rPr>
          <w:rFonts w:ascii="Times New Roman" w:cs="Times New Roman" w:eastAsia="Times New Roman" w:hAnsi="Times New Roman"/>
          <w:sz w:val="12"/>
          <w:szCs w:val="12"/>
          <w:color w:val="auto"/>
        </w:rPr>
        <w:t>. The Company shall use the net proceeds from the sale of the Securities hereunder for working capital and general corporate purposes.</w:t>
      </w:r>
    </w:p>
    <w:p>
      <w:pPr>
        <w:spacing w:after="0" w:line="150" w:lineRule="exact"/>
        <w:rPr>
          <w:sz w:val="20"/>
          <w:szCs w:val="20"/>
          <w:color w:val="auto"/>
        </w:rPr>
      </w:pPr>
    </w:p>
    <w:p>
      <w:pPr>
        <w:ind w:right="240"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4.8 Principal Trading Market Listing</w:t>
      </w:r>
      <w:r>
        <w:rPr>
          <w:rFonts w:ascii="Times New Roman" w:cs="Times New Roman" w:eastAsia="Times New Roman" w:hAnsi="Times New Roman"/>
          <w:sz w:val="12"/>
          <w:szCs w:val="12"/>
          <w:color w:val="auto"/>
        </w:rPr>
        <w:t>. The Company shall use its reasonable best efforts to take all steps necessary to cause the Common Shares and the Conversion Shares to be approved for listing on the Principal Trading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Market as promptly as possible.</w:t>
      </w:r>
    </w:p>
    <w:p>
      <w:pPr>
        <w:spacing w:after="0" w:line="103" w:lineRule="exact"/>
        <w:rPr>
          <w:sz w:val="20"/>
          <w:szCs w:val="20"/>
          <w:color w:val="auto"/>
        </w:rPr>
      </w:pPr>
    </w:p>
    <w:p>
      <w:pPr>
        <w:ind w:firstLine="294"/>
        <w:spacing w:after="0" w:line="268" w:lineRule="auto"/>
        <w:rPr>
          <w:sz w:val="20"/>
          <w:szCs w:val="20"/>
          <w:color w:val="auto"/>
        </w:rPr>
      </w:pPr>
      <w:r>
        <w:rPr>
          <w:rFonts w:ascii="Times New Roman" w:cs="Times New Roman" w:eastAsia="Times New Roman" w:hAnsi="Times New Roman"/>
          <w:sz w:val="12"/>
          <w:szCs w:val="12"/>
          <w:b w:val="1"/>
          <w:bCs w:val="1"/>
          <w:color w:val="auto"/>
        </w:rPr>
        <w:t>4.9 Form D; Blue Sky</w:t>
      </w:r>
      <w:r>
        <w:rPr>
          <w:rFonts w:ascii="Times New Roman" w:cs="Times New Roman" w:eastAsia="Times New Roman" w:hAnsi="Times New Roman"/>
          <w:sz w:val="12"/>
          <w:szCs w:val="12"/>
          <w:color w:val="auto"/>
        </w:rPr>
        <w:t>. The Company agrees to timely file a Form D with respect to the Securities as required under Regulation D and to provide a copy thereof, promptly upon the written request of any Purchaser. The Company,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on or before the Closing Date, shall take such action as the Company shall reasonably determine is necessary in order to obtain an exemption for or to qualify the Securities for sale to the Purchasers under applicable securities or “blue sky” Laws of the states of the United States (or to obtain an exemption from such qualification) and shall provide evidence of such actions promptly upon the written request of any Purchaser.</w:t>
      </w:r>
    </w:p>
    <w:p>
      <w:pPr>
        <w:spacing w:after="0" w:line="114" w:lineRule="exact"/>
        <w:rPr>
          <w:sz w:val="20"/>
          <w:szCs w:val="20"/>
          <w:color w:val="auto"/>
        </w:rPr>
      </w:pPr>
    </w:p>
    <w:p>
      <w:pPr>
        <w:jc w:val="both"/>
        <w:ind w:right="60" w:firstLine="294"/>
        <w:spacing w:after="0" w:line="268" w:lineRule="auto"/>
        <w:rPr>
          <w:sz w:val="20"/>
          <w:szCs w:val="20"/>
          <w:color w:val="auto"/>
        </w:rPr>
      </w:pPr>
      <w:r>
        <w:rPr>
          <w:rFonts w:ascii="Times New Roman" w:cs="Times New Roman" w:eastAsia="Times New Roman" w:hAnsi="Times New Roman"/>
          <w:sz w:val="12"/>
          <w:szCs w:val="12"/>
          <w:b w:val="1"/>
          <w:bCs w:val="1"/>
          <w:color w:val="auto"/>
        </w:rPr>
        <w:t>4.10 Short Sales After the Date Hereof</w:t>
      </w:r>
      <w:r>
        <w:rPr>
          <w:rFonts w:ascii="Times New Roman" w:cs="Times New Roman" w:eastAsia="Times New Roman" w:hAnsi="Times New Roman"/>
          <w:sz w:val="12"/>
          <w:szCs w:val="12"/>
          <w:color w:val="auto"/>
        </w:rPr>
        <w:t>. Such Purchaser shall not engage, directly or indirectly, in any transactions in the Company’s securities (including, without limitation, any Short Sales involving the Company’s securities)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during the period from the date hereof until the earlier of such time as (i) the transactions contemplated by this Agreement are first publicly announced as required by and described in Section 4.4 or (ii) this Agreement is terminated in full pursuant to Section 6.18.</w:t>
      </w:r>
    </w:p>
    <w:p>
      <w:pPr>
        <w:spacing w:after="0" w:line="114" w:lineRule="exact"/>
        <w:rPr>
          <w:sz w:val="20"/>
          <w:szCs w:val="20"/>
          <w:color w:val="auto"/>
        </w:rPr>
      </w:pPr>
    </w:p>
    <w:p>
      <w:pPr>
        <w:ind w:right="20" w:firstLine="294"/>
        <w:spacing w:after="0" w:line="251" w:lineRule="auto"/>
        <w:rPr>
          <w:sz w:val="20"/>
          <w:szCs w:val="20"/>
          <w:color w:val="auto"/>
        </w:rPr>
      </w:pPr>
      <w:r>
        <w:rPr>
          <w:rFonts w:ascii="Times New Roman" w:cs="Times New Roman" w:eastAsia="Times New Roman" w:hAnsi="Times New Roman"/>
          <w:sz w:val="12"/>
          <w:szCs w:val="12"/>
          <w:b w:val="1"/>
          <w:bCs w:val="1"/>
          <w:color w:val="auto"/>
        </w:rPr>
        <w:t>4.11 Beneficial Ownership Limitation</w:t>
      </w:r>
      <w:r>
        <w:rPr>
          <w:rFonts w:ascii="Times New Roman" w:cs="Times New Roman" w:eastAsia="Times New Roman" w:hAnsi="Times New Roman"/>
          <w:sz w:val="12"/>
          <w:szCs w:val="12"/>
          <w:color w:val="auto"/>
        </w:rPr>
        <w:t>. Notwithstanding anything to the contrary set forth in the Certificate of Designation, the Company shall not effect any conversion of any share of Series B Preferred Stock, and a Purchaser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shall not have the right to convert any portion of its Series B Preferred Stock, to the extent that, after giving effect to such attempted conversion set forth on an applicable Notice of Conversion (as defined in the Certificate of Designation) with respect to the Series B Preferred Stock, such Purchaser (or any of such Purchaser’s Affiliates or any other Person who would be a beneficial owner of Common Stock beneficially owned by the Purchaser for purposes of Section 13(d) or Section 16 of the Exchange Act and the applicable rules and regulations of the Commission, including any “group” of which the Purchaser is a member (the foregoing, “</w:t>
      </w:r>
      <w:r>
        <w:rPr>
          <w:rFonts w:ascii="Times New Roman" w:cs="Times New Roman" w:eastAsia="Times New Roman" w:hAnsi="Times New Roman"/>
          <w:sz w:val="12"/>
          <w:szCs w:val="12"/>
          <w:b w:val="1"/>
          <w:bCs w:val="1"/>
          <w:i w:val="1"/>
          <w:iCs w:val="1"/>
          <w:color w:val="auto"/>
        </w:rPr>
        <w:t>Attribution Parties</w:t>
      </w:r>
      <w:r>
        <w:rPr>
          <w:rFonts w:ascii="Times New Roman" w:cs="Times New Roman" w:eastAsia="Times New Roman" w:hAnsi="Times New Roman"/>
          <w:sz w:val="12"/>
          <w:szCs w:val="12"/>
          <w:color w:val="auto"/>
        </w:rPr>
        <w:t>”)) would beneficially own a number of shares of Common Stock in excess of the Beneficial Ownership Limitation (as defined below). For purposes of the foregoing sentence, the aggregate number of shares of Common Stock beneficially owned by such Purchaser and its Attribution Parties shall include the number of shares of Common Stock issuable upon conversion of the Series B Preferred Stock subject to the Notice of Conversion or the Automatic Conversion (as defined in the Certificate of Designation), as applicable, with respect to which such determination is being made, but shall exclude the number of shares of Common Stock which are issuable upon (i) conversion of the remaining, unconverted Series B Preferred Stock beneficially owned by such Purchaser or any of its Attribution Parties, and (ii) exercise or conversion of the unexercised or unconverted portion of any other securities of the Company beneficially owned by such Purchaser or any of its Attribution Parties that are subject to and would exceed a limitation on conversion or exercise similar to the limitation contained herein. Except as set forth in the preceding sentence, for purposes of this Section 4.11,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Section 4.11, in determining the number of outstanding shares of Common Stock, a Purchaser may rely on the number of outstanding shares of Common Stock as stated in the most recent of the following: (i) the Company’s most recent periodic or annual filing with the Commission, as the case may be, (ii) a more recent public announcement by the Company that is filed with the Commission, or (iii) a more recent notice by the Company or the Company’s transfer agent to the Purchaser setting forth the number of shares of Common Stock then outstanding. For any reason at any time, upon the written request of a Purchaser (which may be by e-mail), the Company shall, within two Trading Days of such request, confirm in writing to such Purchaser (which may be by e-mail) the number of shares of Common Stock then outstanding. In any case, the number of outstanding shares of Common Stock shall be determined after giving effect to any actual conversion or exercise of securities of the Company, including Series B Preferred Stock, by such Purchaser or its Attribution Parties since the date as of which such number of outstanding shares of Common Stock was last publicly reported or confirmed to the Purchaser. The “</w:t>
      </w:r>
      <w:r>
        <w:rPr>
          <w:rFonts w:ascii="Times New Roman" w:cs="Times New Roman" w:eastAsia="Times New Roman" w:hAnsi="Times New Roman"/>
          <w:sz w:val="12"/>
          <w:szCs w:val="12"/>
          <w:b w:val="1"/>
          <w:bCs w:val="1"/>
          <w:i w:val="1"/>
          <w:iCs w:val="1"/>
          <w:color w:val="auto"/>
        </w:rPr>
        <w:t>Beneficial Ownership Limitation</w:t>
      </w:r>
      <w:r>
        <w:rPr>
          <w:rFonts w:ascii="Times New Roman" w:cs="Times New Roman" w:eastAsia="Times New Roman" w:hAnsi="Times New Roman"/>
          <w:sz w:val="12"/>
          <w:szCs w:val="12"/>
          <w:color w:val="auto"/>
        </w:rPr>
        <w:t xml:space="preserve">” shall initially be set at the discretion of each Purchaser to a percentage between 0% and 19.9% of the number of shares of the Common Stock outstanding or deemed to be outstanding as of the applicable measurement date, and such percentage shall be set at 9.9% for any Purchaser that does not make such designation on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xml:space="preserve"> hereto. The Company shall be entitled to rely on representations made to it by any Purchaser in any Notice of Conversion regarding its Beneficial Ownership Limitation. Notwithstanding the foregoing, by written notice to the Company, (i) any Purchaser may reset the Beneficial Ownership Limitation percentage to a higher percentage, not to exceed 19.9%, which increase will not be effective until the 61st day after such written notice is delivered to the Company, and (ii) any Purchaser may reset the Beneficial Ownership Limitation percentage to a lower percentage provided that such decrease shall not become effective until the later of (x) 5:00 p.m. New York City time on the third Business Day after the date of the Requisite Stockholder Approval and (y) if the Requisite Stockholder Approval is not obtained within six months after the initial issuance of the Series B Preferred Stock, the date that is three Business Days after the date that is six months after the initial issuance of the Series B Preferred Stock. Upon such a change by a Purchaser of the Beneficial Ownership Limitation, not to exceed 19.9%, the Beneficial Ownership Limitation may not be further amended by such Purchaser without first providing the minimum notice required by this Section 4.11. Notwithstanding the foregoing, at any time following notice of a Fundamental Transaction (as defined in the Certificate of Designation), the Purchaser may waive and/or change the Beneficial Ownership Limitation effective immediately upon written notice to the Company and may reinstitute a Beneficial Ownership Limitation at any time thereafter effective immediately upon written notice to the Company. The provisions of this Section 4.11 shall be construed, corrected and implemented in a manner so as to effectuate the intended Beneficial Ownership Limitation herein contained and the shares of Common Stock underlying the Preferred Shares in excess of the Beneficial Ownership Limitation shall not be deemed to be beneficially owned by the Purchaser for any purpose including for purposes of Section 13(d) or Rule 16a-1(a)(1) of the Exchange Act. Notwithstanding the foregoing, the Beneficial Ownership Limitation shall not apply to TAS Partners LLC or any of its Affiliates.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40" w:name="page41"/>
    <w:bookmarkEnd w:id="40"/>
    <w:p>
      <w:pPr>
        <w:ind w:firstLine="294"/>
        <w:spacing w:after="0" w:line="257" w:lineRule="auto"/>
        <w:rPr>
          <w:sz w:val="20"/>
          <w:szCs w:val="20"/>
          <w:color w:val="auto"/>
        </w:rPr>
      </w:pPr>
      <w:r>
        <w:rPr>
          <w:rFonts w:ascii="Times New Roman" w:cs="Times New Roman" w:eastAsia="Times New Roman" w:hAnsi="Times New Roman"/>
          <w:sz w:val="12"/>
          <w:szCs w:val="12"/>
          <w:b w:val="1"/>
          <w:bCs w:val="1"/>
          <w:color w:val="auto"/>
        </w:rPr>
        <w:t>4.12 Requisite Stockholder Approval</w:t>
      </w:r>
      <w:r>
        <w:rPr>
          <w:rFonts w:ascii="Times New Roman" w:cs="Times New Roman" w:eastAsia="Times New Roman" w:hAnsi="Times New Roman"/>
          <w:sz w:val="12"/>
          <w:szCs w:val="12"/>
          <w:color w:val="auto"/>
        </w:rPr>
        <w:t>. The Company shall use its best efforts to obtain stockholder approval of the conversion of all issued and outstanding Series B Preferred Stock into shares of Common Stock in accordance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the Nasdaq Stock Market Rules (the “</w:t>
      </w:r>
      <w:r>
        <w:rPr>
          <w:rFonts w:ascii="Times New Roman" w:cs="Times New Roman" w:eastAsia="Times New Roman" w:hAnsi="Times New Roman"/>
          <w:sz w:val="12"/>
          <w:szCs w:val="12"/>
          <w:b w:val="1"/>
          <w:bCs w:val="1"/>
          <w:i w:val="1"/>
          <w:iCs w:val="1"/>
          <w:color w:val="auto"/>
        </w:rPr>
        <w:t>Requisite Stockholder Approval</w:t>
      </w:r>
      <w:r>
        <w:rPr>
          <w:rFonts w:ascii="Times New Roman" w:cs="Times New Roman" w:eastAsia="Times New Roman" w:hAnsi="Times New Roman"/>
          <w:sz w:val="12"/>
          <w:szCs w:val="12"/>
          <w:color w:val="auto"/>
        </w:rPr>
        <w:t>”) at a special meeting of stockholders (the “</w:t>
      </w:r>
      <w:r>
        <w:rPr>
          <w:rFonts w:ascii="Times New Roman" w:cs="Times New Roman" w:eastAsia="Times New Roman" w:hAnsi="Times New Roman"/>
          <w:sz w:val="12"/>
          <w:szCs w:val="12"/>
          <w:b w:val="1"/>
          <w:bCs w:val="1"/>
          <w:i w:val="1"/>
          <w:iCs w:val="1"/>
          <w:color w:val="auto"/>
        </w:rPr>
        <w:t>Special Meeting</w:t>
      </w:r>
      <w:r>
        <w:rPr>
          <w:rFonts w:ascii="Times New Roman" w:cs="Times New Roman" w:eastAsia="Times New Roman" w:hAnsi="Times New Roman"/>
          <w:sz w:val="12"/>
          <w:szCs w:val="12"/>
          <w:color w:val="auto"/>
        </w:rPr>
        <w:t>”), which such Special Meeting shall be held no later than October 31, 2024. The Company shall use its reasonable best efforts to solicit its stockholders’ approval of such resolution and to cause the Board of Directors to recommend to the stockholders that they approve such resolution. If the Requisite Stockholder Approval is not obtained at the Special Meeting, the Company shall cause an additional meeting of the Company’s stockholders to be held within 90 days from the date of the Special Meeting (the “</w:t>
      </w:r>
      <w:r>
        <w:rPr>
          <w:rFonts w:ascii="Times New Roman" w:cs="Times New Roman" w:eastAsia="Times New Roman" w:hAnsi="Times New Roman"/>
          <w:sz w:val="12"/>
          <w:szCs w:val="12"/>
          <w:b w:val="1"/>
          <w:bCs w:val="1"/>
          <w:i w:val="1"/>
          <w:iCs w:val="1"/>
          <w:color w:val="auto"/>
        </w:rPr>
        <w:t>Extended Stockholder Approval Period</w:t>
      </w:r>
      <w:r>
        <w:rPr>
          <w:rFonts w:ascii="Times New Roman" w:cs="Times New Roman" w:eastAsia="Times New Roman" w:hAnsi="Times New Roman"/>
          <w:sz w:val="12"/>
          <w:szCs w:val="12"/>
          <w:color w:val="auto"/>
        </w:rPr>
        <w:t>”). If the Requisite Stockholder Approval is not obtained within the Extended Stockholder Approval Period, then the Company shall convene additional stockholder meetings every 90 days thereafter until the Requisite Stockholder Approval is obtained.</w:t>
      </w:r>
    </w:p>
    <w:p>
      <w:pPr>
        <w:spacing w:after="0" w:line="121" w:lineRule="exact"/>
        <w:rPr>
          <w:sz w:val="20"/>
          <w:szCs w:val="20"/>
          <w:color w:val="auto"/>
        </w:rPr>
      </w:pPr>
    </w:p>
    <w:p>
      <w:pPr>
        <w:jc w:val="both"/>
        <w:ind w:right="220" w:firstLine="294"/>
        <w:spacing w:after="0" w:line="262" w:lineRule="auto"/>
        <w:rPr>
          <w:sz w:val="20"/>
          <w:szCs w:val="20"/>
          <w:color w:val="auto"/>
        </w:rPr>
      </w:pPr>
      <w:r>
        <w:rPr>
          <w:rFonts w:ascii="Times New Roman" w:cs="Times New Roman" w:eastAsia="Times New Roman" w:hAnsi="Times New Roman"/>
          <w:sz w:val="12"/>
          <w:szCs w:val="12"/>
          <w:b w:val="1"/>
          <w:bCs w:val="1"/>
          <w:color w:val="auto"/>
        </w:rPr>
        <w:t>4.13 Conversion Procedures</w:t>
      </w:r>
      <w:r>
        <w:rPr>
          <w:rFonts w:ascii="Times New Roman" w:cs="Times New Roman" w:eastAsia="Times New Roman" w:hAnsi="Times New Roman"/>
          <w:sz w:val="12"/>
          <w:szCs w:val="12"/>
          <w:color w:val="auto"/>
        </w:rPr>
        <w:t>. The form of Notice of Conversion included in the Certificate of Designation sets forth the totality of the procedures required of the Purchasers in order to convert the Preferred Shares. Without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limiting the preceding sentence, no ink-original Notice of Conversion shall be required, nor shall any medallion guarantee (or other type of guarantee or notarization) of any Notice of Conversion form be required in order for the registered holder thereof to convert the Preferred Shares. No additional legal opinion, other information or instructions shall be required of a Purchaser to convert its Preferred Shares. The Company shall honor conversions of the Preferred Shares and shall deliver Conversion Shares in accordance with the terms, conditions and time periods set forth in the Transaction Documents.</w:t>
      </w: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41" w:name="page42"/>
    <w:bookmarkEnd w:id="41"/>
    <w:p>
      <w:pPr>
        <w:ind w:firstLine="294"/>
        <w:spacing w:after="0" w:line="252" w:lineRule="auto"/>
        <w:rPr>
          <w:sz w:val="20"/>
          <w:szCs w:val="20"/>
          <w:color w:val="auto"/>
        </w:rPr>
      </w:pPr>
      <w:r>
        <w:rPr>
          <w:rFonts w:ascii="Times New Roman" w:cs="Times New Roman" w:eastAsia="Times New Roman" w:hAnsi="Times New Roman"/>
          <w:sz w:val="12"/>
          <w:szCs w:val="12"/>
          <w:b w:val="1"/>
          <w:bCs w:val="1"/>
          <w:color w:val="auto"/>
        </w:rPr>
        <w:t>4.14 Indemnification of Purchasers</w:t>
      </w:r>
      <w:r>
        <w:rPr>
          <w:rFonts w:ascii="Times New Roman" w:cs="Times New Roman" w:eastAsia="Times New Roman" w:hAnsi="Times New Roman"/>
          <w:sz w:val="12"/>
          <w:szCs w:val="12"/>
          <w:color w:val="auto"/>
        </w:rPr>
        <w:t>. Subject to the provisions of this Section 4.14, the Company will indemnify and hold each Purchaser and its directors, officers, shareholders, members, partners, employees, investment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advisers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investment advisers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2"/>
          <w:szCs w:val="12"/>
          <w:b w:val="1"/>
          <w:bCs w:val="1"/>
          <w:i w:val="1"/>
          <w:iCs w:val="1"/>
          <w:color w:val="auto"/>
        </w:rPr>
        <w:t>Purchaser Party</w:t>
      </w:r>
      <w:r>
        <w:rPr>
          <w:rFonts w:ascii="Times New Roman" w:cs="Times New Roman" w:eastAsia="Times New Roman" w:hAnsi="Times New Roman"/>
          <w:sz w:val="12"/>
          <w:szCs w:val="12"/>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(i) any breach of any of the representations, warranties, covenants or agreements made by the Company in this Agreement or in the other Transaction Documents or (ii) any Proceeding instituted against a Purchaser in any capacity, or any Purchaser Party, by any stockholder of the Company who is not an Affiliate of such Purchaser seeking indemnification, with respect to any of the transactions contemplated by the Transaction Documents (unless such action is based upon a breach of such Purchaser’s representations, warranties or covenants under the Transaction Documents, or any agreements or understandings such Purchaser may have with any such stockholder or any violations by the Purchaser of state or federal securities Laws or any conduct by such Purchaser which constitutes fraud, gross negligence, willful misconduct or malfeasance). Promptly after receipt by any such Person (the “</w:t>
      </w:r>
      <w:r>
        <w:rPr>
          <w:rFonts w:ascii="Times New Roman" w:cs="Times New Roman" w:eastAsia="Times New Roman" w:hAnsi="Times New Roman"/>
          <w:sz w:val="12"/>
          <w:szCs w:val="12"/>
          <w:b w:val="1"/>
          <w:bCs w:val="1"/>
          <w:i w:val="1"/>
          <w:iCs w:val="1"/>
          <w:color w:val="auto"/>
        </w:rPr>
        <w:t>Indemnified Person</w:t>
      </w:r>
      <w:r>
        <w:rPr>
          <w:rFonts w:ascii="Times New Roman" w:cs="Times New Roman" w:eastAsia="Times New Roman" w:hAnsi="Times New Roman"/>
          <w:sz w:val="12"/>
          <w:szCs w:val="12"/>
          <w:color w:val="auto"/>
        </w:rPr>
        <w:t>”) of notice of any demand, claim or circumstances that would or may give rise to a claim or the commencement of any Proceeding or investigation in respect of which indemnity may be sought pursuant to this Section 4.14, such Indemnified Person shall promptly notify the Company in writing and, (1) with respect to claims relating to clause (i) above, the Company shall assume the defense thereof, including the employment of counsel reasonably satisfactory to such Indemnified Person, and shall assume the payment of all reasonable and documented fees and expenses relating to such Proceeding or investigation and (2) with respect to claims relating to clause (ii) above, the Indemnified Person shall have the right to assume the defense thereof or, in its sole discretion, consent to the assumption of defense by the Company, and shall so inform the Company in such notice; provided, however, that the failure of any Indemnified Person so to notify the Company shall not relieve the Company of its obligations hereunder except to the extent that the Company is actually and materially prejudiced by such failure to notify. In any such proceeding under clause (i) or, if the Indemnified Person has consented to the Company assuming defense of a proceeding under clause (ii), any Indemnified Person shall have the right to retain its own counsel, but the fees and expenses of such counsel shall be at the expense of such Indemnified Person unless: (x) the Company and the Indemnified Person shall have mutually agreed to the retention of such counsel; (y) the Company shall have failed promptly to assume the defense of such proceeding and to employ counsel reasonably satisfactory to such Indemnified Person in such proceeding; or (z) in the reasonable judgment of counsel to such Indemnified Person, representation of both parties by the same counsel would be inappropriate due to actual or potential differing interests between them. In the event of the circumstances described in the foregoing clause (z), if the Indemnified Person notifies the Company in writing that such Indemnified Person elects to employ separate counsel at the expense of the Company, then the Company shall not have the right to assume the defense of such claim on behalf of such Indemnified Person. The Company shall not be liable for any settlement of any proceeding effected without its prior written consent, which consent shall not be unreasonably withheld, delayed or conditioned or to the extent fees or costs incurred pursuant to this Section 4.14 are attributable to the Indemnified Person’s breach of any of the representations, warranties, covenants or agreements made by the Purchasers in this Agreement or the other Transaction Documents. Without the prior written consent of the Indemnified Person, which consent shall not be unreasonably withheld, delayed or conditioned, the Company shall not effect any settlement of any pending or threatened proceeding in respect of which any Indemnified Person is or could have been a party and indemnity could have been sought hereunder by such Indemnified Person, unless such settlement includes an unconditional release of such Indemnified Person from all liability arising out of such proceeding.</w:t>
      </w:r>
    </w:p>
    <w:p>
      <w:pPr>
        <w:spacing w:after="0" w:line="124" w:lineRule="exact"/>
        <w:rPr>
          <w:sz w:val="20"/>
          <w:szCs w:val="20"/>
          <w:color w:val="auto"/>
        </w:rPr>
      </w:pPr>
    </w:p>
    <w:p>
      <w:pPr>
        <w:ind w:right="100" w:firstLine="294"/>
        <w:spacing w:after="0" w:line="268" w:lineRule="auto"/>
        <w:rPr>
          <w:sz w:val="20"/>
          <w:szCs w:val="20"/>
          <w:color w:val="auto"/>
        </w:rPr>
      </w:pPr>
      <w:r>
        <w:rPr>
          <w:rFonts w:ascii="Times New Roman" w:cs="Times New Roman" w:eastAsia="Times New Roman" w:hAnsi="Times New Roman"/>
          <w:sz w:val="12"/>
          <w:szCs w:val="12"/>
          <w:b w:val="1"/>
          <w:bCs w:val="1"/>
          <w:color w:val="auto"/>
        </w:rPr>
        <w:t>4.15 Equal Treatment of Purchasers</w:t>
      </w:r>
      <w:r>
        <w:rPr>
          <w:rFonts w:ascii="Times New Roman" w:cs="Times New Roman" w:eastAsia="Times New Roman" w:hAnsi="Times New Roman"/>
          <w:sz w:val="12"/>
          <w:szCs w:val="12"/>
          <w:color w:val="auto"/>
        </w:rPr>
        <w:t>. No consideration shall be offered or paid to any Purchaser to amend or consent to a waiver or modification of any provision of this Agreement unless the same consideration is also offered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 all of the Purchasers. For clarification purposes, this provision constitutes a separate right granted to each Purchaser by the Company and negotiated separately by each Purchaser and shall not in any way be construed as the Purchasers acting in concert or as a group with respect to the purchase, disposition or voting of shares of Common Stock or otherwise.</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42" w:name="page43"/>
    <w:bookmarkEnd w:id="42"/>
    <w:p>
      <w:pPr>
        <w:ind w:firstLine="294"/>
        <w:spacing w:after="0" w:line="255" w:lineRule="auto"/>
        <w:rPr>
          <w:sz w:val="20"/>
          <w:szCs w:val="20"/>
          <w:color w:val="auto"/>
        </w:rPr>
      </w:pPr>
      <w:r>
        <w:rPr>
          <w:rFonts w:ascii="Times New Roman" w:cs="Times New Roman" w:eastAsia="Times New Roman" w:hAnsi="Times New Roman"/>
          <w:sz w:val="12"/>
          <w:szCs w:val="12"/>
          <w:b w:val="1"/>
          <w:bCs w:val="1"/>
          <w:color w:val="auto"/>
        </w:rPr>
        <w:t>4.16 Restriction on Sale of Securities</w:t>
      </w:r>
      <w:r>
        <w:rPr>
          <w:rFonts w:ascii="Times New Roman" w:cs="Times New Roman" w:eastAsia="Times New Roman" w:hAnsi="Times New Roman"/>
          <w:sz w:val="12"/>
          <w:szCs w:val="12"/>
          <w:color w:val="auto"/>
        </w:rPr>
        <w:t>. During a period of 90 days from the date of this Agreement, the Company will not, without the prior written consent of the Placement Agents (a) directly or indirectly, offer, pledge, sell,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Securities Act with respect to any of the foregoing, (b) enter into any swap or any other agreement or any transaction that transfers, in whole or in part, directly or indirectly, the economic consequence of ownership of the Common Stock, whether any such swap or transaction described in clause (a) or (b) above is to be settled by delivery of Common Stock or such other securities, in cash or otherwise or (c) publicly announce an intention to effect any such swap, agreement or other transaction described in clauses (a) and (b). The foregoing sentence shall not apply to (i) the Securities to be sold hereunder, (ii) any shares of Common Stock issued by the Company upon the exercise of an option or warrant or the conversion of a convertible security outstanding on the date hereof and referred to in the SEC Reports, (iii) any shares of Common Stock issued or options to purchase Common Stock granted pursuant to existing employee benefit plans of the Company referred to in the SEC Reports, (iv) any shares of Common Stock issued pursuant to any existing nonemployee director stock plan or dividend reinvestment plan referred to in the SEC Reports, or (v) the filing by the Company of any registration statement on Form S-8 or a successor form thereto.</w:t>
      </w:r>
    </w:p>
    <w:p>
      <w:pPr>
        <w:spacing w:after="0" w:line="1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color w:val="auto"/>
        </w:rPr>
        <w:t>4.17 Acknowledgement Regarding Placement Agents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right="60" w:firstLine="653"/>
        <w:spacing w:after="0" w:line="265" w:lineRule="auto"/>
        <w:tabs>
          <w:tab w:leader="none" w:pos="831" w:val="left"/>
        </w:tabs>
        <w:numPr>
          <w:ilvl w:val="0"/>
          <w:numId w:val="3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Each Purchaser acknowledges that each of the Placement Agents is acting as a placement agent on a “best efforts” basis for the Securities being offered hereby and will be compensated by the Company for acting in such capacity. Each Purchaser represents that such Purchaser was contacted regarding the sale of the Securities by a Placement Agent or the Company (or an authorized agent or representative thereof) with whom the Purchaser entered into a verbal or written confidentiality agreement.</w:t>
      </w:r>
    </w:p>
    <w:p>
      <w:pPr>
        <w:spacing w:after="0" w:line="115" w:lineRule="exact"/>
        <w:rPr>
          <w:sz w:val="20"/>
          <w:szCs w:val="20"/>
          <w:color w:val="auto"/>
        </w:rPr>
      </w:pPr>
    </w:p>
    <w:p>
      <w:pPr>
        <w:ind w:right="160" w:firstLine="661"/>
        <w:spacing w:after="0" w:line="268" w:lineRule="auto"/>
        <w:rPr>
          <w:sz w:val="20"/>
          <w:szCs w:val="20"/>
          <w:color w:val="auto"/>
        </w:rPr>
      </w:pPr>
      <w:r>
        <w:rPr>
          <w:rFonts w:ascii="Times New Roman" w:cs="Times New Roman" w:eastAsia="Times New Roman" w:hAnsi="Times New Roman"/>
          <w:sz w:val="12"/>
          <w:szCs w:val="12"/>
          <w:b w:val="1"/>
          <w:bCs w:val="1"/>
          <w:color w:val="auto"/>
        </w:rPr>
        <w:t>(b)</w:t>
      </w:r>
      <w:r>
        <w:rPr>
          <w:rFonts w:ascii="Times New Roman" w:cs="Times New Roman" w:eastAsia="Times New Roman" w:hAnsi="Times New Roman"/>
          <w:sz w:val="12"/>
          <w:szCs w:val="12"/>
          <w:color w:val="auto"/>
        </w:rPr>
        <w:t> Each Purchaser represents that it is making this investment based on the results of its own due diligence investigation of the Company, and has not relied on any information or advice furnished by or on behalf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Placement Agents in connection with the transactions contemplated hereby. Each Purchaser acknowledges that none of the Placement Agents has made, and will not make, any representations and warranties with respect to the Company or the transactions contemplated hereby, and the Purchaser will not rely on any statements made by the Placement Agents, orally or in writing, to the contrary.</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ARTICLE 5</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CONDITIONS PRECEDENT TO CLOSING</w:t>
      </w:r>
    </w:p>
    <w:p>
      <w:pPr>
        <w:spacing w:after="0" w:line="150" w:lineRule="exact"/>
        <w:rPr>
          <w:sz w:val="20"/>
          <w:szCs w:val="20"/>
          <w:color w:val="auto"/>
        </w:rPr>
      </w:pPr>
    </w:p>
    <w:p>
      <w:pPr>
        <w:ind w:right="520"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5.1 Conditions Precedent to the Obligations of the Purchasers to Purchase Securities</w:t>
      </w:r>
      <w:r>
        <w:rPr>
          <w:rFonts w:ascii="Times New Roman" w:cs="Times New Roman" w:eastAsia="Times New Roman" w:hAnsi="Times New Roman"/>
          <w:sz w:val="12"/>
          <w:szCs w:val="12"/>
          <w:color w:val="auto"/>
        </w:rPr>
        <w:t>. The obligation of each Purchaser to acquire Securities at the Closing is subject to the fulfillment to such Purchaser’s reasonable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satisfaction, on or prior to the Closing Date, of each of the following conditions, any of which may be waived by such Purchaser (as to itself only):</w:t>
      </w:r>
    </w:p>
    <w:p>
      <w:pPr>
        <w:spacing w:after="0" w:line="103" w:lineRule="exact"/>
        <w:rPr>
          <w:sz w:val="20"/>
          <w:szCs w:val="20"/>
          <w:color w:val="auto"/>
        </w:rPr>
      </w:pPr>
    </w:p>
    <w:p>
      <w:pPr>
        <w:ind w:right="60" w:firstLine="653"/>
        <w:spacing w:after="0" w:line="286" w:lineRule="auto"/>
        <w:tabs>
          <w:tab w:leader="none" w:pos="831" w:val="left"/>
        </w:tabs>
        <w:numPr>
          <w:ilvl w:val="0"/>
          <w:numId w:val="3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Representations and Warranties</w:t>
      </w:r>
      <w:r>
        <w:rPr>
          <w:rFonts w:ascii="Times New Roman" w:cs="Times New Roman" w:eastAsia="Times New Roman" w:hAnsi="Times New Roman"/>
          <w:sz w:val="12"/>
          <w:szCs w:val="12"/>
          <w:color w:val="auto"/>
        </w:rPr>
        <w:t>. The representations and warranties of the Company contained herein shall be true and correct in all respects as of the date when made and as of the Closing Date, as though made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as of such date, except for such representations and warranties that speak as of a specific date, which shall be true and correct in all respects as of such date.</w:t>
      </w:r>
    </w:p>
    <w:p>
      <w:pPr>
        <w:spacing w:after="0" w:line="103" w:lineRule="exact"/>
        <w:rPr>
          <w:rFonts w:ascii="Times New Roman" w:cs="Times New Roman" w:eastAsia="Times New Roman" w:hAnsi="Times New Roman"/>
          <w:sz w:val="12"/>
          <w:szCs w:val="12"/>
          <w:b w:val="1"/>
          <w:bCs w:val="1"/>
          <w:color w:val="auto"/>
        </w:rPr>
      </w:pPr>
    </w:p>
    <w:p>
      <w:pPr>
        <w:ind w:right="200" w:firstLine="653"/>
        <w:spacing w:after="0" w:line="286" w:lineRule="auto"/>
        <w:tabs>
          <w:tab w:leader="none" w:pos="838" w:val="left"/>
        </w:tabs>
        <w:numPr>
          <w:ilvl w:val="0"/>
          <w:numId w:val="3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Performance</w:t>
      </w:r>
      <w:r>
        <w:rPr>
          <w:rFonts w:ascii="Times New Roman" w:cs="Times New Roman" w:eastAsia="Times New Roman" w:hAnsi="Times New Roman"/>
          <w:sz w:val="12"/>
          <w:szCs w:val="12"/>
          <w:color w:val="auto"/>
        </w:rPr>
        <w:t>. The Company shall have performed, satisfied and complied in all material respects with all covenants, agreements and conditions required by the Transaction Documents to be performed, satisfied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complied with by it at or prior to the Closing.</w:t>
      </w:r>
    </w:p>
    <w:p>
      <w:pPr>
        <w:spacing w:after="0" w:line="103" w:lineRule="exact"/>
        <w:rPr>
          <w:rFonts w:ascii="Times New Roman" w:cs="Times New Roman" w:eastAsia="Times New Roman" w:hAnsi="Times New Roman"/>
          <w:sz w:val="12"/>
          <w:szCs w:val="12"/>
          <w:b w:val="1"/>
          <w:bCs w:val="1"/>
          <w:color w:val="auto"/>
        </w:rPr>
      </w:pPr>
    </w:p>
    <w:p>
      <w:pPr>
        <w:ind w:right="380" w:firstLine="653"/>
        <w:spacing w:after="0" w:line="286" w:lineRule="auto"/>
        <w:tabs>
          <w:tab w:leader="none" w:pos="824" w:val="left"/>
        </w:tabs>
        <w:numPr>
          <w:ilvl w:val="0"/>
          <w:numId w:val="3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Injunction</w:t>
      </w:r>
      <w:r>
        <w:rPr>
          <w:rFonts w:ascii="Times New Roman" w:cs="Times New Roman" w:eastAsia="Times New Roman" w:hAnsi="Times New Roman"/>
          <w:sz w:val="12"/>
          <w:szCs w:val="12"/>
          <w:color w:val="auto"/>
        </w:rPr>
        <w:t>. No statute, rule, regulation, order, executive order, decree, judgment, writ, order, ruling or injunction shall have been enacted, entered, promulgated, issued or endorsed by any court of competent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jurisdiction or any Governmental Authority that enjoins, prevents or prohibits the consummation of any of the transactions contemplated by the Transaction Documents.</w:t>
      </w:r>
    </w:p>
    <w:p>
      <w:pPr>
        <w:spacing w:after="0" w:line="103" w:lineRule="exact"/>
        <w:rPr>
          <w:rFonts w:ascii="Times New Roman" w:cs="Times New Roman" w:eastAsia="Times New Roman" w:hAnsi="Times New Roman"/>
          <w:sz w:val="12"/>
          <w:szCs w:val="12"/>
          <w:b w:val="1"/>
          <w:bCs w:val="1"/>
          <w:color w:val="auto"/>
        </w:rPr>
      </w:pPr>
    </w:p>
    <w:p>
      <w:pPr>
        <w:ind w:right="380" w:firstLine="653"/>
        <w:spacing w:after="0" w:line="286" w:lineRule="auto"/>
        <w:tabs>
          <w:tab w:leader="none" w:pos="838" w:val="left"/>
        </w:tabs>
        <w:numPr>
          <w:ilvl w:val="0"/>
          <w:numId w:val="3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Consents</w:t>
      </w:r>
      <w:r>
        <w:rPr>
          <w:rFonts w:ascii="Times New Roman" w:cs="Times New Roman" w:eastAsia="Times New Roman" w:hAnsi="Times New Roman"/>
          <w:sz w:val="12"/>
          <w:szCs w:val="12"/>
          <w:color w:val="auto"/>
        </w:rPr>
        <w:t>. The Company shall have obtained in a timely fashion any and all consents, permits, approvals, registrations and waivers necessary for consummation of the purchase and sale of the Securities and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Conversion Shares (except for the Requisite Stockholder Approval), all of which shall be and remain so long as necessary in full force and effect.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ind w:left="820" w:hanging="167"/>
        <w:spacing w:after="0"/>
        <w:tabs>
          <w:tab w:leader="none" w:pos="820" w:val="left"/>
        </w:tabs>
        <w:numPr>
          <w:ilvl w:val="0"/>
          <w:numId w:val="3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Adverse Changes</w:t>
      </w:r>
      <w:r>
        <w:rPr>
          <w:rFonts w:ascii="Times New Roman" w:cs="Times New Roman" w:eastAsia="Times New Roman" w:hAnsi="Times New Roman"/>
          <w:sz w:val="12"/>
          <w:szCs w:val="12"/>
          <w:color w:val="auto"/>
        </w:rPr>
        <w:t>. Since the date of execution of this Agreement, no event or series of events shall have occurred that has had or would reasonably be expected to have a Material Adverse Effect.</w:t>
      </w:r>
    </w:p>
    <w:p>
      <w:pPr>
        <w:spacing w:after="0" w:line="150" w:lineRule="exact"/>
        <w:rPr>
          <w:rFonts w:ascii="Times New Roman" w:cs="Times New Roman" w:eastAsia="Times New Roman" w:hAnsi="Times New Roman"/>
          <w:sz w:val="12"/>
          <w:szCs w:val="12"/>
          <w:b w:val="1"/>
          <w:bCs w:val="1"/>
          <w:color w:val="auto"/>
        </w:rPr>
      </w:pPr>
    </w:p>
    <w:p>
      <w:pPr>
        <w:ind w:firstLine="653"/>
        <w:spacing w:after="0" w:line="259" w:lineRule="auto"/>
        <w:tabs>
          <w:tab w:leader="none" w:pos="811" w:val="left"/>
        </w:tabs>
        <w:numPr>
          <w:ilvl w:val="0"/>
          <w:numId w:val="3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Suspensions of Trading in Common Stock; No Stop Orders; Listing</w:t>
      </w:r>
      <w:r>
        <w:rPr>
          <w:rFonts w:ascii="Times New Roman" w:cs="Times New Roman" w:eastAsia="Times New Roman" w:hAnsi="Times New Roman"/>
          <w:sz w:val="12"/>
          <w:szCs w:val="12"/>
          <w:color w:val="auto"/>
        </w:rPr>
        <w:t>. The Common Stock shall not have been suspended by the Commission or the Principal Trading Market from trading on the Principal Trading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Market nor shall suspension by the Commission or the Principal Trading Market have been threatened, either (i) in writing by the Commission or the Principal Trading Market or (ii) by falling below the minimum listing maintenance requirements of the Principal Trading Market. No stop order shall have been imposed by Nasdaq, the Commission or any other Governmental Authority or regulatory body with respect to public trading in the Common Stock. The Company shall have filed the Notification Form: Listing of Additional Shares for the listing of the Common Shares and the Conversion Shares with Nasdaq, and Nasdaq shall have raised no objection to such notice and the transactions contemplated hereby.</w:t>
      </w:r>
    </w:p>
    <w:p>
      <w:pPr>
        <w:spacing w:after="0" w:line="119" w:lineRule="exact"/>
        <w:rPr>
          <w:rFonts w:ascii="Times New Roman" w:cs="Times New Roman" w:eastAsia="Times New Roman" w:hAnsi="Times New Roman"/>
          <w:sz w:val="12"/>
          <w:szCs w:val="12"/>
          <w:b w:val="1"/>
          <w:bCs w:val="1"/>
          <w:color w:val="auto"/>
        </w:rPr>
      </w:pPr>
    </w:p>
    <w:p>
      <w:pPr>
        <w:ind w:left="820" w:hanging="167"/>
        <w:spacing w:after="0"/>
        <w:tabs>
          <w:tab w:leader="none" w:pos="820" w:val="left"/>
        </w:tabs>
        <w:numPr>
          <w:ilvl w:val="0"/>
          <w:numId w:val="3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Company Deliverables</w:t>
      </w:r>
      <w:r>
        <w:rPr>
          <w:rFonts w:ascii="Times New Roman" w:cs="Times New Roman" w:eastAsia="Times New Roman" w:hAnsi="Times New Roman"/>
          <w:sz w:val="12"/>
          <w:szCs w:val="12"/>
          <w:color w:val="auto"/>
        </w:rPr>
        <w:t>. The Company shall have delivered the Company Deliverables in accordance with Section 2.3(a).</w:t>
      </w:r>
    </w:p>
    <w:p>
      <w:pPr>
        <w:spacing w:after="0" w:line="150" w:lineRule="exact"/>
        <w:rPr>
          <w:rFonts w:ascii="Times New Roman" w:cs="Times New Roman" w:eastAsia="Times New Roman" w:hAnsi="Times New Roman"/>
          <w:sz w:val="12"/>
          <w:szCs w:val="12"/>
          <w:b w:val="1"/>
          <w:bCs w:val="1"/>
          <w:color w:val="auto"/>
        </w:rPr>
      </w:pPr>
    </w:p>
    <w:p>
      <w:pPr>
        <w:ind w:right="320" w:firstLine="653"/>
        <w:spacing w:after="0" w:line="286" w:lineRule="auto"/>
        <w:tabs>
          <w:tab w:leader="none" w:pos="838" w:val="left"/>
        </w:tabs>
        <w:numPr>
          <w:ilvl w:val="0"/>
          <w:numId w:val="3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Compliance Certificate</w:t>
      </w:r>
      <w:r>
        <w:rPr>
          <w:rFonts w:ascii="Times New Roman" w:cs="Times New Roman" w:eastAsia="Times New Roman" w:hAnsi="Times New Roman"/>
          <w:sz w:val="12"/>
          <w:szCs w:val="12"/>
          <w:color w:val="auto"/>
        </w:rPr>
        <w:t>. The Company shall have delivered to each Purchaser a certificate, dated as of the Closing Date and signed by its Chief Executive Officer and its Chief Financial Officer, certifying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fulfillment of the conditions specified in Sections 5.1(a), (b), (e) and (f) in the form attached hereto as </w:t>
      </w:r>
      <w:r>
        <w:rPr>
          <w:rFonts w:ascii="Times New Roman" w:cs="Times New Roman" w:eastAsia="Times New Roman" w:hAnsi="Times New Roman"/>
          <w:sz w:val="12"/>
          <w:szCs w:val="12"/>
          <w:b w:val="1"/>
          <w:bCs w:val="1"/>
          <w:color w:val="auto"/>
        </w:rPr>
        <w:t>Exhibit F</w:t>
      </w:r>
      <w:r>
        <w:rPr>
          <w:rFonts w:ascii="Times New Roman" w:cs="Times New Roman" w:eastAsia="Times New Roman" w:hAnsi="Times New Roman"/>
          <w:sz w:val="12"/>
          <w:szCs w:val="12"/>
          <w:color w:val="auto"/>
        </w:rPr>
        <w:t>.</w:t>
      </w:r>
    </w:p>
    <w:p>
      <w:pPr>
        <w:spacing w:after="0" w:line="103" w:lineRule="exact"/>
        <w:rPr>
          <w:rFonts w:ascii="Times New Roman" w:cs="Times New Roman" w:eastAsia="Times New Roman" w:hAnsi="Times New Roman"/>
          <w:sz w:val="12"/>
          <w:szCs w:val="12"/>
          <w:b w:val="1"/>
          <w:bCs w:val="1"/>
          <w:color w:val="auto"/>
        </w:rPr>
      </w:pPr>
    </w:p>
    <w:p>
      <w:pPr>
        <w:ind w:left="800" w:hanging="147"/>
        <w:spacing w:after="0"/>
        <w:tabs>
          <w:tab w:leader="none" w:pos="800" w:val="left"/>
        </w:tabs>
        <w:numPr>
          <w:ilvl w:val="0"/>
          <w:numId w:val="3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w:t>
      </w:r>
      <w:r>
        <w:rPr>
          <w:rFonts w:ascii="Times New Roman" w:cs="Times New Roman" w:eastAsia="Times New Roman" w:hAnsi="Times New Roman"/>
          <w:sz w:val="12"/>
          <w:szCs w:val="12"/>
          <w:color w:val="auto"/>
        </w:rPr>
        <w:t>. This Agreement shall not have been terminated as to such Purchaser in accordance with Section 6.18 herein.</w:t>
      </w:r>
    </w:p>
    <w:p>
      <w:pPr>
        <w:spacing w:after="0" w:line="150" w:lineRule="exact"/>
        <w:rPr>
          <w:sz w:val="20"/>
          <w:szCs w:val="20"/>
          <w:color w:val="auto"/>
        </w:rPr>
      </w:pPr>
    </w:p>
    <w:p>
      <w:pPr>
        <w:ind w:right="120"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5.2 Conditions Precedent to the Obligations of the Company to issue Securities</w:t>
      </w:r>
      <w:r>
        <w:rPr>
          <w:rFonts w:ascii="Times New Roman" w:cs="Times New Roman" w:eastAsia="Times New Roman" w:hAnsi="Times New Roman"/>
          <w:sz w:val="12"/>
          <w:szCs w:val="12"/>
          <w:color w:val="auto"/>
        </w:rPr>
        <w:t>. The Company’s obligation to issue the Securities at the Closing to each Purchaser is subject to the fulfillment to the reasonable satisfaction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Company on or prior to the Closing Date of the following conditions, any of which may be waived by the Company:</w:t>
      </w:r>
    </w:p>
    <w:p>
      <w:pPr>
        <w:spacing w:after="0" w:line="103" w:lineRule="exact"/>
        <w:rPr>
          <w:sz w:val="20"/>
          <w:szCs w:val="20"/>
          <w:color w:val="auto"/>
        </w:rPr>
      </w:pPr>
    </w:p>
    <w:p>
      <w:pPr>
        <w:jc w:val="both"/>
        <w:ind w:right="220" w:firstLine="653"/>
        <w:spacing w:after="0" w:line="262" w:lineRule="auto"/>
        <w:tabs>
          <w:tab w:leader="none" w:pos="831" w:val="left"/>
        </w:tabs>
        <w:numPr>
          <w:ilvl w:val="0"/>
          <w:numId w:val="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Representations and Warranties</w:t>
      </w:r>
      <w:r>
        <w:rPr>
          <w:rFonts w:ascii="Times New Roman" w:cs="Times New Roman" w:eastAsia="Times New Roman" w:hAnsi="Times New Roman"/>
          <w:sz w:val="12"/>
          <w:szCs w:val="12"/>
          <w:color w:val="auto"/>
        </w:rPr>
        <w:t>. The representations and warranties made by each Purchaser in Section 3.2 hereof shall be true and correct in all material respects (except for those representations and warranties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which are qualified as to materiality, in which case such representations and warranties shall be true and correct in all respects) as of the date when made, and as of the Closing Date as though made on and as of such date, except for representations and warranties that speak as of a specific date, which shall be true and correct in all material respects (except for those representations and warranties which are qualified as to materiality, which representations and warranties shall be true and correct in all respects) as of such date.</w:t>
      </w:r>
    </w:p>
    <w:p>
      <w:pPr>
        <w:spacing w:after="0" w:line="117" w:lineRule="exact"/>
        <w:rPr>
          <w:rFonts w:ascii="Times New Roman" w:cs="Times New Roman" w:eastAsia="Times New Roman" w:hAnsi="Times New Roman"/>
          <w:sz w:val="12"/>
          <w:szCs w:val="12"/>
          <w:b w:val="1"/>
          <w:bCs w:val="1"/>
          <w:color w:val="auto"/>
        </w:rPr>
      </w:pPr>
    </w:p>
    <w:p>
      <w:pPr>
        <w:ind w:right="140" w:firstLine="653"/>
        <w:spacing w:after="0" w:line="286" w:lineRule="auto"/>
        <w:tabs>
          <w:tab w:leader="none" w:pos="838" w:val="left"/>
        </w:tabs>
        <w:numPr>
          <w:ilvl w:val="0"/>
          <w:numId w:val="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Performance</w:t>
      </w:r>
      <w:r>
        <w:rPr>
          <w:rFonts w:ascii="Times New Roman" w:cs="Times New Roman" w:eastAsia="Times New Roman" w:hAnsi="Times New Roman"/>
          <w:sz w:val="12"/>
          <w:szCs w:val="12"/>
          <w:color w:val="auto"/>
        </w:rPr>
        <w:t>. Such Purchaser shall have performed, satisfied and complied in all material respects with all covenants, agreements and conditions required by the Transaction Documents to be performed, satisfied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complied with by such Purchaser at or prior to the Closing Date.</w:t>
      </w:r>
    </w:p>
    <w:p>
      <w:pPr>
        <w:spacing w:after="0" w:line="103" w:lineRule="exact"/>
        <w:rPr>
          <w:rFonts w:ascii="Times New Roman" w:cs="Times New Roman" w:eastAsia="Times New Roman" w:hAnsi="Times New Roman"/>
          <w:sz w:val="12"/>
          <w:szCs w:val="12"/>
          <w:b w:val="1"/>
          <w:bCs w:val="1"/>
          <w:color w:val="auto"/>
        </w:rPr>
      </w:pPr>
    </w:p>
    <w:p>
      <w:pPr>
        <w:ind w:right="380" w:firstLine="653"/>
        <w:spacing w:after="0" w:line="286" w:lineRule="auto"/>
        <w:tabs>
          <w:tab w:leader="none" w:pos="824" w:val="left"/>
        </w:tabs>
        <w:numPr>
          <w:ilvl w:val="0"/>
          <w:numId w:val="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Injunction</w:t>
      </w:r>
      <w:r>
        <w:rPr>
          <w:rFonts w:ascii="Times New Roman" w:cs="Times New Roman" w:eastAsia="Times New Roman" w:hAnsi="Times New Roman"/>
          <w:sz w:val="12"/>
          <w:szCs w:val="12"/>
          <w:color w:val="auto"/>
        </w:rPr>
        <w:t>. No statute, rule, regulation, order, executive order, decree, judgment, writ, order, ruling or injunction shall have been enacted, entered, promulgated, issued or endorsed by any court of competent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jurisdiction or any Governmental Authority that enjoins, prevents or prohibits the consummation of any of the transactions contemplated by the Transaction Documents.</w:t>
      </w:r>
    </w:p>
    <w:p>
      <w:pPr>
        <w:spacing w:after="0" w:line="103" w:lineRule="exact"/>
        <w:rPr>
          <w:rFonts w:ascii="Times New Roman" w:cs="Times New Roman" w:eastAsia="Times New Roman" w:hAnsi="Times New Roman"/>
          <w:sz w:val="12"/>
          <w:szCs w:val="12"/>
          <w:b w:val="1"/>
          <w:bCs w:val="1"/>
          <w:color w:val="auto"/>
        </w:rPr>
      </w:pPr>
    </w:p>
    <w:p>
      <w:pPr>
        <w:ind w:left="820" w:hanging="167"/>
        <w:spacing w:after="0"/>
        <w:tabs>
          <w:tab w:leader="none" w:pos="820" w:val="left"/>
        </w:tabs>
        <w:numPr>
          <w:ilvl w:val="0"/>
          <w:numId w:val="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Purchasers Deliverables</w:t>
      </w:r>
      <w:r>
        <w:rPr>
          <w:rFonts w:ascii="Times New Roman" w:cs="Times New Roman" w:eastAsia="Times New Roman" w:hAnsi="Times New Roman"/>
          <w:sz w:val="12"/>
          <w:szCs w:val="12"/>
          <w:color w:val="auto"/>
        </w:rPr>
        <w:t>. Such Purchaser shall have delivered its Purchaser Deliverables in accordance with Section 2.3(b).</w:t>
      </w:r>
    </w:p>
    <w:p>
      <w:pPr>
        <w:spacing w:after="0" w:line="150" w:lineRule="exact"/>
        <w:rPr>
          <w:rFonts w:ascii="Times New Roman" w:cs="Times New Roman" w:eastAsia="Times New Roman" w:hAnsi="Times New Roman"/>
          <w:sz w:val="12"/>
          <w:szCs w:val="12"/>
          <w:b w:val="1"/>
          <w:bCs w:val="1"/>
          <w:color w:val="auto"/>
        </w:rPr>
      </w:pPr>
    </w:p>
    <w:p>
      <w:pPr>
        <w:ind w:left="820" w:hanging="167"/>
        <w:spacing w:after="0"/>
        <w:tabs>
          <w:tab w:leader="none" w:pos="820" w:val="left"/>
        </w:tabs>
        <w:numPr>
          <w:ilvl w:val="0"/>
          <w:numId w:val="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w:t>
      </w:r>
      <w:r>
        <w:rPr>
          <w:rFonts w:ascii="Times New Roman" w:cs="Times New Roman" w:eastAsia="Times New Roman" w:hAnsi="Times New Roman"/>
          <w:sz w:val="12"/>
          <w:szCs w:val="12"/>
          <w:color w:val="auto"/>
        </w:rPr>
        <w:t>. This Agreement shall not have been terminated as to such Purchaser in accordance with Section 6.18 herein.</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ARTICLE 6</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MISCELLANEOUS</w:t>
      </w:r>
    </w:p>
    <w:p>
      <w:pPr>
        <w:spacing w:after="0" w:line="150" w:lineRule="exact"/>
        <w:rPr>
          <w:sz w:val="20"/>
          <w:szCs w:val="20"/>
          <w:color w:val="auto"/>
        </w:rPr>
      </w:pPr>
    </w:p>
    <w:p>
      <w:pPr>
        <w:ind w:right="140" w:firstLine="294"/>
        <w:spacing w:after="0" w:line="268" w:lineRule="auto"/>
        <w:rPr>
          <w:sz w:val="20"/>
          <w:szCs w:val="20"/>
          <w:color w:val="auto"/>
        </w:rPr>
      </w:pPr>
      <w:r>
        <w:rPr>
          <w:rFonts w:ascii="Times New Roman" w:cs="Times New Roman" w:eastAsia="Times New Roman" w:hAnsi="Times New Roman"/>
          <w:sz w:val="12"/>
          <w:szCs w:val="12"/>
          <w:b w:val="1"/>
          <w:bCs w:val="1"/>
          <w:color w:val="auto"/>
        </w:rPr>
        <w:t>6.1 Fees and Expenses</w:t>
      </w:r>
      <w:r>
        <w:rPr>
          <w:rFonts w:ascii="Times New Roman" w:cs="Times New Roman" w:eastAsia="Times New Roman" w:hAnsi="Times New Roman"/>
          <w:sz w:val="12"/>
          <w:szCs w:val="12"/>
          <w:color w:val="auto"/>
        </w:rPr>
        <w:t>. The Company and the Purchasers shall each pay the fees and expenses of their respective advisers, counsel, accountants and other experts, if any, and all other expenses incurred by such party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connection with the negotiation, preparation, execution, delivery and performance of this Agreement. The Company shall pay all Transfer Agent fees, stamp taxes and other taxes and duties levied in connection with the issuance and sale of the Securities to the Purchasers.</w:t>
      </w:r>
    </w:p>
    <w:p>
      <w:pPr>
        <w:spacing w:after="0" w:line="114" w:lineRule="exact"/>
        <w:rPr>
          <w:sz w:val="20"/>
          <w:szCs w:val="20"/>
          <w:color w:val="auto"/>
        </w:rPr>
      </w:pPr>
    </w:p>
    <w:p>
      <w:pPr>
        <w:jc w:val="both"/>
        <w:ind w:right="200" w:firstLine="294"/>
        <w:spacing w:after="0" w:line="303" w:lineRule="auto"/>
        <w:rPr>
          <w:sz w:val="20"/>
          <w:szCs w:val="20"/>
          <w:color w:val="auto"/>
        </w:rPr>
      </w:pPr>
      <w:r>
        <w:rPr>
          <w:rFonts w:ascii="Times New Roman" w:cs="Times New Roman" w:eastAsia="Times New Roman" w:hAnsi="Times New Roman"/>
          <w:sz w:val="11"/>
          <w:szCs w:val="11"/>
          <w:b w:val="1"/>
          <w:bCs w:val="1"/>
          <w:color w:val="auto"/>
        </w:rPr>
        <w:t>6.2 Entire Agreement</w:t>
      </w:r>
      <w:r>
        <w:rPr>
          <w:rFonts w:ascii="Times New Roman" w:cs="Times New Roman" w:eastAsia="Times New Roman" w:hAnsi="Times New Roman"/>
          <w:sz w:val="11"/>
          <w:szCs w:val="11"/>
          <w:color w:val="auto"/>
        </w:rPr>
        <w:t>. The Transaction Documents, together with the exhibits and schedules thereto, contain the entire understanding of the parties with respect to the subject matter hereof and thereof and supersede all prior</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agreements, understandings, discussions and representations, oral or written, with respect to such matters, which the parties acknowledge have been merged into such documents, exhibits and schedules. Before or at the Closing, the Company and the Purchasers will execute and deliver to the other such further documents as may be reasonably requested in order to give practical effect to the intention of the parties under the Transaction Documents.</w:t>
      </w:r>
    </w:p>
    <w:p>
      <w:pPr>
        <w:spacing w:after="0" w:line="97" w:lineRule="exact"/>
        <w:rPr>
          <w:sz w:val="20"/>
          <w:szCs w:val="20"/>
          <w:color w:val="auto"/>
        </w:rPr>
      </w:pPr>
    </w:p>
    <w:p>
      <w:pPr>
        <w:ind w:firstLine="294"/>
        <w:spacing w:after="0" w:line="257" w:lineRule="auto"/>
        <w:rPr>
          <w:sz w:val="20"/>
          <w:szCs w:val="20"/>
          <w:color w:val="auto"/>
        </w:rPr>
      </w:pPr>
      <w:r>
        <w:rPr>
          <w:rFonts w:ascii="Times New Roman" w:cs="Times New Roman" w:eastAsia="Times New Roman" w:hAnsi="Times New Roman"/>
          <w:sz w:val="12"/>
          <w:szCs w:val="12"/>
          <w:b w:val="1"/>
          <w:bCs w:val="1"/>
          <w:color w:val="auto"/>
        </w:rPr>
        <w:t>6.3 Notices</w:t>
      </w:r>
      <w:r>
        <w:rPr>
          <w:rFonts w:ascii="Times New Roman" w:cs="Times New Roman" w:eastAsia="Times New Roman" w:hAnsi="Times New Roman"/>
          <w:sz w:val="12"/>
          <w:szCs w:val="12"/>
          <w:color w:val="auto"/>
        </w:rPr>
        <w:t>. Any and all notices or other communications or deliveries required or permitted to be provided hereunder shall be in writing and shall be deemed given and effective on the earliest of (a) the date of transmission, if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such notice or communication is delivered via electronic mail at the e-mail address specified in this Section 6.3 prior to 5:00 p.m., New York City time, on a Trading Day, (b) the next Trading Day after the date of transmission, if such notice or communication is delivered via electronic mail at the e- mail address or facsimile number specified in this Section 6.3 on a day that is not a Trading Day or later than 5:00 p.m., New York City time, on any Trading Day, (c) the Trading Day following the date of mailing, if sent by U.S. nationally recognized overnight courier service with next day delivery specified, or (d) upon actual receipt by the party to whom such notice is required to be given if delivered personally or if sent by U.S. certified or registered mail, return receipt requested; provided, in the case of clauses (a) and (b), that notice shall not be deemed given or effective if the sender receives an automatic system-generated response that such electronic mail was undeliverable. The address for such notices and communications shall be as follows:</w:t>
      </w:r>
    </w:p>
    <w:p>
      <w:pPr>
        <w:sectPr>
          <w:pgSz w:w="11900" w:h="16838" w:orient="portrait"/>
          <w:cols w:equalWidth="0" w:num="1">
            <w:col w:w="11260"/>
          </w:cols>
          <w:pgMar w:left="300" w:top="125" w:right="339" w:bottom="1440" w:gutter="0" w:footer="0" w:header="0"/>
        </w:sectPr>
      </w:pP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If to the Company:</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Cartesian Therapeutics,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704 Quince Orchard Road, Gaithersburg, MD 20878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Attention: Blaine Davis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w:t>
      </w:r>
    </w:p>
    <w:p>
      <w:pPr>
        <w:spacing w:after="0" w:line="139" w:lineRule="exact"/>
        <w:rPr>
          <w:sz w:val="20"/>
          <w:szCs w:val="20"/>
          <w:color w:val="auto"/>
        </w:rPr>
      </w:pPr>
    </w:p>
    <w:p>
      <w:pPr>
        <w:sectPr>
          <w:pgSz w:w="11900" w:h="16838" w:orient="portrait"/>
          <w:cols w:equalWidth="0" w:num="2">
            <w:col w:w="1420" w:space="720"/>
            <w:col w:w="9120"/>
          </w:cols>
          <w:pgMar w:left="300" w:top="125"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1"/>
          <w:szCs w:val="11"/>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Covington &amp; Burling LLP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One International Place, Suite 1020, Boston, MA 02110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Attention: Brian K. Rosenzweig, Sarah C. Griffiths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 [***]</w:t>
      </w:r>
    </w:p>
    <w:p>
      <w:pPr>
        <w:spacing w:after="0" w:line="139" w:lineRule="exact"/>
        <w:rPr>
          <w:sz w:val="20"/>
          <w:szCs w:val="20"/>
          <w:color w:val="auto"/>
        </w:rPr>
      </w:pPr>
    </w:p>
    <w:p>
      <w:pPr>
        <w:sectPr>
          <w:pgSz w:w="11900" w:h="16838" w:orient="portrait"/>
          <w:cols w:equalWidth="0" w:num="2">
            <w:col w:w="1420" w:space="720"/>
            <w:col w:w="9120"/>
          </w:cols>
          <w:pgMar w:left="300" w:top="125"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1"/>
          <w:szCs w:val="11"/>
          <w:color w:val="auto"/>
        </w:rPr>
        <w:t>If to a Purchaser: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To the address set forth under such Purchaser’s name on Annex A hereto;</w:t>
      </w:r>
    </w:p>
    <w:p>
      <w:pPr>
        <w:spacing w:after="0" w:line="150" w:lineRule="exact"/>
        <w:rPr>
          <w:sz w:val="20"/>
          <w:szCs w:val="20"/>
          <w:color w:val="auto"/>
        </w:rPr>
      </w:pPr>
    </w:p>
    <w:p>
      <w:pPr>
        <w:sectPr>
          <w:pgSz w:w="11900" w:h="16838" w:orient="portrait"/>
          <w:cols w:equalWidth="0" w:num="2">
            <w:col w:w="1420" w:space="720"/>
            <w:col w:w="9120"/>
          </w:cols>
          <w:pgMar w:left="300" w:top="1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or such other address as may be designated in writing hereafter, in the same manner, by such Person.</w:t>
      </w:r>
    </w:p>
    <w:p>
      <w:pPr>
        <w:spacing w:after="0" w:line="146" w:lineRule="exact"/>
        <w:rPr>
          <w:sz w:val="20"/>
          <w:szCs w:val="20"/>
          <w:color w:val="auto"/>
        </w:rPr>
      </w:pPr>
    </w:p>
    <w:p>
      <w:pPr>
        <w:ind w:right="20" w:firstLine="294"/>
        <w:spacing w:after="0" w:line="254" w:lineRule="auto"/>
        <w:rPr>
          <w:sz w:val="20"/>
          <w:szCs w:val="20"/>
          <w:color w:val="auto"/>
        </w:rPr>
      </w:pPr>
      <w:r>
        <w:rPr>
          <w:rFonts w:ascii="Times New Roman" w:cs="Times New Roman" w:eastAsia="Times New Roman" w:hAnsi="Times New Roman"/>
          <w:sz w:val="12"/>
          <w:szCs w:val="12"/>
          <w:b w:val="1"/>
          <w:bCs w:val="1"/>
          <w:color w:val="auto"/>
        </w:rPr>
        <w:t>6.4 Amendments; Waivers; No Additional Consideration</w:t>
      </w:r>
      <w:r>
        <w:rPr>
          <w:rFonts w:ascii="Times New Roman" w:cs="Times New Roman" w:eastAsia="Times New Roman" w:hAnsi="Times New Roman"/>
          <w:sz w:val="12"/>
          <w:szCs w:val="12"/>
          <w:color w:val="auto"/>
        </w:rPr>
        <w:t>. No provision of this Agreement may be waived, modified, supplemented or amended except in a written instrument signed, in the case of an amendment, by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and the Purchasers who collectively have subscribed to purchase at least a majority in interest of the Securities, which majority must include each Purchaser that has a Subscription Amount (including the Subscription Amounts of such Purchaser’s affiliate and related funds) that is no less than $20,000,000, provided that (i) no amendment to Section 4.4, Section 4.6, Section 4.10, Section 4.11, Section 4.12, Section 4.14, Section 4.15, this Section 6.4 or Section 6.18 may be made without the consent of each Purchaser, or, in the case of a waiver, by the party against whom enforcement of any such waiver is sought and (ii) any proposed amendment that would, by its terms, have a disproportionate and materially adverse effect on any Purchaser shall require the consent of such Purchaser(s).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 No consideration shall be offered or paid to any Purchaser to amend or consent to a waiver or modification of any provision of any Transaction Document unless the same consideration is also offered to all Purchasers (in the case of amendments or waivers following Closing, who then hold Securities). Notwithstanding anything to the contrary herein, without the express written consent of the Purchaser, this Agreement may not be amended, modified or waived to increase or decrease the number of Securities that such Purchaser is obligated to purchase hereunder or to increase or decrease the purchase price to be paid by such Purchaser for such Securities.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45" w:name="page46"/>
    <w:bookmarkEnd w:id="45"/>
    <w:p>
      <w:pPr>
        <w:ind w:right="220" w:firstLine="294"/>
        <w:spacing w:after="0" w:line="262" w:lineRule="auto"/>
        <w:rPr>
          <w:sz w:val="20"/>
          <w:szCs w:val="20"/>
          <w:color w:val="auto"/>
        </w:rPr>
      </w:pPr>
      <w:r>
        <w:rPr>
          <w:rFonts w:ascii="Times New Roman" w:cs="Times New Roman" w:eastAsia="Times New Roman" w:hAnsi="Times New Roman"/>
          <w:sz w:val="12"/>
          <w:szCs w:val="12"/>
          <w:b w:val="1"/>
          <w:bCs w:val="1"/>
          <w:color w:val="auto"/>
        </w:rPr>
        <w:t>6.5 Construction</w:t>
      </w:r>
      <w:r>
        <w:rPr>
          <w:rFonts w:ascii="Times New Roman" w:cs="Times New Roman" w:eastAsia="Times New Roman" w:hAnsi="Times New Roman"/>
          <w:sz w:val="12"/>
          <w:szCs w:val="12"/>
          <w:color w:val="auto"/>
        </w:rPr>
        <w:t>. The headings herein are for convenience only, do not constitute a part of this Agreement and shall not be deemed to limit or affect any of the provisions hereof. The language used in this Agreement will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deemed to be the language chosen by the parties to express their mutual intent, and no rules of strict construction will be applied against any party. This Agreement shall be construed as if drafted jointly by the parties, and no presumption or burden of proof shall arise favoring or disfavoring any party by virtue of the authorship of any provisions of this Agreement or any of the Transaction Documents. As used in this Agreement, the words “include” and “including,” and variations thereof, shall not be deemed to be terms of limitation, but rather shall be deemed to be followed by the words “without limitation.”</w:t>
      </w:r>
    </w:p>
    <w:p>
      <w:pPr>
        <w:spacing w:after="0" w:line="117" w:lineRule="exact"/>
        <w:rPr>
          <w:sz w:val="20"/>
          <w:szCs w:val="20"/>
          <w:color w:val="auto"/>
        </w:rPr>
      </w:pPr>
    </w:p>
    <w:p>
      <w:pPr>
        <w:ind w:right="60" w:firstLine="294"/>
        <w:spacing w:after="0" w:line="262" w:lineRule="auto"/>
        <w:rPr>
          <w:sz w:val="20"/>
          <w:szCs w:val="20"/>
          <w:color w:val="auto"/>
        </w:rPr>
      </w:pPr>
      <w:r>
        <w:rPr>
          <w:rFonts w:ascii="Times New Roman" w:cs="Times New Roman" w:eastAsia="Times New Roman" w:hAnsi="Times New Roman"/>
          <w:sz w:val="12"/>
          <w:szCs w:val="12"/>
          <w:b w:val="1"/>
          <w:bCs w:val="1"/>
          <w:color w:val="auto"/>
        </w:rPr>
        <w:t>6.6 Successors and Assigns</w:t>
      </w:r>
      <w:r>
        <w:rPr>
          <w:rFonts w:ascii="Times New Roman" w:cs="Times New Roman" w:eastAsia="Times New Roman" w:hAnsi="Times New Roman"/>
          <w:sz w:val="12"/>
          <w:szCs w:val="12"/>
          <w:color w:val="auto"/>
        </w:rPr>
        <w:t>. The provisions of this Agreement shall inure to the benefit of and be binding upon the parties and their successors and permitted assigns. This Agreement, or any rights or obligations hereunder, may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not be assigned by the Company without the prior written consent of each Purchaser. Any Purchaser may assign its rights hereunder in whole or in part to any Person to whom such Purchaser assigns or transfers any Securities in compliance with the Transaction Documents and applicable law, provided such transferee shall agree in writing to be bound, with respect to the transferred Securities, by the terms and conditions of this Agreement that apply to the Purchasers.</w:t>
      </w:r>
    </w:p>
    <w:p>
      <w:pPr>
        <w:spacing w:after="0" w:line="117" w:lineRule="exact"/>
        <w:rPr>
          <w:sz w:val="20"/>
          <w:szCs w:val="20"/>
          <w:color w:val="auto"/>
        </w:rPr>
      </w:pPr>
    </w:p>
    <w:p>
      <w:pPr>
        <w:jc w:val="both"/>
        <w:ind w:right="80" w:firstLine="294"/>
        <w:spacing w:after="0" w:line="268" w:lineRule="auto"/>
        <w:rPr>
          <w:sz w:val="20"/>
          <w:szCs w:val="20"/>
          <w:color w:val="auto"/>
        </w:rPr>
      </w:pPr>
      <w:r>
        <w:rPr>
          <w:rFonts w:ascii="Times New Roman" w:cs="Times New Roman" w:eastAsia="Times New Roman" w:hAnsi="Times New Roman"/>
          <w:sz w:val="12"/>
          <w:szCs w:val="12"/>
          <w:b w:val="1"/>
          <w:bCs w:val="1"/>
          <w:color w:val="auto"/>
        </w:rPr>
        <w:t>6.7 No Third-Party Beneficiaries</w:t>
      </w:r>
      <w:r>
        <w:rPr>
          <w:rFonts w:ascii="Times New Roman" w:cs="Times New Roman" w:eastAsia="Times New Roman" w:hAnsi="Times New Roman"/>
          <w:sz w:val="12"/>
          <w:szCs w:val="12"/>
          <w:color w:val="auto"/>
        </w:rPr>
        <w:t>. This Agreement is intended for the benefit of the parties hereto and their respective successors and permitted assigns and is not for the benefit of, nor may any provision hereof be enforced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other Person, except (i) the Placement Agents are intended third-party beneficiaries of the representations and warranties in Article 3, Section 4.4, Section 4.16 and Section 4.17, and of this Section 6.7 and Section 6.19 and (ii) the Purchaser Parties are intended beneficiaries of Section 4.14.</w:t>
      </w:r>
    </w:p>
    <w:p>
      <w:pPr>
        <w:spacing w:after="0" w:line="114" w:lineRule="exact"/>
        <w:rPr>
          <w:sz w:val="20"/>
          <w:szCs w:val="20"/>
          <w:color w:val="auto"/>
        </w:rPr>
      </w:pPr>
    </w:p>
    <w:p>
      <w:pPr>
        <w:ind w:firstLine="294"/>
        <w:spacing w:after="0" w:line="253" w:lineRule="auto"/>
        <w:rPr>
          <w:sz w:val="20"/>
          <w:szCs w:val="20"/>
          <w:color w:val="auto"/>
        </w:rPr>
      </w:pPr>
      <w:r>
        <w:rPr>
          <w:rFonts w:ascii="Times New Roman" w:cs="Times New Roman" w:eastAsia="Times New Roman" w:hAnsi="Times New Roman"/>
          <w:sz w:val="12"/>
          <w:szCs w:val="12"/>
          <w:b w:val="1"/>
          <w:bCs w:val="1"/>
          <w:color w:val="auto"/>
        </w:rPr>
        <w:t>6.8 Governing Law</w:t>
      </w:r>
      <w:r>
        <w:rPr>
          <w:rFonts w:ascii="Times New Roman" w:cs="Times New Roman" w:eastAsia="Times New Roman" w:hAnsi="Times New Roman"/>
          <w:sz w:val="12"/>
          <w:szCs w:val="12"/>
          <w:color w:val="auto"/>
        </w:rPr>
        <w:t>. All questions concerning the construction, validity, enforcement and interpretation of this Agreement shall be governed by and construed and enforced in accordance with the internal laws of the State of New</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York, without regard to the principles of conflicts of law thereof. Each party agrees that all Proceedings concerning the interpretations, enforcement and defense of the transactions contemplated by this Agreement and any other Transaction Documents (whether brought against a party hereto or its respective Affiliates, employees or agents) shall be commenced exclusively in the New York Courts.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Proceeding, any claim that it is not personally subject to the jurisdiction of any such New York Court, or that such Proceeding has been commenced in an improper or inconvenient forum. Each party hereto hereby irrevocably waives personal service of process and consents to process being served in any such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Times New Roman" w:cs="Times New Roman" w:eastAsia="Times New Roman" w:hAnsi="Times New Roman"/>
          <w:sz w:val="12"/>
          <w:szCs w:val="12"/>
          <w:b w:val="1"/>
          <w:bCs w:val="1"/>
          <w:color w:val="auto"/>
        </w:rPr>
        <w:t>EACH PARTY HERETO HEREBY IRREVOCABLY WAIVES, TO THE FULLEST EXTENT</w:t>
      </w:r>
    </w:p>
    <w:p>
      <w:pPr>
        <w:spacing w:after="0" w:line="3"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2"/>
          <w:szCs w:val="12"/>
          <w:b w:val="1"/>
          <w:bCs w:val="1"/>
          <w:color w:val="auto"/>
        </w:rPr>
        <w:t>PERMITTED BY APPLICABLE LAW, ANY AND ALL RIGHT TO TRIAL BY JURY IN ANY LEGAL PROCEEDING ARISING OUT OF OR RELATING TO THIS AGREEMENT OR THE TRANSACTIONS CONTEMPLATED HEREBY</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color w:val="auto"/>
        </w:rPr>
        <w:t>6.9 Survival</w:t>
      </w:r>
      <w:r>
        <w:rPr>
          <w:rFonts w:ascii="Times New Roman" w:cs="Times New Roman" w:eastAsia="Times New Roman" w:hAnsi="Times New Roman"/>
          <w:sz w:val="12"/>
          <w:szCs w:val="12"/>
          <w:color w:val="auto"/>
        </w:rPr>
        <w:t>. Subject to applicable statute of limitations, the representations, warranties, agreements and covenants contained herein shall survive the Closing and the delivery of the Securities.</w:t>
      </w:r>
    </w:p>
    <w:p>
      <w:pPr>
        <w:spacing w:after="0" w:line="150" w:lineRule="exact"/>
        <w:rPr>
          <w:sz w:val="20"/>
          <w:szCs w:val="20"/>
          <w:color w:val="auto"/>
        </w:rPr>
      </w:pPr>
    </w:p>
    <w:p>
      <w:pPr>
        <w:ind w:firstLine="294"/>
        <w:spacing w:after="0" w:line="262" w:lineRule="auto"/>
        <w:rPr>
          <w:sz w:val="20"/>
          <w:szCs w:val="20"/>
          <w:color w:val="auto"/>
        </w:rPr>
      </w:pPr>
      <w:r>
        <w:rPr>
          <w:rFonts w:ascii="Times New Roman" w:cs="Times New Roman" w:eastAsia="Times New Roman" w:hAnsi="Times New Roman"/>
          <w:sz w:val="12"/>
          <w:szCs w:val="12"/>
          <w:b w:val="1"/>
          <w:bCs w:val="1"/>
          <w:color w:val="auto"/>
        </w:rPr>
        <w:t>6.10 Execution</w:t>
      </w:r>
      <w:r>
        <w:rPr>
          <w:rFonts w:ascii="Times New Roman" w:cs="Times New Roman" w:eastAsia="Times New Roman" w:hAnsi="Times New Roman"/>
          <w:sz w:val="12"/>
          <w:szCs w:val="12"/>
          <w:color w:val="auto"/>
        </w:rPr>
        <w:t>. This Agreement may be executed in two or more counterparts, all of which when taken together shall be considered one and the same agreement and shall become effective when counterparts have been signed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each party and delivered to the other party, it being understood that both parties need not sign the same counterpart. In the event that any signature is delivered by facsimile transmission, or by e-mail delivery of a “.pdf” format data file, or by any electronic signature complying with the U.S. ESIGN Act of 2000 or the New York Electronic Signatures and Records Act, such signature shall create a legally valid and binding obligation of the party executing (or on whose behalf such signature is executed) with the same force and effect as if such facsimile or “.pdf” signature page were an original thereof.</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ind w:right="80"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6.11 Severability</w:t>
      </w:r>
      <w:r>
        <w:rPr>
          <w:rFonts w:ascii="Times New Roman" w:cs="Times New Roman" w:eastAsia="Times New Roman" w:hAnsi="Times New Roman"/>
          <w:sz w:val="12"/>
          <w:szCs w:val="12"/>
          <w:color w:val="auto"/>
        </w:rPr>
        <w:t>. If any provision of this Agreement is held to be invalid or unenforceable in any respect, the validity and enforceability of the remaining terms and provisions of this Agreement shall not in any way be affected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impaired thereby and the parties will attempt to agree upon a valid and enforceable provision that is a reasonable substitute therefor, and upon so agreeing, shall incorporate such substitute provision in this Agreement.</w:t>
      </w:r>
    </w:p>
    <w:p>
      <w:pPr>
        <w:spacing w:after="0" w:line="103" w:lineRule="exact"/>
        <w:rPr>
          <w:sz w:val="20"/>
          <w:szCs w:val="20"/>
          <w:color w:val="auto"/>
        </w:rPr>
      </w:pPr>
    </w:p>
    <w:p>
      <w:pPr>
        <w:jc w:val="both"/>
        <w:ind w:right="160" w:firstLine="294"/>
        <w:spacing w:after="0" w:line="268" w:lineRule="auto"/>
        <w:rPr>
          <w:sz w:val="20"/>
          <w:szCs w:val="20"/>
          <w:color w:val="auto"/>
        </w:rPr>
      </w:pPr>
      <w:r>
        <w:rPr>
          <w:rFonts w:ascii="Times New Roman" w:cs="Times New Roman" w:eastAsia="Times New Roman" w:hAnsi="Times New Roman"/>
          <w:sz w:val="12"/>
          <w:szCs w:val="12"/>
          <w:b w:val="1"/>
          <w:bCs w:val="1"/>
          <w:color w:val="auto"/>
        </w:rPr>
        <w:t>6.12 Rescission and Withdrawal Right</w:t>
      </w:r>
      <w:r>
        <w:rPr>
          <w:rFonts w:ascii="Times New Roman" w:cs="Times New Roman" w:eastAsia="Times New Roman" w:hAnsi="Times New Roman"/>
          <w:sz w:val="12"/>
          <w:szCs w:val="12"/>
          <w:color w:val="auto"/>
        </w:rPr>
        <w:t>. Notwithstanding anything to the contrary contained in (and without limiting any similar provisions of) the Transaction Documents, whenever any Purchaser exercises a right, election,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14" w:lineRule="exact"/>
        <w:rPr>
          <w:sz w:val="20"/>
          <w:szCs w:val="20"/>
          <w:color w:val="auto"/>
        </w:rPr>
      </w:pPr>
    </w:p>
    <w:p>
      <w:pPr>
        <w:ind w:firstLine="294"/>
        <w:spacing w:after="0" w:line="257" w:lineRule="auto"/>
        <w:rPr>
          <w:sz w:val="20"/>
          <w:szCs w:val="20"/>
          <w:color w:val="auto"/>
        </w:rPr>
      </w:pPr>
      <w:r>
        <w:rPr>
          <w:rFonts w:ascii="Times New Roman" w:cs="Times New Roman" w:eastAsia="Times New Roman" w:hAnsi="Times New Roman"/>
          <w:sz w:val="12"/>
          <w:szCs w:val="12"/>
          <w:b w:val="1"/>
          <w:bCs w:val="1"/>
          <w:color w:val="auto"/>
        </w:rPr>
        <w:t>6.13 Replacement of Securities</w:t>
      </w:r>
      <w:r>
        <w:rPr>
          <w:rFonts w:ascii="Times New Roman" w:cs="Times New Roman" w:eastAsia="Times New Roman" w:hAnsi="Times New Roman"/>
          <w:sz w:val="12"/>
          <w:szCs w:val="12"/>
          <w:color w:val="auto"/>
        </w:rPr>
        <w:t>. If any certificate or instrument evidencing any Securities or Conversion Shares is mutilated, lost, stolen or destroyed, the Company may issue or cause to be issued in exchange and substitution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 and upon cancellation thereof, or in lieu of and substitution therefor, a new certificate or instrument, but only upon receipt of evidence reasonably satisfactory to the Company and the Transfer Agent of such loss, theft or destruction and the execution by the holder thereof of a customary lost certificate affidavit of that fact and an agreement to indemnify and hold harmless the Company and the Transfer Agent for any losses in connection therewith or, if required by the Transfer Agent, a bond in such form and amount as is required by the Transfer Agent. The applicants for a new certificate or instrument under such circumstances shall also pay any reasonable third-party costs associated with the issuance of such replacement Securities or Conversion Shares. If a replacement certificate or instrument evidencing any Securities or Conversion Shares is requested due to a mutilation thereof, the Company may require delivery of such mutilated certificate or instrument as a condition precedent to any issuance of a replacement.</w:t>
      </w:r>
    </w:p>
    <w:p>
      <w:pPr>
        <w:spacing w:after="0" w:line="121" w:lineRule="exact"/>
        <w:rPr>
          <w:sz w:val="20"/>
          <w:szCs w:val="20"/>
          <w:color w:val="auto"/>
        </w:rPr>
      </w:pPr>
    </w:p>
    <w:p>
      <w:pPr>
        <w:ind w:right="120" w:firstLine="294"/>
        <w:spacing w:after="0" w:line="303" w:lineRule="auto"/>
        <w:rPr>
          <w:sz w:val="20"/>
          <w:szCs w:val="20"/>
          <w:color w:val="auto"/>
        </w:rPr>
      </w:pPr>
      <w:r>
        <w:rPr>
          <w:rFonts w:ascii="Times New Roman" w:cs="Times New Roman" w:eastAsia="Times New Roman" w:hAnsi="Times New Roman"/>
          <w:sz w:val="11"/>
          <w:szCs w:val="11"/>
          <w:b w:val="1"/>
          <w:bCs w:val="1"/>
          <w:color w:val="auto"/>
        </w:rPr>
        <w:t>6.14 Remedies</w:t>
      </w:r>
      <w:r>
        <w:rPr>
          <w:rFonts w:ascii="Times New Roman" w:cs="Times New Roman" w:eastAsia="Times New Roman" w:hAnsi="Times New Roman"/>
          <w:sz w:val="11"/>
          <w:szCs w:val="11"/>
          <w:color w:val="auto"/>
        </w:rPr>
        <w:t>. In addition to being entitled to exercise all rights provided herein or granted by Law, including recovery of damages, each of the Purchasers and the Company will be entitled to specific performance under the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Transaction Documents, without the requirement of posting a bond. The parties agree that monetary damages may not be adequate compensation for any loss incurred by reason of any breach of obligations described in the foregoing sentence and hereby agree to waive in any action for specific performance of any such obligation (other than in connection with any action for a temporary restraining order) the defense that a remedy at law would be adequate.</w:t>
      </w:r>
    </w:p>
    <w:p>
      <w:pPr>
        <w:spacing w:after="0" w:line="97" w:lineRule="exact"/>
        <w:rPr>
          <w:sz w:val="20"/>
          <w:szCs w:val="20"/>
          <w:color w:val="auto"/>
        </w:rPr>
      </w:pPr>
    </w:p>
    <w:p>
      <w:pPr>
        <w:ind w:firstLine="294"/>
        <w:spacing w:after="0" w:line="262" w:lineRule="auto"/>
        <w:rPr>
          <w:sz w:val="20"/>
          <w:szCs w:val="20"/>
          <w:color w:val="auto"/>
        </w:rPr>
      </w:pPr>
      <w:r>
        <w:rPr>
          <w:rFonts w:ascii="Times New Roman" w:cs="Times New Roman" w:eastAsia="Times New Roman" w:hAnsi="Times New Roman"/>
          <w:sz w:val="12"/>
          <w:szCs w:val="12"/>
          <w:b w:val="1"/>
          <w:bCs w:val="1"/>
          <w:color w:val="auto"/>
        </w:rPr>
        <w:t>6.15 Payment Set Aside</w:t>
      </w:r>
      <w:r>
        <w:rPr>
          <w:rFonts w:ascii="Times New Roman" w:cs="Times New Roman" w:eastAsia="Times New Roman" w:hAnsi="Times New Roman"/>
          <w:sz w:val="12"/>
          <w:szCs w:val="12"/>
          <w:color w:val="auto"/>
        </w:rPr>
        <w:t>. To the extent that the Company makes a payment or payments to any Purchaser pursuant to any Transaction Document or a Purchaser enforces or exercises its rights thereunder, and such payment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17" w:lineRule="exact"/>
        <w:rPr>
          <w:sz w:val="20"/>
          <w:szCs w:val="20"/>
          <w:color w:val="auto"/>
        </w:rPr>
      </w:pPr>
    </w:p>
    <w:p>
      <w:pPr>
        <w:ind w:right="40" w:firstLine="294"/>
        <w:spacing w:after="0" w:line="268" w:lineRule="auto"/>
        <w:rPr>
          <w:sz w:val="20"/>
          <w:szCs w:val="20"/>
          <w:color w:val="auto"/>
        </w:rPr>
      </w:pPr>
      <w:r>
        <w:rPr>
          <w:rFonts w:ascii="Times New Roman" w:cs="Times New Roman" w:eastAsia="Times New Roman" w:hAnsi="Times New Roman"/>
          <w:sz w:val="12"/>
          <w:szCs w:val="12"/>
          <w:b w:val="1"/>
          <w:bCs w:val="1"/>
          <w:color w:val="auto"/>
        </w:rPr>
        <w:t>6.16 Adjustments in Share Numbers and Prices</w:t>
      </w:r>
      <w:r>
        <w:rPr>
          <w:rFonts w:ascii="Times New Roman" w:cs="Times New Roman" w:eastAsia="Times New Roman" w:hAnsi="Times New Roman"/>
          <w:sz w:val="12"/>
          <w:szCs w:val="12"/>
          <w:color w:val="auto"/>
        </w:rPr>
        <w:t>. In the event of any stock split, subdivision, dividend or distribution payable in shares of Common Stock (or other securities or rights convertible into, or entitling the holder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thereof to receive directly or indirectly shares of Common Stock), combination or other similar recapitalization or event occurring after the date hereof and prior to the Closing, each reference in any Transaction Document to a number of shares or a price per share shall be deemed to be amended to appropriately account for such event.</w:t>
      </w: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47" w:name="page48"/>
    <w:bookmarkEnd w:id="47"/>
    <w:p>
      <w:pPr>
        <w:ind w:firstLine="294"/>
        <w:spacing w:after="0" w:line="253" w:lineRule="auto"/>
        <w:rPr>
          <w:sz w:val="20"/>
          <w:szCs w:val="20"/>
          <w:color w:val="auto"/>
        </w:rPr>
      </w:pPr>
      <w:r>
        <w:rPr>
          <w:rFonts w:ascii="Times New Roman" w:cs="Times New Roman" w:eastAsia="Times New Roman" w:hAnsi="Times New Roman"/>
          <w:sz w:val="12"/>
          <w:szCs w:val="12"/>
          <w:b w:val="1"/>
          <w:bCs w:val="1"/>
          <w:color w:val="auto"/>
        </w:rPr>
        <w:t>6.17 Independent Nature of Purchasers’ Obligations and Rights</w:t>
      </w:r>
      <w:r>
        <w:rPr>
          <w:rFonts w:ascii="Times New Roman" w:cs="Times New Roman" w:eastAsia="Times New Roman" w:hAnsi="Times New Roman"/>
          <w:sz w:val="12"/>
          <w:szCs w:val="12"/>
          <w:color w:val="auto"/>
        </w:rPr>
        <w:t>. The obligations of each Purchaser under any Transaction Document are several and not joint with the obligations of any other Purchaser, and no Purchaser shall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 responsible in any way for the performance of the obligations of any other Purchaser under any Transaction Document. The decision of each Purchaser to purchase Securities pursuant to the Transaction Documents has been made by such Purchaser independently of any other Purchaser and independently of any information, materials, statements or opinions as to the business, affairs, operations, assets, properties, liabilities, results of operations, condition (financial or otherwise) or prospects of the Company or any Subsidiary which may have been made or given by any other Purchaser or by any agent or employee of any other Purchaser, and no Purchaser and any of its agents or employees shall have any liability to any other Purchaser (or any other Person) relating to or arising from any such information, materials, statement or opinions. Nothing contained herein or in any Transaction Document, and no action taken by any Purchaser pursuant thereto, shall be deemed to constitute the Purchasers as a partnership, an association, a joint venture or any other kind of entity, or create a presumption that the Purchasers are in any way acting in concert or as a group (including, without limitation, a “group” within the meaning of Section 13(d)(3) of the Exchange Act) with respect to such obligations or the transactions contemplated by the Transaction Documents. Each Purchaser acknowledges that no other Purchaser has acted as agent for such Purchaser in connection with making its investment hereunder and that no Purchaser will be acting as agent of such Purchaser in connection with monitoring its investment in the Securities or enforcing its rights under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Purchasers and their respective counsels may choose to communicate with the Company through Cooley LLP, counsel to the Placement Agents. Each Purchaser acknowledges that Cooley LLP has rendered legal advice to the Placement Agents and not to such Purchaser in connection with the transactions contemplated hereby, and that each such Purchaser has relied for such matters on the advice of its own respective counsel. The Company has elected to provide all Purchasers with the same terms and Transaction Documents for the convenience of the Company and not because it was required or requested to do so by any Purchaser. It is expressly understood that each provision contained in this Agreement is between the Company and a Purchaser, solely, and not between the Company and the Purchasers collectively and not between and among the Purchasers.</w:t>
      </w:r>
    </w:p>
    <w:p>
      <w:pPr>
        <w:spacing w:after="0" w:line="122" w:lineRule="exact"/>
        <w:rPr>
          <w:sz w:val="20"/>
          <w:szCs w:val="20"/>
          <w:color w:val="auto"/>
        </w:rPr>
      </w:pPr>
    </w:p>
    <w:p>
      <w:pPr>
        <w:ind w:right="60" w:firstLine="294"/>
        <w:spacing w:after="0" w:line="256" w:lineRule="auto"/>
        <w:rPr>
          <w:sz w:val="20"/>
          <w:szCs w:val="20"/>
          <w:color w:val="auto"/>
        </w:rPr>
      </w:pPr>
      <w:r>
        <w:rPr>
          <w:rFonts w:ascii="Times New Roman" w:cs="Times New Roman" w:eastAsia="Times New Roman" w:hAnsi="Times New Roman"/>
          <w:sz w:val="12"/>
          <w:szCs w:val="12"/>
          <w:b w:val="1"/>
          <w:bCs w:val="1"/>
          <w:color w:val="auto"/>
        </w:rPr>
        <w:t>6.18 Termination</w:t>
      </w:r>
      <w:r>
        <w:rPr>
          <w:rFonts w:ascii="Times New Roman" w:cs="Times New Roman" w:eastAsia="Times New Roman" w:hAnsi="Times New Roman"/>
          <w:sz w:val="12"/>
          <w:szCs w:val="12"/>
          <w:color w:val="auto"/>
        </w:rPr>
        <w:t>. This Agreement may be terminated and the sale and purchase of the Securities abandoned at any time prior to the Closing (i) automatically if the Closing has not been consummated on or prior to 5:00 p.m.,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New York City time, on the Outside Date or (ii) by a Purchaser (with respect to itself) if any of the conditions set forth in Section 5.1 shall have become incapable of fulfillment, and shall not have been waived by such Purchaser;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however</w:t>
      </w:r>
      <w:r>
        <w:rPr>
          <w:rFonts w:ascii="Times New Roman" w:cs="Times New Roman" w:eastAsia="Times New Roman" w:hAnsi="Times New Roman"/>
          <w:sz w:val="12"/>
          <w:szCs w:val="12"/>
          <w:color w:val="auto"/>
        </w:rPr>
        <w:t>, that the right to terminate this Agreement under clause (ii) shall not be available to any Person whose failure to comply with its obligations under this Agreement has been the cause of or resulted in the failure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Closing to occur on or before such time. Nothing in this Section 6.18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 In the event of a termination pursuant to this Section 6.18, the Company shall promptly notify all non-terminating Purchasers. Upon a termination in accordance with this Section 6.18, the Company and the terminating Purchaser(s) shall not have any further obligation or liability (including arising from such termination) to the other, and no Purchaser will have any liability to any other Purchaser under the Transaction Documents as a result therefrom.</w:t>
      </w:r>
    </w:p>
    <w:p>
      <w:pPr>
        <w:spacing w:after="0" w:line="1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color w:val="auto"/>
        </w:rPr>
        <w:t>6.19 Exculpation of the Placement Agents</w:t>
      </w:r>
      <w:r>
        <w:rPr>
          <w:rFonts w:ascii="Times New Roman" w:cs="Times New Roman" w:eastAsia="Times New Roman" w:hAnsi="Times New Roman"/>
          <w:sz w:val="12"/>
          <w:szCs w:val="12"/>
          <w:color w:val="auto"/>
        </w:rPr>
        <w:t>. Each party hereto agrees for the express benefit of the Placement Agents and their respective Affiliates and representatives that:</w:t>
      </w:r>
    </w:p>
    <w:p>
      <w:pPr>
        <w:spacing w:after="0" w:line="154" w:lineRule="exact"/>
        <w:rPr>
          <w:sz w:val="20"/>
          <w:szCs w:val="20"/>
          <w:color w:val="auto"/>
        </w:rPr>
      </w:pPr>
    </w:p>
    <w:p>
      <w:pPr>
        <w:ind w:right="60" w:firstLine="653"/>
        <w:spacing w:after="0" w:line="256" w:lineRule="auto"/>
        <w:tabs>
          <w:tab w:leader="none" w:pos="831" w:val="left"/>
        </w:tabs>
        <w:numPr>
          <w:ilvl w:val="0"/>
          <w:numId w:val="3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Placement Agents and their respective Affiliates and representatives (i) have no duties or obligations other than those specifically set forth herein or in their respective engagement letters; (ii) shall not be liable for any improper payment made in accordance with the information provided by the Company; (iii) make no representation or warranty, and have no responsibilities as to the validity, accuracy, value or genuineness of any information, certificates or documentation delivered by or on behalf of the Company pursuant to this Agreement or in connection with any of the transactions contemplated hereby, including any offering or marketing materials; and (iv) shall not be liable (A) for any action taken, suffered or omitted by any of them in good faith and reasonably believed to be authorized or within the discretion or rights or powers conferred upon them by this Agreement or any Transaction Document, or (B) for anything which any of them may do or refrain from doing in connection with this Agreement or any Transaction Document, except in each case for such Person’s own gross negligence, willful misconduct or bad faith.</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ind w:right="60" w:firstLine="653"/>
        <w:spacing w:after="0" w:line="327" w:lineRule="auto"/>
        <w:tabs>
          <w:tab w:leader="none" w:pos="838" w:val="left"/>
        </w:tabs>
        <w:numPr>
          <w:ilvl w:val="0"/>
          <w:numId w:val="3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The Placement Agents and their respective Affiliates and representatives shall be entitled to (i) rely on, and shall be protected in acting upon, any certificate, instrument, notice, letter or any other document or security delivered to any of them by or on behalf of the Company, and (ii) be indemnified by the Company for acting as a Placement Agent hereunder pursuant to the indemnification provisions set forth in their respective engagement letters.</w:t>
      </w:r>
    </w:p>
    <w:p>
      <w:pPr>
        <w:spacing w:after="0" w:line="83" w:lineRule="exact"/>
        <w:rPr>
          <w:sz w:val="20"/>
          <w:szCs w:val="20"/>
          <w:color w:val="auto"/>
        </w:rPr>
      </w:pPr>
    </w:p>
    <w:p>
      <w:pPr>
        <w:ind w:right="80" w:firstLine="294"/>
        <w:spacing w:after="0" w:line="293" w:lineRule="auto"/>
        <w:rPr>
          <w:sz w:val="20"/>
          <w:szCs w:val="20"/>
          <w:color w:val="auto"/>
        </w:rPr>
      </w:pPr>
      <w:r>
        <w:rPr>
          <w:rFonts w:ascii="Times New Roman" w:cs="Times New Roman" w:eastAsia="Times New Roman" w:hAnsi="Times New Roman"/>
          <w:sz w:val="11"/>
          <w:szCs w:val="11"/>
          <w:b w:val="1"/>
          <w:bCs w:val="1"/>
          <w:color w:val="auto"/>
        </w:rPr>
        <w:t>6.20 Waivers of Conflicts</w:t>
      </w:r>
      <w:r>
        <w:rPr>
          <w:rFonts w:ascii="Times New Roman" w:cs="Times New Roman" w:eastAsia="Times New Roman" w:hAnsi="Times New Roman"/>
          <w:sz w:val="11"/>
          <w:szCs w:val="11"/>
          <w:color w:val="auto"/>
        </w:rPr>
        <w:t>. Each party to this Agreement acknowledges that Covington &amp; Burling LLP, counsel for the Company, may have in the past performed and may continue to perform legal services to one or more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Purchasers or their affiliates in matters unrelated to the transactions described in this Agreement, including the representation of one or more Purchasers or their affiliates in matters of a similar nature to such transactions. Accordingly, except as otherwise agreed between the Company and a Purchaser, each party to this Agreement hereby (a) acknowledges that they have had an opportunity to ask for information relevant to this disclosure; and (b) gives its informed consent to Covington &amp; Burling LLP’s representation of (i) one or more Purchasers or their affiliates in such unrelated matters and (ii) the Company in connection with this Agreement and the transactions contemplated hereby.</w:t>
      </w:r>
    </w:p>
    <w:p>
      <w:pPr>
        <w:spacing w:after="0" w:line="102" w:lineRule="exact"/>
        <w:rPr>
          <w:sz w:val="20"/>
          <w:szCs w:val="20"/>
          <w:color w:val="auto"/>
        </w:rPr>
      </w:pPr>
    </w:p>
    <w:p>
      <w:pPr>
        <w:ind w:firstLine="294"/>
        <w:spacing w:after="0" w:line="262" w:lineRule="auto"/>
        <w:rPr>
          <w:sz w:val="20"/>
          <w:szCs w:val="20"/>
          <w:color w:val="auto"/>
        </w:rPr>
      </w:pPr>
      <w:r>
        <w:rPr>
          <w:rFonts w:ascii="Times New Roman" w:cs="Times New Roman" w:eastAsia="Times New Roman" w:hAnsi="Times New Roman"/>
          <w:sz w:val="12"/>
          <w:szCs w:val="12"/>
          <w:b w:val="1"/>
          <w:bCs w:val="1"/>
          <w:color w:val="auto"/>
        </w:rPr>
        <w:t>6.21 Arm’s Length Transaction</w:t>
      </w:r>
      <w:r>
        <w:rPr>
          <w:rFonts w:ascii="Times New Roman" w:cs="Times New Roman" w:eastAsia="Times New Roman" w:hAnsi="Times New Roman"/>
          <w:sz w:val="12"/>
          <w:szCs w:val="12"/>
          <w:color w:val="auto"/>
        </w:rPr>
        <w:t>. The Company acknowledges and agrees that (i) the transactions described in this Agreement are an arm’s-length commercial transaction between the parties, (ii) the Purchasers have not assumed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nor will they assume an advisory or fiduciary responsibility in the Company’s favor with respect to any of the transactions contemplated by this Agreement or the process leading thereto, and the Purchasers have no obligation to the Company with respect to the transactions contemplated by this Agreement except those obligations expressly set forth in this Agreement or the other Transaction Documents to which they are a party, and (iii) the Company’s decision to enter into the Transaction Documents has been based solely on the independent evaluation by the Company and its representatives.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[REMAINDER OF PAGE INTENTIONALLY LEFT BLANK]</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9" w:name="page50"/>
    <w:bookmarkEnd w:id="49"/>
    <w:p>
      <w:pPr>
        <w:ind w:left="280"/>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pacing w:after="0" w:line="1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2"/>
          <w:szCs w:val="12"/>
          <w:b w:val="1"/>
          <w:bCs w:val="1"/>
          <w:color w:val="auto"/>
        </w:rPr>
        <w:t>C</w:t>
      </w:r>
      <w:r>
        <w:rPr>
          <w:rFonts w:ascii="Times New Roman" w:cs="Times New Roman" w:eastAsia="Times New Roman" w:hAnsi="Times New Roman"/>
          <w:sz w:val="8"/>
          <w:szCs w:val="8"/>
          <w:b w:val="1"/>
          <w:bCs w:val="1"/>
          <w:color w:val="auto"/>
        </w:rPr>
        <w:t>artesian</w:t>
      </w:r>
      <w:r>
        <w:rPr>
          <w:rFonts w:ascii="Times New Roman" w:cs="Times New Roman" w:eastAsia="Times New Roman" w:hAnsi="Times New Roman"/>
          <w:sz w:val="12"/>
          <w:szCs w:val="12"/>
          <w:b w:val="1"/>
          <w:bCs w:val="1"/>
          <w:color w:val="auto"/>
        </w:rPr>
        <w:t xml:space="preserve"> T</w:t>
      </w:r>
      <w:r>
        <w:rPr>
          <w:rFonts w:ascii="Times New Roman" w:cs="Times New Roman" w:eastAsia="Times New Roman" w:hAnsi="Times New Roman"/>
          <w:sz w:val="8"/>
          <w:szCs w:val="8"/>
          <w:b w:val="1"/>
          <w:bCs w:val="1"/>
          <w:color w:val="auto"/>
        </w:rPr>
        <w:t>herapeutics</w:t>
      </w:r>
      <w:r>
        <w:rPr>
          <w:rFonts w:ascii="Times New Roman" w:cs="Times New Roman" w:eastAsia="Times New Roman" w:hAnsi="Times New Roman"/>
          <w:sz w:val="12"/>
          <w:szCs w:val="12"/>
          <w:b w:val="1"/>
          <w:bCs w:val="1"/>
          <w:color w:val="auto"/>
        </w:rPr>
        <w:t>, INC.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340" w:type="dxa"/>
            <w:vAlign w:val="bottom"/>
          </w:tcPr>
          <w:p>
            <w:pPr>
              <w:ind w:left="6780"/>
              <w:spacing w:after="0"/>
              <w:rPr>
                <w:sz w:val="20"/>
                <w:szCs w:val="20"/>
                <w:color w:val="auto"/>
              </w:rPr>
            </w:pPr>
            <w:r>
              <w:rPr>
                <w:rFonts w:ascii="Times New Roman" w:cs="Times New Roman" w:eastAsia="Times New Roman" w:hAnsi="Times New Roman"/>
                <w:sz w:val="12"/>
                <w:szCs w:val="12"/>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Carsten Brunn, Ph.D.</w:t>
            </w:r>
          </w:p>
        </w:tc>
      </w:tr>
      <w:tr>
        <w:trPr>
          <w:trHeight w:val="131"/>
        </w:trPr>
        <w:tc>
          <w:tcPr>
            <w:tcW w:w="7340" w:type="dxa"/>
            <w:vAlign w:val="bottom"/>
          </w:tcPr>
          <w:p>
            <w:pPr>
              <w:ind w:left="6780"/>
              <w:spacing w:after="0" w:line="132" w:lineRule="exact"/>
              <w:rPr>
                <w:sz w:val="20"/>
                <w:szCs w:val="20"/>
                <w:color w:val="auto"/>
              </w:rPr>
            </w:pPr>
            <w:r>
              <w:rPr>
                <w:rFonts w:ascii="Times New Roman" w:cs="Times New Roman" w:eastAsia="Times New Roman" w:hAnsi="Times New Roman"/>
                <w:sz w:val="12"/>
                <w:szCs w:val="12"/>
                <w:color w:val="auto"/>
              </w:rPr>
              <w:t>Name:</w:t>
            </w:r>
          </w:p>
        </w:tc>
        <w:tc>
          <w:tcPr>
            <w:tcW w:w="396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Carsten Brunn, Ph.D.</w:t>
            </w:r>
          </w:p>
        </w:tc>
      </w:tr>
      <w:tr>
        <w:trPr>
          <w:trHeight w:val="155"/>
        </w:trPr>
        <w:tc>
          <w:tcPr>
            <w:tcW w:w="7340" w:type="dxa"/>
            <w:vAlign w:val="bottom"/>
          </w:tcPr>
          <w:p>
            <w:pPr>
              <w:ind w:left="6780"/>
              <w:spacing w:after="0"/>
              <w:rPr>
                <w:sz w:val="20"/>
                <w:szCs w:val="20"/>
                <w:color w:val="auto"/>
              </w:rPr>
            </w:pPr>
            <w:r>
              <w:rPr>
                <w:rFonts w:ascii="Times New Roman" w:cs="Times New Roman" w:eastAsia="Times New Roman" w:hAnsi="Times New Roman"/>
                <w:sz w:val="12"/>
                <w:szCs w:val="12"/>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288"/>
        </w:trPr>
        <w:tc>
          <w:tcPr>
            <w:tcW w:w="7340" w:type="dxa"/>
            <w:vAlign w:val="bottom"/>
          </w:tcPr>
          <w:p>
            <w:pPr>
              <w:ind w:left="44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tc>
        <w:tc>
          <w:tcPr>
            <w:tcW w:w="3960" w:type="dxa"/>
            <w:vAlign w:val="bottom"/>
          </w:tcPr>
          <w:p>
            <w:pPr>
              <w:spacing w:after="0"/>
              <w:rPr>
                <w:sz w:val="24"/>
                <w:szCs w:val="24"/>
                <w:color w:val="auto"/>
              </w:rPr>
            </w:pPr>
          </w:p>
        </w:tc>
      </w:tr>
      <w:tr>
        <w:trPr>
          <w:trHeight w:val="117"/>
        </w:trPr>
        <w:tc>
          <w:tcPr>
            <w:tcW w:w="734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r>
    </w:tbl>
    <w:p>
      <w:pPr>
        <w:sectPr>
          <w:pgSz w:w="11900" w:h="16838" w:orient="portrait"/>
          <w:cols w:equalWidth="0" w:num="1">
            <w:col w:w="11300"/>
          </w:cols>
          <w:pgMar w:left="300" w:top="125"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ectPr>
          <w:pgSz w:w="11900" w:h="16838" w:orient="portrait"/>
          <w:cols w:equalWidth="0" w:num="1">
            <w:col w:w="9879"/>
          </w:cols>
          <w:pgMar w:left="580" w:top="125" w:right="1440" w:bottom="1440" w:gutter="0" w:footer="0" w:header="0"/>
        </w:sectPr>
      </w:pPr>
    </w:p>
    <w:p>
      <w:pPr>
        <w:spacing w:after="0" w:line="15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color w:val="auto"/>
        </w:rPr>
        <w:t>Timothy A. Springer, Ph.D.</w:t>
      </w:r>
    </w:p>
    <w:p>
      <w:pPr>
        <w:spacing w:after="0" w:line="15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1"/>
          <w:szCs w:val="11"/>
          <w:color w:val="auto"/>
        </w:rPr>
        <w:t>By: /s/ Timothy A. Springer, Ph.D.</w:t>
      </w:r>
    </w:p>
    <w:p>
      <w:pPr>
        <w:spacing w:after="0" w:line="16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86360</wp:posOffset>
            </wp:positionV>
            <wp:extent cx="717804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ectPr>
          <w:pgSz w:w="11900" w:h="16838" w:orient="portrait"/>
          <w:cols w:equalWidth="0" w:num="1">
            <w:col w:w="9879"/>
          </w:cols>
          <w:pgMar w:left="580" w:top="125" w:right="1440" w:bottom="1440" w:gutter="0" w:footer="0" w:header="0"/>
        </w:sectPr>
      </w:pP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TAS Partners LLC</w:t>
      </w: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1"/>
          <w:szCs w:val="11"/>
          <w:color w:val="auto"/>
        </w:rPr>
        <w:t>By: /s/ Timothy A. Springer, Ph.D.</w:t>
      </w:r>
    </w:p>
    <w:p>
      <w:pPr>
        <w:spacing w:after="0" w:line="28"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12"/>
          <w:szCs w:val="12"/>
          <w:color w:val="auto"/>
        </w:rPr>
        <w:t>Name: Timothy A. Springer, Ph.D.</w:t>
      </w:r>
    </w:p>
    <w:p>
      <w:pPr>
        <w:spacing w:after="0" w:line="6" w:lineRule="exact"/>
        <w:rPr>
          <w:sz w:val="20"/>
          <w:szCs w:val="20"/>
          <w:color w:val="auto"/>
        </w:rPr>
      </w:pPr>
    </w:p>
    <w:p>
      <w:pPr>
        <w:ind w:left="5380"/>
        <w:spacing w:after="0"/>
        <w:tabs>
          <w:tab w:leader="none" w:pos="572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1"/>
          <w:szCs w:val="11"/>
          <w:color w:val="auto"/>
        </w:rPr>
        <w:t>Manager</w:t>
      </w:r>
    </w:p>
    <w:p>
      <w:pPr>
        <w:spacing w:after="0" w:line="1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86360</wp:posOffset>
            </wp:positionV>
            <wp:extent cx="717804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ectPr>
          <w:pgSz w:w="11900" w:h="16838" w:orient="portrait"/>
          <w:cols w:equalWidth="0" w:num="1">
            <w:col w:w="9879"/>
          </w:cols>
          <w:pgMar w:left="580" w:top="125" w:right="1440" w:bottom="1440" w:gutter="0" w:footer="0" w:header="0"/>
        </w:sectPr>
      </w:pPr>
    </w:p>
    <w:p>
      <w:pPr>
        <w:spacing w:after="0" w:line="15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color w:val="auto"/>
        </w:rPr>
        <w:t>Chafen Lu, Ph.D.</w:t>
      </w:r>
    </w:p>
    <w:p>
      <w:pPr>
        <w:spacing w:after="0" w:line="15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color w:val="auto"/>
        </w:rPr>
        <w:t>By: /s/ Chafen Lu, Ph.D.</w:t>
      </w:r>
    </w:p>
    <w:p>
      <w:pPr>
        <w:spacing w:after="0" w:line="14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i w:val="1"/>
          <w:iCs w:val="1"/>
          <w:color w:val="auto"/>
        </w:rPr>
        <w:t>Signature Page to Securities Purchase Agreement</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93345</wp:posOffset>
            </wp:positionV>
            <wp:extent cx="717804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ectPr>
          <w:pgSz w:w="11900" w:h="16838" w:orient="portrait"/>
          <w:cols w:equalWidth="0" w:num="1">
            <w:col w:w="9879"/>
          </w:cols>
          <w:pgMar w:left="580" w:top="125" w:right="1440" w:bottom="1440" w:gutter="0" w:footer="0" w:header="0"/>
        </w:sectPr>
      </w:pP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1"/>
          <w:szCs w:val="11"/>
          <w:color w:val="auto"/>
        </w:rPr>
        <w:t>Fidelity Select Portfolios: Biotechnology Portfolio</w:t>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By: /s/ Chris Maher</w:t>
      </w:r>
    </w:p>
    <w:p>
      <w:pPr>
        <w:spacing w:after="0" w:line="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Name: Chris Maher</w:t>
      </w:r>
    </w:p>
    <w:p>
      <w:pPr>
        <w:spacing w:after="0" w:line="6" w:lineRule="exact"/>
        <w:rPr>
          <w:sz w:val="20"/>
          <w:szCs w:val="20"/>
          <w:color w:val="auto"/>
        </w:rPr>
      </w:pPr>
    </w:p>
    <w:p>
      <w:pPr>
        <w:ind w:left="5380"/>
        <w:spacing w:after="0"/>
        <w:tabs>
          <w:tab w:leader="none" w:pos="5700" w:val="left"/>
        </w:tabs>
        <w:rPr>
          <w:sz w:val="20"/>
          <w:szCs w:val="20"/>
          <w:color w:val="auto"/>
        </w:rPr>
      </w:pPr>
      <w:r>
        <w:rPr>
          <w:rFonts w:ascii="Times New Roman" w:cs="Times New Roman" w:eastAsia="Times New Roman" w:hAnsi="Times New Roman"/>
          <w:sz w:val="12"/>
          <w:szCs w:val="12"/>
          <w:color w:val="auto"/>
        </w:rPr>
        <w:t>Title:</w:t>
        <w:tab/>
        <w:t>Authorized Signatory</w:t>
      </w:r>
    </w:p>
    <w:p>
      <w:pPr>
        <w:spacing w:after="0" w:line="1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86360</wp:posOffset>
            </wp:positionV>
            <wp:extent cx="717804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ectPr>
          <w:pgSz w:w="11900" w:h="16838" w:orient="portrait"/>
          <w:cols w:equalWidth="0" w:num="1">
            <w:col w:w="9879"/>
          </w:cols>
          <w:pgMar w:left="580" w:top="125" w:right="1440" w:bottom="1440" w:gutter="0" w:footer="0" w:header="0"/>
        </w:sectPr>
      </w:pP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1"/>
          <w:szCs w:val="11"/>
          <w:color w:val="auto"/>
        </w:rPr>
        <w:t>Fidelity Advisor Series VII: Fidelity Advisor Biotechnology Fund</w:t>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By: /s/ Chris Maher</w:t>
      </w:r>
    </w:p>
    <w:p>
      <w:pPr>
        <w:spacing w:after="0" w:line="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Name: Chris Maher</w:t>
      </w:r>
    </w:p>
    <w:p>
      <w:pPr>
        <w:spacing w:after="0" w:line="6" w:lineRule="exact"/>
        <w:rPr>
          <w:sz w:val="20"/>
          <w:szCs w:val="20"/>
          <w:color w:val="auto"/>
        </w:rPr>
      </w:pPr>
    </w:p>
    <w:p>
      <w:pPr>
        <w:ind w:left="5380"/>
        <w:spacing w:after="0"/>
        <w:tabs>
          <w:tab w:leader="none" w:pos="5700" w:val="left"/>
        </w:tabs>
        <w:rPr>
          <w:sz w:val="20"/>
          <w:szCs w:val="20"/>
          <w:color w:val="auto"/>
        </w:rPr>
      </w:pPr>
      <w:r>
        <w:rPr>
          <w:rFonts w:ascii="Times New Roman" w:cs="Times New Roman" w:eastAsia="Times New Roman" w:hAnsi="Times New Roman"/>
          <w:sz w:val="12"/>
          <w:szCs w:val="12"/>
          <w:color w:val="auto"/>
        </w:rPr>
        <w:t>Title:</w:t>
        <w:tab/>
        <w:t>Authorized Signatory</w:t>
      </w:r>
    </w:p>
    <w:p>
      <w:pPr>
        <w:spacing w:after="0" w:line="1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86360</wp:posOffset>
            </wp:positionV>
            <wp:extent cx="717804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ectPr>
          <w:pgSz w:w="11900" w:h="16838" w:orient="portrait"/>
          <w:cols w:equalWidth="0" w:num="1">
            <w:col w:w="9879"/>
          </w:cols>
          <w:pgMar w:left="580" w:top="125" w:right="1440" w:bottom="1440" w:gutter="0" w:footer="0" w:header="0"/>
        </w:sectPr>
      </w:pP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1"/>
          <w:szCs w:val="11"/>
          <w:color w:val="auto"/>
        </w:rPr>
        <w:t>Fidelity Advisor Series VII: Fidelity Advisor Health Care Fund</w:t>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By: /s/ Chris Maher</w:t>
      </w:r>
    </w:p>
    <w:p>
      <w:pPr>
        <w:spacing w:after="0" w:line="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Name: Chris Maher</w:t>
      </w:r>
    </w:p>
    <w:p>
      <w:pPr>
        <w:spacing w:after="0" w:line="6" w:lineRule="exact"/>
        <w:rPr>
          <w:sz w:val="20"/>
          <w:szCs w:val="20"/>
          <w:color w:val="auto"/>
        </w:rPr>
      </w:pPr>
    </w:p>
    <w:p>
      <w:pPr>
        <w:ind w:left="5380"/>
        <w:spacing w:after="0"/>
        <w:tabs>
          <w:tab w:leader="none" w:pos="5700" w:val="left"/>
        </w:tabs>
        <w:rPr>
          <w:sz w:val="20"/>
          <w:szCs w:val="20"/>
          <w:color w:val="auto"/>
        </w:rPr>
      </w:pPr>
      <w:r>
        <w:rPr>
          <w:rFonts w:ascii="Times New Roman" w:cs="Times New Roman" w:eastAsia="Times New Roman" w:hAnsi="Times New Roman"/>
          <w:sz w:val="12"/>
          <w:szCs w:val="12"/>
          <w:color w:val="auto"/>
        </w:rPr>
        <w:t>Title:</w:t>
        <w:tab/>
        <w:t>Authorized Signatory</w:t>
      </w:r>
    </w:p>
    <w:p>
      <w:pPr>
        <w:spacing w:after="0" w:line="1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86360</wp:posOffset>
            </wp:positionV>
            <wp:extent cx="717804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ectPr>
          <w:pgSz w:w="11900" w:h="16838" w:orient="portrait"/>
          <w:cols w:equalWidth="0" w:num="1">
            <w:col w:w="9879"/>
          </w:cols>
          <w:pgMar w:left="580" w:top="125" w:right="1440" w:bottom="1440" w:gutter="0" w:footer="0" w:header="0"/>
        </w:sectPr>
      </w:pP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1"/>
          <w:szCs w:val="11"/>
          <w:color w:val="auto"/>
        </w:rPr>
        <w:t>Fidelity Select Portfolios: Select Health Care Portfolio</w:t>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By: /s/ Chris Maher</w:t>
      </w:r>
    </w:p>
    <w:p>
      <w:pPr>
        <w:spacing w:after="0" w:line="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Name: Chris Maher</w:t>
      </w:r>
    </w:p>
    <w:p>
      <w:pPr>
        <w:spacing w:after="0" w:line="6" w:lineRule="exact"/>
        <w:rPr>
          <w:sz w:val="20"/>
          <w:szCs w:val="20"/>
          <w:color w:val="auto"/>
        </w:rPr>
      </w:pPr>
    </w:p>
    <w:p>
      <w:pPr>
        <w:ind w:left="5380"/>
        <w:spacing w:after="0"/>
        <w:tabs>
          <w:tab w:leader="none" w:pos="5700" w:val="left"/>
        </w:tabs>
        <w:rPr>
          <w:sz w:val="20"/>
          <w:szCs w:val="20"/>
          <w:color w:val="auto"/>
        </w:rPr>
      </w:pPr>
      <w:r>
        <w:rPr>
          <w:rFonts w:ascii="Times New Roman" w:cs="Times New Roman" w:eastAsia="Times New Roman" w:hAnsi="Times New Roman"/>
          <w:sz w:val="12"/>
          <w:szCs w:val="12"/>
          <w:color w:val="auto"/>
        </w:rPr>
        <w:t>Title:</w:t>
        <w:tab/>
        <w:t>Authorized Signatory</w:t>
      </w:r>
    </w:p>
    <w:p>
      <w:pPr>
        <w:spacing w:after="0" w:line="1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86360</wp:posOffset>
            </wp:positionV>
            <wp:extent cx="717804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ectPr>
          <w:pgSz w:w="11900" w:h="16838" w:orient="portrait"/>
          <w:cols w:equalWidth="0" w:num="1">
            <w:col w:w="9879"/>
          </w:cols>
          <w:pgMar w:left="580" w:top="125" w:right="1440" w:bottom="1440" w:gutter="0" w:footer="0" w:header="0"/>
        </w:sectPr>
      </w:pP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1"/>
          <w:szCs w:val="11"/>
          <w:color w:val="auto"/>
        </w:rPr>
        <w:t>Variable Insurance Products Fund IV: VIP Health Care Portfolio</w:t>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By: /s/ Chris Maher</w:t>
      </w:r>
    </w:p>
    <w:p>
      <w:pPr>
        <w:spacing w:after="0" w:line="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Name: Chris Maher</w:t>
      </w:r>
    </w:p>
    <w:p>
      <w:pPr>
        <w:spacing w:after="0" w:line="6" w:lineRule="exact"/>
        <w:rPr>
          <w:sz w:val="20"/>
          <w:szCs w:val="20"/>
          <w:color w:val="auto"/>
        </w:rPr>
      </w:pPr>
    </w:p>
    <w:p>
      <w:pPr>
        <w:ind w:left="5380"/>
        <w:spacing w:after="0"/>
        <w:tabs>
          <w:tab w:leader="none" w:pos="5700" w:val="left"/>
        </w:tabs>
        <w:rPr>
          <w:sz w:val="20"/>
          <w:szCs w:val="20"/>
          <w:color w:val="auto"/>
        </w:rPr>
      </w:pPr>
      <w:r>
        <w:rPr>
          <w:rFonts w:ascii="Times New Roman" w:cs="Times New Roman" w:eastAsia="Times New Roman" w:hAnsi="Times New Roman"/>
          <w:sz w:val="12"/>
          <w:szCs w:val="12"/>
          <w:color w:val="auto"/>
        </w:rPr>
        <w:t>Title:</w:t>
        <w:tab/>
        <w:t>Authorized Signatory</w:t>
      </w:r>
    </w:p>
    <w:p>
      <w:pPr>
        <w:spacing w:after="0" w:line="1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86360</wp:posOffset>
            </wp:positionV>
            <wp:extent cx="717804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ectPr>
          <w:pgSz w:w="11900" w:h="16838" w:orient="portrait"/>
          <w:cols w:equalWidth="0" w:num="1">
            <w:col w:w="9879"/>
          </w:cols>
          <w:pgMar w:left="580" w:top="125" w:right="1440" w:bottom="1440" w:gutter="0" w:footer="0" w:header="0"/>
        </w:sectPr>
      </w:pP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1"/>
          <w:szCs w:val="11"/>
          <w:color w:val="auto"/>
        </w:rPr>
        <w:t>Fidelity Mt. Vernon Street Trust: Fidelity Series Growth Company Fund</w:t>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By: /s/ Chris Maher</w:t>
      </w:r>
    </w:p>
    <w:p>
      <w:pPr>
        <w:spacing w:after="0" w:line="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Name: Chris Maher</w:t>
      </w:r>
    </w:p>
    <w:p>
      <w:pPr>
        <w:spacing w:after="0" w:line="6" w:lineRule="exact"/>
        <w:rPr>
          <w:sz w:val="20"/>
          <w:szCs w:val="20"/>
          <w:color w:val="auto"/>
        </w:rPr>
      </w:pPr>
    </w:p>
    <w:p>
      <w:pPr>
        <w:ind w:left="5380"/>
        <w:spacing w:after="0"/>
        <w:tabs>
          <w:tab w:leader="none" w:pos="5700" w:val="left"/>
        </w:tabs>
        <w:rPr>
          <w:sz w:val="20"/>
          <w:szCs w:val="20"/>
          <w:color w:val="auto"/>
        </w:rPr>
      </w:pPr>
      <w:r>
        <w:rPr>
          <w:rFonts w:ascii="Times New Roman" w:cs="Times New Roman" w:eastAsia="Times New Roman" w:hAnsi="Times New Roman"/>
          <w:sz w:val="12"/>
          <w:szCs w:val="12"/>
          <w:color w:val="auto"/>
        </w:rPr>
        <w:t>Title:</w:t>
        <w:tab/>
        <w:t>Authorized Signatory</w:t>
      </w:r>
    </w:p>
    <w:p>
      <w:pPr>
        <w:spacing w:after="0" w:line="1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86360</wp:posOffset>
            </wp:positionV>
            <wp:extent cx="717804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ectPr>
          <w:pgSz w:w="11900" w:h="16838" w:orient="portrait"/>
          <w:cols w:equalWidth="0" w:num="1">
            <w:col w:w="9879"/>
          </w:cols>
          <w:pgMar w:left="580" w:top="125" w:right="1440" w:bottom="1440" w:gutter="0" w:footer="0" w:header="0"/>
        </w:sectPr>
      </w:pP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1"/>
          <w:szCs w:val="11"/>
          <w:color w:val="auto"/>
        </w:rPr>
        <w:t>Fidelity Mt. Vernon Street Trust: Fidelity Growth Company Fund</w:t>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By: /s/ Chris Maher</w:t>
      </w:r>
    </w:p>
    <w:p>
      <w:pPr>
        <w:spacing w:after="0" w:line="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Name: Chris Maher</w:t>
      </w:r>
    </w:p>
    <w:p>
      <w:pPr>
        <w:spacing w:after="0" w:line="6" w:lineRule="exact"/>
        <w:rPr>
          <w:sz w:val="20"/>
          <w:szCs w:val="20"/>
          <w:color w:val="auto"/>
        </w:rPr>
      </w:pPr>
    </w:p>
    <w:p>
      <w:pPr>
        <w:ind w:left="5380"/>
        <w:spacing w:after="0"/>
        <w:tabs>
          <w:tab w:leader="none" w:pos="5700" w:val="left"/>
        </w:tabs>
        <w:rPr>
          <w:sz w:val="20"/>
          <w:szCs w:val="20"/>
          <w:color w:val="auto"/>
        </w:rPr>
      </w:pPr>
      <w:r>
        <w:rPr>
          <w:rFonts w:ascii="Times New Roman" w:cs="Times New Roman" w:eastAsia="Times New Roman" w:hAnsi="Times New Roman"/>
          <w:sz w:val="12"/>
          <w:szCs w:val="12"/>
          <w:color w:val="auto"/>
        </w:rPr>
        <w:t>Title:</w:t>
        <w:tab/>
        <w:t>Authorized Signatory</w:t>
      </w:r>
    </w:p>
    <w:p>
      <w:pPr>
        <w:spacing w:after="0" w:line="1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86360</wp:posOffset>
            </wp:positionV>
            <wp:extent cx="717804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ectPr>
          <w:pgSz w:w="11900" w:h="16838" w:orient="portrait"/>
          <w:cols w:equalWidth="0" w:num="1">
            <w:col w:w="9879"/>
          </w:cols>
          <w:pgMar w:left="580" w:top="125" w:right="1440" w:bottom="1440" w:gutter="0" w:footer="0" w:header="0"/>
        </w:sectPr>
      </w:pP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Fidelity Growth Company Commingled Pool</w:t>
      </w: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1"/>
          <w:szCs w:val="11"/>
          <w:color w:val="auto"/>
        </w:rPr>
        <w:t>By: Fidelity Management Trust Company, as Trustee</w:t>
      </w:r>
    </w:p>
    <w:p>
      <w:pPr>
        <w:spacing w:after="0" w:line="2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By: /s/ Chris Maher</w:t>
      </w:r>
    </w:p>
    <w:p>
      <w:pPr>
        <w:spacing w:after="0" w:line="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Name: Chris Maher</w:t>
      </w:r>
    </w:p>
    <w:p>
      <w:pPr>
        <w:spacing w:after="0" w:line="6" w:lineRule="exact"/>
        <w:rPr>
          <w:sz w:val="20"/>
          <w:szCs w:val="20"/>
          <w:color w:val="auto"/>
        </w:rPr>
      </w:pPr>
    </w:p>
    <w:p>
      <w:pPr>
        <w:ind w:left="5380"/>
        <w:spacing w:after="0"/>
        <w:tabs>
          <w:tab w:leader="none" w:pos="5700" w:val="left"/>
        </w:tabs>
        <w:rPr>
          <w:sz w:val="20"/>
          <w:szCs w:val="20"/>
          <w:color w:val="auto"/>
        </w:rPr>
      </w:pPr>
      <w:r>
        <w:rPr>
          <w:rFonts w:ascii="Times New Roman" w:cs="Times New Roman" w:eastAsia="Times New Roman" w:hAnsi="Times New Roman"/>
          <w:sz w:val="12"/>
          <w:szCs w:val="12"/>
          <w:color w:val="auto"/>
        </w:rPr>
        <w:t>Title:</w:t>
        <w:tab/>
        <w:t>Authorized Signatory</w:t>
      </w:r>
    </w:p>
    <w:p>
      <w:pPr>
        <w:spacing w:after="0" w:line="1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86360</wp:posOffset>
            </wp:positionV>
            <wp:extent cx="717804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ectPr>
          <w:pgSz w:w="11900" w:h="16838" w:orient="portrait"/>
          <w:cols w:equalWidth="0" w:num="1">
            <w:col w:w="9879"/>
          </w:cols>
          <w:pgMar w:left="580" w:top="125" w:right="1440" w:bottom="1440" w:gutter="0" w:footer="0" w:header="0"/>
        </w:sectPr>
      </w:pP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1"/>
          <w:szCs w:val="11"/>
          <w:color w:val="auto"/>
        </w:rPr>
        <w:t>Fidelity Mt. Vernon Street Trust: Fidelity Growth Company K6 Fund</w:t>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By: /s/ Chris Maher</w:t>
      </w:r>
    </w:p>
    <w:p>
      <w:pPr>
        <w:spacing w:after="0" w:line="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Name: Chris Maher</w:t>
      </w:r>
    </w:p>
    <w:p>
      <w:pPr>
        <w:spacing w:after="0" w:line="6" w:lineRule="exact"/>
        <w:rPr>
          <w:sz w:val="20"/>
          <w:szCs w:val="20"/>
          <w:color w:val="auto"/>
        </w:rPr>
      </w:pPr>
    </w:p>
    <w:p>
      <w:pPr>
        <w:ind w:left="5380"/>
        <w:spacing w:after="0"/>
        <w:tabs>
          <w:tab w:leader="none" w:pos="5700" w:val="left"/>
        </w:tabs>
        <w:rPr>
          <w:sz w:val="20"/>
          <w:szCs w:val="20"/>
          <w:color w:val="auto"/>
        </w:rPr>
      </w:pPr>
      <w:r>
        <w:rPr>
          <w:rFonts w:ascii="Times New Roman" w:cs="Times New Roman" w:eastAsia="Times New Roman" w:hAnsi="Times New Roman"/>
          <w:sz w:val="12"/>
          <w:szCs w:val="12"/>
          <w:color w:val="auto"/>
        </w:rPr>
        <w:t>Title:</w:t>
        <w:tab/>
        <w:t>Authorized Signatory</w:t>
      </w:r>
    </w:p>
    <w:p>
      <w:pPr>
        <w:spacing w:after="0" w:line="1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86360</wp:posOffset>
            </wp:positionV>
            <wp:extent cx="717804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ectPr>
          <w:pgSz w:w="11900" w:h="16838" w:orient="portrait"/>
          <w:cols w:equalWidth="0" w:num="1">
            <w:col w:w="9879"/>
          </w:cols>
          <w:pgMar w:left="580" w:top="125" w:right="1440" w:bottom="1440" w:gutter="0" w:footer="0" w:header="0"/>
        </w:sectPr>
      </w:pP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Schooner Century Fund LLC</w:t>
      </w: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1"/>
          <w:szCs w:val="11"/>
          <w:color w:val="auto"/>
        </w:rPr>
        <w:t>By: Schooner Capital LLC, its manager</w:t>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By: /s/ Edward D. Henderson</w:t>
      </w:r>
    </w:p>
    <w:p>
      <w:pPr>
        <w:spacing w:after="0" w:line="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Name: Edward D. Henderson</w:t>
      </w:r>
    </w:p>
    <w:p>
      <w:pPr>
        <w:spacing w:after="0" w:line="6" w:lineRule="exact"/>
        <w:rPr>
          <w:sz w:val="20"/>
          <w:szCs w:val="20"/>
          <w:color w:val="auto"/>
        </w:rPr>
      </w:pPr>
    </w:p>
    <w:p>
      <w:pPr>
        <w:ind w:left="5380"/>
        <w:spacing w:after="0"/>
        <w:tabs>
          <w:tab w:leader="none" w:pos="5720" w:val="left"/>
        </w:tabs>
        <w:rPr>
          <w:sz w:val="20"/>
          <w:szCs w:val="20"/>
          <w:color w:val="auto"/>
        </w:rPr>
      </w:pPr>
      <w:r>
        <w:rPr>
          <w:rFonts w:ascii="Times New Roman" w:cs="Times New Roman" w:eastAsia="Times New Roman" w:hAnsi="Times New Roman"/>
          <w:sz w:val="12"/>
          <w:szCs w:val="12"/>
          <w:color w:val="auto"/>
        </w:rPr>
        <w:t>Title:</w:t>
        <w:tab/>
        <w:t>Managing Partner and CEO</w:t>
      </w:r>
    </w:p>
    <w:p>
      <w:pPr>
        <w:spacing w:after="0" w:line="1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86360</wp:posOffset>
            </wp:positionV>
            <wp:extent cx="717804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ectPr>
          <w:pgSz w:w="11900" w:h="16838" w:orient="portrait"/>
          <w:cols w:equalWidth="0" w:num="1">
            <w:col w:w="9879"/>
          </w:cols>
          <w:pgMar w:left="580" w:top="125" w:right="1440" w:bottom="1440" w:gutter="0" w:footer="0" w:header="0"/>
        </w:sectPr>
      </w:pP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Citadel CEMF Investments Ltd.</w:t>
      </w: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1"/>
          <w:szCs w:val="11"/>
          <w:color w:val="auto"/>
        </w:rPr>
        <w:t>By: Citadel Advisors LLC, its portfolio manager</w:t>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By: /s/ Christopher Ramsay</w:t>
      </w:r>
    </w:p>
    <w:p>
      <w:pPr>
        <w:spacing w:after="0" w:line="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Name: Christopher Ramsay</w:t>
      </w:r>
    </w:p>
    <w:p>
      <w:pPr>
        <w:spacing w:after="0" w:line="6" w:lineRule="exact"/>
        <w:rPr>
          <w:sz w:val="20"/>
          <w:szCs w:val="20"/>
          <w:color w:val="auto"/>
        </w:rPr>
      </w:pPr>
    </w:p>
    <w:p>
      <w:pPr>
        <w:ind w:left="5380"/>
        <w:spacing w:after="0"/>
        <w:tabs>
          <w:tab w:leader="none" w:pos="5700" w:val="left"/>
        </w:tabs>
        <w:rPr>
          <w:sz w:val="20"/>
          <w:szCs w:val="20"/>
          <w:color w:val="auto"/>
        </w:rPr>
      </w:pPr>
      <w:r>
        <w:rPr>
          <w:rFonts w:ascii="Times New Roman" w:cs="Times New Roman" w:eastAsia="Times New Roman" w:hAnsi="Times New Roman"/>
          <w:sz w:val="12"/>
          <w:szCs w:val="12"/>
          <w:color w:val="auto"/>
        </w:rPr>
        <w:t>Title:</w:t>
        <w:tab/>
        <w:t>Authorized Signatory</w:t>
      </w:r>
    </w:p>
    <w:p>
      <w:pPr>
        <w:spacing w:after="0" w:line="1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86360</wp:posOffset>
            </wp:positionV>
            <wp:extent cx="717804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ectPr>
          <w:pgSz w:w="11900" w:h="16838" w:orient="portrait"/>
          <w:cols w:equalWidth="0" w:num="1">
            <w:col w:w="9879"/>
          </w:cols>
          <w:pgMar w:left="580" w:top="125" w:right="1440" w:bottom="1440" w:gutter="0" w:footer="0" w:header="0"/>
        </w:sectPr>
      </w:pP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Invus Public Equities, L.P.</w:t>
      </w: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By: /s/ Khalil Barrage</w:t>
      </w:r>
    </w:p>
    <w:p>
      <w:pPr>
        <w:spacing w:after="0" w:line="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Name: Khalil Barrage</w:t>
      </w:r>
    </w:p>
    <w:p>
      <w:pPr>
        <w:spacing w:after="0" w:line="6" w:lineRule="exact"/>
        <w:rPr>
          <w:sz w:val="20"/>
          <w:szCs w:val="20"/>
          <w:color w:val="auto"/>
        </w:rPr>
      </w:pPr>
    </w:p>
    <w:p>
      <w:pPr>
        <w:jc w:val="right"/>
        <w:ind w:right="2359"/>
        <w:spacing w:after="0"/>
        <w:tabs>
          <w:tab w:leader="none" w:pos="17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1"/>
          <w:szCs w:val="11"/>
          <w:color w:val="auto"/>
        </w:rPr>
        <w:t>Vice President of the General Partner</w:t>
      </w:r>
    </w:p>
    <w:p>
      <w:pPr>
        <w:spacing w:after="0" w:line="1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86360</wp:posOffset>
            </wp:positionV>
            <wp:extent cx="7178040"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ectPr>
          <w:pgSz w:w="11900" w:h="16838" w:orient="portrait"/>
          <w:cols w:equalWidth="0" w:num="1">
            <w:col w:w="9879"/>
          </w:cols>
          <w:pgMar w:left="580" w:top="125" w:right="1440" w:bottom="1440" w:gutter="0" w:footer="0" w:header="0"/>
        </w:sectPr>
      </w:pP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1"/>
          <w:szCs w:val="11"/>
          <w:color w:val="auto"/>
        </w:rPr>
        <w:t>HBM Healthcare Investments (Cayman) Ltd.</w:t>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By: /s/ Jean-Mark Lesieur</w:t>
      </w:r>
    </w:p>
    <w:p>
      <w:pPr>
        <w:spacing w:after="0" w:line="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Name:Jean-Mark Lesieur</w:t>
      </w:r>
    </w:p>
    <w:p>
      <w:pPr>
        <w:spacing w:after="0" w:line="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Title: Managing Director</w:t>
      </w:r>
    </w:p>
    <w:p>
      <w:pPr>
        <w:spacing w:after="0" w:line="1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86360</wp:posOffset>
            </wp:positionV>
            <wp:extent cx="717804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Biomedical Value Fund, L.P.</w:t>
      </w: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By: /s/ Tavi Yehudai</w:t>
      </w:r>
    </w:p>
    <w:p>
      <w:pPr>
        <w:spacing w:after="0" w:line="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Name:Tavi Yehudai</w:t>
      </w:r>
    </w:p>
    <w:p>
      <w:pPr>
        <w:spacing w:after="0" w:line="6"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2"/>
          <w:szCs w:val="12"/>
          <w:color w:val="auto"/>
        </w:rPr>
        <w:t>Title: Managing Director of Great Point Partners, LLC (the Investment Manager)</w:t>
      </w:r>
    </w:p>
    <w:p>
      <w:pPr>
        <w:spacing w:after="0" w:line="1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86360</wp:posOffset>
            </wp:positionV>
            <wp:extent cx="7178040"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Biomedical Offshore Value Fund, Ltd.</w:t>
      </w: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By: /s/ Tavi Yehudai</w:t>
      </w:r>
    </w:p>
    <w:p>
      <w:pPr>
        <w:spacing w:after="0" w:line="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Name:Tavi Yehudai</w:t>
      </w:r>
    </w:p>
    <w:p>
      <w:pPr>
        <w:spacing w:after="0" w:line="6"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2"/>
          <w:szCs w:val="12"/>
          <w:color w:val="auto"/>
        </w:rPr>
        <w:t>Title: Managing Director of Great Point Partners, LLC (the Investment Manager)</w:t>
      </w:r>
    </w:p>
    <w:p>
      <w:pPr>
        <w:spacing w:after="0" w:line="1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86360</wp:posOffset>
            </wp:positionV>
            <wp:extent cx="717804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Cheyne Select Master Fund ICAV – Cheyne Global Equity Fund</w:t>
      </w: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By: /s/ Tavi Yehudai</w:t>
      </w:r>
    </w:p>
    <w:p>
      <w:pPr>
        <w:spacing w:after="0" w:line="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Name:Tavi Yehudai</w:t>
      </w:r>
    </w:p>
    <w:p>
      <w:pPr>
        <w:spacing w:after="0" w:line="6"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2"/>
          <w:szCs w:val="12"/>
          <w:color w:val="auto"/>
        </w:rPr>
        <w:t>Title: Managing Director of Great Point Partners, LLC (the Investment Manager)</w:t>
      </w:r>
    </w:p>
    <w:p>
      <w:pPr>
        <w:spacing w:after="0" w:line="1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86360</wp:posOffset>
            </wp:positionV>
            <wp:extent cx="717804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ectPr>
          <w:pgSz w:w="11900" w:h="16838" w:orient="portrait"/>
          <w:cols w:equalWidth="0" w:num="1">
            <w:col w:w="9879"/>
          </w:cols>
          <w:pgMar w:left="580" w:top="125" w:right="1440" w:bottom="1440" w:gutter="0" w:footer="0" w:header="0"/>
        </w:sectPr>
      </w:pP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Armistice Capital Master Fund Ltd.</w:t>
      </w: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By: /s/ Steven Boyd</w:t>
      </w:r>
    </w:p>
    <w:p>
      <w:pPr>
        <w:spacing w:after="0" w:line="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Name:Steven Boyd</w:t>
      </w:r>
    </w:p>
    <w:p>
      <w:pPr>
        <w:spacing w:after="0" w:line="6"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2"/>
          <w:szCs w:val="12"/>
          <w:color w:val="auto"/>
        </w:rPr>
        <w:t>Title: CIO of Armistice Capital, LLC, the Investment Manager</w:t>
      </w:r>
    </w:p>
    <w:p>
      <w:pPr>
        <w:spacing w:after="0" w:line="1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86360</wp:posOffset>
            </wp:positionV>
            <wp:extent cx="717804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ectPr>
          <w:pgSz w:w="11900" w:h="16838" w:orient="portrait"/>
          <w:cols w:equalWidth="0" w:num="1">
            <w:col w:w="9879"/>
          </w:cols>
          <w:pgMar w:left="580" w:top="125" w:right="1440" w:bottom="1440" w:gutter="0" w:footer="0" w:header="0"/>
        </w:sectPr>
      </w:pP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Schonfeld Global Master Fund L.P.</w:t>
      </w: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By: /s/ Mark Peckman</w:t>
      </w:r>
    </w:p>
    <w:p>
      <w:pPr>
        <w:spacing w:after="0" w:line="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Name:Mark Peckman</w:t>
      </w:r>
    </w:p>
    <w:p>
      <w:pPr>
        <w:spacing w:after="0" w:line="6" w:lineRule="exact"/>
        <w:rPr>
          <w:sz w:val="20"/>
          <w:szCs w:val="20"/>
          <w:color w:val="auto"/>
        </w:rPr>
      </w:pPr>
    </w:p>
    <w:p>
      <w:pPr>
        <w:jc w:val="right"/>
        <w:ind w:right="1959"/>
        <w:spacing w:after="0"/>
        <w:rPr>
          <w:sz w:val="20"/>
          <w:szCs w:val="20"/>
          <w:color w:val="auto"/>
        </w:rPr>
      </w:pPr>
      <w:r>
        <w:rPr>
          <w:rFonts w:ascii="Times New Roman" w:cs="Times New Roman" w:eastAsia="Times New Roman" w:hAnsi="Times New Roman"/>
          <w:sz w:val="12"/>
          <w:szCs w:val="12"/>
          <w:color w:val="auto"/>
        </w:rPr>
        <w:t>Title: General Counsel &amp; Chief Compliance Officer</w:t>
      </w:r>
    </w:p>
    <w:p>
      <w:pPr>
        <w:spacing w:after="0" w:line="1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86360</wp:posOffset>
            </wp:positionV>
            <wp:extent cx="717804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parties hereto have caused this Securities Purchase Agreement to be duly executed by their respective authorized signatories as of the date first indicated above.</w:t>
      </w:r>
    </w:p>
    <w:p>
      <w:pPr>
        <w:sectPr>
          <w:pgSz w:w="11900" w:h="16838" w:orient="portrait"/>
          <w:cols w:equalWidth="0" w:num="1">
            <w:col w:w="9879"/>
          </w:cols>
          <w:pgMar w:left="580" w:top="125" w:right="1440" w:bottom="1440" w:gutter="0" w:footer="0" w:header="0"/>
        </w:sectPr>
      </w:pP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9"/>
          <w:szCs w:val="9"/>
          <w:b w:val="1"/>
          <w:bCs w:val="1"/>
          <w:color w:val="auto"/>
        </w:rPr>
        <w:t>URCHASER</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683 Capital Partners, LP</w:t>
      </w:r>
    </w:p>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By: /s/ Joseph Patt</w:t>
      </w:r>
    </w:p>
    <w:p>
      <w:pPr>
        <w:spacing w:after="0" w:line="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Name:Joseph Patt</w:t>
      </w:r>
    </w:p>
    <w:p>
      <w:pPr>
        <w:spacing w:after="0" w:line="6"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12"/>
          <w:szCs w:val="12"/>
          <w:color w:val="auto"/>
        </w:rPr>
        <w:t>Title: Member of the General Partner</w:t>
      </w:r>
    </w:p>
    <w:p>
      <w:pPr>
        <w:spacing w:after="0" w:line="1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Securities Purchase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177800</wp:posOffset>
            </wp:positionV>
            <wp:extent cx="717804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12"/>
          <w:szCs w:val="12"/>
          <w:b w:val="1"/>
          <w:bCs w:val="1"/>
          <w:color w:val="auto"/>
        </w:rPr>
        <w:t>ANNEX A</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SCHEDULE OF PURCHASERS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21590</wp:posOffset>
            </wp:positionV>
            <wp:extent cx="717804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ANNEX B</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WIRE INSTRUCTIONS</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21590</wp:posOffset>
            </wp:positionV>
            <wp:extent cx="717804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4" w:name="page75"/>
    <w:bookmarkEnd w:id="74"/>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ANNEX C</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OF LOCK-UP AGREEMENT</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2024</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Leerink Partners LLC</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TD Securities (USA) LLC</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c/o</w:t>
            </w: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Leerink Partners LLC</w:t>
            </w:r>
          </w:p>
        </w:tc>
      </w:tr>
      <w:tr>
        <w:trPr>
          <w:trHeight w:val="151"/>
        </w:trPr>
        <w:tc>
          <w:tcPr>
            <w:tcW w:w="640" w:type="dxa"/>
            <w:vAlign w:val="bottom"/>
          </w:tcPr>
          <w:p>
            <w:pPr>
              <w:spacing w:after="0"/>
              <w:rPr>
                <w:sz w:val="13"/>
                <w:szCs w:val="13"/>
                <w:color w:val="auto"/>
              </w:rPr>
            </w:pPr>
          </w:p>
        </w:tc>
        <w:tc>
          <w:tcPr>
            <w:tcW w:w="302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1"/>
                <w:szCs w:val="11"/>
                <w:color w:val="auto"/>
              </w:rPr>
              <w:t>53 State Street, 40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1"/>
                <w:szCs w:val="11"/>
                <w:color w:val="auto"/>
              </w:rPr>
              <w:t xml:space="preserve"> Floor</w:t>
            </w:r>
          </w:p>
        </w:tc>
      </w:tr>
      <w:tr>
        <w:trPr>
          <w:trHeight w:val="144"/>
        </w:trPr>
        <w:tc>
          <w:tcPr>
            <w:tcW w:w="640" w:type="dxa"/>
            <w:vAlign w:val="bottom"/>
          </w:tcPr>
          <w:p>
            <w:pPr>
              <w:spacing w:after="0"/>
              <w:rPr>
                <w:sz w:val="12"/>
                <w:szCs w:val="12"/>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Boston, MA 02109</w:t>
            </w:r>
          </w:p>
        </w:tc>
      </w:tr>
      <w:tr>
        <w:trPr>
          <w:trHeight w:val="144"/>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c/o</w:t>
            </w: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TD Securities (USA) LLC</w:t>
            </w:r>
          </w:p>
        </w:tc>
      </w:tr>
      <w:tr>
        <w:trPr>
          <w:trHeight w:val="144"/>
        </w:trPr>
        <w:tc>
          <w:tcPr>
            <w:tcW w:w="640" w:type="dxa"/>
            <w:vAlign w:val="bottom"/>
          </w:tcPr>
          <w:p>
            <w:pPr>
              <w:spacing w:after="0"/>
              <w:rPr>
                <w:sz w:val="12"/>
                <w:szCs w:val="12"/>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1 Vanderbilt Avenue</w:t>
            </w:r>
          </w:p>
        </w:tc>
      </w:tr>
      <w:tr>
        <w:trPr>
          <w:trHeight w:val="155"/>
        </w:trPr>
        <w:tc>
          <w:tcPr>
            <w:tcW w:w="640" w:type="dxa"/>
            <w:vAlign w:val="bottom"/>
          </w:tcPr>
          <w:p>
            <w:pPr>
              <w:spacing w:after="0"/>
              <w:rPr>
                <w:sz w:val="13"/>
                <w:szCs w:val="13"/>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New York, NY 10017</w:t>
            </w:r>
          </w:p>
        </w:tc>
      </w:tr>
      <w:tr>
        <w:trPr>
          <w:trHeight w:val="261"/>
        </w:trPr>
        <w:tc>
          <w:tcPr>
            <w:tcW w:w="64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Re:</w:t>
            </w:r>
          </w:p>
        </w:tc>
        <w:tc>
          <w:tcPr>
            <w:tcW w:w="140" w:type="dxa"/>
            <w:vAlign w:val="bottom"/>
          </w:tcPr>
          <w:p>
            <w:pPr>
              <w:spacing w:after="0"/>
              <w:rPr>
                <w:sz w:val="22"/>
                <w:szCs w:val="22"/>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Proposed Private Placement by Cartesian Therapeutics, Inc.</w:t>
            </w:r>
          </w:p>
        </w:tc>
      </w:tr>
    </w:tbl>
    <w:p>
      <w:pPr>
        <w:spacing w:after="0" w:line="15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50"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The undersigned, an officer and/or director of Cartesian Therapeutics,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understands that Leerink Partners LLC (“</w:t>
      </w:r>
      <w:r>
        <w:rPr>
          <w:rFonts w:ascii="Times New Roman" w:cs="Times New Roman" w:eastAsia="Times New Roman" w:hAnsi="Times New Roman"/>
          <w:sz w:val="12"/>
          <w:szCs w:val="12"/>
          <w:u w:val="single" w:color="auto"/>
          <w:color w:val="auto"/>
        </w:rPr>
        <w:t>Leerink Partners</w:t>
      </w:r>
      <w:r>
        <w:rPr>
          <w:rFonts w:ascii="Times New Roman" w:cs="Times New Roman" w:eastAsia="Times New Roman" w:hAnsi="Times New Roman"/>
          <w:sz w:val="12"/>
          <w:szCs w:val="12"/>
          <w:color w:val="auto"/>
        </w:rPr>
        <w:t>”) and TD Securities (USA) LLC (“</w:t>
      </w:r>
      <w:r>
        <w:rPr>
          <w:rFonts w:ascii="Times New Roman" w:cs="Times New Roman" w:eastAsia="Times New Roman" w:hAnsi="Times New Roman"/>
          <w:sz w:val="12"/>
          <w:szCs w:val="12"/>
          <w:u w:val="single" w:color="auto"/>
          <w:color w:val="auto"/>
        </w:rPr>
        <w:t>TD Cowen</w:t>
      </w:r>
      <w:r>
        <w:rPr>
          <w:rFonts w:ascii="Times New Roman" w:cs="Times New Roman" w:eastAsia="Times New Roman" w:hAnsi="Times New Roman"/>
          <w:sz w:val="12"/>
          <w:szCs w:val="12"/>
          <w:color w:val="auto"/>
        </w:rPr>
        <w:t>”) will act as the placement agents (collectively, the “</w:t>
      </w:r>
      <w:r>
        <w:rPr>
          <w:rFonts w:ascii="Times New Roman" w:cs="Times New Roman" w:eastAsia="Times New Roman" w:hAnsi="Times New Roman"/>
          <w:sz w:val="12"/>
          <w:szCs w:val="12"/>
          <w:u w:val="single" w:color="auto"/>
          <w:color w:val="auto"/>
        </w:rPr>
        <w:t>Placement Agents</w:t>
      </w:r>
      <w:r>
        <w:rPr>
          <w:rFonts w:ascii="Times New Roman" w:cs="Times New Roman" w:eastAsia="Times New Roman" w:hAnsi="Times New Roman"/>
          <w:sz w:val="12"/>
          <w:szCs w:val="12"/>
          <w:color w:val="auto"/>
        </w:rPr>
        <w:t>”) for the Company in connection with the private placement of (i) the Company’s common stock, par value $0.0001 per share (the “</w:t>
      </w:r>
      <w:r>
        <w:rPr>
          <w:rFonts w:ascii="Times New Roman" w:cs="Times New Roman" w:eastAsia="Times New Roman" w:hAnsi="Times New Roman"/>
          <w:sz w:val="12"/>
          <w:szCs w:val="12"/>
          <w:u w:val="single" w:color="auto"/>
          <w:color w:val="auto"/>
        </w:rPr>
        <w:t>Common Stock</w:t>
      </w:r>
      <w:r>
        <w:rPr>
          <w:rFonts w:ascii="Times New Roman" w:cs="Times New Roman" w:eastAsia="Times New Roman" w:hAnsi="Times New Roman"/>
          <w:sz w:val="12"/>
          <w:szCs w:val="12"/>
          <w:color w:val="auto"/>
        </w:rPr>
        <w:t>”) or (ii) a combination of Common Stock and the Company’s securities convertible into or exchangeable or exercisable for Common Stock (the “</w:t>
      </w:r>
      <w:r>
        <w:rPr>
          <w:rFonts w:ascii="Times New Roman" w:cs="Times New Roman" w:eastAsia="Times New Roman" w:hAnsi="Times New Roman"/>
          <w:sz w:val="12"/>
          <w:szCs w:val="12"/>
          <w:u w:val="single" w:color="auto"/>
          <w:color w:val="auto"/>
        </w:rPr>
        <w:t>Private Placement</w:t>
      </w:r>
      <w:r>
        <w:rPr>
          <w:rFonts w:ascii="Times New Roman" w:cs="Times New Roman" w:eastAsia="Times New Roman" w:hAnsi="Times New Roman"/>
          <w:sz w:val="12"/>
          <w:szCs w:val="12"/>
          <w:color w:val="auto"/>
        </w:rPr>
        <w:t>”), pursuant to the terms of an engagement letter between the Company and the Placement Agents.</w:t>
      </w:r>
    </w:p>
    <w:p>
      <w:pPr>
        <w:spacing w:after="0" w:line="122"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2"/>
          <w:szCs w:val="12"/>
          <w:color w:val="auto"/>
        </w:rPr>
        <w:t>In recognition of the benefit that such a placement will confer upon the undersigned as an officer and/or a director of the Company, and for other good and valuable consideration, the receipt and sufficiency of which are hereby acknowledged, the undersigned agrees with each Placement Agent that, during the period beginning on the date hereof and ending on the date that is 90 days from the effective date of the definitive securities purchase agreement (the “</w:t>
      </w:r>
      <w:r>
        <w:rPr>
          <w:rFonts w:ascii="Times New Roman" w:cs="Times New Roman" w:eastAsia="Times New Roman" w:hAnsi="Times New Roman"/>
          <w:sz w:val="12"/>
          <w:szCs w:val="12"/>
          <w:u w:val="single" w:color="auto"/>
          <w:color w:val="auto"/>
        </w:rPr>
        <w:t>Purchase Agreement</w:t>
      </w:r>
      <w:r>
        <w:rPr>
          <w:rFonts w:ascii="Times New Roman" w:cs="Times New Roman" w:eastAsia="Times New Roman" w:hAnsi="Times New Roman"/>
          <w:sz w:val="12"/>
          <w:szCs w:val="12"/>
          <w:color w:val="auto"/>
        </w:rPr>
        <w:t>”) entered into by the Company in connection with the Private Placement (the “</w:t>
      </w:r>
      <w:r>
        <w:rPr>
          <w:rFonts w:ascii="Times New Roman" w:cs="Times New Roman" w:eastAsia="Times New Roman" w:hAnsi="Times New Roman"/>
          <w:sz w:val="12"/>
          <w:szCs w:val="12"/>
          <w:u w:val="single" w:color="auto"/>
          <w:color w:val="auto"/>
        </w:rPr>
        <w:t>Lock-Up Period</w:t>
      </w:r>
      <w:r>
        <w:rPr>
          <w:rFonts w:ascii="Times New Roman" w:cs="Times New Roman" w:eastAsia="Times New Roman" w:hAnsi="Times New Roman"/>
          <w:sz w:val="12"/>
          <w:szCs w:val="12"/>
          <w:color w:val="auto"/>
        </w:rPr>
        <w:t>”), the undersigned will not, without the prior written consent of Leerink Partners and TD Cowen, on behalf of the Placement Agents, directly or indirectly, (1) offer, pledge, sell, contract to sell, sell any option or contract to purchase, purchase any option or contract to sell, grant any option, right or warrant for the sale of, or otherwise dispose of or transfer any shares of Common Stock or any securities convertible into or exchangeable or exercisable for Common Stock, whether now owned or hereafter acquired by the undersigned or with respect to which the undersigned has or hereafter acquires the power of disposition (collectively, the “</w:t>
      </w:r>
      <w:r>
        <w:rPr>
          <w:rFonts w:ascii="Times New Roman" w:cs="Times New Roman" w:eastAsia="Times New Roman" w:hAnsi="Times New Roman"/>
          <w:sz w:val="12"/>
          <w:szCs w:val="12"/>
          <w:u w:val="single" w:color="auto"/>
          <w:color w:val="auto"/>
        </w:rPr>
        <w:t>Lock-Up Securities</w:t>
      </w:r>
      <w:r>
        <w:rPr>
          <w:rFonts w:ascii="Times New Roman" w:cs="Times New Roman" w:eastAsia="Times New Roman" w:hAnsi="Times New Roman"/>
          <w:sz w:val="12"/>
          <w:szCs w:val="12"/>
          <w:color w:val="auto"/>
        </w:rPr>
        <w:t>”), make any demand for or exercise any right with respect to the registration of any of the Lock-Up Securities, or file or cause to be filed any registration statement in connection therewith, under the Securities Act of 1933, as amended, or (2) enter into any hedging,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w:t>
      </w:r>
    </w:p>
    <w:p>
      <w:pPr>
        <w:spacing w:after="0" w:line="12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Notwithstanding the foregoing, and subject to the conditions below, the undersigned may transfer Lock-Up Securities without the prior written consent of Leerink Partners and TD Cowen, provided, with respect to each of (i),</w:t>
      </w:r>
    </w:p>
    <w:p>
      <w:pPr>
        <w:spacing w:after="0" w:line="17" w:lineRule="exact"/>
        <w:rPr>
          <w:sz w:val="20"/>
          <w:szCs w:val="20"/>
          <w:color w:val="auto"/>
        </w:rPr>
      </w:pPr>
    </w:p>
    <w:p>
      <w:pPr>
        <w:jc w:val="both"/>
        <w:ind w:left="8" w:hanging="8"/>
        <w:spacing w:after="0" w:line="253" w:lineRule="auto"/>
        <w:tabs>
          <w:tab w:leader="none" w:pos="18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(iii) below, that (1) Leerink Partners and TD Cowen receive a signed lock-up agreement for the balance of the Lock-Up Period from each donee, trustee, distributee, or transferee, as the case may be, (2) any such transfer shall not involve a disposition for value, (3) except with respect to transfers pursuant to a bona fide charitable gift described in (i)(C) and (ii)(C) below (for which any required filings to be made with the Securities Exchange Commission for clauses (i)(C) and (ii)(C) during the Lock-Up Period shall clearly indicate in the footnotes thereto the nature and conditions of such transfer), such transfers are not required to be reported with the Securities and Exchange Commission on Form 4 in accordance with Section 16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and (4) the undersigned does not otherwise voluntarily effect any public filing or report regarding such transfers (other than a filing on a Form 5 made after the expiration of the Lock-Up Period):</w:t>
      </w:r>
    </w:p>
    <w:p>
      <w:pPr>
        <w:spacing w:after="0" w:line="2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75" w:name="page76"/>
    <w:bookmarkEnd w:id="75"/>
    <w:p>
      <w:pPr>
        <w:jc w:val="both"/>
        <w:ind w:left="860" w:hanging="436"/>
        <w:spacing w:after="0" w:line="260" w:lineRule="auto"/>
        <w:tabs>
          <w:tab w:leader="none" w:pos="86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undersigned is a natural person, (A) to any person related to the undersigned (or to an ultimate beneficial owner of the undersigned) by blood or adoption who is an immediate family member of the undersigned, or by marriage or domestic partnership (a “</w:t>
      </w:r>
      <w:r>
        <w:rPr>
          <w:rFonts w:ascii="Times New Roman" w:cs="Times New Roman" w:eastAsia="Times New Roman" w:hAnsi="Times New Roman"/>
          <w:sz w:val="12"/>
          <w:szCs w:val="12"/>
          <w:u w:val="single" w:color="auto"/>
          <w:color w:val="auto"/>
        </w:rPr>
        <w:t>Family Member</w:t>
      </w:r>
      <w:r>
        <w:rPr>
          <w:rFonts w:ascii="Times New Roman" w:cs="Times New Roman" w:eastAsia="Times New Roman" w:hAnsi="Times New Roman"/>
          <w:sz w:val="12"/>
          <w:szCs w:val="12"/>
          <w:color w:val="auto"/>
        </w:rPr>
        <w:t>”), or to a trust formed for the benefit of the undersigned or any of the undersigned’s Family Members, (B) to the undersigned’s estate, following the death of the undersigned, by will, intestacy or other operation of law, (C) as a bona fide charitable gift or contribution, (D) by operation of law pursuant to a qualified domestic order or in connection with a divorce settlement, or (E) to any partnership, corporation or limited liability company which is controlled by or under common control with the undersigned and/or by any such Family Member(s);</w:t>
      </w:r>
    </w:p>
    <w:p>
      <w:pPr>
        <w:spacing w:after="0" w:line="122" w:lineRule="exact"/>
        <w:rPr>
          <w:rFonts w:ascii="Times New Roman" w:cs="Times New Roman" w:eastAsia="Times New Roman" w:hAnsi="Times New Roman"/>
          <w:sz w:val="12"/>
          <w:szCs w:val="12"/>
          <w:color w:val="auto"/>
        </w:rPr>
      </w:pPr>
    </w:p>
    <w:p>
      <w:pPr>
        <w:jc w:val="both"/>
        <w:ind w:left="860" w:hanging="436"/>
        <w:spacing w:after="0" w:line="255" w:lineRule="auto"/>
        <w:tabs>
          <w:tab w:leader="none" w:pos="86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undersigned is a corporation, partnership or other entity, (A) to another corporation, partnership, or other entity that is an affiliate (as defined under Rule 12b-2 of the Exchange Act) of the undersigned, including investment funds or other entities under common control or management with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charitable gift or contribution or otherwise to a trust or other entity for the direct or indirect benefit of an immediate family member of a beneficial owner (as defined in Rule 13d-3 of the Exchange Act) of the Lock-Up Securities, or (D) transfers or dispositions not involving a change in beneficial ownership; or</w:t>
      </w:r>
    </w:p>
    <w:p>
      <w:pPr>
        <w:spacing w:after="0" w:line="125"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undersigned is a trust, to any grantors or beneficiaries of the trust.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Furthermore, notwithstanding the foregoing, and subject to the conditions below, the undersigned may transfer Lock-Up Securities without the prior written consent of Leerink Partners and TD Cowen:</w:t>
      </w:r>
    </w:p>
    <w:p>
      <w:pPr>
        <w:spacing w:after="0" w:line="150" w:lineRule="exact"/>
        <w:rPr>
          <w:sz w:val="20"/>
          <w:szCs w:val="20"/>
          <w:color w:val="auto"/>
        </w:rPr>
      </w:pPr>
    </w:p>
    <w:p>
      <w:pPr>
        <w:jc w:val="both"/>
        <w:ind w:firstLine="424"/>
        <w:spacing w:after="0" w:line="260" w:lineRule="auto"/>
        <w:tabs>
          <w:tab w:leader="none" w:pos="955"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pursuant to the exercise of stock options of the Company (including a net or cashless exercise of such option), and any related transfer of shares of Common Stock to the Company for the purpose of paying the exercise price of such options or for paying taxes (including estimated taxes) due as a result of the exercise of such options; </w:t>
      </w:r>
      <w:r>
        <w:rPr>
          <w:rFonts w:ascii="Times New Roman" w:cs="Times New Roman" w:eastAsia="Times New Roman" w:hAnsi="Times New Roman"/>
          <w:sz w:val="12"/>
          <w:szCs w:val="12"/>
          <w:i w:val="1"/>
          <w:iCs w:val="1"/>
          <w:u w:val="single" w:color="auto"/>
          <w:color w:val="auto"/>
        </w:rPr>
        <w:t>provided that</w:t>
      </w:r>
      <w:r>
        <w:rPr>
          <w:rFonts w:ascii="Times New Roman" w:cs="Times New Roman" w:eastAsia="Times New Roman" w:hAnsi="Times New Roman"/>
          <w:sz w:val="12"/>
          <w:szCs w:val="12"/>
          <w:color w:val="auto"/>
        </w:rPr>
        <w:t>, for the avoidance of doubt, the underlying shares of the Common Stock shall continue to be subject to the restrictions on transfer set forth in this lock-up agreement and provided further that no filing by any party (including any donor, donee, transferor, transferee, distributor or distributee) under Section 16 of the Exchange Act or other public announcement shall be required or shall be made voluntarily in connection with such transfer or disposition during the Lock-Up Period;</w:t>
      </w:r>
    </w:p>
    <w:p>
      <w:pPr>
        <w:spacing w:after="0" w:line="122"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disposition (including a forfeiture or repurchase) to the Company of any shares of restricted stock granted pursuant to the terms of any employee benefit plan or restricted stock purchase agreement;</w:t>
      </w:r>
    </w:p>
    <w:p>
      <w:pPr>
        <w:spacing w:after="0" w:line="150" w:lineRule="exact"/>
        <w:rPr>
          <w:rFonts w:ascii="Times New Roman" w:cs="Times New Roman" w:eastAsia="Times New Roman" w:hAnsi="Times New Roman"/>
          <w:sz w:val="12"/>
          <w:szCs w:val="12"/>
          <w:color w:val="auto"/>
        </w:rPr>
      </w:pPr>
    </w:p>
    <w:p>
      <w:pPr>
        <w:jc w:val="both"/>
        <w:ind w:firstLine="424"/>
        <w:spacing w:after="0" w:line="260" w:lineRule="auto"/>
        <w:tabs>
          <w:tab w:leader="none" w:pos="883"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transfer to the Company in connection with the net settlement of any restricted stock units or other equity award that represents the right to receive in the future shares of Company Common Stock settled in Common Stock to pay tax withholding obligations; </w:t>
      </w:r>
      <w:r>
        <w:rPr>
          <w:rFonts w:ascii="Times New Roman" w:cs="Times New Roman" w:eastAsia="Times New Roman" w:hAnsi="Times New Roman"/>
          <w:sz w:val="12"/>
          <w:szCs w:val="12"/>
          <w:i w:val="1"/>
          <w:iCs w:val="1"/>
          <w:u w:val="single" w:color="auto"/>
          <w:color w:val="auto"/>
        </w:rPr>
        <w:t>provided that</w:t>
      </w:r>
      <w:r>
        <w:rPr>
          <w:rFonts w:ascii="Times New Roman" w:cs="Times New Roman" w:eastAsia="Times New Roman" w:hAnsi="Times New Roman"/>
          <w:sz w:val="12"/>
          <w:szCs w:val="12"/>
          <w:color w:val="auto"/>
        </w:rPr>
        <w:t>, for the avoidance of doubt, the underlying shares of Common Stock shall continue to be subject to the restrictions on transfer set forth in this lock-up agreement and provided further that, any required filings with the Securities Exchange Commission during the Lock-Up Period shall clearly indicate in the footnotes thereto the nature and conditions of such transfer and no voluntary filings or announcements shall be made in connection with such transfer;</w:t>
      </w:r>
    </w:p>
    <w:p>
      <w:pPr>
        <w:spacing w:after="0" w:line="122"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of Common Stock purchased by the undersigned on the open market or in the Private Placement, in each case following the closing of the Private Placement;</w:t>
      </w:r>
    </w:p>
    <w:p>
      <w:pPr>
        <w:spacing w:after="0" w:line="148" w:lineRule="exact"/>
        <w:rPr>
          <w:rFonts w:ascii="Times New Roman" w:cs="Times New Roman" w:eastAsia="Times New Roman" w:hAnsi="Times New Roman"/>
          <w:sz w:val="12"/>
          <w:szCs w:val="12"/>
          <w:color w:val="auto"/>
        </w:rPr>
      </w:pPr>
    </w:p>
    <w:p>
      <w:pPr>
        <w:ind w:right="20" w:firstLine="424"/>
        <w:spacing w:after="0" w:line="283" w:lineRule="auto"/>
        <w:tabs>
          <w:tab w:leader="none" w:pos="865"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pursuant to a bona-fide third party tender offer, merger, consolidation or other similar transaction made to all holders of the Company’s capital stock involving a Change of Control of the Company, </w:t>
      </w:r>
      <w:r>
        <w:rPr>
          <w:rFonts w:ascii="Times New Roman" w:cs="Times New Roman" w:eastAsia="Times New Roman" w:hAnsi="Times New Roman"/>
          <w:sz w:val="12"/>
          <w:szCs w:val="12"/>
          <w:i w:val="1"/>
          <w:iCs w:val="1"/>
          <w:u w:val="single" w:color="auto"/>
          <w:color w:val="auto"/>
        </w:rPr>
        <w:t>provided that</w:t>
      </w:r>
      <w:r>
        <w:rPr>
          <w:rFonts w:ascii="Times New Roman" w:cs="Times New Roman" w:eastAsia="Times New Roman" w:hAnsi="Times New Roman"/>
          <w:sz w:val="12"/>
          <w:szCs w:val="12"/>
          <w:color w:val="auto"/>
        </w:rPr>
        <w:t xml:space="preserve"> in the event that such tender offer, merger, consolidation or other such transaction is not completed, the Lock-Up Securities shall remain subject to the restrictions contained in this lock-up agreement; or</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6" w:name="page77"/>
    <w:bookmarkEnd w:id="76"/>
    <w:p>
      <w:pPr>
        <w:ind w:left="880" w:hanging="456"/>
        <w:spacing w:after="0"/>
        <w:tabs>
          <w:tab w:leader="none" w:pos="8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an order of a court or regulatory agency.</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For purposes of this lock-up agreement,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Notwithstanding anything herein to the contrary, nothing herein shall prevent the undersigned from establishing a 10b5-1 trading plan that complies with Rule 10b5-1 under the Exchange Act (“</w:t>
      </w:r>
      <w:r>
        <w:rPr>
          <w:rFonts w:ascii="Times New Roman" w:cs="Times New Roman" w:eastAsia="Times New Roman" w:hAnsi="Times New Roman"/>
          <w:sz w:val="12"/>
          <w:szCs w:val="12"/>
          <w:u w:val="single" w:color="auto"/>
          <w:color w:val="auto"/>
        </w:rPr>
        <w:t>10b5-1 Trading Plan</w:t>
      </w:r>
      <w:r>
        <w:rPr>
          <w:rFonts w:ascii="Times New Roman" w:cs="Times New Roman" w:eastAsia="Times New Roman" w:hAnsi="Times New Roman"/>
          <w:sz w:val="12"/>
          <w:szCs w:val="12"/>
          <w:color w:val="auto"/>
        </w:rPr>
        <w:t>”) or from amending an existing 10b5-1 Trading Plan so long as there are no sales of Lock-Up Securities under any such 10b5-1 Trading Plan during the Lock-Up Period; and provided that, the establishment of a 10b5-1 Trading Plan or the amendment of a 10b5-1 Trading Plan shall only be permitted if the undersigned does not voluntarily effect any public filing or report regarding the establishment or amendment of such plan.</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undersigned also agrees and consents to the entry of stop transfer instructions with the Company’s transfer agent and registrar against the transfer of the Lock-Up Securities except in compliance with the foregoing restrictions. This lock-up agreement shall automatically terminate, and the undersigned shall be released from the undersigned’s obligations hereunder, upon the earliest to occur, if any, of (i) prior to the execution of the Purchase Agreement, the Company advises the Placement Agents in writing that it has determined not to proceed with the Private Placement; (ii) the Purchase Agreement is executed but is terminated prior to the closing of the Private Placement (other than the provisions thereof which survive termination), or (iii) July 31, 2024, in the event that the Purchase Agreement has not been executed by such date.</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This lock-up agreement shall be governed by, and construed in accordance with, the laws of the State of New York.</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FOLLOWS]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7" w:name="page78"/>
    <w:bookmarkEnd w:id="77"/>
    <w:p>
      <w:pPr>
        <w:ind w:left="4520"/>
        <w:spacing w:after="0"/>
        <w:rPr>
          <w:sz w:val="20"/>
          <w:szCs w:val="20"/>
          <w:color w:val="auto"/>
        </w:rPr>
      </w:pPr>
      <w:r>
        <w:rPr>
          <w:rFonts w:ascii="Times New Roman" w:cs="Times New Roman" w:eastAsia="Times New Roman" w:hAnsi="Times New Roman"/>
          <w:sz w:val="12"/>
          <w:szCs w:val="12"/>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2865755</wp:posOffset>
            </wp:positionH>
            <wp:positionV relativeFrom="paragraph">
              <wp:posOffset>199390</wp:posOffset>
            </wp:positionV>
            <wp:extent cx="3583305"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83305" cy="11430"/>
                    </a:xfrm>
                    <a:prstGeom prst="rect">
                      <a:avLst/>
                    </a:prstGeom>
                    <a:noFill/>
                  </pic:spPr>
                </pic:pic>
              </a:graphicData>
            </a:graphic>
          </wp:anchor>
        </w:drawing>
      </w:r>
    </w:p>
    <w:p>
      <w:pPr>
        <w:spacing w:after="0" w:line="29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 xml:space="preserve">Name of Security Holder </w:t>
      </w:r>
      <w:r>
        <w:rPr>
          <w:rFonts w:ascii="Times New Roman" w:cs="Times New Roman" w:eastAsia="Times New Roman" w:hAnsi="Times New Roman"/>
          <w:sz w:val="12"/>
          <w:szCs w:val="12"/>
          <w:i w:val="1"/>
          <w:iCs w:val="1"/>
          <w:color w:val="auto"/>
        </w:rPr>
        <w:t>(Print exact name</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color w:val="auto"/>
        </w:rPr>
        <w:t>By:</w:t>
      </w:r>
    </w:p>
    <w:p>
      <w:pPr>
        <w:spacing w:after="0" w:line="2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-85725</wp:posOffset>
            </wp:positionV>
            <wp:extent cx="265176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51760" cy="11430"/>
                    </a:xfrm>
                    <a:prstGeom prst="rect">
                      <a:avLst/>
                    </a:prstGeom>
                    <a:noFill/>
                  </pic:spPr>
                </pic:pic>
              </a:graphicData>
            </a:graphic>
          </wp:anchor>
        </w:drawing>
      </w:r>
    </w:p>
    <w:p>
      <w:pPr>
        <w:spacing w:after="0" w:line="13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If not signing in an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2865755</wp:posOffset>
            </wp:positionH>
            <wp:positionV relativeFrom="paragraph">
              <wp:posOffset>199390</wp:posOffset>
            </wp:positionV>
            <wp:extent cx="3583305"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83305" cy="11430"/>
                    </a:xfrm>
                    <a:prstGeom prst="rect">
                      <a:avLst/>
                    </a:prstGeom>
                    <a:noFill/>
                  </pic:spPr>
                </pic:pic>
              </a:graphicData>
            </a:graphic>
          </wp:anchor>
        </w:drawing>
      </w:r>
    </w:p>
    <w:p>
      <w:pPr>
        <w:spacing w:after="0" w:line="29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 xml:space="preserve">Name of Authorized Signatory </w:t>
      </w:r>
      <w:r>
        <w:rPr>
          <w:rFonts w:ascii="Times New Roman" w:cs="Times New Roman" w:eastAsia="Times New Roman" w:hAnsi="Times New Roman"/>
          <w:sz w:val="12"/>
          <w:szCs w:val="12"/>
          <w:i w:val="1"/>
          <w:iCs w:val="1"/>
          <w:color w:val="auto"/>
        </w:rPr>
        <w:t>(Print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2865755</wp:posOffset>
            </wp:positionH>
            <wp:positionV relativeFrom="paragraph">
              <wp:posOffset>200660</wp:posOffset>
            </wp:positionV>
            <wp:extent cx="3583305"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83305" cy="11430"/>
                    </a:xfrm>
                    <a:prstGeom prst="rect">
                      <a:avLst/>
                    </a:prstGeom>
                    <a:noFill/>
                  </pic:spPr>
                </pic:pic>
              </a:graphicData>
            </a:graphic>
          </wp:anchor>
        </w:drawing>
      </w:r>
    </w:p>
    <w:p>
      <w:pPr>
        <w:spacing w:after="0" w:line="30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 xml:space="preserve">Title of Authorized Signatory </w:t>
      </w:r>
      <w:r>
        <w:rPr>
          <w:rFonts w:ascii="Times New Roman" w:cs="Times New Roman" w:eastAsia="Times New Roman" w:hAnsi="Times New Roman"/>
          <w:sz w:val="12"/>
          <w:szCs w:val="12"/>
          <w:i w:val="1"/>
          <w:iCs w:val="1"/>
          <w:color w:val="auto"/>
        </w:rPr>
        <w:t>(Print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1"/>
          <w:szCs w:val="11"/>
          <w:i w:val="1"/>
          <w:iCs w:val="1"/>
          <w:color w:val="auto"/>
        </w:rPr>
        <w:t>(indicate capacity of person signing if signing as custodian, trustee, or on behalf of an entity)</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8"/>
          <w:szCs w:val="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36195</wp:posOffset>
            </wp:positionV>
            <wp:extent cx="717804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129" w:right="1440"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186055</wp:posOffset>
            </wp:positionV>
            <wp:extent cx="7178040"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EXHIBIT B</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FORM OF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186055</wp:posOffset>
            </wp:positionV>
            <wp:extent cx="717804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0" w:name="page81"/>
    <w:bookmarkEnd w:id="80"/>
    <w:p>
      <w:pPr>
        <w:jc w:val="center"/>
        <w:ind w:right="-1128"/>
        <w:spacing w:after="0"/>
        <w:rPr>
          <w:sz w:val="20"/>
          <w:szCs w:val="20"/>
          <w:color w:val="auto"/>
        </w:rPr>
      </w:pPr>
      <w:r>
        <w:rPr>
          <w:rFonts w:ascii="Times New Roman" w:cs="Times New Roman" w:eastAsia="Times New Roman" w:hAnsi="Times New Roman"/>
          <w:sz w:val="12"/>
          <w:szCs w:val="12"/>
          <w:b w:val="1"/>
          <w:bCs w:val="1"/>
          <w:color w:val="auto"/>
        </w:rPr>
        <w:t>EXHIBIT C</w:t>
      </w:r>
    </w:p>
    <w:p>
      <w:pPr>
        <w:spacing w:after="0" w:line="150" w:lineRule="exact"/>
        <w:rPr>
          <w:sz w:val="20"/>
          <w:szCs w:val="20"/>
          <w:color w:val="auto"/>
        </w:rPr>
      </w:pPr>
    </w:p>
    <w:p>
      <w:pPr>
        <w:ind w:left="4608"/>
        <w:spacing w:after="0"/>
        <w:rPr>
          <w:sz w:val="20"/>
          <w:szCs w:val="20"/>
          <w:color w:val="auto"/>
        </w:rPr>
      </w:pPr>
      <w:r>
        <w:rPr>
          <w:rFonts w:ascii="Times New Roman" w:cs="Times New Roman" w:eastAsia="Times New Roman" w:hAnsi="Times New Roman"/>
          <w:sz w:val="12"/>
          <w:szCs w:val="12"/>
          <w:b w:val="1"/>
          <w:bCs w:val="1"/>
          <w:color w:val="auto"/>
        </w:rPr>
        <w:t>STOCK ISSUANCE QUESTIONNAIRE</w:t>
      </w:r>
    </w:p>
    <w:p>
      <w:pPr>
        <w:spacing w:after="0" w:line="150"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 xml:space="preserve">Pursuant to </w:t>
      </w:r>
      <w:r>
        <w:rPr>
          <w:rFonts w:ascii="Times New Roman" w:cs="Times New Roman" w:eastAsia="Times New Roman" w:hAnsi="Times New Roman"/>
          <w:sz w:val="12"/>
          <w:szCs w:val="12"/>
          <w:b w:val="1"/>
          <w:bCs w:val="1"/>
          <w:color w:val="auto"/>
        </w:rPr>
        <w:t>Section 2.2(b)</w:t>
      </w:r>
      <w:r>
        <w:rPr>
          <w:rFonts w:ascii="Times New Roman" w:cs="Times New Roman" w:eastAsia="Times New Roman" w:hAnsi="Times New Roman"/>
          <w:sz w:val="12"/>
          <w:szCs w:val="12"/>
          <w:color w:val="auto"/>
        </w:rPr>
        <w:t xml:space="preserve"> of the Agreement, please provide us with the following information:</w:t>
      </w:r>
    </w:p>
    <w:p>
      <w:pPr>
        <w:spacing w:after="0" w:line="154" w:lineRule="exact"/>
        <w:rPr>
          <w:sz w:val="20"/>
          <w:szCs w:val="20"/>
          <w:color w:val="auto"/>
        </w:rPr>
      </w:pPr>
    </w:p>
    <w:p>
      <w:pPr>
        <w:ind w:left="448" w:hanging="448"/>
        <w:spacing w:after="0"/>
        <w:tabs>
          <w:tab w:leader="none" w:pos="448"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exact name that the Securities are to be registered in (this is the name that will appear on the book-entry statements). You may use a nominee name if appropriate:</w:t>
      </w:r>
    </w:p>
    <w:p>
      <w:pPr>
        <w:spacing w:after="0" w:line="179" w:lineRule="exact"/>
        <w:rPr>
          <w:rFonts w:ascii="Times New Roman" w:cs="Times New Roman" w:eastAsia="Times New Roman" w:hAnsi="Times New Roman"/>
          <w:sz w:val="11"/>
          <w:szCs w:val="11"/>
          <w:color w:val="auto"/>
        </w:rPr>
      </w:pPr>
    </w:p>
    <w:p>
      <w:pPr>
        <w:ind w:left="448" w:hanging="448"/>
        <w:spacing w:after="0"/>
        <w:tabs>
          <w:tab w:leader="none" w:pos="44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relationship between the Purchaser of the Securities and the Registered Holder listed in response to Item 1 above:</w:t>
      </w:r>
    </w:p>
    <w:p>
      <w:pPr>
        <w:spacing w:after="0" w:line="168" w:lineRule="exact"/>
        <w:rPr>
          <w:rFonts w:ascii="Times New Roman" w:cs="Times New Roman" w:eastAsia="Times New Roman" w:hAnsi="Times New Roman"/>
          <w:sz w:val="12"/>
          <w:szCs w:val="12"/>
          <w:color w:val="auto"/>
        </w:rPr>
      </w:pPr>
    </w:p>
    <w:p>
      <w:pPr>
        <w:ind w:left="448" w:hanging="448"/>
        <w:spacing w:after="0"/>
        <w:tabs>
          <w:tab w:leader="none" w:pos="44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mailing address, telephone and telecopy number of the Registered Holder listed in response to Item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782320</wp:posOffset>
            </wp:positionV>
            <wp:extent cx="689229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92290" cy="1143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588010</wp:posOffset>
            </wp:positionV>
            <wp:extent cx="689229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92290" cy="1143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393700</wp:posOffset>
            </wp:positionV>
            <wp:extent cx="689229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92290" cy="1143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199390</wp:posOffset>
            </wp:positionV>
            <wp:extent cx="6892290"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92290" cy="11430"/>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10795</wp:posOffset>
            </wp:positionV>
            <wp:extent cx="1440180"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40180" cy="11430"/>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-182880</wp:posOffset>
            </wp:positionV>
            <wp:extent cx="1440180"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40180" cy="11430"/>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-377190</wp:posOffset>
            </wp:positionV>
            <wp:extent cx="1440180"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4018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48" w:hanging="448"/>
        <w:spacing w:after="0"/>
        <w:tabs>
          <w:tab w:leader="none" w:pos="448"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 Tax Identification Number (or, if an individual, the U.S. Social Security Number) of the Registered Holder listed in response to Item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5737860</wp:posOffset>
            </wp:positionH>
            <wp:positionV relativeFrom="paragraph">
              <wp:posOffset>10795</wp:posOffset>
            </wp:positionV>
            <wp:extent cx="1440180"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4018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187960</wp:posOffset>
            </wp:positionV>
            <wp:extent cx="7178040"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67"/>
          </w:cols>
          <w:pgMar w:left="292" w:top="125" w:right="1440"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EXHIBIT D</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FORM OF IRREVOCABLE TRANSFER AGENT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186055</wp:posOffset>
            </wp:positionV>
            <wp:extent cx="7178040"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EXHIBIT 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FORM OF SECRETARY’S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186055</wp:posOffset>
            </wp:positionV>
            <wp:extent cx="7178040"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EXHIBIT F</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FORM OF OFFICERS’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186055</wp:posOffset>
            </wp:positionV>
            <wp:extent cx="7178040" cy="11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EXHIBIT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179070</wp:posOffset>
            </wp:positionV>
            <wp:extent cx="7178040" cy="11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2"/>
          <w:szCs w:val="12"/>
          <w:b w:val="1"/>
          <w:bCs w:val="1"/>
          <w:color w:val="auto"/>
        </w:rPr>
        <w:t>EXHIBIT H</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FORM OF PURCHASER REPRESENTATION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243205</wp:posOffset>
            </wp:positionV>
            <wp:extent cx="7178040" cy="11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10.2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REGISTRATION RIGHTS AGREEMENT</w:t>
      </w:r>
    </w:p>
    <w:p>
      <w:pPr>
        <w:spacing w:after="0" w:line="150" w:lineRule="exact"/>
        <w:rPr>
          <w:sz w:val="20"/>
          <w:szCs w:val="20"/>
          <w:color w:val="auto"/>
        </w:rPr>
      </w:pPr>
    </w:p>
    <w:p>
      <w:pPr>
        <w:ind w:right="60" w:firstLine="661"/>
        <w:spacing w:after="0" w:line="286" w:lineRule="auto"/>
        <w:rPr>
          <w:sz w:val="20"/>
          <w:szCs w:val="20"/>
          <w:color w:val="auto"/>
        </w:rPr>
      </w:pPr>
      <w:r>
        <w:rPr>
          <w:rFonts w:ascii="Times New Roman" w:cs="Times New Roman" w:eastAsia="Times New Roman" w:hAnsi="Times New Roman"/>
          <w:sz w:val="12"/>
          <w:szCs w:val="12"/>
          <w:color w:val="auto"/>
        </w:rPr>
        <w:t>This Registration Rights Agreement (this “</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is dated as of July 2, 2024, by and among Cartesian Therapeutics, Inc., a Delaware corporation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and the several purchasers signatory hereto (each, including its successors and assigns, a “</w:t>
      </w:r>
      <w:r>
        <w:rPr>
          <w:rFonts w:ascii="Times New Roman" w:cs="Times New Roman" w:eastAsia="Times New Roman" w:hAnsi="Times New Roman"/>
          <w:sz w:val="12"/>
          <w:szCs w:val="12"/>
          <w:b w:val="1"/>
          <w:bCs w:val="1"/>
          <w:i w:val="1"/>
          <w:iCs w:val="1"/>
          <w:color w:val="auto"/>
        </w:rPr>
        <w:t>Purchaser</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i w:val="1"/>
          <w:iCs w:val="1"/>
          <w:color w:val="auto"/>
        </w:rPr>
        <w:t>Purchasers</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This Agreement is made pursuant to the Securities Purchase Agreement, dated as of the date hereof, among the Company and each Purchaser party thereto (the “</w:t>
      </w:r>
      <w:r>
        <w:rPr>
          <w:rFonts w:ascii="Times New Roman" w:cs="Times New Roman" w:eastAsia="Times New Roman" w:hAnsi="Times New Roman"/>
          <w:sz w:val="12"/>
          <w:szCs w:val="12"/>
          <w:b w:val="1"/>
          <w:bCs w:val="1"/>
          <w:i w:val="1"/>
          <w:iCs w:val="1"/>
          <w:color w:val="auto"/>
        </w:rPr>
        <w:t>Purchase Agreement</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NOW, THEREFORE, IN CONSIDERATION of the mutual covenants contained in this Agreement, and for other good and valuable consideration, the receipt and adequacy of which are hereby acknowledged,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and each of the Purchasers agree as follows:</w:t>
      </w:r>
    </w:p>
    <w:p>
      <w:pPr>
        <w:spacing w:after="0" w:line="139" w:lineRule="exact"/>
        <w:rPr>
          <w:sz w:val="20"/>
          <w:szCs w:val="20"/>
          <w:color w:val="auto"/>
        </w:rPr>
      </w:pPr>
    </w:p>
    <w:p>
      <w:pPr>
        <w:ind w:right="120" w:firstLine="286"/>
        <w:spacing w:after="0" w:line="279" w:lineRule="auto"/>
        <w:tabs>
          <w:tab w:leader="none" w:pos="414"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 Capitalized terms used and not otherwise defined herein that are defined in the Purchase Agreement shall have the meanings given such terms in the Purchase Agreement. As used in this Agreement, the following terms shall have the following meanings:</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Advice</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6(d)</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has the meaning set forth in the Preamble.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Allowed Suspension</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6(d)</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Common Stock</w:t>
      </w:r>
      <w:r>
        <w:rPr>
          <w:rFonts w:ascii="Times New Roman" w:cs="Times New Roman" w:eastAsia="Times New Roman" w:hAnsi="Times New Roman"/>
          <w:sz w:val="12"/>
          <w:szCs w:val="12"/>
          <w:color w:val="auto"/>
        </w:rPr>
        <w:t>” means the Company’s common stock, par value $0.0001 per share, and stock of any other class of securities into which such securities may hereafter be reclassified or changed.</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has the meaning set forth in the Preamble.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Effective Date</w:t>
      </w:r>
      <w:r>
        <w:rPr>
          <w:rFonts w:ascii="Times New Roman" w:cs="Times New Roman" w:eastAsia="Times New Roman" w:hAnsi="Times New Roman"/>
          <w:sz w:val="12"/>
          <w:szCs w:val="12"/>
          <w:color w:val="auto"/>
        </w:rPr>
        <w:t xml:space="preserve">” means the date that the Registration Statement filed pursuant to </w:t>
      </w:r>
      <w:r>
        <w:rPr>
          <w:rFonts w:ascii="Times New Roman" w:cs="Times New Roman" w:eastAsia="Times New Roman" w:hAnsi="Times New Roman"/>
          <w:sz w:val="12"/>
          <w:szCs w:val="12"/>
          <w:u w:val="single" w:color="auto"/>
          <w:color w:val="auto"/>
        </w:rPr>
        <w:t>Section 2(a)</w:t>
      </w:r>
      <w:r>
        <w:rPr>
          <w:rFonts w:ascii="Times New Roman" w:cs="Times New Roman" w:eastAsia="Times New Roman" w:hAnsi="Times New Roman"/>
          <w:sz w:val="12"/>
          <w:szCs w:val="12"/>
          <w:color w:val="auto"/>
        </w:rPr>
        <w:t xml:space="preserve"> is first declared effective by the Commission.</w:t>
      </w:r>
    </w:p>
    <w:p>
      <w:pPr>
        <w:spacing w:after="0" w:line="150" w:lineRule="exact"/>
        <w:rPr>
          <w:sz w:val="20"/>
          <w:szCs w:val="20"/>
          <w:color w:val="auto"/>
        </w:rPr>
      </w:pPr>
    </w:p>
    <w:p>
      <w:pPr>
        <w:ind w:right="20" w:firstLine="661"/>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Effectiveness Deadline</w:t>
      </w:r>
      <w:r>
        <w:rPr>
          <w:rFonts w:ascii="Times New Roman" w:cs="Times New Roman" w:eastAsia="Times New Roman" w:hAnsi="Times New Roman"/>
          <w:sz w:val="12"/>
          <w:szCs w:val="12"/>
          <w:color w:val="auto"/>
        </w:rPr>
        <w:t>” means, with respect to the Initial Registration Statement or the New Registration Statement, the 90th calendar day following the Closing Date (or, in the event the Commission reviews and has written comments to the Initial Registration Statement or the New Registration Statement, the 120th calendar day following the Closing Date); provided, however, that (i) if the Company is notified by the Commission that the Initial Registration Statement or the New Registration Statement will not be reviewed or is no longer subject to further review and comments, the Effectiveness Deadline as to such Registration Statement shall be the fifth Trading Day following the date on which the Company is so notified if such date precedes the dates otherwise required above; and (ii) if the Effectiveness Deadline falls on a Saturday, Sunday or other day that the Commission is closed for business, the Effectiveness Deadline shall be extended to the next Business Day on which the Commission is open for business.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Effectiveness Liquidated Damages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2(e)(ii)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Effectiveness Period</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60" w:firstLine="66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Filing Deadline</w:t>
      </w:r>
      <w:r>
        <w:rPr>
          <w:rFonts w:ascii="Times New Roman" w:cs="Times New Roman" w:eastAsia="Times New Roman" w:hAnsi="Times New Roman"/>
          <w:sz w:val="12"/>
          <w:szCs w:val="12"/>
          <w:color w:val="auto"/>
        </w:rPr>
        <w:t xml:space="preserve">” means, with respect to the Initial Registration Statement required to be filed pursuant to </w:t>
      </w:r>
      <w:r>
        <w:rPr>
          <w:rFonts w:ascii="Times New Roman" w:cs="Times New Roman" w:eastAsia="Times New Roman" w:hAnsi="Times New Roman"/>
          <w:sz w:val="12"/>
          <w:szCs w:val="12"/>
          <w:u w:val="single" w:color="auto"/>
          <w:color w:val="auto"/>
        </w:rPr>
        <w:t>Section 2(a)</w:t>
      </w:r>
      <w:r>
        <w:rPr>
          <w:rFonts w:ascii="Times New Roman" w:cs="Times New Roman" w:eastAsia="Times New Roman" w:hAnsi="Times New Roman"/>
          <w:sz w:val="12"/>
          <w:szCs w:val="12"/>
          <w:color w:val="auto"/>
        </w:rPr>
        <w:t>, no later than the 30th calendar day following the Closing Date, provided, however, that if the Filing Deadline falls on a Saturday, Sunday or other day that the Commission is closed for business, the Filing Deadline shall be extended to the next Business Day on which the Commission is open for business.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FINRA</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3(i)</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179070</wp:posOffset>
            </wp:positionV>
            <wp:extent cx="7178040" cy="1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24" w:right="29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Holder</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Holders</w:t>
      </w:r>
      <w:r>
        <w:rPr>
          <w:rFonts w:ascii="Times New Roman" w:cs="Times New Roman" w:eastAsia="Times New Roman" w:hAnsi="Times New Roman"/>
          <w:sz w:val="12"/>
          <w:szCs w:val="12"/>
          <w:color w:val="auto"/>
        </w:rPr>
        <w:t>” means the holder or holders, as the case may be, from time to time of Registrable Securities.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Indemnified Party</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5(c)</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Indemnifying Party</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5(c)</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Initial Registration Statement</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Liquidated Damages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2(e)(ii)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Losses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5(a)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Maintenance Failure</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2(e)(ii)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New Registration Statement</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Principal Market</w:t>
      </w:r>
      <w:r>
        <w:rPr>
          <w:rFonts w:ascii="Times New Roman" w:cs="Times New Roman" w:eastAsia="Times New Roman" w:hAnsi="Times New Roman"/>
          <w:sz w:val="12"/>
          <w:szCs w:val="12"/>
          <w:color w:val="auto"/>
        </w:rPr>
        <w:t>” means the Trading Market on which the Common Stock is primarily listed on and quoted for trading, which, as of the Closing Date, shall be the Nasdaq Global Market.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Proceeding</w:t>
      </w:r>
      <w:r>
        <w:rPr>
          <w:rFonts w:ascii="Times New Roman" w:cs="Times New Roman" w:eastAsia="Times New Roman" w:hAnsi="Times New Roman"/>
          <w:sz w:val="12"/>
          <w:szCs w:val="12"/>
          <w:color w:val="auto"/>
        </w:rPr>
        <w:t>” means an action, claim, suit, investigation or proceeding (including, without limitation, an investigation or partial proceeding, such as a deposition), whether commenced or threatened.</w:t>
      </w:r>
    </w:p>
    <w:p>
      <w:pPr>
        <w:spacing w:after="0" w:line="150" w:lineRule="exact"/>
        <w:rPr>
          <w:sz w:val="20"/>
          <w:szCs w:val="20"/>
          <w:color w:val="auto"/>
        </w:rPr>
      </w:pPr>
    </w:p>
    <w:p>
      <w:pPr>
        <w:ind w:firstLine="661"/>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Prospectus</w:t>
      </w:r>
      <w:r>
        <w:rPr>
          <w:rFonts w:ascii="Times New Roman" w:cs="Times New Roman" w:eastAsia="Times New Roman" w:hAnsi="Times New Roman"/>
          <w:sz w:val="12"/>
          <w:szCs w:val="12"/>
          <w:color w:val="auto"/>
        </w:rPr>
        <w:t>” means the prospectus included in a Registration Statement (including, without limitation, a prospectus that includes any information previously omitted from a prospectus filed as part of an effective registration statement in reliance upon Rule 430B promulgated under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Purchase Agreement</w:t>
      </w:r>
      <w:r>
        <w:rPr>
          <w:rFonts w:ascii="Times New Roman" w:cs="Times New Roman" w:eastAsia="Times New Roman" w:hAnsi="Times New Roman"/>
          <w:sz w:val="12"/>
          <w:szCs w:val="12"/>
          <w:color w:val="auto"/>
        </w:rPr>
        <w:t>” has the meaning set forth in the Recitals.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Purchaser</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Purchasers</w:t>
      </w:r>
      <w:r>
        <w:rPr>
          <w:rFonts w:ascii="Times New Roman" w:cs="Times New Roman" w:eastAsia="Times New Roman" w:hAnsi="Times New Roman"/>
          <w:sz w:val="12"/>
          <w:szCs w:val="12"/>
          <w:color w:val="auto"/>
        </w:rPr>
        <w:t>” has the meaning set forth in the Preamble.</w:t>
      </w:r>
    </w:p>
    <w:p>
      <w:pPr>
        <w:spacing w:after="0" w:line="150" w:lineRule="exact"/>
        <w:rPr>
          <w:sz w:val="20"/>
          <w:szCs w:val="20"/>
          <w:color w:val="auto"/>
        </w:rPr>
      </w:pPr>
    </w:p>
    <w:p>
      <w:pPr>
        <w:ind w:right="120" w:firstLine="661"/>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Registrable Securities</w:t>
      </w:r>
      <w:r>
        <w:rPr>
          <w:rFonts w:ascii="Times New Roman" w:cs="Times New Roman" w:eastAsia="Times New Roman" w:hAnsi="Times New Roman"/>
          <w:sz w:val="12"/>
          <w:szCs w:val="12"/>
          <w:color w:val="auto"/>
        </w:rPr>
        <w:t>” means all of (i) the Shares and (ii) any securities issued or issuable upon any stock split, dividend or other distribution, recapitalization or similar event with respect to the Shares; and provided, further, that, with respect to a particular Holder, such Holder’s Shares shall cease to be Registrable Securities upon the earlier to occur of the following: (A) a sale pursuant to a Registration Statement or Rule 144 under the Securities Act (in which case, only such security sold by the Holder shall cease to be a Registrable Security); and (B) such Shares become eligible for resale by the Holder under Rule 144 without the requirement for the Company to be in compliance with the current public information required by Rule 144(c) or Rule 144(i)(2) thereunder and without volume or manner-of-sale restrictions, pursuant to a written opinion letter of counsel for the Company to such effect, addressed, delivered and reasonably acceptable to the Transfer Agent.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Registration Failure</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2(e)(i)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Registration Liquidated Damages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2(e)(i)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40" w:firstLine="661"/>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Registration Statements</w:t>
      </w:r>
      <w:r>
        <w:rPr>
          <w:rFonts w:ascii="Times New Roman" w:cs="Times New Roman" w:eastAsia="Times New Roman" w:hAnsi="Times New Roman"/>
          <w:sz w:val="12"/>
          <w:szCs w:val="12"/>
          <w:color w:val="auto"/>
        </w:rPr>
        <w:t>” means any one or more registration statements of the Company filed under the Securities Act that cover the resale of any of the Registrable Securities pursuant to the provisions of this Agreement (including without limitation the Initial Registration Statement, any New Registration Statement and any Remainder Registration Statements), amendments and supplements to such Registration Statements, including post-effective amendments, all exhibits and all material incorporated by reference or deemed to be incorporated by reference in such Registration Statements.</w:t>
      </w: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Remainder Registration Statement</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80" w:firstLine="66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Rule 144</w:t>
      </w:r>
      <w:r>
        <w:rPr>
          <w:rFonts w:ascii="Times New Roman" w:cs="Times New Roman" w:eastAsia="Times New Roman" w:hAnsi="Times New Roman"/>
          <w:sz w:val="12"/>
          <w:szCs w:val="12"/>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03" w:lineRule="exact"/>
        <w:rPr>
          <w:sz w:val="20"/>
          <w:szCs w:val="20"/>
          <w:color w:val="auto"/>
        </w:rPr>
      </w:pPr>
    </w:p>
    <w:p>
      <w:pPr>
        <w:ind w:right="80" w:firstLine="66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Rule 172</w:t>
      </w:r>
      <w:r>
        <w:rPr>
          <w:rFonts w:ascii="Times New Roman" w:cs="Times New Roman" w:eastAsia="Times New Roman" w:hAnsi="Times New Roman"/>
          <w:sz w:val="12"/>
          <w:szCs w:val="12"/>
          <w:color w:val="auto"/>
        </w:rPr>
        <w:t>” means Rule 172 promulgated by the Commission pursuant to the Securities Act, as such Rule may be amended from time to time, or any similar rule or regulation hereafter adopted by the Commission having substantially the same effect as such Rule.</w:t>
      </w:r>
    </w:p>
    <w:p>
      <w:pPr>
        <w:spacing w:after="0" w:line="103" w:lineRule="exact"/>
        <w:rPr>
          <w:sz w:val="20"/>
          <w:szCs w:val="20"/>
          <w:color w:val="auto"/>
        </w:rPr>
      </w:pPr>
    </w:p>
    <w:p>
      <w:pPr>
        <w:ind w:right="80" w:firstLine="66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Rule 415</w:t>
      </w:r>
      <w:r>
        <w:rPr>
          <w:rFonts w:ascii="Times New Roman" w:cs="Times New Roman" w:eastAsia="Times New Roman" w:hAnsi="Times New Roman"/>
          <w:sz w:val="12"/>
          <w:szCs w:val="12"/>
          <w:color w:val="auto"/>
        </w:rPr>
        <w:t>” means Rule 415 promulgated by the Commission pursuant to the Securities Act, as such Rule may be amended from time to time, or any similar rule or regulation hereafter adopted by the Commission having substantially the same effect as such Rule.</w:t>
      </w:r>
    </w:p>
    <w:p>
      <w:pPr>
        <w:spacing w:after="0" w:line="103" w:lineRule="exact"/>
        <w:rPr>
          <w:sz w:val="20"/>
          <w:szCs w:val="20"/>
          <w:color w:val="auto"/>
        </w:rPr>
      </w:pPr>
    </w:p>
    <w:p>
      <w:pPr>
        <w:ind w:right="80" w:firstLine="66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Rule 424</w:t>
      </w:r>
      <w:r>
        <w:rPr>
          <w:rFonts w:ascii="Times New Roman" w:cs="Times New Roman" w:eastAsia="Times New Roman" w:hAnsi="Times New Roman"/>
          <w:sz w:val="12"/>
          <w:szCs w:val="12"/>
          <w:color w:val="auto"/>
        </w:rPr>
        <w:t>” means Rule 424 promulgated by the Commission pursuant to the Securities Act, as such Rule may be amended from time to time, or any similar rule or regulation hereafter adopted by the Commission having substantially the same effect as such Rule.</w:t>
      </w:r>
    </w:p>
    <w:p>
      <w:pPr>
        <w:spacing w:after="0" w:line="103" w:lineRule="exact"/>
        <w:rPr>
          <w:sz w:val="20"/>
          <w:szCs w:val="20"/>
          <w:color w:val="auto"/>
        </w:rPr>
      </w:pPr>
    </w:p>
    <w:p>
      <w:pPr>
        <w:ind w:right="80" w:firstLine="66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Rule 461</w:t>
      </w:r>
      <w:r>
        <w:rPr>
          <w:rFonts w:ascii="Times New Roman" w:cs="Times New Roman" w:eastAsia="Times New Roman" w:hAnsi="Times New Roman"/>
          <w:sz w:val="12"/>
          <w:szCs w:val="12"/>
          <w:color w:val="auto"/>
        </w:rPr>
        <w:t>” means Rule 461 promulgated by the Commission pursuant to the Securities Act, as such Rule may be amended from time to time, or any similar rule or regulation hereafter adopted by the Commission having substantially the same effect as such Rule.</w:t>
      </w:r>
    </w:p>
    <w:p>
      <w:pPr>
        <w:spacing w:after="0" w:line="103" w:lineRule="exact"/>
        <w:rPr>
          <w:sz w:val="20"/>
          <w:szCs w:val="20"/>
          <w:color w:val="auto"/>
        </w:rPr>
      </w:pPr>
    </w:p>
    <w:p>
      <w:pPr>
        <w:ind w:right="220" w:firstLine="66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SEC Guidance</w:t>
      </w:r>
      <w:r>
        <w:rPr>
          <w:rFonts w:ascii="Times New Roman" w:cs="Times New Roman" w:eastAsia="Times New Roman" w:hAnsi="Times New Roman"/>
          <w:sz w:val="12"/>
          <w:szCs w:val="12"/>
          <w:color w:val="auto"/>
        </w:rPr>
        <w:t>” means (i) any publicly available written or oral guidance, comments, requirements or requests of the Commission staff; provided, that any such oral guidance, comments, requirements or requests are reduced to writing by the Commission and (ii) the Securities Act.</w:t>
      </w:r>
    </w:p>
    <w:p>
      <w:pPr>
        <w:spacing w:after="0" w:line="103" w:lineRule="exact"/>
        <w:rPr>
          <w:sz w:val="20"/>
          <w:szCs w:val="20"/>
          <w:color w:val="auto"/>
        </w:rPr>
      </w:pPr>
    </w:p>
    <w:p>
      <w:pPr>
        <w:ind w:right="60" w:firstLine="66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Selling Stockholder Questionnaire</w:t>
      </w:r>
      <w:r>
        <w:rPr>
          <w:rFonts w:ascii="Times New Roman" w:cs="Times New Roman" w:eastAsia="Times New Roman" w:hAnsi="Times New Roman"/>
          <w:sz w:val="12"/>
          <w:szCs w:val="12"/>
          <w:color w:val="auto"/>
        </w:rPr>
        <w:t>” means a questionnaire in the form attached as Annex B hereto, or such other form of questionnaire or information reasonably acceptable to the Company provided to the Company in connection with the preparation of a Registration Statement hereunder.</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Series B Preferred Stock</w:t>
      </w:r>
      <w:r>
        <w:rPr>
          <w:rFonts w:ascii="Times New Roman" w:cs="Times New Roman" w:eastAsia="Times New Roman" w:hAnsi="Times New Roman"/>
          <w:sz w:val="12"/>
          <w:szCs w:val="12"/>
          <w:color w:val="auto"/>
        </w:rPr>
        <w:t>” means the Series B Non-Voting Convertible Preferred Stock, par value $0.0001 per share, of the Company.</w:t>
      </w:r>
    </w:p>
    <w:p>
      <w:pPr>
        <w:spacing w:after="0" w:line="150" w:lineRule="exact"/>
        <w:rPr>
          <w:sz w:val="20"/>
          <w:szCs w:val="20"/>
          <w:color w:val="auto"/>
        </w:rPr>
      </w:pPr>
    </w:p>
    <w:p>
      <w:pPr>
        <w:ind w:right="160" w:firstLine="66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Shares</w:t>
      </w:r>
      <w:r>
        <w:rPr>
          <w:rFonts w:ascii="Times New Roman" w:cs="Times New Roman" w:eastAsia="Times New Roman" w:hAnsi="Times New Roman"/>
          <w:sz w:val="12"/>
          <w:szCs w:val="12"/>
          <w:color w:val="auto"/>
        </w:rPr>
        <w:t>” means (i) the shares of Common Stock issued to the Purchasers pursuant to the Purchase Agreement and (ii) the shares of Common Stock which may be issued upon conversion of the Series B Preferred Stock issued to the Purchasers pursuant to the Purchase Agreement.</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Trading Day</w:t>
      </w:r>
      <w:r>
        <w:rPr>
          <w:rFonts w:ascii="Times New Roman" w:cs="Times New Roman" w:eastAsia="Times New Roman" w:hAnsi="Times New Roman"/>
          <w:sz w:val="12"/>
          <w:szCs w:val="12"/>
          <w:color w:val="auto"/>
        </w:rPr>
        <w:t>” means a day on which the Principal Market is open for business.</w:t>
      </w:r>
    </w:p>
    <w:p>
      <w:pPr>
        <w:spacing w:after="0" w:line="150" w:lineRule="exact"/>
        <w:rPr>
          <w:sz w:val="20"/>
          <w:szCs w:val="20"/>
          <w:color w:val="auto"/>
        </w:rPr>
      </w:pPr>
    </w:p>
    <w:p>
      <w:pPr>
        <w:ind w:firstLine="661"/>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Trading Market</w:t>
      </w:r>
      <w:r>
        <w:rPr>
          <w:rFonts w:ascii="Times New Roman" w:cs="Times New Roman" w:eastAsia="Times New Roman" w:hAnsi="Times New Roman"/>
          <w:sz w:val="12"/>
          <w:szCs w:val="12"/>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ind w:left="460" w:hanging="174"/>
        <w:spacing w:after="0"/>
        <w:tabs>
          <w:tab w:leader="none" w:pos="46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Registration</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firstLine="947"/>
        <w:spacing w:after="0" w:line="252" w:lineRule="auto"/>
        <w:tabs>
          <w:tab w:leader="none" w:pos="1118"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or prior to the Filing Deadline, the Company shall prepare and file with the Commission a Registration Statement covering the resale of all of the Registrable Securities not then registered on an existing and effective Registration Statement for an offering to be made on a continuous basis pursuant to Rule 415 or, if Rule 415 is not available for offers and sales of the Registrable Securities, by such other means of distribution of Registrable Securities as the Holders may reasonably specify (the “</w:t>
      </w:r>
      <w:r>
        <w:rPr>
          <w:rFonts w:ascii="Times New Roman" w:cs="Times New Roman" w:eastAsia="Times New Roman" w:hAnsi="Times New Roman"/>
          <w:sz w:val="12"/>
          <w:szCs w:val="12"/>
          <w:b w:val="1"/>
          <w:bCs w:val="1"/>
          <w:i w:val="1"/>
          <w:iCs w:val="1"/>
          <w:color w:val="auto"/>
        </w:rPr>
        <w:t>Initial Registration Statement</w:t>
      </w:r>
      <w:r>
        <w:rPr>
          <w:rFonts w:ascii="Times New Roman" w:cs="Times New Roman" w:eastAsia="Times New Roman" w:hAnsi="Times New Roman"/>
          <w:sz w:val="12"/>
          <w:szCs w:val="12"/>
          <w:color w:val="auto"/>
        </w:rPr>
        <w:t xml:space="preserve">”). The Initial Registration Statement shall be on Form S-1 subject to the provisions of </w:t>
      </w:r>
      <w:r>
        <w:rPr>
          <w:rFonts w:ascii="Times New Roman" w:cs="Times New Roman" w:eastAsia="Times New Roman" w:hAnsi="Times New Roman"/>
          <w:sz w:val="12"/>
          <w:szCs w:val="12"/>
          <w:u w:val="single" w:color="auto"/>
          <w:color w:val="auto"/>
        </w:rPr>
        <w:t>Section 2(d)</w:t>
      </w:r>
      <w:r>
        <w:rPr>
          <w:rFonts w:ascii="Times New Roman" w:cs="Times New Roman" w:eastAsia="Times New Roman" w:hAnsi="Times New Roman"/>
          <w:sz w:val="12"/>
          <w:szCs w:val="12"/>
          <w:color w:val="auto"/>
        </w:rPr>
        <w:t xml:space="preserve"> and shall contain (except if otherwise required pursuant to written comments received from the Commission upon a review of such Registration Statement) the “Plan of Distribution” section substantially in the form attached hereto as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xml:space="preserve"> (which may be modified to respond to comments, if any, provided by the Commission). Notwithstanding the registration obligations set forth in this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Initial Registration Statement as required by the Commission and/or (ii) withdraw the Initial Registration Statement and file a new registration statement (a “</w:t>
      </w:r>
      <w:r>
        <w:rPr>
          <w:rFonts w:ascii="Times New Roman" w:cs="Times New Roman" w:eastAsia="Times New Roman" w:hAnsi="Times New Roman"/>
          <w:sz w:val="12"/>
          <w:szCs w:val="12"/>
          <w:b w:val="1"/>
          <w:bCs w:val="1"/>
          <w:i w:val="1"/>
          <w:iCs w:val="1"/>
          <w:color w:val="auto"/>
        </w:rPr>
        <w:t>New Registration Statement</w:t>
      </w:r>
      <w:r>
        <w:rPr>
          <w:rFonts w:ascii="Times New Roman" w:cs="Times New Roman" w:eastAsia="Times New Roman" w:hAnsi="Times New Roman"/>
          <w:sz w:val="12"/>
          <w:szCs w:val="12"/>
          <w:color w:val="auto"/>
        </w:rPr>
        <w:t>”), in either case covering the maximum number of Registrable Securities permitted to be registered by the Commission, on Form S-1; provided, however, that prior to filing such amendment or New Registration Statement, the Company shall be obligated to use its commercially reasonable efforts to advocate with the Commission for the registration of all of the Registrable Securities in accordance with the SEC Guidance, including without limitation, the Securities Act Rules Compliance and Disclosure Interpretations Question 612.09. Notwithstanding any other provision of this Agreement, if the Commission or any SEC Guidance sets forth a limitation of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 will first be reduced by Registrable Securities not acquired pursuant to the Purchase Agreement (whether pursuant to registration rights or otherwise), and second by Registrable Securities represented by Shares applied to the Holders on a pro rata basis based on the total number of Shares held by such Holders, subject to a determination by the Commission that certain Holders must be reduced first based on the number of Shares held by such Holders. In the event of a cutback hereunder, the Company shall give the Holder at least one Trading Day prior notice along with the calculations as to such Holder’s allotment. In the event the Company amends the Initial Registration Statement or files a New Registration Statement, as the case may be, in accordance with the foregoing, the Company will use its commercially reasonable efforts to file with the Commission, as promptly as allowed by Commission or SEC Guidance provided to the Company or to registrants of securities in general, one or more registration statements on Form S-1 or such other form available to register for resale those Registrable Securities that were not registered for resale on the Initial Registration Statement, as amended, or the New Registration Statement (the “</w:t>
      </w:r>
      <w:r>
        <w:rPr>
          <w:rFonts w:ascii="Times New Roman" w:cs="Times New Roman" w:eastAsia="Times New Roman" w:hAnsi="Times New Roman"/>
          <w:sz w:val="12"/>
          <w:szCs w:val="12"/>
          <w:b w:val="1"/>
          <w:bCs w:val="1"/>
          <w:i w:val="1"/>
          <w:iCs w:val="1"/>
          <w:color w:val="auto"/>
        </w:rPr>
        <w:t>Remainder Registration Statements</w:t>
      </w:r>
      <w:r>
        <w:rPr>
          <w:rFonts w:ascii="Times New Roman" w:cs="Times New Roman" w:eastAsia="Times New Roman" w:hAnsi="Times New Roman"/>
          <w:sz w:val="12"/>
          <w:szCs w:val="12"/>
          <w:color w:val="auto"/>
        </w:rPr>
        <w:t>”). No Holder shall be named as an “underwriter” in any Registration Statement without such Holder’s prior written consent.</w:t>
      </w:r>
    </w:p>
    <w:p>
      <w:pPr>
        <w:spacing w:after="0" w:line="127" w:lineRule="exact"/>
        <w:rPr>
          <w:rFonts w:ascii="Times New Roman" w:cs="Times New Roman" w:eastAsia="Times New Roman" w:hAnsi="Times New Roman"/>
          <w:sz w:val="12"/>
          <w:szCs w:val="12"/>
          <w:color w:val="auto"/>
        </w:rPr>
      </w:pPr>
    </w:p>
    <w:p>
      <w:pPr>
        <w:ind w:right="20" w:firstLine="947"/>
        <w:spacing w:after="0" w:line="253" w:lineRule="auto"/>
        <w:tabs>
          <w:tab w:leader="none" w:pos="1124"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use its commercially reasonable efforts to cause each Registration Statement to be declared effective by the Commission as soon as practicable and, with respect to the Initial Registration Statement or the New Registration Statement, as applicable, no later than the Effectiveness Deadline (including filing with the Commission a request for acceleration of effectiveness in accordance with Rule 461 promulgated under the Securities Act), and shall use its commercially reasonable efforts to keep each Registration Statement continuously effective under the Securities Act until the earlier of (i) such time as all of the Registrable Securities covered by such Registration Statement have been publicly sold by the Holders; or (ii) the date that all Registrable Securities covered by such Registration Statement may be sold by non-affiliates without volume or manner-of-sale restrictions pursuant to Rule 144, without the requirement for the Company to be in compliance with the current public information requirement under Rule 144 (the “</w:t>
      </w:r>
      <w:r>
        <w:rPr>
          <w:rFonts w:ascii="Times New Roman" w:cs="Times New Roman" w:eastAsia="Times New Roman" w:hAnsi="Times New Roman"/>
          <w:sz w:val="12"/>
          <w:szCs w:val="12"/>
          <w:b w:val="1"/>
          <w:bCs w:val="1"/>
          <w:i w:val="1"/>
          <w:iCs w:val="1"/>
          <w:color w:val="auto"/>
        </w:rPr>
        <w:t>Effectiveness Period</w:t>
      </w:r>
      <w:r>
        <w:rPr>
          <w:rFonts w:ascii="Times New Roman" w:cs="Times New Roman" w:eastAsia="Times New Roman" w:hAnsi="Times New Roman"/>
          <w:sz w:val="12"/>
          <w:szCs w:val="12"/>
          <w:color w:val="auto"/>
        </w:rPr>
        <w:t>”). The Company shall request effectiveness of a Registration Statement as of 4:00 p.m. New York City time on a Trading Day. The Company shall promptly notify the Holders via e-mail of the effectiveness of a Registration Statement or any post-effective amendment thereto on the same Trading Day that the Company telephonically confirms effectiveness with the Commission, which date of confirmation shall initially be the date requested for effectiveness of such Registration Statement. The Company shall, by 9:30 a.m. New York City time on the first Trading Day after the Effective Date, file a final Prospectus with the Commission, as required by Rule 424(b) and shall provide the Purchasers with copies of the final Prospectus to be used in connection with the sale or other disposition of the securities covered thereby. The Company shall promptly inform each Holder in writing if, at any time during the Effectiveness Period, the Company does not satisfy the conditions specified in Rule 172 and, as a result thereof, the Holder is required to deliver a Prospectus in connection with any disposition of Registrable Securities.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0" w:name="page91"/>
    <w:bookmarkEnd w:id="90"/>
    <w:p>
      <w:pPr>
        <w:ind w:right="40" w:firstLine="947"/>
        <w:spacing w:after="0" w:line="255" w:lineRule="auto"/>
        <w:tabs>
          <w:tab w:leader="none" w:pos="111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Holder of Registrable Securities to be sold agrees to furnish to the Company a completed Selling Stockholder Questionnaire not more than five Trading Days following the date of this Agreement. At least 10 Trading Days prior to the first anticipated filing date of a Registration Statement for any registration under this Agreement, the Company will notify each Holder of the information the Company requires from that Holder for inclusion in the Registration Statement other than the information contained in the Selling Stockholder Questionnaire, if any, which shall be completed and delivered to the Company promptly upon request and, in any event, within three Trading Days prior to the applicable anticipated filing date. Each Holder further agrees that it shall not be entitled to be named as a selling securityholder in the Registration Statement or use the Prospectus for offers and resales of Registrable Securities at any time, unless such Holder has provided such information to the Company and responded to any reasonable requests for further information as described in the previous sentence. Each Holder acknowledges and agrees that the information in the Selling Stockholder Questionnaire or request for further information as described in this </w:t>
      </w:r>
      <w:r>
        <w:rPr>
          <w:rFonts w:ascii="Times New Roman" w:cs="Times New Roman" w:eastAsia="Times New Roman" w:hAnsi="Times New Roman"/>
          <w:sz w:val="12"/>
          <w:szCs w:val="12"/>
          <w:u w:val="single" w:color="auto"/>
          <w:color w:val="auto"/>
        </w:rPr>
        <w:t>Section 2(c)</w:t>
      </w:r>
      <w:r>
        <w:rPr>
          <w:rFonts w:ascii="Times New Roman" w:cs="Times New Roman" w:eastAsia="Times New Roman" w:hAnsi="Times New Roman"/>
          <w:sz w:val="12"/>
          <w:szCs w:val="12"/>
          <w:color w:val="auto"/>
        </w:rPr>
        <w:t xml:space="preserve"> will be used by the Company in the preparation of the Registration Statement and hereby consents to the inclusion of such information in the Registration Statement (subject to such Holder’s right to timely review the Registration Statement as set forth herein).</w:t>
      </w:r>
    </w:p>
    <w:p>
      <w:pPr>
        <w:spacing w:after="0" w:line="125" w:lineRule="exact"/>
        <w:rPr>
          <w:rFonts w:ascii="Times New Roman" w:cs="Times New Roman" w:eastAsia="Times New Roman" w:hAnsi="Times New Roman"/>
          <w:sz w:val="12"/>
          <w:szCs w:val="12"/>
          <w:color w:val="auto"/>
        </w:rPr>
      </w:pPr>
    </w:p>
    <w:p>
      <w:pPr>
        <w:ind w:right="20" w:firstLine="947"/>
        <w:spacing w:after="0" w:line="279" w:lineRule="auto"/>
        <w:tabs>
          <w:tab w:leader="none" w:pos="1124"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undertakes to register the Registrable Securities on Form S-3 promptly after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107" w:lineRule="exact"/>
        <w:rPr>
          <w:rFonts w:ascii="Times New Roman" w:cs="Times New Roman" w:eastAsia="Times New Roman" w:hAnsi="Times New Roman"/>
          <w:sz w:val="12"/>
          <w:szCs w:val="12"/>
          <w:color w:val="auto"/>
        </w:rPr>
      </w:pPr>
    </w:p>
    <w:p>
      <w:pPr>
        <w:ind w:firstLine="964"/>
        <w:spacing w:after="0" w:line="257" w:lineRule="auto"/>
        <w:tabs>
          <w:tab w:leader="none" w:pos="1405"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If a Registration Statement covering the Registrable Securities is not filed with the Commission on or prior to the Filing Deadline (a “</w:t>
      </w:r>
      <w:r>
        <w:rPr>
          <w:rFonts w:ascii="Times New Roman" w:cs="Times New Roman" w:eastAsia="Times New Roman" w:hAnsi="Times New Roman"/>
          <w:sz w:val="12"/>
          <w:szCs w:val="12"/>
          <w:b w:val="1"/>
          <w:bCs w:val="1"/>
          <w:i w:val="1"/>
          <w:iCs w:val="1"/>
          <w:color w:val="auto"/>
        </w:rPr>
        <w:t>Registration Failure</w:t>
      </w:r>
      <w:r>
        <w:rPr>
          <w:rFonts w:ascii="Times New Roman" w:cs="Times New Roman" w:eastAsia="Times New Roman" w:hAnsi="Times New Roman"/>
          <w:sz w:val="12"/>
          <w:szCs w:val="12"/>
          <w:color w:val="auto"/>
        </w:rPr>
        <w:t>”), then, in addition to any other rights the Purchasers may have hereunder or under applicable law, the Company will make pro rata payments to each Purchaser of then outstanding Registrable Securities, as liquidated damages and not as a penalty (the “</w:t>
      </w:r>
      <w:r>
        <w:rPr>
          <w:rFonts w:ascii="Times New Roman" w:cs="Times New Roman" w:eastAsia="Times New Roman" w:hAnsi="Times New Roman"/>
          <w:sz w:val="12"/>
          <w:szCs w:val="12"/>
          <w:b w:val="1"/>
          <w:bCs w:val="1"/>
          <w:i w:val="1"/>
          <w:iCs w:val="1"/>
          <w:color w:val="auto"/>
        </w:rPr>
        <w:t>Registration Liquidated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Damages</w:t>
      </w:r>
      <w:r>
        <w:rPr>
          <w:rFonts w:ascii="Times New Roman" w:cs="Times New Roman" w:eastAsia="Times New Roman" w:hAnsi="Times New Roman"/>
          <w:sz w:val="12"/>
          <w:szCs w:val="12"/>
          <w:color w:val="auto"/>
        </w:rPr>
        <w:t>”), in an amount equal to one percent of the aggregate amount invested by such Purchaser for the Registrable Securities then held by such Purchaser for the initial day of a Registration Failure and for each 30-day period (or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pro rata portion thereof with respect to a final period, if any) thereafter until the Registration Failure is cured. The Registration Liquidated Damages shall be paid monthly within 10 Business Days of the date of such Registration Failure and the end of each subsequent 30-day period (or portion thereof with respect to a final period, if any) thereafter until the Registration Failure is cured. Such payments shall be made in cash to each Purchaser then holding Registrable Securities. Interest shall accrue at the rate of one percent per month on any such liquidated damages payments that shall not be paid by the applicable payment date until such amount is paid in full.</w:t>
      </w:r>
    </w:p>
    <w:p>
      <w:pPr>
        <w:spacing w:after="0" w:line="125" w:lineRule="exact"/>
        <w:rPr>
          <w:rFonts w:ascii="Times New Roman" w:cs="Times New Roman" w:eastAsia="Times New Roman" w:hAnsi="Times New Roman"/>
          <w:sz w:val="12"/>
          <w:szCs w:val="12"/>
          <w:color w:val="auto"/>
        </w:rPr>
      </w:pPr>
    </w:p>
    <w:p>
      <w:pPr>
        <w:ind w:firstLine="1408"/>
        <w:spacing w:after="0" w:line="255" w:lineRule="auto"/>
        <w:tabs>
          <w:tab w:leader="none" w:pos="1772" w:val="left"/>
        </w:tabs>
        <w:numPr>
          <w:ilvl w:val="2"/>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a Registration Statement covering the Registrable Securities is not declared effective by the Commission by the Effectiveness Deadline or (B) after a Registration Statement has been declared effective by the Commission or otherwise becomes effective, sales cannot be made pursuant to such Registration Statement for any reason (including, without limitation, by reason of a stop order or the Company’s failure to update such Registration Statement) (each of (A) and (B), a “</w:t>
      </w:r>
      <w:r>
        <w:rPr>
          <w:rFonts w:ascii="Times New Roman" w:cs="Times New Roman" w:eastAsia="Times New Roman" w:hAnsi="Times New Roman"/>
          <w:sz w:val="12"/>
          <w:szCs w:val="12"/>
          <w:b w:val="1"/>
          <w:bCs w:val="1"/>
          <w:i w:val="1"/>
          <w:iCs w:val="1"/>
          <w:color w:val="auto"/>
        </w:rPr>
        <w:t>Maintenance Failure</w:t>
      </w:r>
      <w:r>
        <w:rPr>
          <w:rFonts w:ascii="Times New Roman" w:cs="Times New Roman" w:eastAsia="Times New Roman" w:hAnsi="Times New Roman"/>
          <w:sz w:val="12"/>
          <w:szCs w:val="12"/>
          <w:color w:val="auto"/>
        </w:rPr>
        <w:t>”), then the Company will make pro rata payments to each Purchaser then holding Registrable Securities, as liquidated damages and not as a penalty (the “</w:t>
      </w:r>
      <w:r>
        <w:rPr>
          <w:rFonts w:ascii="Times New Roman" w:cs="Times New Roman" w:eastAsia="Times New Roman" w:hAnsi="Times New Roman"/>
          <w:sz w:val="12"/>
          <w:szCs w:val="12"/>
          <w:b w:val="1"/>
          <w:bCs w:val="1"/>
          <w:i w:val="1"/>
          <w:iCs w:val="1"/>
          <w:color w:val="auto"/>
        </w:rPr>
        <w:t>Effectiveness Liquidated Damages</w:t>
      </w:r>
      <w:r>
        <w:rPr>
          <w:rFonts w:ascii="Times New Roman" w:cs="Times New Roman" w:eastAsia="Times New Roman" w:hAnsi="Times New Roman"/>
          <w:sz w:val="12"/>
          <w:szCs w:val="12"/>
          <w:color w:val="auto"/>
        </w:rPr>
        <w:t>” and together with the Registration Liquidated Damages, the “</w:t>
      </w:r>
      <w:r>
        <w:rPr>
          <w:rFonts w:ascii="Times New Roman" w:cs="Times New Roman" w:eastAsia="Times New Roman" w:hAnsi="Times New Roman"/>
          <w:sz w:val="12"/>
          <w:szCs w:val="12"/>
          <w:b w:val="1"/>
          <w:bCs w:val="1"/>
          <w:i w:val="1"/>
          <w:iCs w:val="1"/>
          <w:color w:val="auto"/>
        </w:rPr>
        <w:t>Liquidated Damages</w:t>
      </w:r>
      <w:r>
        <w:rPr>
          <w:rFonts w:ascii="Times New Roman" w:cs="Times New Roman" w:eastAsia="Times New Roman" w:hAnsi="Times New Roman"/>
          <w:sz w:val="12"/>
          <w:szCs w:val="12"/>
          <w:color w:val="auto"/>
        </w:rPr>
        <w:t>”), in an amount equal to one percent of the aggregate amount invested by such Purchaser for the Registrable Securities then held by such Purchaser for the initial day of a Maintenance Failure and for each 30-day period (pro rata for any portion thereof) thereafter until the Maintenance Failure is cured. The Effectiveness Liquidated Damages shall be paid monthly within 10 Business Days of the end of the date of such Maintenance Failure and each subsequent 30-day period (pro rata for any portion thereof). Such payments shall be made to each Purchaser then holding Registrable Securities in cash. Interest shall accrue at the rate of one percent per month on any such liquidated damages payments that shall not be paid by the applicable payment date until such amount is paid in full.</w:t>
      </w:r>
    </w:p>
    <w:p>
      <w:pPr>
        <w:spacing w:after="0" w:line="125" w:lineRule="exact"/>
        <w:rPr>
          <w:rFonts w:ascii="Times New Roman" w:cs="Times New Roman" w:eastAsia="Times New Roman" w:hAnsi="Times New Roman"/>
          <w:sz w:val="12"/>
          <w:szCs w:val="12"/>
          <w:color w:val="auto"/>
        </w:rPr>
      </w:pPr>
    </w:p>
    <w:p>
      <w:pPr>
        <w:ind w:firstLine="1408"/>
        <w:spacing w:after="0" w:line="257" w:lineRule="auto"/>
        <w:tabs>
          <w:tab w:leader="none" w:pos="1776" w:val="left"/>
        </w:tabs>
        <w:numPr>
          <w:ilvl w:val="2"/>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foregoing, (A) no Liquidated Damages shall be payable with respect to any period after the expiration of the Effectiveness Period (it being understood that this sentence shall not relieve the Company of any Liquidated Damages accruing prior to the expiration of the Effectiveness Period), (B) in no event shall the aggregate amount of Liquidated Damages payable to a Purchaser exceed, in the aggregate, five percent of the aggregate purchase price paid by such Purchaser pursuant to the Purchase Agreement, (C) no Liquidated Damages shall accrue or be payable with respect to any reduction in the number of Registrable Securities to be included in a Registration Statement due to the application of Rule 415 as set forth in Section 2(a) and (D) no Liquidated Damages shall accrue or be payable with respect to any Allowed Suspension or a suspension as described in the last sentence of Section 3(h).</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1" w:name="page92"/>
    <w:bookmarkEnd w:id="91"/>
    <w:p>
      <w:pPr>
        <w:ind w:left="400" w:hanging="114"/>
        <w:spacing w:after="0"/>
        <w:tabs>
          <w:tab w:leader="none" w:pos="40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Registration Procedures</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In connection with the Company’s registration obligations hereunder, the Company shall:</w:t>
      </w:r>
    </w:p>
    <w:p>
      <w:pPr>
        <w:spacing w:after="0" w:line="150" w:lineRule="exact"/>
        <w:rPr>
          <w:sz w:val="20"/>
          <w:szCs w:val="20"/>
          <w:color w:val="auto"/>
        </w:rPr>
      </w:pPr>
    </w:p>
    <w:p>
      <w:pPr>
        <w:ind w:firstLine="947"/>
        <w:spacing w:after="0" w:line="254" w:lineRule="auto"/>
        <w:tabs>
          <w:tab w:leader="none" w:pos="132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less than five Trading Days prior to the filing of each Registration Statement and not less than two Trading Days prior to the filing of any related Prospectus or any amendment or supplement thereto (except for Annual Reports on Form 10-K, and Quarterly Reports on Form 10-Q and Current Reports on Form 8-K and any similar or successor reports), (i) furnish to each Holder copies of such Registration Statement, Prospectus or amendment or supplement thereto, as proposed to be filed, which documents will be subject to the review of such Holder (it being acknowledged and agreed that if a Holder does not object to or comment on the aforementioned documents within such five Trading Day or two Trading Day period, as the case may be, then the Holder shall be deemed to have consented to and approved the use of such documents) and (ii) to the extent that a Holder is identified in the Registration Statement as an “underwriter” (as defined in the Securities Act), use commercially reasonable efforts to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any Registration Statement or amendment or supplement thereto in a form to which a Holder reasonably objects in good faith, provided that, such Holder notifies the Company of such objection in writing within the five Trading Day or two Trading Day periods described above, as applicable.</w:t>
      </w:r>
    </w:p>
    <w:p>
      <w:pPr>
        <w:spacing w:after="0" w:line="127" w:lineRule="exact"/>
        <w:rPr>
          <w:rFonts w:ascii="Times New Roman" w:cs="Times New Roman" w:eastAsia="Times New Roman" w:hAnsi="Times New Roman"/>
          <w:sz w:val="12"/>
          <w:szCs w:val="12"/>
          <w:color w:val="auto"/>
        </w:rPr>
      </w:pPr>
    </w:p>
    <w:p>
      <w:pPr>
        <w:ind w:firstLine="947"/>
        <w:spacing w:after="0" w:line="252" w:lineRule="auto"/>
        <w:tabs>
          <w:tab w:leader="none" w:pos="1394"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Prepare and file with the Commission such amendments (including post-effective amendments) and supplements, to each Registration Statement and the Prospectus used in connection therewith as may be necessary to keep such Registration Statement continuously effective as to the applicable Registrable Securities for its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practicable to any comments received from the Commission with respect to each Registration Statement or any amendment thereto and, as promptly as reasonably possible, provide the Holders true and complete copies of all correspondence from and to the Commission relating to such Registration Statement that pertains to the Holders as “Selling Stockholders” but not any comments that would result in the disclosure to the Holders of material and non-public information concerning the Company (unless such Holder consents to receive such material and non-public information); and (iv) comply with the provisions of the Securities Act and the Exchange Act with respect to the disposition of all Registrable Securities covered by a Registration Statement until such time as all of such Registrable Securities shall have been disposed of (subject to the terms of this Agreement) in accordance with the intended methods of disposition by the Holders thereof as set forth in such Registration Statement as so amended or in such Prospectus as so supplemented; provided, however, that each Purchaser shall be responsible for the delivery of the Prospectus to the Persons to whom such Purchaser sells any of the Registrable Securities (including in accordance with Rule 172 under the Securities Act) to the extent required under the Securities Act, and each Purchaser agrees to dispose of Registrable Securities in compliance with the “Plan of Distribution” described in the Registration Statement and otherwise in compliance with applicable federal and state securities laws. In the case of amendments and supplements to a Registration Statement which are required to be filed pursuant to this Agreement (including pursuant to this Section 3(b)) by reason of the Company filing a report on Form 10-K, Form 10-Q or Form 8-K or any analogous report under the Exchange Act, the Company shall have incorporated such report by reference into such Registration Statement, if applicable, or shall file such amendments or supplements with the Commission on the same day on which the Exchange Act report which created the requirement for the Company to amend or supplement such Registration Statement was filed.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2" w:name="page93"/>
    <w:bookmarkEnd w:id="92"/>
    <w:p>
      <w:pPr>
        <w:ind w:firstLine="947"/>
        <w:spacing w:after="0" w:line="252" w:lineRule="auto"/>
        <w:tabs>
          <w:tab w:leader="none" w:pos="1118"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the Holders of Registrable Securities to be sold (which notice shall, if given pursuant to clauses (iii) through (vi) hereof, be accompanied by an instruction to suspend the use of the Prospectus until the requisite changes have been made, provided that the Company shall omit any material, non-public information relating to the Company and/or any of its subsidiaries) as promptly as reasonably practicable (and, in the case of (i)(A) below, not less than one Trading Day prior to such filing) and (if requested by any such Person) confirm such notice in writing no later than one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any Registration Statement (in which case the Company shall provide to each of the Holders true and complete copies of all comments that pertain to the Holders as a “Selling Stockholder” or to the “Plan of Distribution” and all written responses thereto, but not information that the Company believes would constitute material and non-public information); and (C) with respect to each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that pertains to the Holders as “Selling Stockholders” or the “Plan of Distribution”;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or incorporated by reference in a Registration Statement ineligible for inclusion or incorporation by reference therein or any statement made in such Registration Statement or Prospectus or any document incorporated or deemed to be incorporated therein by reference untrue in any material respect or that requires any revisions to such Registration Statement, Prospectus or other documents so that, in the case of such Registration Statement or the Prospectus, as the case may be, it will not contain any untrue statement of a material fact or omit to state any material fact required to be stated therein or necessary to make the statements therein (in the case of any Prospectus, form of prospectus or supplement thereto, in light of the circumstances under which they were made), not misleading and (vi) of the occurrence or existence of any pending corporate development with respect to the Company that, upon the advice of legal counsel, the Company’s board of directors reasonably believes may be material and that would require additional disclosure by the Company in the Registration Statement of such material information that the Company has a bona fide business purpose for keeping confidential and the non-disclosure of which in the Registration Statement would be expected, in the reasonable determination of the Company’s board of directors, upon the advice of legal counsel, to cause the Registration Statement to fail to comply with applicable disclosure requirements, provided that, any and all such information shall remain confidential to each Holder until such information otherwise becomes public, unless disclosure by a Holder is required by law; and provided, further, that notwithstanding each Holder’s agreement to keep such information confidential, each such Holder makes no acknowledgement that any such information is material, non-public information.</w:t>
      </w:r>
    </w:p>
    <w:p>
      <w:pPr>
        <w:spacing w:after="0" w:line="127" w:lineRule="exact"/>
        <w:rPr>
          <w:rFonts w:ascii="Times New Roman" w:cs="Times New Roman" w:eastAsia="Times New Roman" w:hAnsi="Times New Roman"/>
          <w:sz w:val="12"/>
          <w:szCs w:val="12"/>
          <w:color w:val="auto"/>
        </w:rPr>
      </w:pPr>
    </w:p>
    <w:p>
      <w:pPr>
        <w:ind w:right="60" w:firstLine="947"/>
        <w:spacing w:after="0" w:line="279" w:lineRule="auto"/>
        <w:tabs>
          <w:tab w:leader="none" w:pos="1124"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as soon as practicable.</w:t>
      </w:r>
    </w:p>
    <w:p>
      <w:pPr>
        <w:spacing w:after="0" w:line="111" w:lineRule="exact"/>
        <w:rPr>
          <w:rFonts w:ascii="Times New Roman" w:cs="Times New Roman" w:eastAsia="Times New Roman" w:hAnsi="Times New Roman"/>
          <w:sz w:val="12"/>
          <w:szCs w:val="12"/>
          <w:color w:val="auto"/>
        </w:rPr>
      </w:pPr>
    </w:p>
    <w:p>
      <w:pPr>
        <w:jc w:val="both"/>
        <w:ind w:right="80" w:firstLine="947"/>
        <w:spacing w:after="0" w:line="300" w:lineRule="auto"/>
        <w:tabs>
          <w:tab w:leader="none" w:pos="1118"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If requested by a Holder, furnish to such Holder, without charge, at least one conformed copy of each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the Company shall have no obligation to provide any document pursuant to this clause that is available on the Commission’s EDGAR system.</w:t>
      </w:r>
    </w:p>
    <w:p>
      <w:pPr>
        <w:spacing w:after="0" w:line="101" w:lineRule="exact"/>
        <w:rPr>
          <w:rFonts w:ascii="Times New Roman" w:cs="Times New Roman" w:eastAsia="Times New Roman" w:hAnsi="Times New Roman"/>
          <w:sz w:val="11"/>
          <w:szCs w:val="11"/>
          <w:color w:val="auto"/>
        </w:rPr>
      </w:pPr>
    </w:p>
    <w:p>
      <w:pPr>
        <w:ind w:right="140" w:firstLine="947"/>
        <w:spacing w:after="0" w:line="257" w:lineRule="auto"/>
        <w:tabs>
          <w:tab w:leader="none" w:pos="1104"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the resale of such Registrable Securities (or, in the case of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25" w:lineRule="exact"/>
        <w:rPr>
          <w:rFonts w:ascii="Times New Roman" w:cs="Times New Roman" w:eastAsia="Times New Roman" w:hAnsi="Times New Roman"/>
          <w:sz w:val="12"/>
          <w:szCs w:val="12"/>
          <w:color w:val="auto"/>
        </w:rPr>
      </w:pPr>
    </w:p>
    <w:p>
      <w:pPr>
        <w:ind w:right="40" w:firstLine="947"/>
        <w:spacing w:after="0" w:line="265" w:lineRule="auto"/>
        <w:tabs>
          <w:tab w:leader="none" w:pos="1124"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Cooperate with such Holder to facilitate the timely preparation and delivery of certificates or book entry statements, as applicable, representing Registrable Securities to be delivered to a transferee pursuant to the Registration Statement, which certificates or statements shall be free, to the extent permitted by the Purchase Agreement and under law, of all restrictive legends, and to enable such Registrable Securities to be in such denominations and registered in such names as any such Holders may reasonably request.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3" w:name="page94"/>
    <w:bookmarkEnd w:id="93"/>
    <w:p>
      <w:pPr>
        <w:ind w:right="80" w:firstLine="947"/>
        <w:spacing w:after="0" w:line="253" w:lineRule="auto"/>
        <w:tabs>
          <w:tab w:leader="none" w:pos="1124" w:val="left"/>
        </w:tabs>
        <w:numPr>
          <w:ilvl w:val="1"/>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Following the occurrence of any event contemplated by </w:t>
      </w:r>
      <w:r>
        <w:rPr>
          <w:rFonts w:ascii="Times New Roman" w:cs="Times New Roman" w:eastAsia="Times New Roman" w:hAnsi="Times New Roman"/>
          <w:sz w:val="12"/>
          <w:szCs w:val="12"/>
          <w:u w:val="single" w:color="auto"/>
          <w:color w:val="auto"/>
        </w:rPr>
        <w:t>Section 3(c)</w:t>
      </w:r>
      <w:r>
        <w:rPr>
          <w:rFonts w:ascii="Times New Roman" w:cs="Times New Roman" w:eastAsia="Times New Roman" w:hAnsi="Times New Roman"/>
          <w:sz w:val="12"/>
          <w:szCs w:val="12"/>
          <w:color w:val="auto"/>
        </w:rPr>
        <w:t xml:space="preserve">, as promptly as reasonably practicable (taking into account the Company’s good faith assessment of any adverse consequences to the Company and its stockholders of the premature disclosure of such event), prepare a supplement or amendment, including a post-effective amendment, to the affected Registration Statements or a supplement to the related Prospectus or any document incorporated or deemed to be incorporated therein by reference, and file any other required document so that, as thereafter delivered, no Registration Statement nor any Prospectus will contain an untrue statement of a material fact or omit to state a material fact required to be stated therein or necessary to make the statements therein (in the case of any Prospectus, form of prospectus or supplement thereto, in light of the circumstances under which they were made), not misleading. If the Company notifies the Holders in accordance with clauses (iii) through (vi) of </w:t>
      </w:r>
      <w:r>
        <w:rPr>
          <w:rFonts w:ascii="Times New Roman" w:cs="Times New Roman" w:eastAsia="Times New Roman" w:hAnsi="Times New Roman"/>
          <w:sz w:val="12"/>
          <w:szCs w:val="12"/>
          <w:u w:val="single" w:color="auto"/>
          <w:color w:val="auto"/>
        </w:rPr>
        <w:t>Section 3(c)</w:t>
      </w:r>
      <w:r>
        <w:rPr>
          <w:rFonts w:ascii="Times New Roman" w:cs="Times New Roman" w:eastAsia="Times New Roman" w:hAnsi="Times New Roman"/>
          <w:sz w:val="12"/>
          <w:szCs w:val="12"/>
          <w:color w:val="auto"/>
        </w:rPr>
        <w:t xml:space="preserve"> above to suspend the use of any Prospectus until the requisite changes to such Prospectus have been made, then the Holders shall suspend use of such Prospectus. The Company will use its commercially reasonable efforts to ensure that the use of the Prospectus may be resumed as promptly as is practicable. The Company shall be entitled to exercise its right under this </w:t>
      </w:r>
      <w:r>
        <w:rPr>
          <w:rFonts w:ascii="Times New Roman" w:cs="Times New Roman" w:eastAsia="Times New Roman" w:hAnsi="Times New Roman"/>
          <w:sz w:val="12"/>
          <w:szCs w:val="12"/>
          <w:u w:val="single" w:color="auto"/>
          <w:color w:val="auto"/>
        </w:rPr>
        <w:t>Section 3(h)</w:t>
      </w:r>
      <w:r>
        <w:rPr>
          <w:rFonts w:ascii="Times New Roman" w:cs="Times New Roman" w:eastAsia="Times New Roman" w:hAnsi="Times New Roman"/>
          <w:sz w:val="12"/>
          <w:szCs w:val="12"/>
          <w:color w:val="auto"/>
        </w:rPr>
        <w:t xml:space="preserve"> to suspend the availability of a Registration Statement and Prospectus in accordance with the time periods set forth in </w:t>
      </w:r>
      <w:r>
        <w:rPr>
          <w:rFonts w:ascii="Times New Roman" w:cs="Times New Roman" w:eastAsia="Times New Roman" w:hAnsi="Times New Roman"/>
          <w:sz w:val="12"/>
          <w:szCs w:val="12"/>
          <w:u w:val="single" w:color="auto"/>
          <w:color w:val="auto"/>
        </w:rPr>
        <w:t>Section 6(d)</w:t>
      </w:r>
      <w:r>
        <w:rPr>
          <w:rFonts w:ascii="Times New Roman" w:cs="Times New Roman" w:eastAsia="Times New Roman" w:hAnsi="Times New Roman"/>
          <w:sz w:val="12"/>
          <w:szCs w:val="12"/>
          <w:color w:val="auto"/>
        </w:rPr>
        <w:t xml:space="preserve">, which may be extended only in accordance with Section 6(f). For the avoidance of doubt, the Company’s rights under this </w:t>
      </w:r>
      <w:r>
        <w:rPr>
          <w:rFonts w:ascii="Times New Roman" w:cs="Times New Roman" w:eastAsia="Times New Roman" w:hAnsi="Times New Roman"/>
          <w:sz w:val="12"/>
          <w:szCs w:val="12"/>
          <w:u w:val="single" w:color="auto"/>
          <w:color w:val="auto"/>
        </w:rPr>
        <w:t>Section 3(h)</w:t>
      </w:r>
      <w:r>
        <w:rPr>
          <w:rFonts w:ascii="Times New Roman" w:cs="Times New Roman" w:eastAsia="Times New Roman" w:hAnsi="Times New Roman"/>
          <w:sz w:val="12"/>
          <w:szCs w:val="12"/>
          <w:color w:val="auto"/>
        </w:rPr>
        <w:t xml:space="preserve"> shall include suspensions of availability arising from the filing of a post-effective amendment to a Registration Statement to update the Prospectus therein to include the information contained in the Company’s Annual Report on Form 10-K, which suspensions may extend for the amount of time reasonably required to respond to any comments of the staff of the Commission on such amendment and which, for the avoidance of doubt, shall be in accordance with the time periods set forth in Section 6(d), which may be extended only in accordance with Section 6(f).</w:t>
      </w:r>
    </w:p>
    <w:p>
      <w:pPr>
        <w:spacing w:after="0" w:line="129" w:lineRule="exact"/>
        <w:rPr>
          <w:rFonts w:ascii="Times New Roman" w:cs="Times New Roman" w:eastAsia="Times New Roman" w:hAnsi="Times New Roman"/>
          <w:sz w:val="12"/>
          <w:szCs w:val="12"/>
          <w:color w:val="auto"/>
        </w:rPr>
      </w:pPr>
    </w:p>
    <w:p>
      <w:pPr>
        <w:ind w:right="160" w:firstLine="947"/>
        <w:spacing w:after="0" w:line="265" w:lineRule="auto"/>
        <w:tabs>
          <w:tab w:leader="none" w:pos="1098" w:val="left"/>
        </w:tabs>
        <w:numPr>
          <w:ilvl w:val="1"/>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may require each selling Holder to furnish to the Company a certified statement as to (i) the number of shares of Common Stock beneficially owned by such Holder and any Affiliate thereof, (ii) any Financial Industry Regulatory Authority, Inc. (“</w:t>
      </w:r>
      <w:r>
        <w:rPr>
          <w:rFonts w:ascii="Times New Roman" w:cs="Times New Roman" w:eastAsia="Times New Roman" w:hAnsi="Times New Roman"/>
          <w:sz w:val="12"/>
          <w:szCs w:val="12"/>
          <w:b w:val="1"/>
          <w:bCs w:val="1"/>
          <w:i w:val="1"/>
          <w:iCs w:val="1"/>
          <w:color w:val="auto"/>
        </w:rPr>
        <w:t>FINRA</w:t>
      </w:r>
      <w:r>
        <w:rPr>
          <w:rFonts w:ascii="Times New Roman" w:cs="Times New Roman" w:eastAsia="Times New Roman" w:hAnsi="Times New Roman"/>
          <w:sz w:val="12"/>
          <w:szCs w:val="12"/>
          <w:color w:val="auto"/>
        </w:rPr>
        <w:t>”) affiliations, (iii) any natural persons who have the power to vote or dispose of the Common Stock and (iv) any other information as may be requested by the Commission, FINRA or any state securities commission.</w:t>
      </w:r>
    </w:p>
    <w:p>
      <w:pPr>
        <w:spacing w:after="0" w:line="118" w:lineRule="exact"/>
        <w:rPr>
          <w:rFonts w:ascii="Times New Roman" w:cs="Times New Roman" w:eastAsia="Times New Roman" w:hAnsi="Times New Roman"/>
          <w:sz w:val="12"/>
          <w:szCs w:val="12"/>
          <w:color w:val="auto"/>
        </w:rPr>
      </w:pPr>
    </w:p>
    <w:p>
      <w:pPr>
        <w:ind w:right="180" w:firstLine="947"/>
        <w:spacing w:after="0" w:line="279" w:lineRule="auto"/>
        <w:tabs>
          <w:tab w:leader="none" w:pos="1098" w:val="left"/>
        </w:tabs>
        <w:numPr>
          <w:ilvl w:val="1"/>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cooperate with any registered broker through which a Holder proposes to resell its Registrable Securities in effecting a filing with FINRA pursuant to FINRA Rule 5110 as requested by any such Holder and the Company shall pay the filing fee required for the first such filing within two Business Days of the request therefor.</w:t>
      </w:r>
    </w:p>
    <w:p>
      <w:pPr>
        <w:spacing w:after="0" w:line="111" w:lineRule="exact"/>
        <w:rPr>
          <w:rFonts w:ascii="Times New Roman" w:cs="Times New Roman" w:eastAsia="Times New Roman" w:hAnsi="Times New Roman"/>
          <w:sz w:val="12"/>
          <w:szCs w:val="12"/>
          <w:color w:val="auto"/>
        </w:rPr>
      </w:pPr>
    </w:p>
    <w:p>
      <w:pPr>
        <w:jc w:val="both"/>
        <w:ind w:right="340" w:firstLine="947"/>
        <w:spacing w:after="0" w:line="265" w:lineRule="auto"/>
        <w:tabs>
          <w:tab w:leader="none" w:pos="1124" w:val="left"/>
        </w:tabs>
        <w:numPr>
          <w:ilvl w:val="1"/>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at any time the Commission takes the position that the offering of some or all of the Registrable Securities in a Registration Statement is not eligible to be made on a delayed or continuous basis under the provisions of Rule 415 under the Securities Act or requires any Holder to be named as an “underwriter,” the Company shall use commercially reasonable efforts to persuade the Commission that the offering contemplated by such Registration Statement is a valid secondary offering and not an offering “by or on behalf of the issuer” as defined in Rule 415 and that none of the Holders is an “underwriter.”</w:t>
      </w:r>
    </w:p>
    <w:p>
      <w:pPr>
        <w:spacing w:after="0" w:line="118" w:lineRule="exact"/>
        <w:rPr>
          <w:rFonts w:ascii="Times New Roman" w:cs="Times New Roman" w:eastAsia="Times New Roman" w:hAnsi="Times New Roman"/>
          <w:sz w:val="12"/>
          <w:szCs w:val="12"/>
          <w:color w:val="auto"/>
        </w:rPr>
      </w:pPr>
    </w:p>
    <w:p>
      <w:pPr>
        <w:ind w:firstLine="286"/>
        <w:spacing w:after="0" w:line="252" w:lineRule="auto"/>
        <w:tabs>
          <w:tab w:leader="none" w:pos="414"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Registration Expenses</w:t>
      </w:r>
      <w:r>
        <w:rPr>
          <w:rFonts w:ascii="Times New Roman" w:cs="Times New Roman" w:eastAsia="Times New Roman" w:hAnsi="Times New Roman"/>
          <w:sz w:val="12"/>
          <w:szCs w:val="12"/>
          <w:color w:val="auto"/>
        </w:rPr>
        <w:t xml:space="preserve">. All fees and expenses incident to the Company’s performance of or compliance with its obligations under this Agreement (excluding any underwriting discounts and selling commissions and all legal fees and expenses of legal counsel for any Holder)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required to be made with any Trading Market on which the Common Stock are then listed for trading, (B) with respect to compliance with applicable state securities or blue sky laws (including, without limitation, fees and disbursements of counsel for the Company in connection with blue sky qualifications or exemptions of the Registrable Securities and determination of the eligibility of the Registrable Securities for investment under the laws of such jurisdictions as requested by the Holders) and (C) if not previously paid by the Company in connection with </w:t>
      </w:r>
      <w:r>
        <w:rPr>
          <w:rFonts w:ascii="Times New Roman" w:cs="Times New Roman" w:eastAsia="Times New Roman" w:hAnsi="Times New Roman"/>
          <w:sz w:val="12"/>
          <w:szCs w:val="12"/>
          <w:u w:val="single" w:color="auto"/>
          <w:color w:val="auto"/>
        </w:rPr>
        <w:t>Section 3(j)</w:t>
      </w:r>
      <w:r>
        <w:rPr>
          <w:rFonts w:ascii="Times New Roman" w:cs="Times New Roman" w:eastAsia="Times New Roman" w:hAnsi="Times New Roman"/>
          <w:sz w:val="12"/>
          <w:szCs w:val="12"/>
          <w:color w:val="auto"/>
        </w:rPr>
        <w:t xml:space="preserve"> above, with respect to any filing that may be required to be made by any broker through which a Holder intends to make sales of Registrable Securities with FINRA pursuant to the FINRA Rule 5110, so long as the broker is receiving no more than a customary brokerage commission in connection with such sale), (ii) printing expenses (including, without limitation, expenses of printing certificates for Registrable Securities and of printing prospectuses if the printing of prospectuses is reasonably requested by the Holders of a majority of the Registrable Securities included in the Registration Statement), (iii) messenger, telephone and delivery expenses, (iv) fees, expenses and disbursements of counsel for the Company, (v) Securities Act liability insurance, if the Company so desires such insurance, and (vi) fees and expenses of all other Persons retained by the Company in connection with the registrations and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underwriting, broker or similar fees or commissions of any Holder or, except to the extent provided for in the Transaction Documents, any legal fees or other costs of the Holders.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4" w:name="page95"/>
    <w:bookmarkEnd w:id="94"/>
    <w:p>
      <w:pPr>
        <w:ind w:left="400" w:hanging="114"/>
        <w:spacing w:after="0"/>
        <w:tabs>
          <w:tab w:leader="none" w:pos="40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Indemnification</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firstLine="947"/>
        <w:spacing w:after="0" w:line="252" w:lineRule="auto"/>
        <w:tabs>
          <w:tab w:leader="none" w:pos="1118"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Indemnification by the Company</w:t>
      </w:r>
      <w:r>
        <w:rPr>
          <w:rFonts w:ascii="Times New Roman" w:cs="Times New Roman" w:eastAsia="Times New Roman" w:hAnsi="Times New Roman"/>
          <w:sz w:val="12"/>
          <w:szCs w:val="12"/>
          <w:color w:val="auto"/>
        </w:rPr>
        <w:t>. The Company shall, notwithstanding any termination of this Agreement, indemnify, defend and hold harmless each Holder and each of their respective officers, directors, agents, partners, members, managers, stockholders, Affiliates, investment advisers and employees of each of them, each Person who controls any such Holder (within the meaning of Section 15 of the Securities Act or Section 20 of the Exchange Act) and the officers, directors, partners, members, managers, stockholders, agents, investment advisers and employees of each such controlling Person, to the fullest extent permitted by applicable law, from and against any and all losses, claims, damages, liabilities, costs (including, without limitation, reasonable costs of preparation and investigation and reasonable attorneys’ fees), expenses and disbursements (collectively, “</w:t>
      </w:r>
      <w:r>
        <w:rPr>
          <w:rFonts w:ascii="Times New Roman" w:cs="Times New Roman" w:eastAsia="Times New Roman" w:hAnsi="Times New Roman"/>
          <w:sz w:val="12"/>
          <w:szCs w:val="12"/>
          <w:b w:val="1"/>
          <w:bCs w:val="1"/>
          <w:i w:val="1"/>
          <w:iCs w:val="1"/>
          <w:color w:val="auto"/>
        </w:rPr>
        <w:t>Losses</w:t>
      </w:r>
      <w:r>
        <w:rPr>
          <w:rFonts w:ascii="Times New Roman" w:cs="Times New Roman" w:eastAsia="Times New Roman" w:hAnsi="Times New Roman"/>
          <w:sz w:val="12"/>
          <w:szCs w:val="12"/>
          <w:color w:val="auto"/>
        </w:rPr>
        <w:t xml:space="preserve">”), as incurred, that arise out of or are based upon (i)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Company or its agents of the Securities Act, the Exchange Act or any state securities law or any rule or regulation thereunder, in connection with the performance of its obligations under this Agreement or any action or inaction required of the Company in connection with any registration, except to the extent, but only to the extent, that (A) such untrue statements, alleged untrue statements, omissions or alleged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approved in writing by such Holder expressly for use in the Registration Statement, such Prospectus or such form of Prospectus or in any amendment or supplement thereto (it being understood that each Holder has approved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xml:space="preserve"> hereto for this purpose), (B) in the case of an occurrence of an event of the type specified in </w:t>
      </w:r>
      <w:r>
        <w:rPr>
          <w:rFonts w:ascii="Times New Roman" w:cs="Times New Roman" w:eastAsia="Times New Roman" w:hAnsi="Times New Roman"/>
          <w:sz w:val="12"/>
          <w:szCs w:val="12"/>
          <w:u w:val="single" w:color="auto"/>
          <w:color w:val="auto"/>
        </w:rPr>
        <w:t>Section 3(c)(iii)-(vi)</w:t>
      </w:r>
      <w:r>
        <w:rPr>
          <w:rFonts w:ascii="Times New Roman" w:cs="Times New Roman" w:eastAsia="Times New Roman" w:hAnsi="Times New Roman"/>
          <w:sz w:val="12"/>
          <w:szCs w:val="12"/>
          <w:color w:val="auto"/>
        </w:rPr>
        <w:t xml:space="preserve">, related to the use by a Holder of an outdated or defective Prospectus after the Company has notified such Holder in writing that the Prospectus is outdated or defective and prior to the receipt by such Holder of the Advice contemplated and defined in </w:t>
      </w:r>
      <w:r>
        <w:rPr>
          <w:rFonts w:ascii="Times New Roman" w:cs="Times New Roman" w:eastAsia="Times New Roman" w:hAnsi="Times New Roman"/>
          <w:sz w:val="12"/>
          <w:szCs w:val="12"/>
          <w:u w:val="single" w:color="auto"/>
          <w:color w:val="auto"/>
        </w:rPr>
        <w:t>Section 6(d)</w:t>
      </w:r>
      <w:r>
        <w:rPr>
          <w:rFonts w:ascii="Times New Roman" w:cs="Times New Roman" w:eastAsia="Times New Roman" w:hAnsi="Times New Roman"/>
          <w:sz w:val="12"/>
          <w:szCs w:val="12"/>
          <w:color w:val="auto"/>
        </w:rPr>
        <w:t xml:space="preserve"> below, to the extent that following the receipt of the Advice the misstatement or omission giving rise to such Loss would have been corrected or (C) to the extent that any such Losses arise out of the Purchaser’s (or any other indemnified Person’s) failure to send or give a copy of the Prospectus or supplement (as then amended or supplemented), if required, pursuant to Rule 172 under the Securities Act (or any successor rule) to the Persons asserting an untrue statement or alleged untrue statement or alleged untrue statement or omission or alleged omission at or prior to the written confirmation of the sale of Registrable Securities to such Person if such statement or omission was corrected in such Prospectus or supplement.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an Indemnified Party (as defined in </w:t>
      </w:r>
      <w:r>
        <w:rPr>
          <w:rFonts w:ascii="Times New Roman" w:cs="Times New Roman" w:eastAsia="Times New Roman" w:hAnsi="Times New Roman"/>
          <w:sz w:val="12"/>
          <w:szCs w:val="12"/>
          <w:u w:val="single" w:color="auto"/>
          <w:color w:val="auto"/>
        </w:rPr>
        <w:t>Section 5(c)</w:t>
      </w:r>
      <w:r>
        <w:rPr>
          <w:rFonts w:ascii="Times New Roman" w:cs="Times New Roman" w:eastAsia="Times New Roman" w:hAnsi="Times New Roman"/>
          <w:sz w:val="12"/>
          <w:szCs w:val="12"/>
          <w:color w:val="auto"/>
        </w:rPr>
        <w:t>) and shall survive the transfer of the Registrable Securities by the Holders.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5" w:name="page96"/>
    <w:bookmarkEnd w:id="95"/>
    <w:p>
      <w:pPr>
        <w:ind w:right="80" w:firstLine="947"/>
        <w:spacing w:after="0" w:line="253" w:lineRule="auto"/>
        <w:tabs>
          <w:tab w:leader="none" w:pos="1124"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Indemnification by Holders</w:t>
      </w:r>
      <w:r>
        <w:rPr>
          <w:rFonts w:ascii="Times New Roman" w:cs="Times New Roman" w:eastAsia="Times New Roman" w:hAnsi="Times New Roman"/>
          <w:sz w:val="12"/>
          <w:szCs w:val="12"/>
          <w:color w:val="auto"/>
        </w:rPr>
        <w:t xml:space="preserve">.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arising out of or are based solely upon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(i) to the extent that such untrue statements or omissions are based solely upon information regarding such Holder furnished in writing to the Company by such Holder expressly for use therein or (ii) to the extent that such information relates to such Holder or such Holder’s proposed method of distribution of Registrable Securities and was reviewed and approved in writing by such Holder expressly for use in a Registration Statement (it being understood that the Holder has approved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xml:space="preserve"> hereto for this purpose), such Prospectus or such form of Prospectus or in any amendment or supplement thereto or (iii) in the case of an occurrence of an event of the type specified in </w:t>
      </w:r>
      <w:r>
        <w:rPr>
          <w:rFonts w:ascii="Times New Roman" w:cs="Times New Roman" w:eastAsia="Times New Roman" w:hAnsi="Times New Roman"/>
          <w:sz w:val="12"/>
          <w:szCs w:val="12"/>
          <w:u w:val="single" w:color="auto"/>
          <w:color w:val="auto"/>
        </w:rPr>
        <w:t>Section 3(c)(iii)-(vi)</w:t>
      </w:r>
      <w:r>
        <w:rPr>
          <w:rFonts w:ascii="Times New Roman" w:cs="Times New Roman" w:eastAsia="Times New Roman" w:hAnsi="Times New Roman"/>
          <w:sz w:val="12"/>
          <w:szCs w:val="12"/>
          <w:color w:val="auto"/>
        </w:rPr>
        <w:t xml:space="preserve">, to the extent related to the use by such Holder of an outdated or defective Prospectus after the Company has notified such Holder in writing that the Prospectus is outdated or defective and prior to the receipt by such Holder of the Advice contemplated in </w:t>
      </w:r>
      <w:r>
        <w:rPr>
          <w:rFonts w:ascii="Times New Roman" w:cs="Times New Roman" w:eastAsia="Times New Roman" w:hAnsi="Times New Roman"/>
          <w:sz w:val="12"/>
          <w:szCs w:val="12"/>
          <w:u w:val="single" w:color="auto"/>
          <w:color w:val="auto"/>
        </w:rPr>
        <w:t>Section 6(d)</w:t>
      </w:r>
      <w:r>
        <w:rPr>
          <w:rFonts w:ascii="Times New Roman" w:cs="Times New Roman" w:eastAsia="Times New Roman" w:hAnsi="Times New Roman"/>
          <w:sz w:val="12"/>
          <w:szCs w:val="12"/>
          <w:color w:val="auto"/>
        </w:rPr>
        <w:t>. In no event shall the liability of any selling Holder hereunder be greater in amount than the dollar amount of the net proceeds received by such Holder upon the sale of the Registrable Securities giving rise to such indemnification obligation.</w:t>
      </w:r>
    </w:p>
    <w:p>
      <w:pPr>
        <w:spacing w:after="0" w:line="125" w:lineRule="exact"/>
        <w:rPr>
          <w:rFonts w:ascii="Times New Roman" w:cs="Times New Roman" w:eastAsia="Times New Roman" w:hAnsi="Times New Roman"/>
          <w:sz w:val="12"/>
          <w:szCs w:val="12"/>
          <w:color w:val="auto"/>
        </w:rPr>
      </w:pPr>
    </w:p>
    <w:p>
      <w:pPr>
        <w:ind w:firstLine="947"/>
        <w:spacing w:after="0" w:line="259" w:lineRule="auto"/>
        <w:tabs>
          <w:tab w:leader="none" w:pos="111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Conduct of Indemnification Proceedings</w:t>
      </w:r>
      <w:r>
        <w:rPr>
          <w:rFonts w:ascii="Times New Roman" w:cs="Times New Roman" w:eastAsia="Times New Roman" w:hAnsi="Times New Roman"/>
          <w:sz w:val="12"/>
          <w:szCs w:val="12"/>
          <w:color w:val="auto"/>
        </w:rPr>
        <w:t>. If any Proceeding shall be brought or asserted against any Person entitled to indemnity hereunder (an “</w:t>
      </w:r>
      <w:r>
        <w:rPr>
          <w:rFonts w:ascii="Times New Roman" w:cs="Times New Roman" w:eastAsia="Times New Roman" w:hAnsi="Times New Roman"/>
          <w:sz w:val="12"/>
          <w:szCs w:val="12"/>
          <w:b w:val="1"/>
          <w:bCs w:val="1"/>
          <w:i w:val="1"/>
          <w:iCs w:val="1"/>
          <w:color w:val="auto"/>
        </w:rPr>
        <w:t>Indemnified Party</w:t>
      </w:r>
      <w:r>
        <w:rPr>
          <w:rFonts w:ascii="Times New Roman" w:cs="Times New Roman" w:eastAsia="Times New Roman" w:hAnsi="Times New Roman"/>
          <w:sz w:val="12"/>
          <w:szCs w:val="12"/>
          <w:color w:val="auto"/>
        </w:rPr>
        <w:t>”), such Indemnified Party shall promptly notify the Person from whom indemnity is sought (the “</w:t>
      </w:r>
      <w:r>
        <w:rPr>
          <w:rFonts w:ascii="Times New Roman" w:cs="Times New Roman" w:eastAsia="Times New Roman" w:hAnsi="Times New Roman"/>
          <w:sz w:val="12"/>
          <w:szCs w:val="12"/>
          <w:b w:val="1"/>
          <w:bCs w:val="1"/>
          <w:i w:val="1"/>
          <w:iCs w:val="1"/>
          <w:color w:val="auto"/>
        </w:rPr>
        <w:t>Indemnifying Party</w:t>
      </w:r>
      <w:r>
        <w:rPr>
          <w:rFonts w:ascii="Times New Roman" w:cs="Times New Roman" w:eastAsia="Times New Roman" w:hAnsi="Times New Roman"/>
          <w:sz w:val="12"/>
          <w:szCs w:val="12"/>
          <w:color w:val="auto"/>
        </w:rPr>
        <w:t>”) in writing, and the Indemnifying Party shall have the right to assume the defense thereof, including the employment of counsel reasonably satisfactory to the Indemnified Party and the payment of all reasonable fees, expenses and disbursements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23" w:lineRule="exact"/>
        <w:rPr>
          <w:sz w:val="20"/>
          <w:szCs w:val="20"/>
          <w:color w:val="auto"/>
        </w:rPr>
      </w:pPr>
    </w:p>
    <w:p>
      <w:pPr>
        <w:ind w:right="40" w:firstLine="661"/>
        <w:spacing w:after="0" w:line="254" w:lineRule="auto"/>
        <w:rPr>
          <w:sz w:val="20"/>
          <w:szCs w:val="20"/>
          <w:color w:val="auto"/>
        </w:rPr>
      </w:pPr>
      <w:r>
        <w:rPr>
          <w:rFonts w:ascii="Times New Roman" w:cs="Times New Roman" w:eastAsia="Times New Roman" w:hAnsi="Times New Roman"/>
          <w:sz w:val="12"/>
          <w:szCs w:val="12"/>
          <w:color w:val="auto"/>
        </w:rPr>
        <w:t>An Indemnified Party shall have the right to employ separate counsel in any such Proceeding and to participate in the defense thereof, but the fees, expenses and disbursements of such counsel shall be at the expense of such Indemnified Party or Indemnified Parties unless: (1) the Indemnifying Party has agreed in writing to pay such fees, expenses and amounts;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such Indemnified Party shall have been advised by counsel that a conflict of interest exists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such counsel shall be at the expense of the Indemnifying Party); provided, that the Indemnifying Party shall not be liable for the fees, expenses and disbursements of more than one separate firm of attorneys at any time for all Indemnified Parties. The Indemnifying Party shall not be liable for any settlement of any such Proceeding effected without its written consent, which consent shall not be unreasonably withheld, delayed or conditioned.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26" w:lineRule="exact"/>
        <w:rPr>
          <w:sz w:val="20"/>
          <w:szCs w:val="20"/>
          <w:color w:val="auto"/>
        </w:rPr>
      </w:pPr>
    </w:p>
    <w:p>
      <w:pPr>
        <w:ind w:firstLine="661"/>
        <w:spacing w:after="0" w:line="257" w:lineRule="auto"/>
        <w:rPr>
          <w:sz w:val="20"/>
          <w:szCs w:val="20"/>
          <w:color w:val="auto"/>
        </w:rPr>
      </w:pPr>
      <w:r>
        <w:rPr>
          <w:rFonts w:ascii="Times New Roman" w:cs="Times New Roman" w:eastAsia="Times New Roman" w:hAnsi="Times New Roman"/>
          <w:sz w:val="12"/>
          <w:szCs w:val="12"/>
          <w:color w:val="auto"/>
        </w:rPr>
        <w:t xml:space="preserve">Subject to the terms of this Agreement, all fees, expenses and disbursements of the Indemnified Party (including reasonable fees, expenses and disbursements to the extent incurred in connection with investigating or preparing to defend such Proceeding in a manner not inconsistent with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shall be paid to the Indemnified Party, as incurred, within 20 Trading Days of written notice thereof to the Indemnifying Party; provided, that the Indemnified Party shall promptly reimburse the Indemnifying Party for that portion of such fees, expenses and disbursements applicable to such actions for which such Indemnified Party is finally judicially determined to not be entitled to indemnification hereunder. The failure to deliver written notice to the Indemnifying Party within a reasonable time of the commencement of any such action shall not relieve such Indemnifying Party of any liability to the Indemnified Party under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except to the extent that the Indemnifying Party is materially and adversely prejudiced in its ability to defend such action.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6" w:name="page97"/>
    <w:bookmarkEnd w:id="96"/>
    <w:p>
      <w:pPr>
        <w:ind w:right="40" w:firstLine="947"/>
        <w:spacing w:after="0" w:line="254" w:lineRule="auto"/>
        <w:tabs>
          <w:tab w:leader="none" w:pos="1124"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Contribution</w:t>
      </w:r>
      <w:r>
        <w:rPr>
          <w:rFonts w:ascii="Times New Roman" w:cs="Times New Roman" w:eastAsia="Times New Roman" w:hAnsi="Times New Roman"/>
          <w:sz w:val="12"/>
          <w:szCs w:val="12"/>
          <w:color w:val="auto"/>
        </w:rPr>
        <w:t xml:space="preserve">. If a claim for indemnification under </w:t>
      </w:r>
      <w:r>
        <w:rPr>
          <w:rFonts w:ascii="Times New Roman" w:cs="Times New Roman" w:eastAsia="Times New Roman" w:hAnsi="Times New Roman"/>
          <w:sz w:val="12"/>
          <w:szCs w:val="12"/>
          <w:u w:val="single" w:color="auto"/>
          <w:color w:val="auto"/>
        </w:rPr>
        <w:t>Section 5(a)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5(b)</w:t>
      </w:r>
      <w:r>
        <w:rPr>
          <w:rFonts w:ascii="Times New Roman" w:cs="Times New Roman" w:eastAsia="Times New Roman" w:hAnsi="Times New Roman"/>
          <w:sz w:val="12"/>
          <w:szCs w:val="12"/>
          <w:color w:val="auto"/>
        </w:rPr>
        <w:t xml:space="preserve"> is unavailable to an Indemnified Party or insufficient, other than as expressly specified therein, to hold an Indemnified Party harmless for any Losses, then each Indemnifying Party, in lieu of indemnifying such Indemnified Party, shall contribute to the amount paid or payable by such Indemnified Party as a result of such Losses,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reasonable fees, expenses or disbursements incurred by such party in connection with any Proceeding to the extent such party would have been indemnified for such fees, expenses or disbursements if the indemnification provided for in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was available to such party in accordance with its terms.</w:t>
      </w:r>
    </w:p>
    <w:p>
      <w:pPr>
        <w:spacing w:after="0" w:line="128" w:lineRule="exact"/>
        <w:rPr>
          <w:sz w:val="20"/>
          <w:szCs w:val="20"/>
          <w:color w:val="auto"/>
        </w:rPr>
      </w:pPr>
    </w:p>
    <w:p>
      <w:pPr>
        <w:ind w:firstLine="661"/>
        <w:spacing w:after="0" w:line="257" w:lineRule="auto"/>
        <w:rPr>
          <w:sz w:val="20"/>
          <w:szCs w:val="20"/>
          <w:color w:val="auto"/>
        </w:rPr>
      </w:pPr>
      <w:r>
        <w:rPr>
          <w:rFonts w:ascii="Times New Roman" w:cs="Times New Roman" w:eastAsia="Times New Roman" w:hAnsi="Times New Roman"/>
          <w:sz w:val="12"/>
          <w:szCs w:val="12"/>
          <w:color w:val="auto"/>
        </w:rPr>
        <w:t xml:space="preserve">The parties hereto agree that it would not be just and equitable if contribution pursuant to this </w:t>
      </w:r>
      <w:r>
        <w:rPr>
          <w:rFonts w:ascii="Times New Roman" w:cs="Times New Roman" w:eastAsia="Times New Roman" w:hAnsi="Times New Roman"/>
          <w:sz w:val="12"/>
          <w:szCs w:val="12"/>
          <w:u w:val="single" w:color="auto"/>
          <w:color w:val="auto"/>
        </w:rPr>
        <w:t>Section 5(d)</w:t>
      </w:r>
      <w:r>
        <w:rPr>
          <w:rFonts w:ascii="Times New Roman" w:cs="Times New Roman" w:eastAsia="Times New Roman" w:hAnsi="Times New Roman"/>
          <w:sz w:val="12"/>
          <w:szCs w:val="12"/>
          <w:color w:val="auto"/>
        </w:rPr>
        <w:t xml:space="preserve"> were determined by pro rata allocation or by any other method of allocation that does not take into account the equitable considerations referred to in the immediately preceding paragraph. Notwithstanding the provisions of this </w:t>
      </w:r>
      <w:r>
        <w:rPr>
          <w:rFonts w:ascii="Times New Roman" w:cs="Times New Roman" w:eastAsia="Times New Roman" w:hAnsi="Times New Roman"/>
          <w:sz w:val="12"/>
          <w:szCs w:val="12"/>
          <w:u w:val="single" w:color="auto"/>
          <w:color w:val="auto"/>
        </w:rPr>
        <w:t>Section 5(d)</w:t>
      </w:r>
      <w:r>
        <w:rPr>
          <w:rFonts w:ascii="Times New Roman" w:cs="Times New Roman" w:eastAsia="Times New Roman" w:hAnsi="Times New Roman"/>
          <w:sz w:val="12"/>
          <w:szCs w:val="12"/>
          <w:color w:val="auto"/>
        </w:rPr>
        <w:t xml:space="preserve">, (A) no Holder shall be required to contribute, in the aggregate with any other amounts payable by it under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any amount in excess of the net proceeds actually received by such Holder from the sale of the Registrable Securities giving rise to such contribution obligation and (B) no contribution will be made under circumstances where the maker of such contribution would not have been required to indemnify the Indemnified Party under the fault standards set forth in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No person guilty of fraudulent misrepresentation (within the meaning of Section 11(f) of the Securities Act) shall be entitled to contribution from any Person who was not guilty of such fraudulent misrepresentation.</w:t>
      </w:r>
    </w:p>
    <w:p>
      <w:pPr>
        <w:spacing w:after="0" w:line="125" w:lineRule="exact"/>
        <w:rPr>
          <w:sz w:val="20"/>
          <w:szCs w:val="20"/>
          <w:color w:val="auto"/>
        </w:rPr>
      </w:pPr>
    </w:p>
    <w:p>
      <w:pPr>
        <w:ind w:firstLine="294"/>
        <w:spacing w:after="0" w:line="279" w:lineRule="auto"/>
        <w:rPr>
          <w:sz w:val="20"/>
          <w:szCs w:val="20"/>
          <w:color w:val="auto"/>
        </w:rPr>
      </w:pPr>
      <w:r>
        <w:rPr>
          <w:rFonts w:ascii="Times New Roman" w:cs="Times New Roman" w:eastAsia="Times New Roman" w:hAnsi="Times New Roman"/>
          <w:sz w:val="12"/>
          <w:szCs w:val="12"/>
          <w:color w:val="auto"/>
        </w:rPr>
        <w:t xml:space="preserve">The indemnity and contribution agreements contained in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are in addition to any liability that the Indemnifying Parties may have to the Indemnified Parties and are not in diminution or limitation of the indemnification provisions under the Purchase Agreement.</w:t>
      </w:r>
    </w:p>
    <w:p>
      <w:pPr>
        <w:spacing w:after="0" w:line="111" w:lineRule="exact"/>
        <w:rPr>
          <w:sz w:val="20"/>
          <w:szCs w:val="20"/>
          <w:color w:val="auto"/>
        </w:rPr>
      </w:pPr>
    </w:p>
    <w:p>
      <w:pPr>
        <w:ind w:left="400" w:hanging="114"/>
        <w:spacing w:after="0"/>
        <w:tabs>
          <w:tab w:leader="none" w:pos="40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Miscellaneous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firstLine="947"/>
        <w:spacing w:after="0" w:line="260" w:lineRule="auto"/>
        <w:tabs>
          <w:tab w:leader="none" w:pos="1118"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Remedies</w:t>
      </w:r>
      <w:r>
        <w:rPr>
          <w:rFonts w:ascii="Times New Roman" w:cs="Times New Roman" w:eastAsia="Times New Roman" w:hAnsi="Times New Roman"/>
          <w:sz w:val="12"/>
          <w:szCs w:val="12"/>
          <w:color w:val="auto"/>
        </w:rPr>
        <w:t>. In the event of a breach by the Company or by a Holder of any of their obligations under this Agreement, each Holder or the Company, as the case may be, in addition to being entitled to exercise all rights granted by law and under this Agreement, including recovery of damages, will be entitled to seek specific performance of its rights under this Agreement, without the requirement of posting a bond.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waive the defense that a remedy at law would be adequate.</w:t>
      </w:r>
    </w:p>
    <w:p>
      <w:pPr>
        <w:spacing w:after="0" w:line="122" w:lineRule="exact"/>
        <w:rPr>
          <w:rFonts w:ascii="Times New Roman" w:cs="Times New Roman" w:eastAsia="Times New Roman" w:hAnsi="Times New Roman"/>
          <w:sz w:val="12"/>
          <w:szCs w:val="12"/>
          <w:color w:val="auto"/>
        </w:rPr>
      </w:pPr>
    </w:p>
    <w:p>
      <w:pPr>
        <w:ind w:right="60" w:firstLine="947"/>
        <w:spacing w:after="0" w:line="260" w:lineRule="auto"/>
        <w:tabs>
          <w:tab w:leader="none" w:pos="1124"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Piggyback on Registrations; Prohibition on Filing Other Registration Statements</w:t>
      </w:r>
      <w:r>
        <w:rPr>
          <w:rFonts w:ascii="Times New Roman" w:cs="Times New Roman" w:eastAsia="Times New Roman" w:hAnsi="Times New Roman"/>
          <w:sz w:val="12"/>
          <w:szCs w:val="12"/>
          <w:color w:val="auto"/>
        </w:rPr>
        <w:t>. Except for any such rights that have been waived, neither the Company nor any of its security holders (other than the Holders in such capacity pursuant hereto) may include securities of the Company in a Registration Statement other than the Registrable Securities and the Company shall not prior to the Effective Date enter into any agreement providing any such right to any of its security holders. For the avoidance of doubt, the provisions of this Agreement shall not impact the terms of any lock-up agreement entered into by Purchaser for the benefit of the Company on or about the date hereof.</w:t>
      </w:r>
    </w:p>
    <w:p>
      <w:pPr>
        <w:spacing w:after="0" w:line="122" w:lineRule="exact"/>
        <w:rPr>
          <w:rFonts w:ascii="Times New Roman" w:cs="Times New Roman" w:eastAsia="Times New Roman" w:hAnsi="Times New Roman"/>
          <w:sz w:val="12"/>
          <w:szCs w:val="12"/>
          <w:color w:val="auto"/>
        </w:rPr>
      </w:pPr>
    </w:p>
    <w:p>
      <w:pPr>
        <w:ind w:right="160" w:firstLine="947"/>
        <w:spacing w:after="0" w:line="265" w:lineRule="auto"/>
        <w:tabs>
          <w:tab w:leader="none" w:pos="1118"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Compliance</w:t>
      </w:r>
      <w:r>
        <w:rPr>
          <w:rFonts w:ascii="Times New Roman" w:cs="Times New Roman" w:eastAsia="Times New Roman" w:hAnsi="Times New Roman"/>
          <w:sz w:val="12"/>
          <w:szCs w:val="12"/>
          <w:color w:val="auto"/>
        </w:rPr>
        <w:t>. Each Holder covenants and agrees that it will comply with the prospectus delivery requirements of the Securities Act as applicable to it (unless an exemption therefrom is available) in connection with sales of Registrable Securities pursuant to the Registration Statement and shall sell the Registrable Securities only in accordance with a method of distribution described in the Registration Statement, or pursuant to an exemption from, or in a transaction not subject to, the registration requirements of the Securities Act.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7" w:name="page98"/>
    <w:bookmarkEnd w:id="97"/>
    <w:p>
      <w:pPr>
        <w:ind w:firstLine="947"/>
        <w:spacing w:after="0" w:line="257" w:lineRule="auto"/>
        <w:tabs>
          <w:tab w:leader="none" w:pos="1124"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Discontinued Disposition</w:t>
      </w:r>
      <w:r>
        <w:rPr>
          <w:rFonts w:ascii="Times New Roman" w:cs="Times New Roman" w:eastAsia="Times New Roman" w:hAnsi="Times New Roman"/>
          <w:sz w:val="12"/>
          <w:szCs w:val="12"/>
          <w:color w:val="auto"/>
        </w:rPr>
        <w:t xml:space="preserve">. By its acquisition of Registrable Securities, each Holder agrees that, upon receipt of a notice from the Company of the occurrence of any event of the kind described in </w:t>
      </w:r>
      <w:r>
        <w:rPr>
          <w:rFonts w:ascii="Times New Roman" w:cs="Times New Roman" w:eastAsia="Times New Roman" w:hAnsi="Times New Roman"/>
          <w:sz w:val="12"/>
          <w:szCs w:val="12"/>
          <w:u w:val="single" w:color="auto"/>
          <w:color w:val="auto"/>
        </w:rPr>
        <w:t>Section 3(c)</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iii</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vi</w:t>
      </w:r>
      <w:r>
        <w:rPr>
          <w:rFonts w:ascii="Times New Roman" w:cs="Times New Roman" w:eastAsia="Times New Roman" w:hAnsi="Times New Roman"/>
          <w:sz w:val="12"/>
          <w:szCs w:val="12"/>
          <w:color w:val="auto"/>
        </w:rPr>
        <w:t>), such Holder will forthwith discontinue disposition of such Registrable Securities under a Registration Statement until it is advised in writing (the “</w:t>
      </w:r>
      <w:r>
        <w:rPr>
          <w:rFonts w:ascii="Times New Roman" w:cs="Times New Roman" w:eastAsia="Times New Roman" w:hAnsi="Times New Roman"/>
          <w:sz w:val="12"/>
          <w:szCs w:val="12"/>
          <w:b w:val="1"/>
          <w:bCs w:val="1"/>
          <w:i w:val="1"/>
          <w:iCs w:val="1"/>
          <w:color w:val="auto"/>
        </w:rPr>
        <w:t>Advice</w:t>
      </w:r>
      <w:r>
        <w:rPr>
          <w:rFonts w:ascii="Times New Roman" w:cs="Times New Roman" w:eastAsia="Times New Roman" w:hAnsi="Times New Roman"/>
          <w:sz w:val="12"/>
          <w:szCs w:val="12"/>
          <w:color w:val="auto"/>
        </w:rPr>
        <w:t xml:space="preserve">”) by the Company that the use of the applicable Prospectus (as it may have been supplemented or amended) may be resumed. The Company will use its commercially reasonable efforts to ensure that the use of the Prospectus may be resumed as promptly as is practicable. Notwithstanding anything herein to the contrary, no Holder shall be required to discontinue disposition of Registrable Securities under a Registration Statement by virtue of the delivery by the Company of a notice of the occurrence of any event of the kind described in </w:t>
      </w:r>
      <w:r>
        <w:rPr>
          <w:rFonts w:ascii="Times New Roman" w:cs="Times New Roman" w:eastAsia="Times New Roman" w:hAnsi="Times New Roman"/>
          <w:sz w:val="12"/>
          <w:szCs w:val="12"/>
          <w:u w:val="single" w:color="auto"/>
          <w:color w:val="auto"/>
        </w:rPr>
        <w:t>Section 3(c)</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vi</w:t>
      </w:r>
      <w:r>
        <w:rPr>
          <w:rFonts w:ascii="Times New Roman" w:cs="Times New Roman" w:eastAsia="Times New Roman" w:hAnsi="Times New Roman"/>
          <w:sz w:val="12"/>
          <w:szCs w:val="12"/>
          <w:color w:val="auto"/>
        </w:rPr>
        <w:t>) on more than two occasions or for more than 90 total calendar days, in each case during any twelve-month period, or for more than 45 calendar days during any 90-day period (an “</w:t>
      </w:r>
      <w:r>
        <w:rPr>
          <w:rFonts w:ascii="Times New Roman" w:cs="Times New Roman" w:eastAsia="Times New Roman" w:hAnsi="Times New Roman"/>
          <w:sz w:val="12"/>
          <w:szCs w:val="12"/>
          <w:b w:val="1"/>
          <w:bCs w:val="1"/>
          <w:i w:val="1"/>
          <w:iCs w:val="1"/>
          <w:color w:val="auto"/>
        </w:rPr>
        <w:t>Allowed Suspension</w:t>
      </w:r>
      <w:r>
        <w:rPr>
          <w:rFonts w:ascii="Times New Roman" w:cs="Times New Roman" w:eastAsia="Times New Roman" w:hAnsi="Times New Roman"/>
          <w:sz w:val="12"/>
          <w:szCs w:val="12"/>
          <w:color w:val="auto"/>
        </w:rPr>
        <w:t>”).</w:t>
      </w:r>
    </w:p>
    <w:p>
      <w:pPr>
        <w:spacing w:after="0" w:line="125" w:lineRule="exact"/>
        <w:rPr>
          <w:rFonts w:ascii="Times New Roman" w:cs="Times New Roman" w:eastAsia="Times New Roman" w:hAnsi="Times New Roman"/>
          <w:sz w:val="12"/>
          <w:szCs w:val="12"/>
          <w:color w:val="auto"/>
        </w:rPr>
      </w:pPr>
    </w:p>
    <w:p>
      <w:pPr>
        <w:ind w:right="480" w:firstLine="947"/>
        <w:spacing w:after="0" w:line="279" w:lineRule="auto"/>
        <w:tabs>
          <w:tab w:leader="none" w:pos="1118"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Inconsistent Agreements</w:t>
      </w:r>
      <w:r>
        <w:rPr>
          <w:rFonts w:ascii="Times New Roman" w:cs="Times New Roman" w:eastAsia="Times New Roman" w:hAnsi="Times New Roman"/>
          <w:sz w:val="12"/>
          <w:szCs w:val="12"/>
          <w:color w:val="auto"/>
        </w:rPr>
        <w:t>. Neither the Company nor any of its subsidiaries has entered, as of the date hereof, nor shall the Company or any of its subsidiaries, on or after the date hereof, enter into any agreement with respect to its securities, that would have the effect of impairing the rights granted to the Holders in this Agreement or otherwise conflicts with the provisions hereof.</w:t>
      </w:r>
    </w:p>
    <w:p>
      <w:pPr>
        <w:spacing w:after="0" w:line="111" w:lineRule="exact"/>
        <w:rPr>
          <w:rFonts w:ascii="Times New Roman" w:cs="Times New Roman" w:eastAsia="Times New Roman" w:hAnsi="Times New Roman"/>
          <w:sz w:val="12"/>
          <w:szCs w:val="12"/>
          <w:color w:val="auto"/>
        </w:rPr>
      </w:pPr>
    </w:p>
    <w:p>
      <w:pPr>
        <w:ind w:right="80" w:firstLine="947"/>
        <w:spacing w:after="0" w:line="256" w:lineRule="auto"/>
        <w:tabs>
          <w:tab w:leader="none" w:pos="1104"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Amendments and Waivers</w:t>
      </w:r>
      <w:r>
        <w:rPr>
          <w:rFonts w:ascii="Times New Roman" w:cs="Times New Roman" w:eastAsia="Times New Roman" w:hAnsi="Times New Roman"/>
          <w:sz w:val="12"/>
          <w:szCs w:val="12"/>
          <w:color w:val="auto"/>
        </w:rPr>
        <w:t xml:space="preserve">. The provisions of this Agreement, including the provisions of this sentence, may not be amended, modified or supplemented, or waived unless the same shall be in writing and signed by the Company and Holders holding no less than a majority of the then outstanding Registrable Securities, provided that (i) any party may give a waiver as to itself and (ii) any proposed amendment that would, by its terms, have a disproportionate and materially adverse effect on any Holder shall require the consent of such Holder(s). Notwithstanding the foregoing, (1) a waiver or consent to depart from the provisions hereof with respect to a matter that relates exclusively to the rights of Holders and that does not directly or indirectly affect the rights of other Holders may be given by Holders of all of the Registrable Securities to which such waiver or consent relates and (2) none of the definitions of Filing Deadline, Effectiveness Deadline or Effectiveness Period, </w:t>
      </w:r>
      <w:r>
        <w:rPr>
          <w:rFonts w:ascii="Times New Roman" w:cs="Times New Roman" w:eastAsia="Times New Roman" w:hAnsi="Times New Roman"/>
          <w:sz w:val="12"/>
          <w:szCs w:val="12"/>
          <w:u w:val="single" w:color="auto"/>
          <w:color w:val="auto"/>
        </w:rPr>
        <w:t>Section 2(e)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3(c)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6(d)</w:t>
      </w:r>
      <w:r>
        <w:rPr>
          <w:rFonts w:ascii="Times New Roman" w:cs="Times New Roman" w:eastAsia="Times New Roman" w:hAnsi="Times New Roman"/>
          <w:sz w:val="12"/>
          <w:szCs w:val="12"/>
          <w:color w:val="auto"/>
        </w:rPr>
        <w:t>, or the provisions of this sentence, may be amended, modified, or supplemented except with the consent of each Holder.</w:t>
      </w:r>
    </w:p>
    <w:p>
      <w:pPr>
        <w:spacing w:after="0" w:line="124" w:lineRule="exact"/>
        <w:rPr>
          <w:rFonts w:ascii="Times New Roman" w:cs="Times New Roman" w:eastAsia="Times New Roman" w:hAnsi="Times New Roman"/>
          <w:sz w:val="12"/>
          <w:szCs w:val="12"/>
          <w:color w:val="auto"/>
        </w:rPr>
      </w:pPr>
    </w:p>
    <w:p>
      <w:pPr>
        <w:ind w:left="1120" w:hanging="173"/>
        <w:spacing w:after="0"/>
        <w:tabs>
          <w:tab w:leader="none" w:pos="11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Any and all notices or other communications or deliveries required or permitted to be provided hereunder shall be delivered as set forth in the Purchase Agreement.</w:t>
      </w:r>
    </w:p>
    <w:p>
      <w:pPr>
        <w:spacing w:after="0" w:line="150" w:lineRule="exact"/>
        <w:rPr>
          <w:rFonts w:ascii="Times New Roman" w:cs="Times New Roman" w:eastAsia="Times New Roman" w:hAnsi="Times New Roman"/>
          <w:sz w:val="12"/>
          <w:szCs w:val="12"/>
          <w:color w:val="auto"/>
        </w:rPr>
      </w:pPr>
    </w:p>
    <w:p>
      <w:pPr>
        <w:ind w:right="60" w:firstLine="947"/>
        <w:spacing w:after="0" w:line="254" w:lineRule="auto"/>
        <w:tabs>
          <w:tab w:leader="none" w:pos="1124"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This Agreement shall inure to the benefit of and be binding upon the successors and permitted assigns of each of the parties and shall inure to the benefit of each Holder.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The Company may not assign its rights (except by merger or in connection with another entity acquiring all or substantially all of the Company’s assets) or obligations hereunder without the prior written consent of all the Holders of the then outstanding Registrable Securities. Each Holder may assign its respective rights hereunder in the manner and to the Persons as permitted under the Purchase Agreement; provided in each case that (i) the Holder agrees in writing with the transferee or assignee to assign such rights and related obligations under this Agreement, and for the transferee or assignee to assume such obligations, and a copy of such agreement is furnished to the Company within a reasonable time after such assignment, (ii) the Company is, within a reasonable time after such transfer or assignment, furnished with written notice of the name and address of such transferee or assignee and the securities with respect to which such registration rights are being transferred or assigned, (iii) at or before the time the Company received the written notice contemplated by clause (ii) of this sentence, the transferee or assignee agrees in writing with the Company to be bound by all of the provisions contained herein and (iv) the transferee is an “accredited investor,” as that term is defined in Rule 501 of Regulation D.</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8" w:name="page99"/>
    <w:bookmarkEnd w:id="98"/>
    <w:p>
      <w:pPr>
        <w:ind w:left="-20" w:right="80" w:firstLine="947"/>
        <w:spacing w:after="0" w:line="260" w:lineRule="auto"/>
        <w:tabs>
          <w:tab w:leader="none" w:pos="1078"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Execution and Counterparts</w:t>
      </w:r>
      <w:r>
        <w:rPr>
          <w:rFonts w:ascii="Times New Roman" w:cs="Times New Roman" w:eastAsia="Times New Roman" w:hAnsi="Times New Roman"/>
          <w:sz w:val="12"/>
          <w:szCs w:val="12"/>
          <w:color w:val="auto"/>
        </w:rPr>
        <w:t>. This Agreement may be executed in two or more counterparts, each of which when so executed shall be deemed to be an original and, all of which taken together shall constitute one and the same Agreement and shall become effective when counterparts have been signed by each party and delivered to the other party, it being understood that both parties need not sign the same counterpart.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22" w:lineRule="exact"/>
        <w:rPr>
          <w:rFonts w:ascii="Times New Roman" w:cs="Times New Roman" w:eastAsia="Times New Roman" w:hAnsi="Times New Roman"/>
          <w:sz w:val="12"/>
          <w:szCs w:val="12"/>
          <w:color w:val="auto"/>
        </w:rPr>
      </w:pPr>
    </w:p>
    <w:p>
      <w:pPr>
        <w:ind w:left="1060" w:hanging="133"/>
        <w:spacing w:after="0"/>
        <w:tabs>
          <w:tab w:leader="none" w:pos="106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All questions concerning the construction, validity, enforcement and interpretation of this Agreement shall be determined in accordance with the provisions of the Purchase Agreement.</w:t>
      </w:r>
    </w:p>
    <w:p>
      <w:pPr>
        <w:spacing w:after="0" w:line="150" w:lineRule="exact"/>
        <w:rPr>
          <w:rFonts w:ascii="Times New Roman" w:cs="Times New Roman" w:eastAsia="Times New Roman" w:hAnsi="Times New Roman"/>
          <w:sz w:val="12"/>
          <w:szCs w:val="12"/>
          <w:color w:val="auto"/>
        </w:rPr>
      </w:pPr>
    </w:p>
    <w:p>
      <w:pPr>
        <w:ind w:left="1100" w:hanging="173"/>
        <w:spacing w:after="0"/>
        <w:tabs>
          <w:tab w:leader="none" w:pos="110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Cumulative Remedies</w:t>
      </w:r>
      <w:r>
        <w:rPr>
          <w:rFonts w:ascii="Times New Roman" w:cs="Times New Roman" w:eastAsia="Times New Roman" w:hAnsi="Times New Roman"/>
          <w:sz w:val="12"/>
          <w:szCs w:val="12"/>
          <w:color w:val="auto"/>
        </w:rPr>
        <w:t>. The remedies provided herein are cumulative and not exclusive of any other remedies provided by law.</w:t>
      </w:r>
    </w:p>
    <w:p>
      <w:pPr>
        <w:spacing w:after="0" w:line="150" w:lineRule="exact"/>
        <w:rPr>
          <w:rFonts w:ascii="Times New Roman" w:cs="Times New Roman" w:eastAsia="Times New Roman" w:hAnsi="Times New Roman"/>
          <w:sz w:val="12"/>
          <w:szCs w:val="12"/>
          <w:color w:val="auto"/>
        </w:rPr>
      </w:pPr>
    </w:p>
    <w:p>
      <w:pPr>
        <w:ind w:left="-20" w:right="60" w:firstLine="947"/>
        <w:spacing w:after="0" w:line="260" w:lineRule="auto"/>
        <w:tabs>
          <w:tab w:leader="none" w:pos="1078"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good faith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22" w:lineRule="exact"/>
        <w:rPr>
          <w:rFonts w:ascii="Times New Roman" w:cs="Times New Roman" w:eastAsia="Times New Roman" w:hAnsi="Times New Roman"/>
          <w:sz w:val="12"/>
          <w:szCs w:val="12"/>
          <w:color w:val="auto"/>
        </w:rPr>
      </w:pPr>
    </w:p>
    <w:p>
      <w:pPr>
        <w:ind w:left="1120" w:hanging="193"/>
        <w:spacing w:after="0"/>
        <w:tabs>
          <w:tab w:leader="none" w:pos="11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Headings</w:t>
      </w:r>
      <w:r>
        <w:rPr>
          <w:rFonts w:ascii="Times New Roman" w:cs="Times New Roman" w:eastAsia="Times New Roman" w:hAnsi="Times New Roman"/>
          <w:sz w:val="12"/>
          <w:szCs w:val="12"/>
          <w:color w:val="auto"/>
        </w:rPr>
        <w:t>. The headings in this Agreement are for convenience only and shall not limit or otherwise affect the meaning hereof.</w:t>
      </w:r>
    </w:p>
    <w:p>
      <w:pPr>
        <w:spacing w:after="0" w:line="150" w:lineRule="exact"/>
        <w:rPr>
          <w:rFonts w:ascii="Times New Roman" w:cs="Times New Roman" w:eastAsia="Times New Roman" w:hAnsi="Times New Roman"/>
          <w:sz w:val="12"/>
          <w:szCs w:val="12"/>
          <w:color w:val="auto"/>
        </w:rPr>
      </w:pPr>
    </w:p>
    <w:p>
      <w:pPr>
        <w:ind w:left="-20" w:firstLine="947"/>
        <w:spacing w:after="0" w:line="253" w:lineRule="auto"/>
        <w:tabs>
          <w:tab w:leader="none" w:pos="1104"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Independent Nature of Purchasers’ Obligations and Rights</w:t>
      </w:r>
      <w:r>
        <w:rPr>
          <w:rFonts w:ascii="Times New Roman" w:cs="Times New Roman" w:eastAsia="Times New Roman" w:hAnsi="Times New Roman"/>
          <w:sz w:val="12"/>
          <w:szCs w:val="12"/>
          <w:color w:val="auto"/>
        </w:rPr>
        <w:t>. The obligations of each Purchaser under this Agreement are several and not joint with the obligations of any other Purchaser hereunder, and no Purchaser shall be responsible in any way for the performance of the obligations of any other Purchaser hereunder. The decision of each Purchaser to purchase Securities pursuant to the Transaction Documents has been made by such Purchaser independently of any other Purchaser and independently of any information, materials, statements or opinions as to the business, affairs, operations, assets, properties, liabilities, results of operations, condition (financial or otherwise) or prospects of the Company or any Subsidiary which may have been made or given by any other Purchaser or by any agent or employee of any other Purchaser, and no Purchaser and any of its agents or employees shall have any liability to any other Purchaser (or any other Person) relating to or arising from any such information, materials, statement or opinions. Nothing contained herein or in any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(including, without limitation, a “group” within the meaning of Section 13(d)(3) of the Exchange Act) with respect to such obligations or the transactions contemplated by the Transaction Documents. Each Purchaser acknowledges that no other Purchaser has acted as agent for such Purchaser in connection with making its investment hereunder and that no Purchaser will be acting as agent of such Purchaser in connection with monitoring its investment in the securities or enforcing its rights under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The Company acknowledges that each of the Purchasers has been provided with the same Registration Rights Agreement for the purpose of closing a transaction with multiple Purchasers and not because it was required or requested to do so by any Purchaser. It is expressly understood that each provision contained in this Agreement is between the Company and a Purchaser, solely, and not between the Company and the Purchasers collectively and not between and among the Purchasers.</w:t>
      </w:r>
    </w:p>
    <w:p>
      <w:pPr>
        <w:spacing w:after="0" w:line="126" w:lineRule="exact"/>
        <w:rPr>
          <w:rFonts w:ascii="Times New Roman" w:cs="Times New Roman" w:eastAsia="Times New Roman" w:hAnsi="Times New Roman"/>
          <w:sz w:val="12"/>
          <w:szCs w:val="12"/>
          <w:color w:val="auto"/>
        </w:rPr>
      </w:pPr>
    </w:p>
    <w:p>
      <w:pPr>
        <w:ind w:left="-20" w:right="40" w:firstLine="947"/>
        <w:spacing w:after="0" w:line="260" w:lineRule="auto"/>
        <w:tabs>
          <w:tab w:leader="none" w:pos="1104"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Current Public Information</w:t>
      </w:r>
      <w:r>
        <w:rPr>
          <w:rFonts w:ascii="Times New Roman" w:cs="Times New Roman" w:eastAsia="Times New Roman" w:hAnsi="Times New Roman"/>
          <w:sz w:val="12"/>
          <w:szCs w:val="12"/>
          <w:color w:val="auto"/>
        </w:rPr>
        <w:t>. With a view to making available to the Holders the benefits of Rule 144 (or its successor rule) and any other rule or regulation of the Commission that may at any time permit the Holders to sell shares of Common Stock to the public without registration, for so long as the Shares remain outstanding, the Company covenants and agrees to use commercially reasonable efforts to: (i) make and keep adequate current public information available, as those terms are understood and defined in Rule 144, until such date on which the Holders no longer hold any Registrable Securities; and (ii) file with the Commission in a timely manner all reports and other documents required of the Company under the Exchange Act.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[REMAINDER OF PAGE INTENTIONALLY LEFT BLANK]</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21590</wp:posOffset>
            </wp:positionV>
            <wp:extent cx="7178040"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12"/>
          <w:szCs w:val="12"/>
          <w:color w:val="auto"/>
        </w:rPr>
        <w:t>IN WITNESS WHEREOF, the parties have executed this Registration Rights Agreement as of the date first written above.</w:t>
      </w:r>
    </w:p>
    <w:p>
      <w:pPr>
        <w:spacing w:after="0" w:line="1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2"/>
          <w:szCs w:val="12"/>
          <w:color w:val="auto"/>
        </w:rPr>
        <w:t>CARTESIAN THERAPEUTICS, INC.</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ind w:left="6780"/>
              <w:spacing w:after="0"/>
              <w:rPr>
                <w:sz w:val="20"/>
                <w:szCs w:val="20"/>
                <w:color w:val="auto"/>
              </w:rPr>
            </w:pPr>
            <w:r>
              <w:rPr>
                <w:rFonts w:ascii="Times New Roman" w:cs="Times New Roman" w:eastAsia="Times New Roman" w:hAnsi="Times New Roman"/>
                <w:sz w:val="12"/>
                <w:szCs w:val="12"/>
                <w:color w:val="auto"/>
              </w:rPr>
              <w:t>By:</w:t>
            </w:r>
          </w:p>
        </w:tc>
        <w:tc>
          <w:tcPr>
            <w:tcW w:w="4180" w:type="dxa"/>
            <w:vAlign w:val="bottom"/>
            <w:tcBorders>
              <w:bottom w:val="single" w:sz="8" w:color="auto"/>
            </w:tcBorders>
          </w:tcPr>
          <w:p>
            <w:pPr>
              <w:spacing w:after="0"/>
              <w:rPr>
                <w:sz w:val="14"/>
                <w:szCs w:val="14"/>
                <w:color w:val="auto"/>
              </w:rPr>
            </w:pPr>
          </w:p>
        </w:tc>
      </w:tr>
      <w:tr>
        <w:trPr>
          <w:trHeight w:val="133"/>
        </w:trPr>
        <w:tc>
          <w:tcPr>
            <w:tcW w:w="7120" w:type="dxa"/>
            <w:vAlign w:val="bottom"/>
          </w:tcPr>
          <w:p>
            <w:pPr>
              <w:ind w:left="6800"/>
              <w:spacing w:after="0" w:line="133" w:lineRule="exact"/>
              <w:rPr>
                <w:sz w:val="20"/>
                <w:szCs w:val="20"/>
                <w:color w:val="auto"/>
              </w:rPr>
            </w:pPr>
            <w:r>
              <w:rPr>
                <w:rFonts w:ascii="Times New Roman" w:cs="Times New Roman" w:eastAsia="Times New Roman" w:hAnsi="Times New Roman"/>
                <w:sz w:val="12"/>
                <w:szCs w:val="12"/>
                <w:color w:val="auto"/>
                <w:w w:val="93"/>
              </w:rPr>
              <w:t>Name:</w:t>
            </w:r>
          </w:p>
        </w:tc>
        <w:tc>
          <w:tcPr>
            <w:tcW w:w="4180" w:type="dxa"/>
            <w:vAlign w:val="bottom"/>
          </w:tcPr>
          <w:p>
            <w:pPr>
              <w:ind w:left="200"/>
              <w:spacing w:after="0" w:line="133" w:lineRule="exact"/>
              <w:rPr>
                <w:sz w:val="20"/>
                <w:szCs w:val="20"/>
                <w:color w:val="auto"/>
              </w:rPr>
            </w:pPr>
            <w:r>
              <w:rPr>
                <w:rFonts w:ascii="Times New Roman" w:cs="Times New Roman" w:eastAsia="Times New Roman" w:hAnsi="Times New Roman"/>
                <w:sz w:val="12"/>
                <w:szCs w:val="12"/>
                <w:color w:val="auto"/>
              </w:rPr>
              <w:t>Carsten Brunn, Ph.D.</w:t>
            </w:r>
          </w:p>
        </w:tc>
      </w:tr>
      <w:tr>
        <w:trPr>
          <w:trHeight w:val="155"/>
        </w:trPr>
        <w:tc>
          <w:tcPr>
            <w:tcW w:w="7120" w:type="dxa"/>
            <w:vAlign w:val="bottom"/>
          </w:tcPr>
          <w:p>
            <w:pPr>
              <w:ind w:left="6800"/>
              <w:spacing w:after="0"/>
              <w:rPr>
                <w:sz w:val="20"/>
                <w:szCs w:val="20"/>
                <w:color w:val="auto"/>
              </w:rPr>
            </w:pPr>
            <w:r>
              <w:rPr>
                <w:rFonts w:ascii="Times New Roman" w:cs="Times New Roman" w:eastAsia="Times New Roman" w:hAnsi="Times New Roman"/>
                <w:sz w:val="12"/>
                <w:szCs w:val="12"/>
                <w:color w:val="auto"/>
              </w:rPr>
              <w:t>Title:</w:t>
            </w:r>
          </w:p>
        </w:tc>
        <w:tc>
          <w:tcPr>
            <w:tcW w:w="41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288"/>
        </w:trPr>
        <w:tc>
          <w:tcPr>
            <w:tcW w:w="7120" w:type="dxa"/>
            <w:vAlign w:val="bottom"/>
          </w:tcPr>
          <w:p>
            <w:pPr>
              <w:ind w:left="4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Registration Rights Agreement</w:t>
            </w:r>
            <w:r>
              <w:rPr>
                <w:rFonts w:ascii="Times New Roman" w:cs="Times New Roman" w:eastAsia="Times New Roman" w:hAnsi="Times New Roman"/>
                <w:sz w:val="12"/>
                <w:szCs w:val="12"/>
                <w:color w:val="auto"/>
              </w:rPr>
              <w:t>]</w:t>
            </w:r>
          </w:p>
        </w:tc>
        <w:tc>
          <w:tcPr>
            <w:tcW w:w="4180" w:type="dxa"/>
            <w:vAlign w:val="bottom"/>
          </w:tcPr>
          <w:p>
            <w:pPr>
              <w:spacing w:after="0"/>
              <w:rPr>
                <w:sz w:val="24"/>
                <w:szCs w:val="24"/>
                <w:color w:val="auto"/>
              </w:rPr>
            </w:pPr>
          </w:p>
        </w:tc>
      </w:tr>
      <w:tr>
        <w:trPr>
          <w:trHeight w:val="117"/>
        </w:trPr>
        <w:tc>
          <w:tcPr>
            <w:tcW w:w="7120" w:type="dxa"/>
            <w:vAlign w:val="bottom"/>
            <w:tcBorders>
              <w:bottom w:val="single" w:sz="8" w:color="auto"/>
            </w:tcBorders>
          </w:tcPr>
          <w:p>
            <w:pPr>
              <w:spacing w:after="0"/>
              <w:rPr>
                <w:sz w:val="10"/>
                <w:szCs w:val="10"/>
                <w:color w:val="auto"/>
              </w:rPr>
            </w:pPr>
          </w:p>
        </w:tc>
        <w:tc>
          <w:tcPr>
            <w:tcW w:w="4180" w:type="dxa"/>
            <w:vAlign w:val="bottom"/>
            <w:tcBorders>
              <w:bottom w:val="single" w:sz="8" w:color="auto"/>
            </w:tcBorders>
          </w:tcPr>
          <w:p>
            <w:pPr>
              <w:spacing w:after="0"/>
              <w:rPr>
                <w:sz w:val="10"/>
                <w:szCs w:val="10"/>
                <w:color w:val="auto"/>
              </w:rPr>
            </w:pPr>
          </w:p>
        </w:tc>
      </w:tr>
    </w:tbl>
    <w:p>
      <w:pPr>
        <w:sectPr>
          <w:pgSz w:w="11900" w:h="16838" w:orient="portrait"/>
          <w:cols w:equalWidth="0" w:num="1">
            <w:col w:w="11300"/>
          </w:cols>
          <w:pgMar w:left="300" w:top="129" w:right="2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2"/>
          <w:szCs w:val="12"/>
          <w:color w:val="auto"/>
        </w:rPr>
        <w:t>IN WITNESS WHEREOF, the parties have executed this Registration Rights Agreement as of the date first written above.</w:t>
      </w:r>
    </w:p>
    <w:p>
      <w:pPr>
        <w:spacing w:after="0" w:line="15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1"/>
          <w:szCs w:val="11"/>
          <w:color w:val="auto"/>
        </w:rPr>
        <w:t>[NAME OF INVESTING ENTITY]</w:t>
      </w:r>
    </w:p>
    <w:p>
      <w:pPr>
        <w:spacing w:after="0" w:line="16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10795</wp:posOffset>
            </wp:positionV>
            <wp:extent cx="2508885"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08885" cy="11430"/>
                    </a:xfrm>
                    <a:prstGeom prst="rect">
                      <a:avLst/>
                    </a:prstGeom>
                    <a:noFill/>
                  </pic:spPr>
                </pic:pic>
              </a:graphicData>
            </a:graphic>
          </wp:anchor>
        </w:drawing>
      </w:r>
    </w:p>
    <w:p>
      <w:pPr>
        <w:ind w:left="612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2"/>
          <w:szCs w:val="12"/>
          <w:color w:val="auto"/>
        </w:rPr>
        <w:t>Title:</w:t>
      </w:r>
    </w:p>
    <w:p>
      <w:pPr>
        <w:spacing w:after="0" w:line="14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Registration Rights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86360</wp:posOffset>
            </wp:positionV>
            <wp:extent cx="7178040"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499"/>
          </w:cols>
          <w:pgMar w:left="960" w:top="129" w:right="1440"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2"/>
          <w:szCs w:val="12"/>
          <w:u w:val="single" w:color="auto"/>
          <w:color w:val="auto"/>
        </w:rPr>
        <w:t>ANNEX A</w:t>
      </w:r>
    </w:p>
    <w:p>
      <w:pPr>
        <w:spacing w:after="0" w:line="14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PLAN OF DISTRIBUTION</w:t>
      </w:r>
      <w:r>
        <w:rPr>
          <w:rFonts w:ascii="Times New Roman" w:cs="Times New Roman" w:eastAsia="Times New Roman" w:hAnsi="Times New Roman"/>
          <w:sz w:val="19"/>
          <w:szCs w:val="19"/>
          <w:color w:val="auto"/>
          <w:vertAlign w:val="superscript"/>
        </w:rPr>
        <w:t>1</w:t>
      </w:r>
    </w:p>
    <w:p>
      <w:pPr>
        <w:spacing w:after="0" w:line="77" w:lineRule="exact"/>
        <w:rPr>
          <w:sz w:val="20"/>
          <w:szCs w:val="20"/>
          <w:color w:val="auto"/>
        </w:rPr>
      </w:pPr>
    </w:p>
    <w:p>
      <w:pPr>
        <w:ind w:left="8" w:right="60" w:firstLine="294"/>
        <w:spacing w:after="0" w:line="260" w:lineRule="auto"/>
        <w:rPr>
          <w:sz w:val="20"/>
          <w:szCs w:val="20"/>
          <w:color w:val="auto"/>
        </w:rPr>
      </w:pPr>
      <w:r>
        <w:rPr>
          <w:rFonts w:ascii="Times New Roman" w:cs="Times New Roman" w:eastAsia="Times New Roman" w:hAnsi="Times New Roman"/>
          <w:sz w:val="12"/>
          <w:szCs w:val="12"/>
          <w:color w:val="auto"/>
        </w:rPr>
        <w:t>We are registering resales of the shares of common stock of Cartesian Therapeutics, Inc., par value of $0.0001 per share, or the Common Stock, which we refer to herein as “Resale Shares,” issued or issuable upon the conversion of the shares of the Company’s Series B Preferred Stock to the selling stockholders to permit the sale, transfer or other disposition of the Resale Shares by the selling stockholders or their donees, pledgees, transferees or other successors-in-interest from time to time after the date of this prospectus. We will not receive any of the proceeds from the sale by the selling stockholders of the Resale Shares. We will, or will procure to, bear all fees and expenses incident to our obligation to register the Resale Shares.</w:t>
      </w:r>
    </w:p>
    <w:p>
      <w:pPr>
        <w:spacing w:after="0" w:line="122" w:lineRule="exact"/>
        <w:rPr>
          <w:sz w:val="20"/>
          <w:szCs w:val="20"/>
          <w:color w:val="auto"/>
        </w:rPr>
      </w:pPr>
    </w:p>
    <w:p>
      <w:pPr>
        <w:ind w:left="8" w:right="40" w:firstLine="294"/>
        <w:spacing w:after="0" w:line="255" w:lineRule="auto"/>
        <w:rPr>
          <w:sz w:val="20"/>
          <w:szCs w:val="20"/>
          <w:color w:val="auto"/>
        </w:rPr>
      </w:pPr>
      <w:r>
        <w:rPr>
          <w:rFonts w:ascii="Times New Roman" w:cs="Times New Roman" w:eastAsia="Times New Roman" w:hAnsi="Times New Roman"/>
          <w:sz w:val="12"/>
          <w:szCs w:val="12"/>
          <w:color w:val="auto"/>
        </w:rPr>
        <w:t>The selling stockholders may sell all or a portion of the Resale Shares beneficially owned by them and offered hereby from time to time, and in the case of shares of Common Stock issuable upon the conversion of the shares of the Company’s Series B Preferred Stock, par value $0.0001 per share, may only be offered after such shares are converted to shares of Common Stock pursuant to the terms of the Series B Certificate of Designation, directly or through one or more underwriters, broker-dealers or agents. If the Resale Shares are sold through underwriters or broker-dealers, the selling stockholders will be responsible for underwriting discounts (it being understood that the selling stockholders shall not be deemed to be underwriters solely as a result of their participation in this offering) or commissions or agent’s commissions. The Resale Shares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Resale Shares:</w:t>
      </w:r>
    </w:p>
    <w:p>
      <w:pPr>
        <w:spacing w:after="0" w:line="126" w:lineRule="exact"/>
        <w:rPr>
          <w:sz w:val="20"/>
          <w:szCs w:val="20"/>
          <w:color w:val="auto"/>
        </w:rPr>
      </w:pPr>
    </w:p>
    <w:p>
      <w:pPr>
        <w:ind w:left="788" w:hanging="338"/>
        <w:spacing w:after="0"/>
        <w:tabs>
          <w:tab w:leader="none" w:pos="788"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ordinary brokerage transactions and transactions in which the broker-dealer solicits purchasers;</w:t>
      </w:r>
    </w:p>
    <w:p>
      <w:pPr>
        <w:spacing w:after="0" w:line="16" w:lineRule="exact"/>
        <w:rPr>
          <w:rFonts w:ascii="Times New Roman" w:cs="Times New Roman" w:eastAsia="Times New Roman" w:hAnsi="Times New Roman"/>
          <w:sz w:val="12"/>
          <w:szCs w:val="12"/>
          <w:color w:val="auto"/>
        </w:rPr>
      </w:pPr>
    </w:p>
    <w:p>
      <w:pPr>
        <w:ind w:left="788" w:hanging="338"/>
        <w:spacing w:after="0"/>
        <w:tabs>
          <w:tab w:leader="none" w:pos="788"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block trades in which the broker-dealer will attempt to sell the shares as agent but may position and resell a portion of the block as principal to facilitate the transaction;</w:t>
      </w:r>
    </w:p>
    <w:p>
      <w:pPr>
        <w:spacing w:after="0" w:line="6" w:lineRule="exact"/>
        <w:rPr>
          <w:rFonts w:ascii="Times New Roman" w:cs="Times New Roman" w:eastAsia="Times New Roman" w:hAnsi="Times New Roman"/>
          <w:sz w:val="12"/>
          <w:szCs w:val="12"/>
          <w:color w:val="auto"/>
        </w:rPr>
      </w:pPr>
    </w:p>
    <w:p>
      <w:pPr>
        <w:ind w:left="788" w:hanging="338"/>
        <w:spacing w:after="0"/>
        <w:tabs>
          <w:tab w:leader="none" w:pos="788"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or through underwriters or purchases by a broker-dealer as principal and resale by the broker-dealer for its account;</w:t>
      </w:r>
    </w:p>
    <w:p>
      <w:pPr>
        <w:spacing w:after="0" w:line="6" w:lineRule="exact"/>
        <w:rPr>
          <w:rFonts w:ascii="Times New Roman" w:cs="Times New Roman" w:eastAsia="Times New Roman" w:hAnsi="Times New Roman"/>
          <w:sz w:val="12"/>
          <w:szCs w:val="12"/>
          <w:color w:val="auto"/>
        </w:rPr>
      </w:pPr>
    </w:p>
    <w:p>
      <w:pPr>
        <w:ind w:left="788" w:hanging="338"/>
        <w:spacing w:after="0"/>
        <w:tabs>
          <w:tab w:leader="none" w:pos="788"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exchange distribution in accordance with the rules of the applicable exchange;</w:t>
      </w:r>
    </w:p>
    <w:p>
      <w:pPr>
        <w:spacing w:after="0" w:line="6" w:lineRule="exact"/>
        <w:rPr>
          <w:rFonts w:ascii="Times New Roman" w:cs="Times New Roman" w:eastAsia="Times New Roman" w:hAnsi="Times New Roman"/>
          <w:sz w:val="12"/>
          <w:szCs w:val="12"/>
          <w:color w:val="auto"/>
        </w:rPr>
      </w:pPr>
    </w:p>
    <w:p>
      <w:pPr>
        <w:ind w:left="788" w:hanging="338"/>
        <w:spacing w:after="0"/>
        <w:tabs>
          <w:tab w:leader="none" w:pos="788"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privately negotiated transactions;</w:t>
      </w:r>
    </w:p>
    <w:p>
      <w:pPr>
        <w:spacing w:after="0" w:line="6" w:lineRule="exact"/>
        <w:rPr>
          <w:rFonts w:ascii="Times New Roman" w:cs="Times New Roman" w:eastAsia="Times New Roman" w:hAnsi="Times New Roman"/>
          <w:sz w:val="12"/>
          <w:szCs w:val="12"/>
          <w:color w:val="auto"/>
        </w:rPr>
      </w:pPr>
    </w:p>
    <w:p>
      <w:pPr>
        <w:ind w:left="788" w:hanging="338"/>
        <w:spacing w:after="0"/>
        <w:tabs>
          <w:tab w:leader="none" w:pos="788"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settlement of short sales entered into after the effective date of the registration statement of which this prospectus is a part;</w:t>
      </w:r>
    </w:p>
    <w:p>
      <w:pPr>
        <w:spacing w:after="0" w:line="6" w:lineRule="exact"/>
        <w:rPr>
          <w:rFonts w:ascii="Times New Roman" w:cs="Times New Roman" w:eastAsia="Times New Roman" w:hAnsi="Times New Roman"/>
          <w:sz w:val="12"/>
          <w:szCs w:val="12"/>
          <w:color w:val="auto"/>
        </w:rPr>
      </w:pPr>
    </w:p>
    <w:p>
      <w:pPr>
        <w:ind w:left="788" w:hanging="338"/>
        <w:spacing w:after="0"/>
        <w:tabs>
          <w:tab w:leader="none" w:pos="788"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broker-dealers may agree with the selling stockholders to sell a specified number of such Resale Shares at a stipulated price per Share;</w:t>
      </w:r>
    </w:p>
    <w:p>
      <w:pPr>
        <w:spacing w:after="0" w:line="6" w:lineRule="exact"/>
        <w:rPr>
          <w:rFonts w:ascii="Times New Roman" w:cs="Times New Roman" w:eastAsia="Times New Roman" w:hAnsi="Times New Roman"/>
          <w:sz w:val="12"/>
          <w:szCs w:val="12"/>
          <w:color w:val="auto"/>
        </w:rPr>
      </w:pPr>
    </w:p>
    <w:p>
      <w:pPr>
        <w:ind w:left="788" w:hanging="338"/>
        <w:spacing w:after="0"/>
        <w:tabs>
          <w:tab w:leader="none" w:pos="788"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through the writing or settlement of options or other hedging transactions, whether such options are listed on an options exchange or otherwise;</w:t>
      </w:r>
    </w:p>
    <w:p>
      <w:pPr>
        <w:spacing w:after="0" w:line="6" w:lineRule="exact"/>
        <w:rPr>
          <w:rFonts w:ascii="Times New Roman" w:cs="Times New Roman" w:eastAsia="Times New Roman" w:hAnsi="Times New Roman"/>
          <w:sz w:val="12"/>
          <w:szCs w:val="12"/>
          <w:color w:val="auto"/>
        </w:rPr>
      </w:pPr>
    </w:p>
    <w:p>
      <w:pPr>
        <w:ind w:left="788" w:hanging="338"/>
        <w:spacing w:after="0"/>
        <w:tabs>
          <w:tab w:leader="none" w:pos="788"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combination of any such methods of sale; and</w:t>
      </w:r>
    </w:p>
    <w:p>
      <w:pPr>
        <w:spacing w:after="0" w:line="6" w:lineRule="exact"/>
        <w:rPr>
          <w:rFonts w:ascii="Times New Roman" w:cs="Times New Roman" w:eastAsia="Times New Roman" w:hAnsi="Times New Roman"/>
          <w:sz w:val="12"/>
          <w:szCs w:val="12"/>
          <w:color w:val="auto"/>
        </w:rPr>
      </w:pPr>
    </w:p>
    <w:p>
      <w:pPr>
        <w:ind w:left="788" w:hanging="338"/>
        <w:spacing w:after="0"/>
        <w:tabs>
          <w:tab w:leader="none" w:pos="788"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method permitted pursuant to applicable law.</w:t>
      </w:r>
    </w:p>
    <w:p>
      <w:pPr>
        <w:spacing w:after="0" w:line="139" w:lineRule="exact"/>
        <w:rPr>
          <w:sz w:val="20"/>
          <w:szCs w:val="20"/>
          <w:color w:val="auto"/>
        </w:rPr>
      </w:pPr>
    </w:p>
    <w:p>
      <w:pPr>
        <w:ind w:left="8" w:right="100" w:firstLine="294"/>
        <w:spacing w:after="0" w:line="279" w:lineRule="auto"/>
        <w:rPr>
          <w:sz w:val="20"/>
          <w:szCs w:val="20"/>
          <w:color w:val="auto"/>
        </w:rPr>
      </w:pPr>
      <w:r>
        <w:rPr>
          <w:rFonts w:ascii="Times New Roman" w:cs="Times New Roman" w:eastAsia="Times New Roman" w:hAnsi="Times New Roman"/>
          <w:sz w:val="12"/>
          <w:szCs w:val="12"/>
          <w:color w:val="auto"/>
        </w:rPr>
        <w:t>The selling stockholders also may resell all or a portion of the Resale Shares in open market transactions in reliance upon Rule 144 under the Securities Act, as amended, or the Securities Act, as permitted by that rule, or Section 4(a)(1) under the Securities Act, if available, rather than under this prospectus, provided that they meet the criteria and conform to the requirements of those provisions.</w:t>
      </w:r>
    </w:p>
    <w:p>
      <w:pPr>
        <w:spacing w:after="0" w:line="111" w:lineRule="exact"/>
        <w:rPr>
          <w:sz w:val="20"/>
          <w:szCs w:val="20"/>
          <w:color w:val="auto"/>
        </w:rPr>
      </w:pPr>
    </w:p>
    <w:p>
      <w:pPr>
        <w:ind w:left="8" w:right="20" w:firstLine="294"/>
        <w:spacing w:after="0" w:line="260" w:lineRule="auto"/>
        <w:rPr>
          <w:sz w:val="20"/>
          <w:szCs w:val="20"/>
          <w:color w:val="auto"/>
        </w:rPr>
      </w:pPr>
      <w:r>
        <w:rPr>
          <w:rFonts w:ascii="Times New Roman" w:cs="Times New Roman" w:eastAsia="Times New Roman" w:hAnsi="Times New Roman"/>
          <w:sz w:val="12"/>
          <w:szCs w:val="12"/>
          <w:color w:val="auto"/>
        </w:rPr>
        <w:t>Broker-dealers engaged by the selling stockholders may arrange for other broker-dealers to participate in sales. If the selling stockholders effect such transactions by selling Resale Shares to or through underwriters, broker-dealers or agents, such underwriters, broker-dealers or agents may receive commissions in the form of discounts, concessions or commissions from the selling stockholders or commissions from purchasers of the Resale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IM-2121.01.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1434465"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34465" cy="11430"/>
                    </a:xfrm>
                    <a:prstGeom prst="rect">
                      <a:avLst/>
                    </a:prstGeom>
                    <a:noFill/>
                  </pic:spPr>
                </pic:pic>
              </a:graphicData>
            </a:graphic>
          </wp:anchor>
        </w:drawing>
      </w:r>
    </w:p>
    <w:p>
      <w:pPr>
        <w:spacing w:after="0" w:line="162" w:lineRule="exact"/>
        <w:rPr>
          <w:sz w:val="20"/>
          <w:szCs w:val="20"/>
          <w:color w:val="auto"/>
        </w:rPr>
      </w:pPr>
    </w:p>
    <w:p>
      <w:pPr>
        <w:ind w:left="88" w:hanging="88"/>
        <w:spacing w:after="0"/>
        <w:tabs>
          <w:tab w:leader="none" w:pos="88" w:val="left"/>
        </w:tabs>
        <w:numPr>
          <w:ilvl w:val="0"/>
          <w:numId w:val="5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NTD: Definitions to be conformed to resale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178040"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02" w:name="page103"/>
    <w:bookmarkEnd w:id="102"/>
    <w:p>
      <w:pPr>
        <w:ind w:firstLine="294"/>
        <w:spacing w:after="0" w:line="254" w:lineRule="auto"/>
        <w:rPr>
          <w:sz w:val="20"/>
          <w:szCs w:val="20"/>
          <w:color w:val="auto"/>
        </w:rPr>
      </w:pPr>
      <w:r>
        <w:rPr>
          <w:rFonts w:ascii="Times New Roman" w:cs="Times New Roman" w:eastAsia="Times New Roman" w:hAnsi="Times New Roman"/>
          <w:sz w:val="12"/>
          <w:szCs w:val="12"/>
          <w:color w:val="auto"/>
        </w:rPr>
        <w:t>In connection with sales of the Resale Shares or otherwise, the selling stockholders may enter into hedging transactions with broker-dealers or other financial institutions, which may in turn engage in short sales of the Resale Shares in the course of hedging in positions they assume. The selling stockholders may also sell Resale Shares short and if such short sale takes place after the date that this Registration Statement is declared effective by the Securities and Exchange Commission, or the SEC, the selling stockholders may deliver Resale Shares covered by this prospectus to close out short positions and to return borrowed Resale Shares in connection with such short sales. The selling stockholders may also loan or pledge Resale Shares to broker-dealers that in turn may sell such Resale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Resale Shares the resale of which has been registered on this registration statement to cover short sales of our Common Stock made prior to the date the registration statement, of which this prospectus forms a part, has been declared effective by the SEC.</w:t>
      </w:r>
    </w:p>
    <w:p>
      <w:pPr>
        <w:spacing w:after="0" w:line="128" w:lineRule="exact"/>
        <w:rPr>
          <w:sz w:val="20"/>
          <w:szCs w:val="20"/>
          <w:color w:val="auto"/>
        </w:rPr>
      </w:pPr>
    </w:p>
    <w:p>
      <w:pPr>
        <w:ind w:right="80" w:firstLine="294"/>
        <w:spacing w:after="0" w:line="260" w:lineRule="auto"/>
        <w:rPr>
          <w:sz w:val="20"/>
          <w:szCs w:val="20"/>
          <w:color w:val="auto"/>
        </w:rPr>
      </w:pPr>
      <w:r>
        <w:rPr>
          <w:rFonts w:ascii="Times New Roman" w:cs="Times New Roman" w:eastAsia="Times New Roman" w:hAnsi="Times New Roman"/>
          <w:sz w:val="12"/>
          <w:szCs w:val="12"/>
          <w:color w:val="auto"/>
        </w:rPr>
        <w:t>The selling stockholders may, from time to time, pledge or grant a security interest in some or all of the Resale Shares owned by them and, if they default in the performance of their secured obligations, the pledgees or secured parties may offer and sell the Resale Shares from time to time pursuant to this prospectus or any amendment to this prospectus under Rule 424(b)(3) or other applicable provision of the Securities Act of 1933, as amended, or the Securities Act, amending, if necessary, the list of selling stockholders to include the pledgee, transferee or other successors in interest as selling stockholders under this prospectus. The selling stockholders also may transfer and donate the Resale Shares in other circumstances in which case the transferees, donees, pledgees or other successors in interest will be the selling beneficial owners for purposes of this prospectus.</w:t>
      </w:r>
    </w:p>
    <w:p>
      <w:pPr>
        <w:spacing w:after="0" w:line="122" w:lineRule="exact"/>
        <w:rPr>
          <w:sz w:val="20"/>
          <w:szCs w:val="20"/>
          <w:color w:val="auto"/>
        </w:rPr>
      </w:pPr>
    </w:p>
    <w:p>
      <w:pPr>
        <w:ind w:firstLine="294"/>
        <w:spacing w:after="0" w:line="257" w:lineRule="auto"/>
        <w:rPr>
          <w:sz w:val="20"/>
          <w:szCs w:val="20"/>
          <w:color w:val="auto"/>
        </w:rPr>
      </w:pPr>
      <w:r>
        <w:rPr>
          <w:rFonts w:ascii="Times New Roman" w:cs="Times New Roman" w:eastAsia="Times New Roman" w:hAnsi="Times New Roman"/>
          <w:sz w:val="12"/>
          <w:szCs w:val="12"/>
          <w:color w:val="auto"/>
        </w:rPr>
        <w:t>The selling stockholders and any broker-dealer or agents participating in the distribution of the Resale Shares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Securities Exchange Act of 1934, as amended, or the Exchange Act.</w:t>
      </w:r>
    </w:p>
    <w:p>
      <w:pPr>
        <w:spacing w:after="0" w:line="125" w:lineRule="exact"/>
        <w:rPr>
          <w:sz w:val="20"/>
          <w:szCs w:val="20"/>
          <w:color w:val="auto"/>
        </w:rPr>
      </w:pPr>
    </w:p>
    <w:p>
      <w:pPr>
        <w:ind w:right="20" w:firstLine="294"/>
        <w:spacing w:after="0" w:line="256" w:lineRule="auto"/>
        <w:rPr>
          <w:sz w:val="20"/>
          <w:szCs w:val="20"/>
          <w:color w:val="auto"/>
        </w:rPr>
      </w:pPr>
      <w:r>
        <w:rPr>
          <w:rFonts w:ascii="Times New Roman" w:cs="Times New Roman" w:eastAsia="Times New Roman" w:hAnsi="Times New Roman"/>
          <w:sz w:val="12"/>
          <w:szCs w:val="12"/>
          <w:color w:val="auto"/>
        </w:rPr>
        <w:t>Each selling stockholder has informed the Company that it is not a registered broker-dealer and does not have any written or oral agreement or understanding, directly or indirectly, with any person to distribute the Resale Shares.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Resale Shares involved, (iii) the price at which such the Resale Shares were sold, (iv) the commissions paid or discounts or concessions allowed to such broker-dealer(s), where applicable, (v) that such broker-dealer(s) did not conduct any investigation to verify the information set out in this prospectus, and (vi) other facts material to the transaction. In no event shall any broker-dealer receive fees, commissions and markups, which, in the aggregate, would exceed eight percent (8.0%).</w:t>
      </w:r>
    </w:p>
    <w:p>
      <w:pPr>
        <w:spacing w:after="0" w:line="125" w:lineRule="exact"/>
        <w:rPr>
          <w:sz w:val="20"/>
          <w:szCs w:val="20"/>
          <w:color w:val="auto"/>
        </w:rPr>
      </w:pPr>
    </w:p>
    <w:p>
      <w:pPr>
        <w:ind w:right="240" w:firstLine="294"/>
        <w:spacing w:after="0" w:line="279" w:lineRule="auto"/>
        <w:rPr>
          <w:sz w:val="20"/>
          <w:szCs w:val="20"/>
          <w:color w:val="auto"/>
        </w:rPr>
      </w:pPr>
      <w:r>
        <w:rPr>
          <w:rFonts w:ascii="Times New Roman" w:cs="Times New Roman" w:eastAsia="Times New Roman" w:hAnsi="Times New Roman"/>
          <w:sz w:val="12"/>
          <w:szCs w:val="12"/>
          <w:color w:val="auto"/>
        </w:rPr>
        <w:t>Under the securities laws of some U.S. states, the Resale Shares may be sold in such states only through registered or licensed brokers or dealers. In addition, in some U.S. states the Resale Shares may not be sold unless such shares have been registered or qualified for sale in such state or an exemption from registration or qualification is available and is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78040" cy="11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3" w:name="page104"/>
    <w:bookmarkEnd w:id="103"/>
    <w:p>
      <w:pPr>
        <w:ind w:left="280"/>
        <w:spacing w:after="0"/>
        <w:rPr>
          <w:sz w:val="20"/>
          <w:szCs w:val="20"/>
          <w:color w:val="auto"/>
        </w:rPr>
      </w:pPr>
      <w:r>
        <w:rPr>
          <w:rFonts w:ascii="Times New Roman" w:cs="Times New Roman" w:eastAsia="Times New Roman" w:hAnsi="Times New Roman"/>
          <w:sz w:val="12"/>
          <w:szCs w:val="12"/>
          <w:color w:val="auto"/>
        </w:rPr>
        <w:t>There can be no assurance that any selling stockholder will sell any or all of the Resale Shares registered pursuant to the shelf registration statement, of which this prospectus forms a part.</w:t>
      </w:r>
    </w:p>
    <w:p>
      <w:pPr>
        <w:spacing w:after="0" w:line="150" w:lineRule="exact"/>
        <w:rPr>
          <w:sz w:val="20"/>
          <w:szCs w:val="20"/>
          <w:color w:val="auto"/>
        </w:rPr>
      </w:pPr>
    </w:p>
    <w:p>
      <w:pPr>
        <w:ind w:right="160" w:firstLine="294"/>
        <w:spacing w:after="0" w:line="260" w:lineRule="auto"/>
        <w:rPr>
          <w:sz w:val="20"/>
          <w:szCs w:val="20"/>
          <w:color w:val="auto"/>
        </w:rPr>
      </w:pPr>
      <w:r>
        <w:rPr>
          <w:rFonts w:ascii="Times New Roman" w:cs="Times New Roman" w:eastAsia="Times New Roman" w:hAnsi="Times New Roman"/>
          <w:sz w:val="12"/>
          <w:szCs w:val="12"/>
          <w:color w:val="auto"/>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Resale Shares by the selling stockholder and any other participating person. To the extent applicable, Regulation M may also restrict the ability of any person engaged in the distribution of the Resale Shares to engage in market-making activities with respect to the Resale Shares. All of the foregoing may affect the marketability of the Resale Shares and the ability of any person or entity to engage in market-making activities with respect to the Resale Shares.</w:t>
      </w:r>
    </w:p>
    <w:p>
      <w:pPr>
        <w:spacing w:after="0" w:line="122" w:lineRule="exact"/>
        <w:rPr>
          <w:sz w:val="20"/>
          <w:szCs w:val="20"/>
          <w:color w:val="auto"/>
        </w:rPr>
      </w:pPr>
    </w:p>
    <w:p>
      <w:pPr>
        <w:ind w:firstLine="294"/>
        <w:spacing w:after="0" w:line="257" w:lineRule="auto"/>
        <w:rPr>
          <w:sz w:val="20"/>
          <w:szCs w:val="20"/>
          <w:color w:val="auto"/>
        </w:rPr>
      </w:pPr>
      <w:r>
        <w:rPr>
          <w:rFonts w:ascii="Times New Roman" w:cs="Times New Roman" w:eastAsia="Times New Roman" w:hAnsi="Times New Roman"/>
          <w:sz w:val="12"/>
          <w:szCs w:val="12"/>
          <w:color w:val="auto"/>
        </w:rPr>
        <w:t>We will pay all expenses of the registration of the Resale Shares pursuant to the registration rights agreement, including, without limitation, Securities and Exchange Commission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registration rights agreement, or the selling stockholders will be entitled to contribution. We may be indemnified by the selling stockholders against certain civil liabilities set forth in the registration rights agreement, including liabilities under the Securities Act, that may arise from any written information furnished to us by the selling stockholders specifically for use in this prospectus, in accordance with the related registration rights agreements, or we may be entitled to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7178040" cy="11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2"/>
          <w:szCs w:val="12"/>
          <w:u w:val="single" w:color="auto"/>
          <w:color w:val="auto"/>
        </w:rPr>
        <w:t>ANNEX B</w:t>
      </w:r>
    </w:p>
    <w:p>
      <w:pPr>
        <w:spacing w:after="0" w:line="150"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SELLING STOCKHOLDER NOTICE AND QUESTIONNAIRE</w:t>
      </w:r>
    </w:p>
    <w:p>
      <w:pPr>
        <w:spacing w:after="0" w:line="146" w:lineRule="exact"/>
        <w:rPr>
          <w:sz w:val="20"/>
          <w:szCs w:val="20"/>
          <w:color w:val="auto"/>
        </w:rPr>
      </w:pPr>
    </w:p>
    <w:p>
      <w:pPr>
        <w:jc w:val="both"/>
        <w:ind w:left="8" w:right="20" w:firstLine="294"/>
        <w:spacing w:after="0" w:line="262" w:lineRule="auto"/>
        <w:rPr>
          <w:sz w:val="20"/>
          <w:szCs w:val="20"/>
          <w:color w:val="auto"/>
        </w:rPr>
      </w:pPr>
      <w:r>
        <w:rPr>
          <w:rFonts w:ascii="Times New Roman" w:cs="Times New Roman" w:eastAsia="Times New Roman" w:hAnsi="Times New Roman"/>
          <w:sz w:val="12"/>
          <w:szCs w:val="12"/>
          <w:color w:val="auto"/>
        </w:rPr>
        <w:t>The undersigned holder of shares of the (i) common stock, par value $0.0001 per share, of Cartesian Therapeutics, Inc.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and/or (ii) Series B Non-Voting Convertible Preferred Stock, par value $0.0001 per share, of the Company issued pursuant to a certain Securities Purchase Agreement by and among the Company and the Purchasers named therein, dated as of July 2, 2024 (the “</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understands that the Company intends to file with the Securities and Exchange Commission a registration statement on Form S-1 (the “</w:t>
      </w:r>
      <w:r>
        <w:rPr>
          <w:rFonts w:ascii="Times New Roman" w:cs="Times New Roman" w:eastAsia="Times New Roman" w:hAnsi="Times New Roman"/>
          <w:sz w:val="12"/>
          <w:szCs w:val="12"/>
          <w:b w:val="1"/>
          <w:bCs w:val="1"/>
          <w:i w:val="1"/>
          <w:iCs w:val="1"/>
          <w:color w:val="auto"/>
        </w:rPr>
        <w:t>Resale Registration Statement</w:t>
      </w:r>
      <w:r>
        <w:rPr>
          <w:rFonts w:ascii="Times New Roman" w:cs="Times New Roman" w:eastAsia="Times New Roman" w:hAnsi="Times New Roman"/>
          <w:sz w:val="12"/>
          <w:szCs w:val="12"/>
          <w:color w:val="auto"/>
        </w:rPr>
        <w:t>”) for the registration and the resale under Rule 415 of the Securities Act of 1933, as amended (the “</w:t>
      </w:r>
      <w:r>
        <w:rPr>
          <w:rFonts w:ascii="Times New Roman" w:cs="Times New Roman" w:eastAsia="Times New Roman" w:hAnsi="Times New Roman"/>
          <w:sz w:val="12"/>
          <w:szCs w:val="12"/>
          <w:b w:val="1"/>
          <w:bCs w:val="1"/>
          <w:i w:val="1"/>
          <w:iCs w:val="1"/>
          <w:color w:val="auto"/>
        </w:rPr>
        <w:t>Securities Act</w:t>
      </w:r>
      <w:r>
        <w:rPr>
          <w:rFonts w:ascii="Times New Roman" w:cs="Times New Roman" w:eastAsia="Times New Roman" w:hAnsi="Times New Roman"/>
          <w:sz w:val="12"/>
          <w:szCs w:val="12"/>
          <w:color w:val="auto"/>
        </w:rPr>
        <w:t>”), of the Registrable Securities in accordance with the terms of the Agreement. All capitalized terms not otherwise defined herein shall have the meanings ascribed thereto in the Agreement.</w:t>
      </w:r>
    </w:p>
    <w:p>
      <w:pPr>
        <w:spacing w:after="0" w:line="121" w:lineRule="exact"/>
        <w:rPr>
          <w:sz w:val="20"/>
          <w:szCs w:val="20"/>
          <w:color w:val="auto"/>
        </w:rPr>
      </w:pPr>
    </w:p>
    <w:p>
      <w:pPr>
        <w:ind w:left="8" w:right="60" w:firstLine="294"/>
        <w:spacing w:after="0" w:line="256" w:lineRule="auto"/>
        <w:rPr>
          <w:sz w:val="20"/>
          <w:szCs w:val="20"/>
          <w:color w:val="auto"/>
        </w:rPr>
      </w:pPr>
      <w:r>
        <w:rPr>
          <w:rFonts w:ascii="Times New Roman" w:cs="Times New Roman" w:eastAsia="Times New Roman" w:hAnsi="Times New Roman"/>
          <w:sz w:val="12"/>
          <w:szCs w:val="12"/>
          <w:color w:val="auto"/>
        </w:rPr>
        <w:t>In order to sell or otherwise dispose of any Registrable Securities pursuant to the Resale Registration Statement, a holder of Registrable Securities generally will be required to be named as a selling stockholder in the related prospectus or a supplement thereto (as so supplemented, the “</w:t>
      </w:r>
      <w:r>
        <w:rPr>
          <w:rFonts w:ascii="Times New Roman" w:cs="Times New Roman" w:eastAsia="Times New Roman" w:hAnsi="Times New Roman"/>
          <w:sz w:val="12"/>
          <w:szCs w:val="12"/>
          <w:b w:val="1"/>
          <w:bCs w:val="1"/>
          <w:i w:val="1"/>
          <w:iCs w:val="1"/>
          <w:color w:val="auto"/>
        </w:rPr>
        <w:t>Prospectus</w:t>
      </w:r>
      <w:r>
        <w:rPr>
          <w:rFonts w:ascii="Times New Roman" w:cs="Times New Roman" w:eastAsia="Times New Roman" w:hAnsi="Times New Roman"/>
          <w:sz w:val="12"/>
          <w:szCs w:val="12"/>
          <w:color w:val="auto"/>
        </w:rPr>
        <w:t xml:space="preserve">”), deliver the Prospectus to purchasers of Registrable Securities (including pursuant to Rule 172 under the Securities Act) and be bound by the provisions of the Agreement (including certain indemnification provisions, as described below). </w:t>
      </w:r>
      <w:r>
        <w:rPr>
          <w:rFonts w:ascii="Times New Roman" w:cs="Times New Roman" w:eastAsia="Times New Roman" w:hAnsi="Times New Roman"/>
          <w:sz w:val="12"/>
          <w:szCs w:val="12"/>
          <w:b w:val="1"/>
          <w:bCs w:val="1"/>
          <w:color w:val="auto"/>
        </w:rPr>
        <w:t>Holders must complete and deliver this Notice and Questionnaire in order to be named as selling stockholders in the Prospectus. Holders of</w:t>
      </w:r>
    </w:p>
    <w:p>
      <w:pPr>
        <w:spacing w:after="0" w:line="1" w:lineRule="exact"/>
        <w:rPr>
          <w:sz w:val="20"/>
          <w:szCs w:val="20"/>
          <w:color w:val="auto"/>
        </w:rPr>
      </w:pPr>
    </w:p>
    <w:p>
      <w:pPr>
        <w:ind w:left="8" w:right="380"/>
        <w:spacing w:after="0" w:line="260" w:lineRule="auto"/>
        <w:rPr>
          <w:sz w:val="20"/>
          <w:szCs w:val="20"/>
          <w:color w:val="auto"/>
        </w:rPr>
      </w:pPr>
      <w:r>
        <w:rPr>
          <w:rFonts w:ascii="Times New Roman" w:cs="Times New Roman" w:eastAsia="Times New Roman" w:hAnsi="Times New Roman"/>
          <w:sz w:val="12"/>
          <w:szCs w:val="12"/>
          <w:b w:val="1"/>
          <w:bCs w:val="1"/>
          <w:color w:val="auto"/>
        </w:rPr>
        <w:t>Registrable Securities who do not complete, execute and return this Notice and Questionnaire within five Trading Days following the date of the Agreement (1) will not be named as selling stockholders in the Resale Registration Statement or the Prospectus and (2) may not use the Prospectus for resales of Registrable Securities</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ind w:left="8" w:right="360" w:firstLine="294"/>
        <w:spacing w:after="0" w:line="279" w:lineRule="auto"/>
        <w:rPr>
          <w:sz w:val="20"/>
          <w:szCs w:val="20"/>
          <w:color w:val="auto"/>
        </w:rPr>
      </w:pPr>
      <w:r>
        <w:rPr>
          <w:rFonts w:ascii="Times New Roman" w:cs="Times New Roman" w:eastAsia="Times New Roman" w:hAnsi="Times New Roman"/>
          <w:sz w:val="12"/>
          <w:szCs w:val="12"/>
          <w:color w:val="auto"/>
        </w:rPr>
        <w:t>Certain legal consequences arise from being named as a selling stockholder in the Resale Registration Statement and the Prospectus. Holders of Registrable Securities are advised to consult their own securities law counsel regarding the consequences of being named or not named as a selling stockholder in the Resale Registration Statement and the Prospectus.</w:t>
      </w:r>
    </w:p>
    <w:p>
      <w:pPr>
        <w:spacing w:after="0" w:line="107"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NOTICE</w:t>
      </w:r>
    </w:p>
    <w:p>
      <w:pPr>
        <w:spacing w:after="0" w:line="150" w:lineRule="exact"/>
        <w:rPr>
          <w:sz w:val="20"/>
          <w:szCs w:val="20"/>
          <w:color w:val="auto"/>
        </w:rPr>
      </w:pPr>
    </w:p>
    <w:p>
      <w:pPr>
        <w:ind w:left="8" w:firstLine="294"/>
        <w:spacing w:after="0" w:line="268" w:lineRule="auto"/>
        <w:rPr>
          <w:sz w:val="20"/>
          <w:szCs w:val="20"/>
          <w:color w:val="auto"/>
        </w:rPr>
      </w:pPr>
      <w:r>
        <w:rPr>
          <w:rFonts w:ascii="Times New Roman" w:cs="Times New Roman" w:eastAsia="Times New Roman" w:hAnsi="Times New Roman"/>
          <w:sz w:val="12"/>
          <w:szCs w:val="12"/>
          <w:color w:val="auto"/>
        </w:rPr>
        <w:t>The undersigned holder (the “</w:t>
      </w:r>
      <w:r>
        <w:rPr>
          <w:rFonts w:ascii="Times New Roman" w:cs="Times New Roman" w:eastAsia="Times New Roman" w:hAnsi="Times New Roman"/>
          <w:sz w:val="12"/>
          <w:szCs w:val="12"/>
          <w:b w:val="1"/>
          <w:bCs w:val="1"/>
          <w:i w:val="1"/>
          <w:iCs w:val="1"/>
          <w:color w:val="auto"/>
        </w:rPr>
        <w:t>Selling Stockholder</w:t>
      </w:r>
      <w:r>
        <w:rPr>
          <w:rFonts w:ascii="Times New Roman" w:cs="Times New Roman" w:eastAsia="Times New Roman" w:hAnsi="Times New Roman"/>
          <w:sz w:val="12"/>
          <w:szCs w:val="12"/>
          <w:color w:val="auto"/>
        </w:rPr>
        <w:t>”) of Registrable Securities hereby gives notice to the Company of its intention to sell or otherwise dispose of Registrable Securities owned by it and listed below in Item (3), unless otherwise specified in Item (3), pursuant to the Resale Registration Statement. The undersigned, by signing and returning this Notice and Questionnaire, understands and agrees that it will be bound by the terms and conditions of this Notice and Questionnaire and the Agreement.</w:t>
      </w:r>
    </w:p>
    <w:p>
      <w:pPr>
        <w:spacing w:after="0" w:line="118"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The undersigned hereby provides the following information to the Company and represents and warrants that such information is accurate and complete:</w:t>
      </w:r>
    </w:p>
    <w:p>
      <w:pPr>
        <w:spacing w:after="0" w:line="14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QUESTIONNAIRE</w:t>
      </w:r>
    </w:p>
    <w:p>
      <w:pPr>
        <w:spacing w:after="0" w:line="21" w:lineRule="exact"/>
        <w:rPr>
          <w:sz w:val="20"/>
          <w:szCs w:val="20"/>
          <w:color w:val="auto"/>
        </w:rPr>
      </w:pPr>
    </w:p>
    <w:p>
      <w:pPr>
        <w:ind w:left="208" w:hanging="208"/>
        <w:spacing w:after="0"/>
        <w:tabs>
          <w:tab w:leader="none" w:pos="208" w:val="left"/>
        </w:tabs>
        <w:numPr>
          <w:ilvl w:val="0"/>
          <w:numId w:val="6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Name.</w:t>
      </w:r>
    </w:p>
    <w:p>
      <w:pPr>
        <w:spacing w:after="0" w:line="6" w:lineRule="exact"/>
        <w:rPr>
          <w:rFonts w:ascii="Times New Roman" w:cs="Times New Roman" w:eastAsia="Times New Roman" w:hAnsi="Times New Roman"/>
          <w:sz w:val="12"/>
          <w:szCs w:val="12"/>
          <w:b w:val="1"/>
          <w:bCs w:val="1"/>
          <w:color w:val="auto"/>
        </w:rPr>
      </w:pPr>
    </w:p>
    <w:p>
      <w:pPr>
        <w:ind w:left="488" w:hanging="272"/>
        <w:spacing w:after="0"/>
        <w:tabs>
          <w:tab w:leader="none" w:pos="488"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Full Legal Name of Selling Stockholder:</w:t>
      </w:r>
    </w:p>
    <w:p>
      <w:pPr>
        <w:spacing w:after="0" w:line="6" w:lineRule="exact"/>
        <w:rPr>
          <w:rFonts w:ascii="Times New Roman" w:cs="Times New Roman" w:eastAsia="Times New Roman" w:hAnsi="Times New Roman"/>
          <w:sz w:val="12"/>
          <w:szCs w:val="12"/>
          <w:color w:val="auto"/>
        </w:rPr>
      </w:pPr>
    </w:p>
    <w:p>
      <w:pPr>
        <w:ind w:left="488" w:hanging="272"/>
        <w:spacing w:after="0"/>
        <w:tabs>
          <w:tab w:leader="none" w:pos="488"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Full Legal Name of Registered Holder (if not the same as (a) above) through which Registrable Securities Listed in Item 3 below are held:</w:t>
      </w:r>
    </w:p>
    <w:p>
      <w:pPr>
        <w:spacing w:after="0" w:line="6" w:lineRule="exact"/>
        <w:rPr>
          <w:rFonts w:ascii="Times New Roman" w:cs="Times New Roman" w:eastAsia="Times New Roman" w:hAnsi="Times New Roman"/>
          <w:sz w:val="12"/>
          <w:szCs w:val="12"/>
          <w:color w:val="auto"/>
        </w:rPr>
      </w:pPr>
    </w:p>
    <w:p>
      <w:pPr>
        <w:ind w:left="488" w:hanging="272"/>
        <w:spacing w:after="0"/>
        <w:tabs>
          <w:tab w:leader="none" w:pos="488"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Full Legal Name of Natural Control Person (which means a natural person who directly or indirectly alone or with others has power to vote or dispose of the securities covered by the questionnaire):</w:t>
      </w:r>
    </w:p>
    <w:p>
      <w:pPr>
        <w:spacing w:after="0" w:line="135"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Address for Notices to Selling Stockholder:</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Telephone:</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Fax:</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Contact Person:</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E-mail address of 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7178040"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8"/>
          </w:cols>
          <w:pgMar w:left="292" w:top="129" w:right="339" w:bottom="1440" w:gutter="0" w:footer="0" w:header="0"/>
        </w:sectPr>
      </w:pPr>
    </w:p>
    <w:bookmarkStart w:id="105" w:name="page106"/>
    <w:bookmarkEnd w:id="105"/>
    <w:p>
      <w:pPr>
        <w:ind w:left="208" w:hanging="208"/>
        <w:spacing w:after="0"/>
        <w:tabs>
          <w:tab w:leader="none" w:pos="208" w:val="left"/>
        </w:tabs>
        <w:numPr>
          <w:ilvl w:val="0"/>
          <w:numId w:val="6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Beneficial Ownership of Registrable Securities Issuable Pursuant to the Purchase Agreement:</w:t>
      </w:r>
    </w:p>
    <w:p>
      <w:pPr>
        <w:spacing w:after="0" w:line="20" w:lineRule="exact"/>
        <w:rPr>
          <w:rFonts w:ascii="Times New Roman" w:cs="Times New Roman" w:eastAsia="Times New Roman" w:hAnsi="Times New Roman"/>
          <w:sz w:val="12"/>
          <w:szCs w:val="12"/>
          <w:b w:val="1"/>
          <w:bCs w:val="1"/>
          <w:color w:val="auto"/>
        </w:rPr>
      </w:pPr>
    </w:p>
    <w:p>
      <w:pPr>
        <w:ind w:left="488" w:hanging="272"/>
        <w:spacing w:after="0"/>
        <w:tabs>
          <w:tab w:leader="none" w:pos="488"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Type and Number of Registrable Securities beneficially owned and issued pursuant to the Agreement:</w:t>
      </w:r>
    </w:p>
    <w:p>
      <w:pPr>
        <w:spacing w:after="0" w:line="6" w:lineRule="exact"/>
        <w:rPr>
          <w:rFonts w:ascii="Times New Roman" w:cs="Times New Roman" w:eastAsia="Times New Roman" w:hAnsi="Times New Roman"/>
          <w:sz w:val="12"/>
          <w:szCs w:val="12"/>
          <w:color w:val="auto"/>
        </w:rPr>
      </w:pPr>
    </w:p>
    <w:p>
      <w:pPr>
        <w:ind w:left="488" w:hanging="272"/>
        <w:spacing w:after="0"/>
        <w:tabs>
          <w:tab w:leader="none" w:pos="488"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Number of Registrable Securities to be registered pursuant to this Notice for resale:</w:t>
      </w:r>
    </w:p>
    <w:p>
      <w:pPr>
        <w:spacing w:after="0" w:line="135"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Broker-Dealer Status:</w:t>
      </w:r>
    </w:p>
    <w:p>
      <w:pPr>
        <w:spacing w:after="0" w:line="20" w:lineRule="exact"/>
        <w:rPr>
          <w:rFonts w:ascii="Times New Roman" w:cs="Times New Roman" w:eastAsia="Times New Roman" w:hAnsi="Times New Roman"/>
          <w:sz w:val="12"/>
          <w:szCs w:val="12"/>
          <w:b w:val="1"/>
          <w:bCs w:val="1"/>
          <w:color w:val="auto"/>
        </w:rPr>
      </w:pPr>
    </w:p>
    <w:p>
      <w:pPr>
        <w:ind w:left="488" w:hanging="272"/>
        <w:spacing w:after="0"/>
        <w:tabs>
          <w:tab w:leader="none" w:pos="488"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you a broker-dealer?</w:t>
      </w:r>
    </w:p>
    <w:p>
      <w:pPr>
        <w:spacing w:after="0" w:line="111" w:lineRule="exact"/>
        <w:rPr>
          <w:sz w:val="20"/>
          <w:szCs w:val="20"/>
          <w:color w:val="auto"/>
        </w:rPr>
      </w:pPr>
    </w:p>
    <w:p>
      <w:pPr>
        <w:jc w:val="center"/>
        <w:ind w:right="-7"/>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78" w:lineRule="exact"/>
        <w:rPr>
          <w:sz w:val="20"/>
          <w:szCs w:val="20"/>
          <w:color w:val="auto"/>
        </w:rPr>
      </w:pPr>
    </w:p>
    <w:p>
      <w:pPr>
        <w:ind w:left="5348" w:right="4320" w:hanging="5132"/>
        <w:spacing w:after="0" w:line="230" w:lineRule="exact"/>
        <w:tabs>
          <w:tab w:leader="none" w:pos="505"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“yes” to Section 4(a), did you receive your Registrable Securities as compensation for investment banking services to the Company?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Note: If no, the Commission’s staff has indicated that you should be identified as an underwriter in the Registration Statement.</w:t>
      </w:r>
    </w:p>
    <w:p>
      <w:pPr>
        <w:spacing w:after="0" w:line="150" w:lineRule="exact"/>
        <w:rPr>
          <w:sz w:val="20"/>
          <w:szCs w:val="20"/>
          <w:color w:val="auto"/>
        </w:rPr>
      </w:pPr>
    </w:p>
    <w:p>
      <w:pPr>
        <w:ind w:left="488" w:hanging="272"/>
        <w:spacing w:after="0"/>
        <w:tabs>
          <w:tab w:leader="none" w:pos="48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you an affiliate of a broker-dealer?</w:t>
      </w:r>
    </w:p>
    <w:p>
      <w:pPr>
        <w:spacing w:after="0" w:line="122" w:lineRule="exact"/>
        <w:rPr>
          <w:sz w:val="20"/>
          <w:szCs w:val="20"/>
          <w:color w:val="auto"/>
        </w:rPr>
      </w:pPr>
    </w:p>
    <w:p>
      <w:pPr>
        <w:jc w:val="center"/>
        <w:ind w:right="-7"/>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Note: If yes, provide a narrative explanation below:</w:t>
      </w:r>
    </w:p>
    <w:p>
      <w:pPr>
        <w:spacing w:after="0" w:line="150" w:lineRule="exact"/>
        <w:rPr>
          <w:sz w:val="20"/>
          <w:szCs w:val="20"/>
          <w:color w:val="auto"/>
        </w:rPr>
      </w:pPr>
    </w:p>
    <w:p>
      <w:pPr>
        <w:ind w:left="488" w:right="380" w:hanging="272"/>
        <w:spacing w:after="0" w:line="279" w:lineRule="auto"/>
        <w:tabs>
          <w:tab w:leader="none" w:pos="48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an affiliate of a broker-dealer, do you certify that you bought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83" w:lineRule="exact"/>
        <w:rPr>
          <w:sz w:val="20"/>
          <w:szCs w:val="20"/>
          <w:color w:val="auto"/>
        </w:rPr>
      </w:pPr>
    </w:p>
    <w:p>
      <w:pPr>
        <w:jc w:val="center"/>
        <w:ind w:right="-7"/>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Note: If no, the Commission’s staff has indicated that you should be identified as an underwriter in the Registration Statement.</w:t>
      </w:r>
    </w:p>
    <w:p>
      <w:pPr>
        <w:spacing w:after="0" w:line="146" w:lineRule="exact"/>
        <w:rPr>
          <w:sz w:val="20"/>
          <w:szCs w:val="20"/>
          <w:color w:val="auto"/>
        </w:rPr>
      </w:pPr>
    </w:p>
    <w:p>
      <w:pPr>
        <w:ind w:left="208" w:hanging="208"/>
        <w:spacing w:after="0"/>
        <w:tabs>
          <w:tab w:leader="none" w:pos="208" w:val="left"/>
        </w:tabs>
        <w:numPr>
          <w:ilvl w:val="0"/>
          <w:numId w:val="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Beneficial Ownership of Other Securities of the Company Owned by the Selling Stockholder.</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Except as set forth below in this Item 5, the undersigned is not the beneficial or registered owner of any securities of the Company other than the Registrable Securities listed above in Item 3.</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Type and amount of other securities beneficially owned:</w:t>
      </w:r>
    </w:p>
    <w:p>
      <w:pPr>
        <w:spacing w:after="0" w:line="146" w:lineRule="exact"/>
        <w:rPr>
          <w:sz w:val="20"/>
          <w:szCs w:val="20"/>
          <w:color w:val="auto"/>
        </w:rPr>
      </w:pPr>
    </w:p>
    <w:p>
      <w:pPr>
        <w:ind w:left="208" w:hanging="208"/>
        <w:spacing w:after="0"/>
        <w:tabs>
          <w:tab w:leader="none" w:pos="208" w:val="left"/>
        </w:tabs>
        <w:numPr>
          <w:ilvl w:val="0"/>
          <w:numId w:val="6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Relationships with the Company:</w:t>
      </w:r>
    </w:p>
    <w:p>
      <w:pPr>
        <w:spacing w:after="0" w:line="152" w:lineRule="exact"/>
        <w:rPr>
          <w:sz w:val="20"/>
          <w:szCs w:val="20"/>
          <w:color w:val="auto"/>
        </w:rPr>
      </w:pPr>
    </w:p>
    <w:p>
      <w:pPr>
        <w:ind w:left="8" w:right="120"/>
        <w:spacing w:after="0" w:line="283" w:lineRule="auto"/>
        <w:rPr>
          <w:sz w:val="20"/>
          <w:szCs w:val="20"/>
          <w:color w:val="auto"/>
        </w:rPr>
      </w:pPr>
      <w:r>
        <w:rPr>
          <w:rFonts w:ascii="Times New Roman" w:cs="Times New Roman" w:eastAsia="Times New Roman" w:hAnsi="Times New Roman"/>
          <w:sz w:val="12"/>
          <w:szCs w:val="12"/>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State any exceptions here:</w:t>
      </w:r>
    </w:p>
    <w:p>
      <w:pPr>
        <w:spacing w:after="0" w:line="146" w:lineRule="exact"/>
        <w:rPr>
          <w:sz w:val="20"/>
          <w:szCs w:val="20"/>
          <w:color w:val="auto"/>
        </w:rPr>
      </w:pPr>
    </w:p>
    <w:p>
      <w:pPr>
        <w:ind w:left="208" w:hanging="208"/>
        <w:spacing w:after="0"/>
        <w:tabs>
          <w:tab w:leader="none" w:pos="208" w:val="left"/>
        </w:tabs>
        <w:numPr>
          <w:ilvl w:val="0"/>
          <w:numId w:val="6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Plan of Distribution:</w:t>
      </w:r>
    </w:p>
    <w:p>
      <w:pPr>
        <w:spacing w:after="0" w:line="152" w:lineRule="exact"/>
        <w:rPr>
          <w:sz w:val="20"/>
          <w:szCs w:val="20"/>
          <w:color w:val="auto"/>
        </w:rPr>
      </w:pPr>
    </w:p>
    <w:p>
      <w:pPr>
        <w:ind w:left="8"/>
        <w:spacing w:after="0" w:line="283" w:lineRule="auto"/>
        <w:rPr>
          <w:sz w:val="20"/>
          <w:szCs w:val="20"/>
          <w:color w:val="auto"/>
        </w:rPr>
      </w:pPr>
      <w:r>
        <w:rPr>
          <w:rFonts w:ascii="Times New Roman" w:cs="Times New Roman" w:eastAsia="Times New Roman" w:hAnsi="Times New Roman"/>
          <w:sz w:val="12"/>
          <w:szCs w:val="12"/>
          <w:i w:val="1"/>
          <w:iCs w:val="1"/>
          <w:color w:val="auto"/>
        </w:rPr>
        <w:t>The undersigned has reviewed the form of Plan of Distribution attached as Annex A to the Registration Rights Agreement, and hereby confirms that, except as set forth below, the information contained therein regarding the undersigned and its plan of distribution is correct and complete.</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State any exceptions here:</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7178040" cy="11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8"/>
          </w:cols>
          <w:pgMar w:left="292" w:top="125" w:right="319" w:bottom="1440" w:gutter="0" w:footer="0" w:header="0"/>
        </w:sectPr>
      </w:pPr>
    </w:p>
    <w:bookmarkStart w:id="106" w:name="page107"/>
    <w:bookmarkEnd w:id="106"/>
    <w:p>
      <w:pPr>
        <w:ind w:right="80"/>
        <w:spacing w:after="0" w:line="265" w:lineRule="auto"/>
        <w:rPr>
          <w:sz w:val="20"/>
          <w:szCs w:val="20"/>
          <w:color w:val="auto"/>
        </w:rPr>
      </w:pPr>
      <w:r>
        <w:rPr>
          <w:rFonts w:ascii="Times New Roman" w:cs="Times New Roman" w:eastAsia="Times New Roman" w:hAnsi="Times New Roman"/>
          <w:sz w:val="12"/>
          <w:szCs w:val="12"/>
          <w:color w:val="auto"/>
        </w:rPr>
        <w:t>The undersigned agrees to promptly notify the Company of any inaccuracies or changes in the information provided herein that may occur subsequent to the date hereof and prior to the effective date of any applicable Resale Registration Statement. All notices hereunder and pursuant to the Agreement shall be made in writing, by hand delivery, confirmed or facsimile transmission, first-class mail or air courier guaranteeing overnight delivery at the address set forth below. In the absence of any such notification, the Company shall be entitled to continue to rely on the accuracy of the information in this Notice and Questionnaire.</w:t>
      </w:r>
    </w:p>
    <w:p>
      <w:pPr>
        <w:spacing w:after="0" w:line="119" w:lineRule="exact"/>
        <w:rPr>
          <w:sz w:val="20"/>
          <w:szCs w:val="20"/>
          <w:color w:val="auto"/>
        </w:rPr>
      </w:pPr>
    </w:p>
    <w:p>
      <w:pPr>
        <w:ind w:right="500"/>
        <w:spacing w:after="0" w:line="279" w:lineRule="auto"/>
        <w:rPr>
          <w:sz w:val="20"/>
          <w:szCs w:val="20"/>
          <w:color w:val="auto"/>
        </w:rPr>
      </w:pPr>
      <w:r>
        <w:rPr>
          <w:rFonts w:ascii="Times New Roman" w:cs="Times New Roman" w:eastAsia="Times New Roman" w:hAnsi="Times New Roman"/>
          <w:sz w:val="12"/>
          <w:szCs w:val="12"/>
          <w:color w:val="auto"/>
        </w:rPr>
        <w:t>By signing below, the undersigned consents to the disclosure of the information contained herein in its answers to Items (1) through (7) above and the inclusion of such information in the Resale Registration Statement and the Prospectus. The undersigned understands that such information will be relied upon by the Company in connection with the preparation or amendment of any such Registration Statement and the Prospectus.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By signing below, the undersigned acknowledges that it understands its obligation to comply, and agrees that it will comply, with the provisions of the Exchange Act and the rules and regulations thereunder, particularly Regulation M in connection with any offering of Registrable Securities pursuant to the Resale Registration Statement. The undersigned also acknowledges that it understands that the answers to this Questionnaire are furnished for use in connection with Registration Statements filed pursuant to the Registration Rights Agreement and any amendments or supplements thereto filed with the Commission pursuant to the Securities Act.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undersigned hereby acknowledges and is advised of the following Question 239.10 of the Securities Act Rules Compliance and Disclosure Interpretations regarding short selling:</w:t>
      </w:r>
    </w:p>
    <w:p>
      <w:pPr>
        <w:spacing w:after="0" w:line="14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An Issuer filed a Form S-3 registration statement for a secondary offering of common stock which is not yet effective. One of the selling stockholders wanted to do a short sale of common stock “against the box” and cover the short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sale with registered shares after the effective date. The issuer was advised that the short sale could not be made before the registration statement become effective, because the shares underlying the short sale are deemed to be sold at the time such sale is made. There would, therefore, be a violation of Section 5 if the shares were effectively sold prior to the effective date</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returning this Questionnaire, the undersigned will be deemed to be aware of the foregoing interpretation.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confirm that, to the best of my knowledge and belief, the foregoing statements (including without limitation the answers to this Questionnaire) are correct.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WITNESS WHEREOF the undersigned, by authority duly given, has caused this Questionnaire to be executed and delivered either in person or by its duly authorized agent.</w:t>
      </w:r>
    </w:p>
    <w:p>
      <w:pPr>
        <w:spacing w:after="0" w:line="150"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2"/>
          <w:szCs w:val="12"/>
          <w:color w:val="auto"/>
        </w:rPr>
        <w:t>Dated:</w:t>
      </w:r>
      <w:r>
        <w:rPr>
          <w:sz w:val="20"/>
          <w:szCs w:val="20"/>
          <w:color w:val="auto"/>
        </w:rPr>
        <w:tab/>
      </w:r>
      <w:r>
        <w:rPr>
          <w:rFonts w:ascii="Times New Roman" w:cs="Times New Roman" w:eastAsia="Times New Roman" w:hAnsi="Times New Roman"/>
          <w:sz w:val="12"/>
          <w:szCs w:val="12"/>
          <w:color w:val="auto"/>
        </w:rPr>
        <w:t>Beneficial Owner:</w:t>
      </w:r>
    </w:p>
    <w:p>
      <w:pPr>
        <w:spacing w:after="0" w:line="15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5080</wp:posOffset>
            </wp:positionV>
            <wp:extent cx="3228975" cy="11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28975" cy="11430"/>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Title: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PLEASE EMAIL A COPY OF THE COMPLETED AND EXECUTED NOTICE AND QUESTIONNAIRE TO: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233680</wp:posOffset>
            </wp:positionV>
            <wp:extent cx="7178040" cy="11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6115685</wp:posOffset>
            </wp:positionH>
            <wp:positionV relativeFrom="paragraph">
              <wp:posOffset>104775</wp:posOffset>
            </wp:positionV>
            <wp:extent cx="1057275" cy="3429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5727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Cartesian Therapeutics Announces $130 Million Private Placement Equity Financing</w:t>
      </w:r>
    </w:p>
    <w:p>
      <w:pPr>
        <w:spacing w:after="0" w:line="154"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2"/>
          <w:szCs w:val="12"/>
          <w:color w:val="auto"/>
        </w:rPr>
        <w:t>GAITHERSBURG, MD, July 2, 2024 (GLOBE NEWSWIRE)—Cartesian Therapeutics, Inc. (NASDAQ: RNAC) (the “Company”), a clinical-stage biotechnology company pioneering mRNA cell therapy for autoimmune diseases, today announced that it has entered into a securities purchase agreement for a private investment in public equity (“PIPE”) financing that is expected to result in gross proceeds of approximately $130.0 million to the Company, before deducting placement agent fees and other offering expenses. The PIPE financing is expected to close on or about July 3, 2024, subject to satisfaction of customary closing conditions.</w:t>
      </w:r>
    </w:p>
    <w:p>
      <w:pPr>
        <w:spacing w:after="0" w:line="119"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The PIPE financing included participation from both new and existing investors, including HBM Healthcare Investments (Cayman) Ltd., Invus, Schooner Capital, Surveyor Capital (a Citadel company), Timothy A. Springer, Ph.D., a leading mutual fund manager, and other institutional investors.</w:t>
      </w:r>
    </w:p>
    <w:p>
      <w:pPr>
        <w:spacing w:after="0" w:line="11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Pursuant to the terms of the securities purchase agreement, the Company is selling an aggregate of 3,563,247 shares of its common stock (“Common Stock”), and 2,937,903 shares of its Series B Non-Voting Convertible Preferred Stock (“Series B Preferred Stock”), each at a purchase price of $20.00 per share. Each share of Series B Preferred Stock is convertible into one share of Common Stock, subject to Cartesian stockholder approval thereof and certain beneficial ownership limitations set by the purchasers of the Series B Preferred Stock.</w:t>
      </w:r>
    </w:p>
    <w:p>
      <w:pPr>
        <w:spacing w:after="0" w:line="119"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The Company intends to use the net proceeds from the PIPE financing, together with the Company’s existing cash, cash equivalents, and marketable securities, to fund its pipeline programs, and for general corporate purposes and working capital.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Leerink Partners and TD Cowen are acting as lead placement agents for the PIPE financing and Needham &amp; Company is acting as placement agent for the PIPE financing.</w:t>
      </w:r>
    </w:p>
    <w:p>
      <w:pPr>
        <w:spacing w:after="0" w:line="15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The offer and sale of the foregoing securities are being made in a transaction not involving a public offering and the securities have not been registered under the Securities Act of 1933, as amended, and may not be reoffered or resold in the United States except pursuant to an effective registration statement or an applicable exemption from the registration requirements. Concurrently with the execution of the securities purchase agreement, the Company and the investors entered into a registration rights agreement pursuant to which the Company has agreed to file a registration statement with the Securities and Exchange Commission (the “SEC”) registering the resale of the shares of Common Stock underlying the Series B Preferred Stock and the shares of Common Stock sold in the PIPE financing.</w:t>
      </w:r>
    </w:p>
    <w:p>
      <w:pPr>
        <w:spacing w:after="0" w:line="122"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Cartesian Therapeutics</w:t>
      </w:r>
    </w:p>
    <w:p>
      <w:pPr>
        <w:spacing w:after="0" w:line="154"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2"/>
          <w:szCs w:val="12"/>
          <w:color w:val="auto"/>
        </w:rPr>
        <w:t>Cartesian Therapeutics is a clinical-stage company pioneering mRNA cell therapies for the treatment of autoimmune diseases. The Company’s lead asset, Descartes-08, is a potential first-in-class mRNA CAR-T in Phase 2b clinical development for patients with generalized myasthenia gravis and Phase 2 development for systematic lupus erythematosus, with a Phase 2 basket trial planned in additional autoimmune indications. The Company’s clinical-stage pipeline also includes Descartes-15, a next-generation, autologous anti-BCMA mRNA 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156845</wp:posOffset>
            </wp:positionV>
            <wp:extent cx="7178040" cy="11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24" w:right="2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6306185</wp:posOffset>
            </wp:positionH>
            <wp:positionV relativeFrom="page">
              <wp:posOffset>88900</wp:posOffset>
            </wp:positionV>
            <wp:extent cx="1057275" cy="3429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057275" cy="342900"/>
                    </a:xfrm>
                    <a:prstGeom prst="rect">
                      <a:avLst/>
                    </a:prstGeom>
                    <a:noFill/>
                  </pic:spPr>
                </pic:pic>
              </a:graphicData>
            </a:graphic>
          </wp:anchor>
        </w:drawing>
        <w:t>Forward-Looking Statements</w:t>
      </w:r>
    </w:p>
    <w:p>
      <w:pPr>
        <w:spacing w:after="0" w:line="1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Any statements in this press release about the future expectations, plans and prospects of the Company, including without limitation, statements regarding the Company’s management team’s expectations, hopes, beliefs, intentions or strategies regarding the future including, without limitation, the intended use of net proceeds from the PIPE financing, the expected timing of closing of the PIPE financing and the completion of the PIPE financing, the conversion of the Company’s Series B Non-Voting Convertible Preferred Stock and stockholder approval thereof, the Company’s business plans and the anticipated benefits of the management changes,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market conditions and the satisfaction of closing conditions,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Investors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Ron Moldaver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Senior Director, Investor Relations &amp; Business Development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ron.moldaver@cartesiantx.com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David Rosen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Argot Partners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cartesian@argotpartners.com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226695</wp:posOffset>
            </wp:positionV>
            <wp:extent cx="7178040" cy="11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00"/>
          </w:cols>
          <w:pgMar w:left="300" w:top="809" w:right="39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6132830</wp:posOffset>
            </wp:positionH>
            <wp:positionV relativeFrom="paragraph">
              <wp:posOffset>104775</wp:posOffset>
            </wp:positionV>
            <wp:extent cx="1040130" cy="3200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40130" cy="32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Cartesian Therapeutics Announces Positive Topline Results from Phase 2b Trial of Descartes-08 in Patients with Myasthenia Gravis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Trial met primary endpoint with statistical significance, with 71% of myasthenia gravis patients treated with Descartes-08 observed to have a clinically meaningful improvement in MGC score at Month 3 compared to 25% for placebo</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Deep and durable responses up to at least six months observed in patients treated with Descartes-08</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Safety profile continues to support outpatient administration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Company expects to hold End-of-Phase 2 meeting with the FDA by year-end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Company to host conference call today at 8:00 a.m. ET</w:t>
      </w:r>
    </w:p>
    <w:p>
      <w:pPr>
        <w:spacing w:after="0" w:line="15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GAITHERSBURG, MD, July 2, 2024 (GLOBE NEWSWIRE) – Cartesian Therapeutics, Inc. (NASDAQ: RNAC) (“Cartesian” or the “Company”), a clinical-stage biotechnology company pioneering mRNA cell therapy for autoimmune diseases, today announced positive topline results from its Phase 2b trial of Descartes-08 in patients with generalized myasthenia gravis (MG).</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Descartes-08, Cartesian’s lead product candidate, is an autologous mRNA-engineered chimeric antigen receptor T-cell therapy (mRNA CAR-T) directed against the B cell maturation antigen (BCMA). It is designed to be administered as an outpatient treatment without the need for lymphodepleting chemotherapy required to achieve activity with conventional CAR-T cell therapies. Descartes-08 was previously granted Regenerative Medicine Advanced Therapy (RMAT) Designation and Orphan Drug Designation by the U.S. Food and Drug Administration (FDA) for the treatment of MG.</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believe the positive data presented today demonstrate clinical proof-of-concept of our novel mRNA platform and highlight the potential of Descartes-08 to provide deep and durable improvements for patients with MG,” said Carsten Brunn, Ph.D., President and Chief Executive Officer of Cartesian. “Our recently granted RMAT designation supports the continued development of Descartes-08 in collaboration with the FDA, with plans to hold an End-of-Phase 2 meeting by the end of the year. The results also exemplify what we hope to obtain with other assets in our existing and future pipeline.”</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“MG is a devastating, rare autoimmune disorder with high unmet need for short-course treatments. The current standard of care, chronic use of steroids and other immunosuppressants, is often associated with broad immunosuppression and limited efficacy,” said Tahseen Mozaffar, M.D., Professor of Neurology, Pathology and Laboratory Medicine, Director of the Division of Neuromuscular Diseases and Director of the ALS and Neuromuscular Center at the University of California, Irvine. “The durable improvements observed across all disease severity scales, the average of which was approximately three times greater than what is considered clinically meaningful, firmly support the potential for Descartes-08 to serve as an important new therapy for patients with MG that can be administered safely in the outpatient setting. I look forward to participating in its continued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78040" cy="11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24" w:right="2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6323330</wp:posOffset>
            </wp:positionH>
            <wp:positionV relativeFrom="page">
              <wp:posOffset>88900</wp:posOffset>
            </wp:positionV>
            <wp:extent cx="1040130" cy="3200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1040130" cy="320040"/>
                    </a:xfrm>
                    <a:prstGeom prst="rect">
                      <a:avLst/>
                    </a:prstGeom>
                    <a:noFill/>
                  </pic:spPr>
                </pic:pic>
              </a:graphicData>
            </a:graphic>
          </wp:anchor>
        </w:drawing>
        <w:t>Trial Overview and Topline Results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the Phase 2b double-blind, placebo-controlled, crossover trial, a total of 36 heavily pre-treated, highly symptomatic patients with MG were randomized 1:1 to receive either Descartes-08 or placebo administered as six weekly outpatient infusions without preconditioning chemotherapy. At the conclusion of the trial’s Month 3 blinded follow-up assessment, patients receiving placebo were eligible to cross over to Descartes-08 treatment.</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The primary efficacy endpoint assessed the proportion of patients with a reduction of five points or more in the MG Composite (MGC) score, a 10-item, 60-point weighted instrument composed of selected components of other validated scales to measure MG severity and impact. Whereas a reduction of three points or more is generally regarded as clinically meaningful, the more stringent endpoint of five points was selected based on clinical responses observed in an </w:t>
      </w:r>
      <w:r>
        <w:rPr>
          <w:rFonts w:ascii="Times New Roman" w:cs="Times New Roman" w:eastAsia="Times New Roman" w:hAnsi="Times New Roman"/>
          <w:sz w:val="12"/>
          <w:szCs w:val="12"/>
          <w:u w:val="single" w:color="auto"/>
          <w:color w:val="auto"/>
        </w:rPr>
        <w:t>earlier study</w:t>
      </w:r>
      <w:r>
        <w:rPr>
          <w:rFonts w:ascii="Times New Roman" w:cs="Times New Roman" w:eastAsia="Times New Roman" w:hAnsi="Times New Roman"/>
          <w:sz w:val="12"/>
          <w:szCs w:val="12"/>
          <w:color w:val="auto"/>
        </w:rPr>
        <w:t xml:space="preserve"> with Descartes-08 in MG. Secondary endpoints assessed safety and tolerability and other validated MG severity scales, including Activities of Daily Living (MG-ADL), Quantitative MG (QMG), and MG Quality of Life Revised Scale (MG-QoL-15R).</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pre-specified primary efficacy dataset (n=26) consisted of a modified intent-to-treat (mITT) population of all subjects enrolled at academic medical centers who received at least one dose of Descartes-08 (n=14) or placebo (n=12) and completed at least one post-baseline MGC score follow-up assessment. The safety dataset comprised all subjects who received at least one dose of Descartes-08 (n=19) or placebo (n=17).</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Primary Endpoint</w:t>
      </w:r>
    </w:p>
    <w:p>
      <w:pPr>
        <w:spacing w:after="0" w:line="152" w:lineRule="exact"/>
        <w:rPr>
          <w:sz w:val="20"/>
          <w:szCs w:val="20"/>
          <w:color w:val="auto"/>
        </w:rPr>
      </w:pPr>
    </w:p>
    <w:p>
      <w:pPr>
        <w:ind w:left="420" w:hanging="212"/>
        <w:spacing w:after="0" w:line="279" w:lineRule="auto"/>
        <w:tabs>
          <w:tab w:leader="none" w:pos="42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trial achieved its primary endpoint with statistical significance in the pre-specified mITT efficacy population, with 71% (10/14) of patients treated with Descartes-08 observed to have 5-point or greater improvements in MGC score at Month 3 compared to 25% (3/12) of patients treated with placebo (p=0.018).</w:t>
      </w:r>
    </w:p>
    <w:p>
      <w:pPr>
        <w:spacing w:after="0" w:line="111"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the trial also achieved its primary endpoint with statistical significance in the per-protocol population, with 69% (11/16) of patients treated with Descartes-08 observed to have 5-point or greater improvements in MGC score at Month 3 compared to 33% (5/15) of patients treated with placebo (p=0.048).</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Secondary Endpoints</w:t>
      </w:r>
    </w:p>
    <w:p>
      <w:pPr>
        <w:spacing w:after="0" w:line="152" w:lineRule="exact"/>
        <w:rPr>
          <w:sz w:val="20"/>
          <w:szCs w:val="20"/>
          <w:color w:val="auto"/>
        </w:rPr>
      </w:pPr>
    </w:p>
    <w:p>
      <w:pPr>
        <w:jc w:val="both"/>
        <w:ind w:left="420" w:hanging="212"/>
        <w:spacing w:after="0" w:line="265" w:lineRule="auto"/>
        <w:tabs>
          <w:tab w:leader="none" w:pos="42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Consistent with previously reported results from the Phase 2a open-label portion of the trial, Descartes-08 responders experienced deep improvements across the MG severity scales at Month 3 (average MG-ADL = -5.6; MGC= -8.3; QMG = -5.0; QoL-15r = -7.9). The improvements seen at Month 3 persisted or further improved in patients evaluated at their Month 4 (n=5) and Month 6 (n=3) follow-up visits, as of the June 19, 2024 data cutoff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7178040" cy="11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6323330</wp:posOffset>
            </wp:positionH>
            <wp:positionV relativeFrom="page">
              <wp:posOffset>88900</wp:posOffset>
            </wp:positionV>
            <wp:extent cx="1040130" cy="3200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040130" cy="320040"/>
                    </a:xfrm>
                    <a:prstGeom prst="rect">
                      <a:avLst/>
                    </a:prstGeom>
                    <a:noFill/>
                  </pic:spPr>
                </pic:pic>
              </a:graphicData>
            </a:graphic>
          </wp:anchor>
        </w:drawing>
        <w:t>Safety Results</w:t>
      </w:r>
    </w:p>
    <w:p>
      <w:pPr>
        <w:spacing w:after="0" w:line="152" w:lineRule="exact"/>
        <w:rPr>
          <w:sz w:val="20"/>
          <w:szCs w:val="20"/>
          <w:color w:val="auto"/>
        </w:rPr>
      </w:pPr>
    </w:p>
    <w:p>
      <w:pPr>
        <w:jc w:val="both"/>
        <w:ind w:left="420" w:hanging="212"/>
        <w:spacing w:after="0" w:line="265" w:lineRule="auto"/>
        <w:tabs>
          <w:tab w:leader="none" w:pos="42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Descartes-08 continues to demonstrate a favorable safety profile supporting outpatient administration without the need for lymphodepleting chemotherapy. Consistent with findings from the Phase 2a open-label portion of the trial, Descartes-08 was observed to be well tolerated, and adverse events were transient and mostly mild. Notably, there were no cases of cytokine release syndrome, and no cases of immune effector cell-associated neurotoxicity syndrome.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Updated Phase 2a Open-Label Trial Results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Cartesian today also announced positive updated results from two patients enrolled in the Phase 2a open-label portion of the trial. Both retreated patients experienced rapid improvement in clinical scores and maintained minimal symptom expression for up to one year after receiving a second treatment cycle. The time course and magnitude of treatment response upon retreatment were similar to those seen when the patients were first treated. Four of the seven patients from the Phase 2a portion of the trial maintained clinically meaningful responses for at least one year following initial dosing.</w:t>
      </w:r>
    </w:p>
    <w:p>
      <w:pPr>
        <w:spacing w:after="0" w:line="119"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2"/>
          <w:szCs w:val="12"/>
          <w:color w:val="auto"/>
        </w:rPr>
        <w:t xml:space="preserve">The Company </w:t>
      </w:r>
      <w:r>
        <w:rPr>
          <w:rFonts w:ascii="Times New Roman" w:cs="Times New Roman" w:eastAsia="Times New Roman" w:hAnsi="Times New Roman"/>
          <w:sz w:val="12"/>
          <w:szCs w:val="12"/>
          <w:u w:val="single" w:color="auto"/>
          <w:color w:val="auto"/>
        </w:rPr>
        <w:t>previously announced</w:t>
      </w:r>
      <w:r>
        <w:rPr>
          <w:rFonts w:ascii="Times New Roman" w:cs="Times New Roman" w:eastAsia="Times New Roman" w:hAnsi="Times New Roman"/>
          <w:sz w:val="12"/>
          <w:szCs w:val="12"/>
          <w:color w:val="auto"/>
        </w:rPr>
        <w:t xml:space="preserve"> positive long-term follow up data from the Phase 2a trial in which Descartes-08 was administered in an outpatient setting without preconditioning chemotherapy. Durable depletion of autoantibodies and clinically meaningful improvements in MG severity scores were observed at the one-year follow-up period. The data were </w:t>
      </w:r>
      <w:r>
        <w:rPr>
          <w:rFonts w:ascii="Times New Roman" w:cs="Times New Roman" w:eastAsia="Times New Roman" w:hAnsi="Times New Roman"/>
          <w:sz w:val="12"/>
          <w:szCs w:val="12"/>
          <w:u w:val="single" w:color="auto"/>
          <w:color w:val="auto"/>
        </w:rPr>
        <w:t>subsequently featured</w:t>
      </w:r>
      <w:r>
        <w:rPr>
          <w:rFonts w:ascii="Times New Roman" w:cs="Times New Roman" w:eastAsia="Times New Roman" w:hAnsi="Times New Roman"/>
          <w:sz w:val="12"/>
          <w:szCs w:val="12"/>
          <w:color w:val="auto"/>
        </w:rPr>
        <w:t xml:space="preserve"> during an oral session at the American Society of Gene and Cell Therapy 27</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Annual Meeting in May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and Webcast</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Cartesian will host a conference call and webcast to discuss the topline results today, Tuesday, July 2, 2024 at 8:00 am ET. To access the conference call, please dial 1-877-317-6789 (toll-free) or 1-412-317-6789 (international) at least 10 minutes prior to the start time and ask to be joined into the Cartesian Therapeutics call. The live audio webcast, along with accompanying slides, can be accessed on the Events &amp; Presentations section of Cartesian’s website at </w:t>
      </w:r>
      <w:r>
        <w:rPr>
          <w:rFonts w:ascii="Times New Roman" w:cs="Times New Roman" w:eastAsia="Times New Roman" w:hAnsi="Times New Roman"/>
          <w:sz w:val="12"/>
          <w:szCs w:val="12"/>
          <w:u w:val="single" w:color="auto"/>
          <w:color w:val="auto"/>
        </w:rPr>
        <w:t>https://ir.cartesiantherapeutics.com/news-and-events/events-presentations</w:t>
      </w:r>
      <w:r>
        <w:rPr>
          <w:rFonts w:ascii="Times New Roman" w:cs="Times New Roman" w:eastAsia="Times New Roman" w:hAnsi="Times New Roman"/>
          <w:sz w:val="12"/>
          <w:szCs w:val="12"/>
          <w:color w:val="auto"/>
        </w:rPr>
        <w:t>. A replay of the webcast will be available for a limited time following the event on Cartesian’s website.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Descartes-08 for Systematic Lupus Erythematosus (SLE)</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Today, Cartesian also announced that the first patient has been dosed in a clinical trial evaluating Descartes-08 in patients with SLE. The Phase 2 open-label trial, which is expected to enroll up to 30 adult patients, is designed to evaluate the safety and tolerability of outpatient administration of Descartes-08 without preconditioning chemotherapy for the treatment of patients with moderate or severe SLE refractory to immunosuppressant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7178040" cy="11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48" w:right="2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6323330</wp:posOffset>
            </wp:positionH>
            <wp:positionV relativeFrom="page">
              <wp:posOffset>88900</wp:posOffset>
            </wp:positionV>
            <wp:extent cx="1040130" cy="3200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1040130" cy="320040"/>
                    </a:xfrm>
                    <a:prstGeom prst="rect">
                      <a:avLst/>
                    </a:prstGeom>
                    <a:noFill/>
                  </pic:spPr>
                </pic:pic>
              </a:graphicData>
            </a:graphic>
          </wp:anchor>
        </w:drawing>
        <w:t>Appointment of Kemal Malik to Board of Directors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Today, Cartesian also announced the appointment of Kemal Malik, MBBS, to its Board of Directors. Dr. Malik brings to Cartesian over 30 years of global development, regulatory, and commercial expertise at leading pharmaceutical organizations.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Myasthenia Gravis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Myasthenia gravis (MG) is a chronic autoimmune disorder that causes disabling muscle weakness and fatigue. For most people with MG, the disease is characterized by the presence of antibodies against the acetylcholine receptor, a protein found on the surface of nerve cells that plays a key role in muscle contraction. There is currently no cure for MG, and treatment typically requires chronic immunosuppressive medicines, with their attendant risks and side effects.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Descartes-08</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Descartes-08, Cartesian’s lead mRNA cell therapy candidate and a potential first-in-class mRNA-engineered chimeric antigen receptor T-cell therapy (mRNA CAR-T), is an autologous mRNA CAR-T product targeting B-cell maturation antigen (BCMA) in clinical development for generalized myasthenia gravis (MG) and systemic lupus erythematosus. In contrast to conventional DNA-based CAR T-cell therapies, mRNA CAR-T administration does not require preconditioning chemotherapy, can be administered in the outpatient setting, and does not carry the risk of genomic integration associated with cancerous transformation. Descartes-08 has been granted Orphan Drug Designation and Regenerative Medicine Advanced Therapy Designation by the U.S. Food and Drug Administration for the treatment of MG.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Cartesian Therapeutics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Cartesian Therapeutics is a clinical-stage company pioneering mRNA cell therapies for the treatment of autoimmune diseases. The Company’s lead asset, Descartes-08, is a potential first-in-class mRNA CAR-T in Phase 2b clinical development for patients with generalized myasthenia gravis and Phase 2 development for systematic lupus erythematosus, with a Phase 2 basket trial planned in additional autoimmune indications. The Company’s clinical-stage pipeline also includes Descartes-15, a next-generation, autologous anti-BCMA mRNA CAR-T. For more information, please visit </w:t>
      </w:r>
      <w:r>
        <w:rPr>
          <w:rFonts w:ascii="Times New Roman" w:cs="Times New Roman" w:eastAsia="Times New Roman" w:hAnsi="Times New Roman"/>
          <w:sz w:val="12"/>
          <w:szCs w:val="12"/>
          <w:u w:val="single" w:color="auto"/>
          <w:color w:val="auto"/>
        </w:rPr>
        <w:t>www.cartesiantherapeutics.com</w:t>
      </w:r>
      <w:r>
        <w:rPr>
          <w:rFonts w:ascii="Times New Roman" w:cs="Times New Roman" w:eastAsia="Times New Roman" w:hAnsi="Times New Roman"/>
          <w:sz w:val="12"/>
          <w:szCs w:val="12"/>
          <w:color w:val="auto"/>
        </w:rPr>
        <w:t xml:space="preserve"> or follow the Company on </w:t>
      </w:r>
      <w:r>
        <w:rPr>
          <w:rFonts w:ascii="Times New Roman" w:cs="Times New Roman" w:eastAsia="Times New Roman" w:hAnsi="Times New Roman"/>
          <w:sz w:val="12"/>
          <w:szCs w:val="12"/>
          <w:u w:val="single" w:color="auto"/>
          <w:color w:val="auto"/>
        </w:rPr>
        <w:t>LinkedIn</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X</w:t>
      </w:r>
      <w:r>
        <w:rPr>
          <w:rFonts w:ascii="Times New Roman" w:cs="Times New Roman" w:eastAsia="Times New Roman" w:hAnsi="Times New Roman"/>
          <w:sz w:val="12"/>
          <w:szCs w:val="12"/>
          <w:color w:val="auto"/>
        </w:rPr>
        <w:t>, formerly known as Twitter.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7178040" cy="11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6323330</wp:posOffset>
            </wp:positionH>
            <wp:positionV relativeFrom="page">
              <wp:posOffset>88900</wp:posOffset>
            </wp:positionV>
            <wp:extent cx="1040130" cy="3200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040130" cy="320040"/>
                    </a:xfrm>
                    <a:prstGeom prst="rect">
                      <a:avLst/>
                    </a:prstGeom>
                    <a:noFill/>
                  </pic:spPr>
                </pic:pic>
              </a:graphicData>
            </a:graphic>
          </wp:anchor>
        </w:drawing>
        <w:t>Forward Looking Statements</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Any statements in this press release about the future expectations, plans and prospects of the Company, including without limitation, statements regarding the Company’s expectation to hold an End-of-Phase 2 meeting with the FDA by the end of 2024, the ability of Descartes-08 to be administered in an outpatient setting or without the need for preconditioning lymphodepleting chemotherapy, the Company’s in-house manufacturing capabilities, the potential of RNA Armory® to enable precision control and optimization of engineered cells for diverse cell therapies leveraging multiple modalities, the potential of Descartes-08, Descartes-15, or any of the Company’s other product candidates to treat myasthenia gravis, systemic lupus erythematosus, or any other disease, the anticipated timing or the outcome of ongoing and planned clinical trials, studies and data readouts, the anticipated timing or the outcome of the FDA’s review of the Company’s regulatory filings, the Company’s ability to conduct its clinical trials and preclinical studies, the timing or making of any regulatory filings, the anticipated timing or outcome of selection of developmental product candidates, the ability of the Company to consummate any expected agreements and licenses and to realize the anticipated benefits thereof, the novelty of treatment paradigms that the Company is able to develop, the potential of any therapies developed by the Company to fulfill unmet medical needs,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its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and pandemics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Ron Moldaver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Senior Director, Investor Relations &amp; Business Development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ron.moldaver@cartesiantx.com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David Rosen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Argot Partners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david.rosen@argotpartners.com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226695</wp:posOffset>
            </wp:positionV>
            <wp:extent cx="7178040" cy="11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114" w:name="page115"/>
    <w:bookmarkEnd w:id="114"/>
    <w:p>
      <w:pPr>
        <w:ind w:left="95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42976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0" w:num="1">
            <w:col w:w="10160"/>
          </w:cols>
          <w:pgMar w:left="1440" w:top="224" w:right="299" w:bottom="1440"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4375150</wp:posOffset>
            </wp:positionV>
            <wp:extent cx="7178040" cy="11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976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4462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8680" cy="44462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1."/>
      <w:numFmt w:val="decimal"/>
      <w:start w:val="1"/>
    </w:lvl>
  </w:abstractNum>
  <w:abstractNum w:abstractNumId="2">
    <w:nsid w:val="3804823E"/>
    <w:multiLevelType w:val="hybridMultilevel"/>
    <w:lvl w:ilvl="0">
      <w:lvlJc w:val="left"/>
      <w:lvlText w:val="%1."/>
      <w:numFmt w:val="decimal"/>
      <w:start w:val="2"/>
    </w:lvl>
  </w:abstractNum>
  <w:abstractNum w:abstractNumId="3">
    <w:nsid w:val="77465F01"/>
    <w:multiLevelType w:val="hybridMultilevel"/>
    <w:lvl w:ilvl="0">
      <w:lvlJc w:val="left"/>
      <w:lvlText w:val="%1."/>
      <w:numFmt w:val="decimal"/>
      <w:start w:val="5"/>
    </w:lvl>
  </w:abstractNum>
  <w:abstractNum w:abstractNumId="4">
    <w:nsid w:val="7724C67E"/>
    <w:multiLevelType w:val="hybridMultilevel"/>
    <w:lvl w:ilvl="0">
      <w:lvlJc w:val="left"/>
      <w:lvlText w:val="%1."/>
      <w:numFmt w:val="decimal"/>
      <w:start w:val="6"/>
    </w:lvl>
  </w:abstractNum>
  <w:abstractNum w:abstractNumId="5">
    <w:nsid w:val="5C482A97"/>
    <w:multiLevelType w:val="hybridMultilevel"/>
    <w:lvl w:ilvl="0">
      <w:lvlJc w:val="left"/>
      <w:lvlText w:val="(%1)"/>
      <w:numFmt w:val="upperLetter"/>
      <w:start w:val="1"/>
    </w:lvl>
  </w:abstractNum>
  <w:abstractNum w:abstractNumId="6">
    <w:nsid w:val="2463B9EA"/>
    <w:multiLevelType w:val="hybridMultilevel"/>
    <w:lvl w:ilvl="0">
      <w:lvlJc w:val="left"/>
      <w:lvlText w:val="%1."/>
      <w:numFmt w:val="decimal"/>
      <w:start w:val="7"/>
    </w:lvl>
  </w:abstractNum>
  <w:abstractNum w:abstractNumId="7">
    <w:nsid w:val="5E884ADC"/>
    <w:multiLevelType w:val="hybridMultilevel"/>
    <w:lvl w:ilvl="0">
      <w:lvlJc w:val="left"/>
      <w:lvlText w:val="%1."/>
      <w:numFmt w:val="decimal"/>
      <w:start w:val="8"/>
    </w:lvl>
  </w:abstractNum>
  <w:abstractNum w:abstractNumId="8">
    <w:nsid w:val="51EAD36B"/>
    <w:multiLevelType w:val="hybridMultilevel"/>
    <w:lvl w:ilvl="0">
      <w:lvlJc w:val="left"/>
      <w:lvlText w:val="%1."/>
      <w:numFmt w:val="decimal"/>
      <w:start w:val="11"/>
    </w:lvl>
  </w:abstractNum>
  <w:abstractNum w:abstractNumId="9">
    <w:nsid w:val="2D517796"/>
    <w:multiLevelType w:val="hybridMultilevel"/>
    <w:lvl w:ilvl="0">
      <w:lvlJc w:val="left"/>
      <w:lvlText w:val="(%1)"/>
      <w:numFmt w:val="lowerLetter"/>
      <w:start w:val="1"/>
    </w:lvl>
  </w:abstractNum>
  <w:abstractNum w:abstractNumId="10">
    <w:nsid w:val="580BD78F"/>
    <w:multiLevelType w:val="hybridMultilevel"/>
    <w:lvl w:ilvl="0">
      <w:lvlJc w:val="left"/>
      <w:lvlText w:val="(%1)"/>
      <w:numFmt w:val="lowerLetter"/>
      <w:start w:val="1"/>
    </w:lvl>
    <w:lvl w:ilvl="1">
      <w:lvlJc w:val="left"/>
      <w:lvlText w:val="(%2)"/>
      <w:numFmt w:val="lowerRoman"/>
      <w:start w:val="1"/>
    </w:lvl>
  </w:abstractNum>
  <w:abstractNum w:abstractNumId="11">
    <w:nsid w:val="153EA438"/>
    <w:multiLevelType w:val="hybridMultilevel"/>
    <w:lvl w:ilvl="0">
      <w:lvlJc w:val="left"/>
      <w:lvlText w:val="(%1)"/>
      <w:numFmt w:val="lowerRoman"/>
      <w:start w:val="4"/>
    </w:lvl>
  </w:abstractNum>
  <w:abstractNum w:abstractNumId="12">
    <w:nsid w:val="3855585C"/>
    <w:multiLevelType w:val="hybridMultilevel"/>
    <w:lvl w:ilvl="0">
      <w:lvlJc w:val="left"/>
      <w:lvlText w:val="(%1)"/>
      <w:numFmt w:val="lowerLetter"/>
      <w:start w:val="1"/>
    </w:lvl>
  </w:abstractNum>
  <w:abstractNum w:abstractNumId="13">
    <w:nsid w:val="70A64E2A"/>
    <w:multiLevelType w:val="hybridMultilevel"/>
    <w:lvl w:ilvl="0">
      <w:lvlJc w:val="left"/>
      <w:lvlText w:val="%1"/>
      <w:numFmt w:val="lowerLetter"/>
      <w:start w:val="1"/>
    </w:lvl>
    <w:lvl w:ilvl="1">
      <w:lvlJc w:val="left"/>
      <w:lvlText w:val="(%2)"/>
      <w:numFmt w:val="lowerLetter"/>
      <w:start w:val="3"/>
    </w:lvl>
  </w:abstractNum>
  <w:abstractNum w:abstractNumId="14">
    <w:nsid w:val="6A2342EC"/>
    <w:multiLevelType w:val="hybridMultilevel"/>
    <w:lvl w:ilvl="0">
      <w:lvlJc w:val="left"/>
      <w:lvlText w:val="(%1)"/>
      <w:numFmt w:val="lowerLetter"/>
      <w:start w:val="22"/>
    </w:lvl>
    <w:lvl w:ilvl="1">
      <w:lvlJc w:val="left"/>
      <w:lvlText w:val="(%2)"/>
      <w:numFmt w:val="lowerLetter"/>
      <w:start w:val="4"/>
    </w:lvl>
  </w:abstractNum>
  <w:abstractNum w:abstractNumId="15">
    <w:nsid w:val="2A487CB0"/>
    <w:multiLevelType w:val="hybridMultilevel"/>
    <w:lvl w:ilvl="0">
      <w:lvlJc w:val="left"/>
      <w:lvlText w:val="(%1)"/>
      <w:numFmt w:val="lowerLetter"/>
      <w:start w:val="6"/>
    </w:lvl>
  </w:abstractNum>
  <w:abstractNum w:abstractNumId="16">
    <w:nsid w:val="1D4ED43B"/>
    <w:multiLevelType w:val="hybridMultilevel"/>
    <w:lvl w:ilvl="0">
      <w:lvlJc w:val="left"/>
      <w:lvlText w:val="(%1)"/>
      <w:numFmt w:val="lowerLetter"/>
      <w:start w:val="10"/>
    </w:lvl>
  </w:abstractNum>
  <w:abstractNum w:abstractNumId="17">
    <w:nsid w:val="725A06FB"/>
    <w:multiLevelType w:val="hybridMultilevel"/>
    <w:lvl w:ilvl="0">
      <w:lvlJc w:val="left"/>
      <w:lvlText w:val="(%1)"/>
      <w:numFmt w:val="lowerLetter"/>
      <w:start w:val="15"/>
    </w:lvl>
  </w:abstractNum>
  <w:abstractNum w:abstractNumId="18">
    <w:nsid w:val="2CD89A32"/>
    <w:multiLevelType w:val="hybridMultilevel"/>
    <w:lvl w:ilvl="0">
      <w:lvlJc w:val="left"/>
      <w:lvlText w:val="(%1)"/>
      <w:numFmt w:val="lowerLetter"/>
      <w:start w:val="19"/>
    </w:lvl>
  </w:abstractNum>
  <w:abstractNum w:abstractNumId="19">
    <w:nsid w:val="57E4CCAF"/>
    <w:multiLevelType w:val="hybridMultilevel"/>
    <w:lvl w:ilvl="0">
      <w:lvlJc w:val="left"/>
      <w:lvlText w:val="(%1)"/>
      <w:numFmt w:val="lowerLetter"/>
      <w:start w:val="25"/>
    </w:lvl>
  </w:abstractNum>
  <w:abstractNum w:abstractNumId="20">
    <w:nsid w:val="7A6D8D3C"/>
    <w:multiLevelType w:val="hybridMultilevel"/>
    <w:lvl w:ilvl="0">
      <w:lvlJc w:val="left"/>
      <w:lvlText w:val="%1"/>
      <w:numFmt w:val="lowerLetter"/>
      <w:start w:val="1"/>
    </w:lvl>
    <w:lvl w:ilvl="1">
      <w:lvlJc w:val="left"/>
      <w:lvlText w:val="(%2)"/>
      <w:numFmt w:val="lowerLetter"/>
      <w:start w:val="27"/>
    </w:lvl>
  </w:abstractNum>
  <w:abstractNum w:abstractNumId="21">
    <w:nsid w:val="4B588F54"/>
    <w:multiLevelType w:val="hybridMultilevel"/>
    <w:lvl w:ilvl="0">
      <w:lvlJc w:val="left"/>
      <w:lvlText w:val="(%1)"/>
      <w:numFmt w:val="lowerLetter"/>
      <w:start w:val="9"/>
    </w:lvl>
    <w:lvl w:ilvl="1">
      <w:lvlJc w:val="left"/>
      <w:lvlText w:val="(%2)"/>
      <w:numFmt w:val="lowerLetter"/>
      <w:start w:val="28"/>
    </w:lvl>
  </w:abstractNum>
  <w:abstractNum w:abstractNumId="22">
    <w:nsid w:val="542289EC"/>
    <w:multiLevelType w:val="hybridMultilevel"/>
    <w:lvl w:ilvl="0">
      <w:lvlJc w:val="left"/>
      <w:lvlText w:val="(%1)"/>
      <w:numFmt w:val="lowerLetter"/>
      <w:start w:val="30"/>
    </w:lvl>
  </w:abstractNum>
  <w:abstractNum w:abstractNumId="23">
    <w:nsid w:val="6DE91B18"/>
    <w:multiLevelType w:val="hybridMultilevel"/>
    <w:lvl w:ilvl="0">
      <w:lvlJc w:val="left"/>
      <w:lvlText w:val="(%1)"/>
      <w:numFmt w:val="lowerLetter"/>
      <w:start w:val="36"/>
    </w:lvl>
  </w:abstractNum>
  <w:abstractNum w:abstractNumId="24">
    <w:nsid w:val="38437FDB"/>
    <w:multiLevelType w:val="hybridMultilevel"/>
    <w:lvl w:ilvl="0">
      <w:lvlJc w:val="left"/>
      <w:lvlText w:val="(%1)"/>
      <w:numFmt w:val="lowerLetter"/>
      <w:start w:val="41"/>
    </w:lvl>
  </w:abstractNum>
  <w:abstractNum w:abstractNumId="25">
    <w:nsid w:val="7644A45C"/>
    <w:multiLevelType w:val="hybridMultilevel"/>
    <w:lvl w:ilvl="0">
      <w:lvlJc w:val="left"/>
      <w:lvlText w:val="(%1)"/>
      <w:numFmt w:val="lowerLetter"/>
      <w:start w:val="1"/>
    </w:lvl>
  </w:abstractNum>
  <w:abstractNum w:abstractNumId="26">
    <w:nsid w:val="32FFF902"/>
    <w:multiLevelType w:val="hybridMultilevel"/>
    <w:lvl w:ilvl="0">
      <w:lvlJc w:val="left"/>
      <w:lvlText w:val="(%1)"/>
      <w:numFmt w:val="lowerLetter"/>
      <w:start w:val="3"/>
    </w:lvl>
  </w:abstractNum>
  <w:abstractNum w:abstractNumId="27">
    <w:nsid w:val="684A481A"/>
    <w:multiLevelType w:val="hybridMultilevel"/>
    <w:lvl w:ilvl="0">
      <w:lvlJc w:val="left"/>
      <w:lvlText w:val="(%1)"/>
      <w:numFmt w:val="lowerLetter"/>
      <w:start w:val="8"/>
    </w:lvl>
  </w:abstractNum>
  <w:abstractNum w:abstractNumId="28">
    <w:nsid w:val="579478FE"/>
    <w:multiLevelType w:val="hybridMultilevel"/>
    <w:lvl w:ilvl="0">
      <w:lvlJc w:val="left"/>
      <w:lvlText w:val="(%1)"/>
      <w:numFmt w:val="lowerLetter"/>
      <w:start w:val="15"/>
    </w:lvl>
  </w:abstractNum>
  <w:abstractNum w:abstractNumId="29">
    <w:nsid w:val="749ABB43"/>
    <w:multiLevelType w:val="hybridMultilevel"/>
    <w:lvl w:ilvl="0">
      <w:lvlJc w:val="left"/>
      <w:lvlText w:val="(%1)"/>
      <w:numFmt w:val="lowerLetter"/>
      <w:start w:val="1"/>
    </w:lvl>
  </w:abstractNum>
  <w:abstractNum w:abstractNumId="30">
    <w:nsid w:val="3DC240FB"/>
    <w:multiLevelType w:val="hybridMultilevel"/>
    <w:lvl w:ilvl="0">
      <w:lvlJc w:val="left"/>
      <w:lvlText w:val="(%1)"/>
      <w:numFmt w:val="lowerLetter"/>
      <w:start w:val="3"/>
    </w:lvl>
  </w:abstractNum>
  <w:abstractNum w:abstractNumId="31">
    <w:nsid w:val="1BA026FA"/>
    <w:multiLevelType w:val="hybridMultilevel"/>
    <w:lvl w:ilvl="0">
      <w:lvlJc w:val="left"/>
      <w:lvlText w:val="(%1)"/>
      <w:numFmt w:val="lowerLetter"/>
      <w:start w:val="1"/>
    </w:lvl>
  </w:abstractNum>
  <w:abstractNum w:abstractNumId="32">
    <w:nsid w:val="79A1DEAA"/>
    <w:multiLevelType w:val="hybridMultilevel"/>
    <w:lvl w:ilvl="0">
      <w:lvlJc w:val="left"/>
      <w:lvlText w:val="(%1)"/>
      <w:numFmt w:val="lowerLetter"/>
      <w:start w:val="1"/>
    </w:lvl>
  </w:abstractNum>
  <w:abstractNum w:abstractNumId="33">
    <w:nsid w:val="75C6C33A"/>
    <w:multiLevelType w:val="hybridMultilevel"/>
    <w:lvl w:ilvl="0">
      <w:lvlJc w:val="left"/>
      <w:lvlText w:val="(%1)"/>
      <w:numFmt w:val="lowerLetter"/>
      <w:start w:val="5"/>
    </w:lvl>
  </w:abstractNum>
  <w:abstractNum w:abstractNumId="34">
    <w:nsid w:val="12E685FB"/>
    <w:multiLevelType w:val="hybridMultilevel"/>
    <w:lvl w:ilvl="0">
      <w:lvlJc w:val="left"/>
      <w:lvlText w:val="(%1)"/>
      <w:numFmt w:val="lowerLetter"/>
      <w:start w:val="1"/>
    </w:lvl>
  </w:abstractNum>
  <w:abstractNum w:abstractNumId="35">
    <w:nsid w:val="70C6A529"/>
    <w:multiLevelType w:val="hybridMultilevel"/>
    <w:lvl w:ilvl="0">
      <w:lvlJc w:val="left"/>
      <w:lvlText w:val="(%1)"/>
      <w:numFmt w:val="lowerLetter"/>
      <w:start w:val="1"/>
    </w:lvl>
  </w:abstractNum>
  <w:abstractNum w:abstractNumId="36">
    <w:nsid w:val="520EEDD1"/>
    <w:multiLevelType w:val="hybridMultilevel"/>
    <w:lvl w:ilvl="0">
      <w:lvlJc w:val="left"/>
      <w:lvlText w:val="(%1)"/>
      <w:numFmt w:val="lowerLetter"/>
      <w:start w:val="2"/>
    </w:lvl>
  </w:abstractNum>
  <w:abstractNum w:abstractNumId="37">
    <w:nsid w:val="374A3FE6"/>
    <w:multiLevelType w:val="hybridMultilevel"/>
    <w:lvl w:ilvl="0">
      <w:lvlJc w:val="left"/>
      <w:lvlText w:val="(%1)"/>
      <w:numFmt w:val="lowerRoman"/>
      <w:start w:val="2"/>
    </w:lvl>
  </w:abstractNum>
  <w:abstractNum w:abstractNumId="38">
    <w:nsid w:val="4F4EF005"/>
    <w:multiLevelType w:val="hybridMultilevel"/>
    <w:lvl w:ilvl="0">
      <w:lvlJc w:val="left"/>
      <w:lvlText w:val="(%1)"/>
      <w:numFmt w:val="lowerRoman"/>
      <w:start w:val="1"/>
    </w:lvl>
  </w:abstractNum>
  <w:abstractNum w:abstractNumId="39">
    <w:nsid w:val="23F9C13C"/>
    <w:multiLevelType w:val="hybridMultilevel"/>
    <w:lvl w:ilvl="0">
      <w:lvlJc w:val="left"/>
      <w:lvlText w:val="(%1)"/>
      <w:numFmt w:val="lowerLetter"/>
      <w:start w:val="1"/>
    </w:lvl>
  </w:abstractNum>
  <w:abstractNum w:abstractNumId="40">
    <w:nsid w:val="649BB77C"/>
    <w:multiLevelType w:val="hybridMultilevel"/>
    <w:lvl w:ilvl="0">
      <w:lvlJc w:val="left"/>
      <w:lvlText w:val="(%1)"/>
      <w:numFmt w:val="lowerLetter"/>
      <w:start w:val="6"/>
    </w:lvl>
  </w:abstractNum>
  <w:abstractNum w:abstractNumId="41">
    <w:nsid w:val="275AC794"/>
    <w:multiLevelType w:val="hybridMultilevel"/>
    <w:lvl w:ilvl="0">
      <w:lvlJc w:val="left"/>
      <w:lvlText w:val="%1."/>
      <w:numFmt w:val="decimal"/>
      <w:start w:val="1"/>
    </w:lvl>
  </w:abstractNum>
  <w:abstractNum w:abstractNumId="42">
    <w:nsid w:val="39386575"/>
    <w:multiLevelType w:val="hybridMultilevel"/>
    <w:lvl w:ilvl="0">
      <w:lvlJc w:val="left"/>
      <w:lvlText w:val="%1."/>
      <w:numFmt w:val="decimal"/>
      <w:start w:val="4"/>
    </w:lvl>
  </w:abstractNum>
  <w:abstractNum w:abstractNumId="43">
    <w:nsid w:val="1CF10FD8"/>
    <w:multiLevelType w:val="hybridMultilevel"/>
    <w:lvl w:ilvl="0">
      <w:lvlJc w:val="left"/>
      <w:lvlText w:val="%1."/>
      <w:numFmt w:val="decimal"/>
      <w:start w:val="1"/>
    </w:lvl>
  </w:abstractNum>
  <w:abstractNum w:abstractNumId="44">
    <w:nsid w:val="180115BE"/>
    <w:multiLevelType w:val="hybridMultilevel"/>
    <w:lvl w:ilvl="0">
      <w:lvlJc w:val="left"/>
      <w:lvlText w:val="%1."/>
      <w:numFmt w:val="decimal"/>
      <w:start w:val="2"/>
    </w:lvl>
    <w:lvl w:ilvl="1">
      <w:lvlJc w:val="left"/>
      <w:lvlText w:val="(%2)"/>
      <w:numFmt w:val="lowerLetter"/>
      <w:start w:val="1"/>
    </w:lvl>
  </w:abstractNum>
  <w:abstractNum w:abstractNumId="45">
    <w:nsid w:val="235BA861"/>
    <w:multiLevelType w:val="hybridMultilevel"/>
    <w:lvl w:ilvl="0">
      <w:lvlJc w:val="left"/>
      <w:lvlText w:val="(%1)"/>
      <w:numFmt w:val="lowerLetter"/>
      <w:start w:val="3"/>
    </w:lvl>
    <w:lvl w:ilvl="1">
      <w:lvlJc w:val="left"/>
      <w:lvlText w:val="(%2)"/>
      <w:numFmt w:val="lowerLetter"/>
      <w:start w:val="5"/>
    </w:lvl>
    <w:lvl w:ilvl="2">
      <w:lvlJc w:val="left"/>
      <w:lvlText w:val="(%3)"/>
      <w:numFmt w:val="lowerRoman"/>
      <w:start w:val="2"/>
    </w:lvl>
  </w:abstractNum>
  <w:abstractNum w:abstractNumId="46">
    <w:nsid w:val="47398C89"/>
    <w:multiLevelType w:val="hybridMultilevel"/>
    <w:lvl w:ilvl="0">
      <w:lvlJc w:val="left"/>
      <w:lvlText w:val="%1."/>
      <w:numFmt w:val="decimal"/>
      <w:start w:val="3"/>
    </w:lvl>
  </w:abstractNum>
  <w:abstractNum w:abstractNumId="47">
    <w:nsid w:val="354FE9F9"/>
    <w:multiLevelType w:val="hybridMultilevel"/>
    <w:lvl w:ilvl="0">
      <w:lvlJc w:val="left"/>
      <w:lvlText w:val="(%1)"/>
      <w:numFmt w:val="lowerLetter"/>
      <w:start w:val="1"/>
    </w:lvl>
  </w:abstractNum>
  <w:abstractNum w:abstractNumId="48">
    <w:nsid w:val="15B5AF5C"/>
    <w:multiLevelType w:val="hybridMultilevel"/>
    <w:lvl w:ilvl="0">
      <w:lvlJc w:val="left"/>
      <w:lvlText w:val="(%1)"/>
      <w:numFmt w:val="lowerLetter"/>
      <w:start w:val="3"/>
    </w:lvl>
  </w:abstractNum>
  <w:abstractNum w:abstractNumId="49">
    <w:nsid w:val="741226BB"/>
    <w:multiLevelType w:val="hybridMultilevel"/>
    <w:lvl w:ilvl="0">
      <w:lvlJc w:val="left"/>
      <w:lvlText w:val="%1"/>
      <w:numFmt w:val="decimal"/>
      <w:start w:val="1"/>
    </w:lvl>
    <w:lvl w:ilvl="1">
      <w:lvlJc w:val="left"/>
      <w:lvlText w:val="(%2)"/>
      <w:numFmt w:val="lowerLetter"/>
      <w:start w:val="8"/>
    </w:lvl>
  </w:abstractNum>
  <w:abstractNum w:abstractNumId="50">
    <w:nsid w:val="D34B6A8"/>
    <w:multiLevelType w:val="hybridMultilevel"/>
    <w:lvl w:ilvl="0">
      <w:lvlJc w:val="left"/>
      <w:lvlText w:val="%1."/>
      <w:numFmt w:val="decimal"/>
      <w:start w:val="4"/>
    </w:lvl>
    <w:lvl w:ilvl="1">
      <w:lvlJc w:val="left"/>
      <w:lvlText w:val="%2"/>
      <w:numFmt w:val="lowerLetter"/>
      <w:start w:val="1"/>
    </w:lvl>
  </w:abstractNum>
  <w:abstractNum w:abstractNumId="51">
    <w:nsid w:val="10233C99"/>
    <w:multiLevelType w:val="hybridMultilevel"/>
    <w:lvl w:ilvl="0">
      <w:lvlJc w:val="left"/>
      <w:lvlText w:val="%1."/>
      <w:numFmt w:val="decimal"/>
      <w:start w:val="5"/>
    </w:lvl>
    <w:lvl w:ilvl="1">
      <w:lvlJc w:val="left"/>
      <w:lvlText w:val="(%2)"/>
      <w:numFmt w:val="lowerLetter"/>
      <w:start w:val="1"/>
    </w:lvl>
  </w:abstractNum>
  <w:abstractNum w:abstractNumId="52">
    <w:nsid w:val="3F6AB60F"/>
    <w:multiLevelType w:val="hybridMultilevel"/>
    <w:lvl w:ilvl="0">
      <w:lvlJc w:val="left"/>
      <w:lvlText w:val="(%1)"/>
      <w:numFmt w:val="lowerLetter"/>
      <w:start w:val="2"/>
    </w:lvl>
  </w:abstractNum>
  <w:abstractNum w:abstractNumId="53">
    <w:nsid w:val="61574095"/>
    <w:multiLevelType w:val="hybridMultilevel"/>
    <w:lvl w:ilvl="0">
      <w:lvlJc w:val="left"/>
      <w:lvlText w:val="(%1)"/>
      <w:numFmt w:val="lowerLetter"/>
      <w:start w:val="4"/>
    </w:lvl>
  </w:abstractNum>
  <w:abstractNum w:abstractNumId="54">
    <w:nsid w:val="7E0C57B1"/>
    <w:multiLevelType w:val="hybridMultilevel"/>
    <w:lvl w:ilvl="0">
      <w:lvlJc w:val="left"/>
      <w:lvlText w:val="%1."/>
      <w:numFmt w:val="decimal"/>
      <w:start w:val="6"/>
    </w:lvl>
    <w:lvl w:ilvl="1">
      <w:lvlJc w:val="left"/>
      <w:lvlText w:val="(%2)"/>
      <w:numFmt w:val="lowerLetter"/>
      <w:start w:val="1"/>
    </w:lvl>
  </w:abstractNum>
  <w:abstractNum w:abstractNumId="55">
    <w:nsid w:val="77AE35EB"/>
    <w:multiLevelType w:val="hybridMultilevel"/>
    <w:lvl w:ilvl="0">
      <w:lvlJc w:val="left"/>
      <w:lvlText w:val="(%1)"/>
      <w:numFmt w:val="lowerLetter"/>
      <w:start w:val="4"/>
    </w:lvl>
  </w:abstractNum>
  <w:abstractNum w:abstractNumId="56">
    <w:nsid w:val="579BE4F1"/>
    <w:multiLevelType w:val="hybridMultilevel"/>
    <w:lvl w:ilvl="0">
      <w:lvlJc w:val="left"/>
      <w:lvlText w:val="(%1)"/>
      <w:numFmt w:val="lowerLetter"/>
      <w:start w:val="9"/>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1"/>
      <w:numFmt w:val="bullet"/>
      <w:start w:val="1"/>
    </w:lvl>
  </w:abstractNum>
  <w:abstractNum w:abstractNumId="59">
    <w:nsid w:val="2F305DEF"/>
    <w:multiLevelType w:val="hybridMultilevel"/>
    <w:lvl w:ilvl="0">
      <w:lvlJc w:val="left"/>
      <w:lvlText w:val="%1."/>
      <w:numFmt w:val="decimal"/>
      <w:start w:val="1"/>
    </w:lvl>
    <w:lvl w:ilvl="1">
      <w:lvlJc w:val="left"/>
      <w:lvlText w:val="(%2)"/>
      <w:numFmt w:val="lowerLetter"/>
      <w:start w:val="1"/>
    </w:lvl>
  </w:abstractNum>
  <w:abstractNum w:abstractNumId="60">
    <w:nsid w:val="25A70BF7"/>
    <w:multiLevelType w:val="hybridMultilevel"/>
    <w:lvl w:ilvl="0">
      <w:lvlJc w:val="left"/>
      <w:lvlText w:val="%1."/>
      <w:numFmt w:val="decimal"/>
      <w:start w:val="3"/>
    </w:lvl>
    <w:lvl w:ilvl="1">
      <w:lvlJc w:val="left"/>
      <w:lvlText w:val="(%2)"/>
      <w:numFmt w:val="lowerLetter"/>
      <w:start w:val="1"/>
    </w:lvl>
  </w:abstractNum>
  <w:abstractNum w:abstractNumId="61">
    <w:nsid w:val="1DBABF00"/>
    <w:multiLevelType w:val="hybridMultilevel"/>
    <w:lvl w:ilvl="0">
      <w:lvlJc w:val="left"/>
      <w:lvlText w:val="(%1)"/>
      <w:numFmt w:val="lowerLetter"/>
      <w:start w:val="2"/>
    </w:lvl>
  </w:abstractNum>
  <w:abstractNum w:abstractNumId="62">
    <w:nsid w:val="4AD084E9"/>
    <w:multiLevelType w:val="hybridMultilevel"/>
    <w:lvl w:ilvl="0">
      <w:lvlJc w:val="left"/>
      <w:lvlText w:val="(%1)"/>
      <w:numFmt w:val="lowerLetter"/>
      <w:start w:val="3"/>
    </w:lvl>
  </w:abstractNum>
  <w:abstractNum w:abstractNumId="63">
    <w:nsid w:val="1F48EAA1"/>
    <w:multiLevelType w:val="hybridMultilevel"/>
    <w:lvl w:ilvl="0">
      <w:lvlJc w:val="left"/>
      <w:lvlText w:val="(%1)"/>
      <w:numFmt w:val="lowerLetter"/>
      <w:start w:val="4"/>
    </w:lvl>
  </w:abstractNum>
  <w:abstractNum w:abstractNumId="64">
    <w:nsid w:val="1381823A"/>
    <w:multiLevelType w:val="hybridMultilevel"/>
    <w:lvl w:ilvl="0">
      <w:lvlJc w:val="left"/>
      <w:lvlText w:val="%1."/>
      <w:numFmt w:val="decimal"/>
      <w:start w:val="5"/>
    </w:lvl>
  </w:abstractNum>
  <w:abstractNum w:abstractNumId="65">
    <w:nsid w:val="5DB70AE5"/>
    <w:multiLevelType w:val="hybridMultilevel"/>
    <w:lvl w:ilvl="0">
      <w:lvlJc w:val="left"/>
      <w:lvlText w:val="%1."/>
      <w:numFmt w:val="decimal"/>
      <w:start w:val="6"/>
    </w:lvl>
  </w:abstractNum>
  <w:abstractNum w:abstractNumId="66">
    <w:nsid w:val="100F8FCA"/>
    <w:multiLevelType w:val="hybridMultilevel"/>
    <w:lvl w:ilvl="0">
      <w:lvlJc w:val="left"/>
      <w:lvlText w:val="%1."/>
      <w:numFmt w:val="decimal"/>
      <w:start w:val="7"/>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
      <w:numFmt w:val="bullet"/>
      <w:start w:val="1"/>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2024-07-02T05:39:27Z</dcterms:created>
  <dcterms:modified xsi:type="dcterms:W3CDTF">2024-07-02T05:39:27Z</dcterms:modified>
</cp:coreProperties>
</file>