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Johnston Lloyd P.</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10/13/2021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25"/>
        <w:spacing w:after="0"/>
        <w:rPr>
          <w:sz w:val="20"/>
          <w:szCs w:val="20"/>
          <w:color w:val="auto"/>
        </w:rPr>
      </w:pPr>
      <w:r>
        <w:rPr>
          <w:rFonts w:ascii="Arial" w:cs="Arial" w:eastAsia="Arial" w:hAnsi="Arial"/>
          <w:sz w:val="17"/>
          <w:szCs w:val="17"/>
          <w:color w:val="0000FF"/>
        </w:rPr>
        <w:t>Chief Operations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02472</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10/13/2021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3,892</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4.39</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97,335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satisfy withholding tax obligations upon the vesting of restricted stock units and to cover related broker fees.</w:t>
      </w:r>
    </w:p>
    <w:p>
      <w:pPr>
        <w:spacing w:after="0" w:line="50" w:lineRule="exact"/>
        <w:rPr>
          <w:rFonts w:ascii="Arial" w:cs="Arial" w:eastAsia="Arial" w:hAnsi="Arial"/>
          <w:sz w:val="13"/>
          <w:szCs w:val="13"/>
          <w:color w:val="008000"/>
        </w:rPr>
      </w:pPr>
    </w:p>
    <w:p>
      <w:pPr>
        <w:ind w:left="40" w:right="2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per share prices ranging from $4.35 to $4.475. The Reporting Person undertakes to provide upon request to the SEC staff, the Issuer, or any stockholder of the Issuer, full information regarding the number of shares sold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Lloyd P.</w:t>
      </w:r>
      <w:r>
        <w:rPr>
          <w:sz w:val="20"/>
          <w:szCs w:val="20"/>
          <w:color w:val="auto"/>
        </w:rPr>
        <w:tab/>
      </w:r>
      <w:r>
        <w:rPr>
          <w:rFonts w:ascii="Arial" w:cs="Arial" w:eastAsia="Arial" w:hAnsi="Arial"/>
          <w:sz w:val="15"/>
          <w:szCs w:val="15"/>
          <w:color w:val="0000FF"/>
        </w:rPr>
        <w:t>10/15/2021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6905"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2021-10-15T17:09:46Z</dcterms:created>
  <dcterms:modified xsi:type="dcterms:W3CDTF">2021-10-15T17:09:46Z</dcterms:modified>
</cp:coreProperties>
</file>