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June 19, 2020</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220" w:right="499" w:bottom="1440" w:gutter="0" w:footer="0" w:header="0"/>
        </w:sectPr>
      </w:pPr>
    </w:p>
    <w:p>
      <w:pPr>
        <w:spacing w:after="0" w:line="273"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480" w:space="720"/>
            <w:col w:w="3160" w:space="720"/>
            <w:col w:w="2000"/>
          </w:cols>
          <w:pgMar w:left="320" w:top="220" w:right="4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380" w:space="720"/>
            <w:col w:w="3020" w:space="720"/>
            <w:col w:w="2240"/>
          </w:cols>
          <w:pgMar w:left="320" w:top="220" w:right="499" w:bottom="1440" w:gutter="0" w:footer="0" w:header="0"/>
          <w:type w:val="continuous"/>
        </w:sectPr>
      </w:pPr>
    </w:p>
    <w:p>
      <w:pPr>
        <w:spacing w:after="0" w:line="15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65 Grove Street, Watertown, MA 02472</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080"/>
          </w:cols>
          <w:pgMar w:left="320" w:top="220"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1380" w:hanging="771"/>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80"/>
          </w:cols>
          <w:pgMar w:left="320" w:top="220" w:right="499" w:bottom="1440" w:gutter="0" w:footer="0" w:header="0"/>
          <w:type w:val="continuous"/>
        </w:sectPr>
      </w:pPr>
    </w:p>
    <w:p>
      <w:pPr>
        <w:spacing w:after="0" w:line="189" w:lineRule="exact"/>
        <w:rPr>
          <w:sz w:val="24"/>
          <w:szCs w:val="24"/>
          <w:color w:val="auto"/>
        </w:rPr>
      </w:pPr>
    </w:p>
    <w:p>
      <w:pPr>
        <w:ind w:left="16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180" w:space="720"/>
            <w:col w:w="1720" w:space="720"/>
            <w:col w:w="3740"/>
          </w:cols>
          <w:pgMar w:left="320" w:top="220" w:right="499"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Common Stock (Par Value $0.0001)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Market</w:t>
      </w:r>
    </w:p>
    <w:p>
      <w:pPr>
        <w:spacing w:after="0" w:line="211" w:lineRule="exact"/>
        <w:rPr>
          <w:sz w:val="24"/>
          <w:szCs w:val="24"/>
          <w:color w:val="auto"/>
        </w:rPr>
      </w:pPr>
    </w:p>
    <w:p>
      <w:pPr>
        <w:sectPr>
          <w:pgSz w:w="11900" w:h="16838" w:orient="portrait"/>
          <w:cols w:equalWidth="0" w:num="3">
            <w:col w:w="4640" w:space="720"/>
            <w:col w:w="1880" w:space="720"/>
            <w:col w:w="3120"/>
          </w:cols>
          <w:pgMar w:left="320" w:top="220" w:right="499" w:bottom="1440" w:gutter="0" w:footer="0" w:header="0"/>
          <w:type w:val="continuous"/>
        </w:sectPr>
      </w:pPr>
    </w:p>
    <w:p>
      <w:pPr>
        <w:spacing w:after="0" w:line="23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June 19, 2020, Selecta Biosciences, Inc. (the “Company”) held its Annual Meeting of Stockholders. A total of 52,486,661 shares of the Company's common stock were present electronically or represented by proxy at the meeting, representing approximately 60.0% of the Company’s outstanding common stock as of the April 23, 2020 record date. The following are the voting results for the proposals considered and voted upon at the meeting, all of which were described in the Company’s Definitive Proxy Statement filed with the Securities and Exchange Commission on April 28, 2020.</w:t>
      </w:r>
    </w:p>
    <w:p>
      <w:pPr>
        <w:spacing w:after="0" w:line="3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Item 1 - Election of three Class I directors to serve until the 2023 Annual Meeting of Stockholders, and until their respective successors have been duly elected and qualified.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NOMINEE</w:t>
            </w:r>
          </w:p>
        </w:tc>
        <w:tc>
          <w:tcPr>
            <w:tcW w:w="2560" w:type="dxa"/>
            <w:vAlign w:val="bottom"/>
          </w:tcPr>
          <w:p>
            <w:pPr>
              <w:ind w:left="900"/>
              <w:spacing w:after="0"/>
              <w:rPr>
                <w:sz w:val="20"/>
                <w:szCs w:val="20"/>
                <w:color w:val="auto"/>
              </w:rPr>
            </w:pPr>
            <w:r>
              <w:rPr>
                <w:rFonts w:ascii="Arial" w:cs="Arial" w:eastAsia="Arial" w:hAnsi="Arial"/>
                <w:sz w:val="18"/>
                <w:szCs w:val="18"/>
                <w:color w:val="auto"/>
              </w:rPr>
              <w:t>Votes FOR</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95"/>
              </w:rPr>
              <w:t>Votes WITHHELD</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92"/>
              </w:rPr>
              <w:t>Broker Non-Votes</w:t>
            </w:r>
          </w:p>
        </w:tc>
      </w:tr>
      <w:tr>
        <w:trPr>
          <w:trHeight w:val="270"/>
        </w:trPr>
        <w:tc>
          <w:tcPr>
            <w:tcW w:w="2880" w:type="dxa"/>
            <w:vAlign w:val="bottom"/>
          </w:tcPr>
          <w:p>
            <w:pPr>
              <w:spacing w:after="0"/>
              <w:rPr>
                <w:sz w:val="20"/>
                <w:szCs w:val="20"/>
                <w:color w:val="auto"/>
              </w:rPr>
            </w:pPr>
            <w:r>
              <w:rPr>
                <w:rFonts w:ascii="Arial" w:cs="Arial" w:eastAsia="Arial" w:hAnsi="Arial"/>
                <w:sz w:val="18"/>
                <w:szCs w:val="18"/>
                <w:color w:val="auto"/>
              </w:rPr>
              <w:t>Scott D. Myers</w:t>
            </w:r>
          </w:p>
        </w:tc>
        <w:tc>
          <w:tcPr>
            <w:tcW w:w="2560" w:type="dxa"/>
            <w:vAlign w:val="bottom"/>
          </w:tcPr>
          <w:p>
            <w:pPr>
              <w:ind w:left="900"/>
              <w:spacing w:after="0"/>
              <w:rPr>
                <w:sz w:val="20"/>
                <w:szCs w:val="20"/>
                <w:color w:val="auto"/>
              </w:rPr>
            </w:pPr>
            <w:r>
              <w:rPr>
                <w:rFonts w:ascii="Arial" w:cs="Arial" w:eastAsia="Arial" w:hAnsi="Arial"/>
                <w:sz w:val="18"/>
                <w:szCs w:val="18"/>
                <w:color w:val="auto"/>
              </w:rPr>
              <w:t>37,590,234</w:t>
            </w:r>
          </w:p>
        </w:tc>
        <w:tc>
          <w:tcPr>
            <w:tcW w:w="2980" w:type="dxa"/>
            <w:vAlign w:val="bottom"/>
          </w:tcPr>
          <w:p>
            <w:pPr>
              <w:jc w:val="center"/>
              <w:ind w:left="10"/>
              <w:spacing w:after="0"/>
              <w:rPr>
                <w:sz w:val="20"/>
                <w:szCs w:val="20"/>
                <w:color w:val="auto"/>
              </w:rPr>
            </w:pPr>
            <w:r>
              <w:rPr>
                <w:rFonts w:ascii="Arial" w:cs="Arial" w:eastAsia="Arial" w:hAnsi="Arial"/>
                <w:sz w:val="18"/>
                <w:szCs w:val="18"/>
                <w:color w:val="auto"/>
                <w:w w:val="89"/>
              </w:rPr>
              <w:t>3,758,434</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88"/>
              </w:rPr>
              <w:t>11,137,993</w:t>
            </w:r>
          </w:p>
        </w:tc>
      </w:tr>
      <w:tr>
        <w:trPr>
          <w:trHeight w:val="270"/>
        </w:trPr>
        <w:tc>
          <w:tcPr>
            <w:tcW w:w="2880" w:type="dxa"/>
            <w:vAlign w:val="bottom"/>
          </w:tcPr>
          <w:p>
            <w:pPr>
              <w:spacing w:after="0"/>
              <w:rPr>
                <w:sz w:val="20"/>
                <w:szCs w:val="20"/>
                <w:color w:val="auto"/>
              </w:rPr>
            </w:pPr>
            <w:r>
              <w:rPr>
                <w:rFonts w:ascii="Arial" w:cs="Arial" w:eastAsia="Arial" w:hAnsi="Arial"/>
                <w:sz w:val="18"/>
                <w:szCs w:val="18"/>
                <w:color w:val="auto"/>
              </w:rPr>
              <w:t>Timothy A. Springer, Ph.D.</w:t>
            </w:r>
          </w:p>
        </w:tc>
        <w:tc>
          <w:tcPr>
            <w:tcW w:w="2560" w:type="dxa"/>
            <w:vAlign w:val="bottom"/>
          </w:tcPr>
          <w:p>
            <w:pPr>
              <w:ind w:left="900"/>
              <w:spacing w:after="0"/>
              <w:rPr>
                <w:sz w:val="20"/>
                <w:szCs w:val="20"/>
                <w:color w:val="auto"/>
              </w:rPr>
            </w:pPr>
            <w:r>
              <w:rPr>
                <w:rFonts w:ascii="Arial" w:cs="Arial" w:eastAsia="Arial" w:hAnsi="Arial"/>
                <w:sz w:val="18"/>
                <w:szCs w:val="18"/>
                <w:color w:val="auto"/>
              </w:rPr>
              <w:t>37,580,898</w:t>
            </w:r>
          </w:p>
        </w:tc>
        <w:tc>
          <w:tcPr>
            <w:tcW w:w="2980" w:type="dxa"/>
            <w:vAlign w:val="bottom"/>
          </w:tcPr>
          <w:p>
            <w:pPr>
              <w:jc w:val="center"/>
              <w:ind w:left="10"/>
              <w:spacing w:after="0"/>
              <w:rPr>
                <w:sz w:val="20"/>
                <w:szCs w:val="20"/>
                <w:color w:val="auto"/>
              </w:rPr>
            </w:pPr>
            <w:r>
              <w:rPr>
                <w:rFonts w:ascii="Arial" w:cs="Arial" w:eastAsia="Arial" w:hAnsi="Arial"/>
                <w:sz w:val="18"/>
                <w:szCs w:val="18"/>
                <w:color w:val="auto"/>
                <w:w w:val="89"/>
              </w:rPr>
              <w:t>3,767,770</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88"/>
              </w:rPr>
              <w:t>11,137,993</w:t>
            </w:r>
          </w:p>
        </w:tc>
      </w:tr>
      <w:tr>
        <w:trPr>
          <w:trHeight w:val="270"/>
        </w:trPr>
        <w:tc>
          <w:tcPr>
            <w:tcW w:w="2880" w:type="dxa"/>
            <w:vAlign w:val="bottom"/>
          </w:tcPr>
          <w:p>
            <w:pPr>
              <w:spacing w:after="0"/>
              <w:rPr>
                <w:sz w:val="20"/>
                <w:szCs w:val="20"/>
                <w:color w:val="auto"/>
              </w:rPr>
            </w:pPr>
            <w:r>
              <w:rPr>
                <w:rFonts w:ascii="Arial" w:cs="Arial" w:eastAsia="Arial" w:hAnsi="Arial"/>
                <w:sz w:val="18"/>
                <w:szCs w:val="18"/>
                <w:color w:val="auto"/>
              </w:rPr>
              <w:t>Patrick Zenner</w:t>
            </w:r>
          </w:p>
        </w:tc>
        <w:tc>
          <w:tcPr>
            <w:tcW w:w="2560" w:type="dxa"/>
            <w:vAlign w:val="bottom"/>
          </w:tcPr>
          <w:p>
            <w:pPr>
              <w:ind w:left="900"/>
              <w:spacing w:after="0"/>
              <w:rPr>
                <w:sz w:val="20"/>
                <w:szCs w:val="20"/>
                <w:color w:val="auto"/>
              </w:rPr>
            </w:pPr>
            <w:r>
              <w:rPr>
                <w:rFonts w:ascii="Arial" w:cs="Arial" w:eastAsia="Arial" w:hAnsi="Arial"/>
                <w:sz w:val="18"/>
                <w:szCs w:val="18"/>
                <w:color w:val="auto"/>
              </w:rPr>
              <w:t>37,499,662</w:t>
            </w:r>
          </w:p>
        </w:tc>
        <w:tc>
          <w:tcPr>
            <w:tcW w:w="2980" w:type="dxa"/>
            <w:vAlign w:val="bottom"/>
          </w:tcPr>
          <w:p>
            <w:pPr>
              <w:jc w:val="center"/>
              <w:ind w:left="10"/>
              <w:spacing w:after="0"/>
              <w:rPr>
                <w:sz w:val="20"/>
                <w:szCs w:val="20"/>
                <w:color w:val="auto"/>
              </w:rPr>
            </w:pPr>
            <w:r>
              <w:rPr>
                <w:rFonts w:ascii="Arial" w:cs="Arial" w:eastAsia="Arial" w:hAnsi="Arial"/>
                <w:sz w:val="18"/>
                <w:szCs w:val="18"/>
                <w:color w:val="auto"/>
                <w:w w:val="89"/>
              </w:rPr>
              <w:t>3,849,006</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88"/>
              </w:rPr>
              <w:t>11,137,993</w:t>
            </w:r>
          </w:p>
        </w:tc>
      </w:tr>
    </w:tbl>
    <w:p>
      <w:pPr>
        <w:spacing w:after="0" w:line="200" w:lineRule="exact"/>
        <w:rPr>
          <w:sz w:val="20"/>
          <w:szCs w:val="20"/>
          <w:color w:val="auto"/>
        </w:rPr>
      </w:pPr>
    </w:p>
    <w:p>
      <w:pPr>
        <w:spacing w:after="0" w:line="24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Item 2 - Ratification of the appointment of Ernst &amp; Young LLP as the Company’s independent registered public accounting firm for the year ending December 31, 2020.</w:t>
      </w:r>
    </w:p>
    <w:p>
      <w:pPr>
        <w:sectPr>
          <w:pgSz w:w="11900" w:h="16838" w:orient="portrait"/>
          <w:cols w:equalWidth="0" w:num="1">
            <w:col w:w="11100"/>
          </w:cols>
          <w:pgMar w:left="320" w:top="553" w:right="479" w:bottom="1440" w:gutter="0" w:footer="0" w:header="0"/>
        </w:sectPr>
      </w:pP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Votes FOR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Votes AGAINST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Votes ABSTAINED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w:t>
      </w:r>
    </w:p>
    <w:p>
      <w:pPr>
        <w:spacing w:after="0" w:line="86" w:lineRule="exact"/>
        <w:rPr>
          <w:sz w:val="20"/>
          <w:szCs w:val="20"/>
          <w:color w:val="auto"/>
        </w:rPr>
      </w:pPr>
    </w:p>
    <w:p>
      <w:pPr>
        <w:sectPr>
          <w:pgSz w:w="11900" w:h="16838" w:orient="portrait"/>
          <w:cols w:equalWidth="0" w:num="4">
            <w:col w:w="2880" w:space="720"/>
            <w:col w:w="1980" w:space="720"/>
            <w:col w:w="2160" w:space="720"/>
            <w:col w:w="1920"/>
          </w:cols>
          <w:pgMar w:left="320" w:top="553" w:right="47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52,017,419</w:t>
      </w:r>
    </w:p>
    <w:p>
      <w:pPr>
        <w:spacing w:after="0" w:line="20" w:lineRule="exact"/>
        <w:rPr>
          <w:sz w:val="20"/>
          <w:szCs w:val="20"/>
          <w:color w:val="auto"/>
        </w:rPr>
      </w:pPr>
      <w:r>
        <w:rPr>
          <w:sz w:val="20"/>
          <w:szCs w:val="20"/>
          <w:color w:val="auto"/>
        </w:rPr>
        <w:br w:type="column"/>
      </w:r>
    </w:p>
    <w:p>
      <w:pPr>
        <w:jc w:val="center"/>
        <w:ind w:right="1560"/>
        <w:spacing w:after="0"/>
        <w:rPr>
          <w:sz w:val="20"/>
          <w:szCs w:val="20"/>
          <w:color w:val="auto"/>
        </w:rPr>
      </w:pPr>
      <w:r>
        <w:rPr>
          <w:rFonts w:ascii="Arial" w:cs="Arial" w:eastAsia="Arial" w:hAnsi="Arial"/>
          <w:sz w:val="15"/>
          <w:szCs w:val="15"/>
          <w:color w:val="auto"/>
        </w:rPr>
        <w:t>27,326</w:t>
      </w:r>
    </w:p>
    <w:p>
      <w:pPr>
        <w:spacing w:after="0" w:line="20" w:lineRule="exact"/>
        <w:rPr>
          <w:sz w:val="20"/>
          <w:szCs w:val="20"/>
          <w:color w:val="auto"/>
        </w:rPr>
      </w:pPr>
      <w:r>
        <w:rPr>
          <w:sz w:val="20"/>
          <w:szCs w:val="20"/>
          <w:color w:val="auto"/>
        </w:rPr>
        <w:br w:type="column"/>
      </w:r>
    </w:p>
    <w:p>
      <w:pPr>
        <w:jc w:val="center"/>
        <w:ind w:right="1760"/>
        <w:spacing w:after="0"/>
        <w:rPr>
          <w:sz w:val="20"/>
          <w:szCs w:val="20"/>
          <w:color w:val="auto"/>
        </w:rPr>
      </w:pPr>
      <w:r>
        <w:rPr>
          <w:rFonts w:ascii="Arial" w:cs="Arial" w:eastAsia="Arial" w:hAnsi="Arial"/>
          <w:sz w:val="16"/>
          <w:szCs w:val="16"/>
          <w:color w:val="auto"/>
        </w:rPr>
        <w:t>441,916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3260" w:space="720"/>
            <w:col w:w="2040" w:space="720"/>
            <w:col w:w="2340" w:space="720"/>
            <w:col w:w="1300"/>
          </w:cols>
          <w:pgMar w:left="320" w:top="553" w:right="47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Based on the foregoing votes, Scott D. Myers, Timothy A. Springer, Ph.D., and Patrick Zenner were elected as Class I directors and Item 2 was approved.</w:t>
      </w:r>
    </w:p>
    <w:p>
      <w:pPr>
        <w:sectPr>
          <w:pgSz w:w="11900" w:h="16838" w:orient="portrait"/>
          <w:cols w:equalWidth="0" w:num="1">
            <w:col w:w="11100"/>
          </w:cols>
          <w:pgMar w:left="320" w:top="553" w:right="47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20" w:val="left"/>
          <w:tab w:leader="none" w:pos="6100" w:val="left"/>
        </w:tabs>
        <w:rPr>
          <w:sz w:val="20"/>
          <w:szCs w:val="20"/>
          <w:color w:val="auto"/>
        </w:rPr>
      </w:pPr>
      <w:r>
        <w:rPr>
          <w:rFonts w:ascii="Arial" w:cs="Arial" w:eastAsia="Arial" w:hAnsi="Arial"/>
          <w:sz w:val="18"/>
          <w:szCs w:val="18"/>
          <w:color w:val="auto"/>
        </w:rPr>
        <w:t>Date: June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00"/>
      </w:cols>
      <w:pgMar w:left="32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2020-06-22T15:17:02Z</dcterms:created>
  <dcterms:modified xsi:type="dcterms:W3CDTF">2020-06-22T15:17:02Z</dcterms:modified>
</cp:coreProperties>
</file>