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1)*</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SELECTA BIOSCIENCES,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Common Stock, par value $0.0001 par value per share</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(Title of Class of Securities)</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816212104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(CUSIP Number)</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December 31, 2020</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Event which Requires Filing of this Statement)</w:t>
      </w:r>
    </w:p>
    <w:p>
      <w:pPr>
        <w:spacing w:after="0" w:line="215"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47" w:lineRule="exact"/>
        <w:rPr>
          <w:sz w:val="24"/>
          <w:szCs w:val="24"/>
          <w:color w:val="auto"/>
        </w:rPr>
      </w:pPr>
    </w:p>
    <w:p>
      <w:pPr>
        <w:ind w:left="5140" w:hanging="246"/>
        <w:spacing w:after="0"/>
        <w:tabs>
          <w:tab w:leader="none" w:pos="5140" w:val="left"/>
        </w:tabs>
        <w:numPr>
          <w:ilvl w:val="1"/>
          <w:numId w:val="1"/>
        </w:numPr>
        <w:rPr>
          <w:rFonts w:ascii="MS PGothic" w:cs="MS PGothic" w:eastAsia="MS PGothic" w:hAnsi="MS PGothic"/>
          <w:sz w:val="22"/>
          <w:szCs w:val="22"/>
          <w:color w:val="auto"/>
        </w:rPr>
      </w:pPr>
      <w:r>
        <w:rPr>
          <w:rFonts w:ascii="Arial" w:cs="Arial" w:eastAsia="Arial" w:hAnsi="Arial"/>
          <w:sz w:val="22"/>
          <w:szCs w:val="22"/>
          <w:color w:val="auto"/>
        </w:rPr>
        <w:t>Rule 13d-1(b)</w:t>
      </w:r>
    </w:p>
    <w:p>
      <w:pPr>
        <w:spacing w:after="0" w:line="246" w:lineRule="exact"/>
        <w:rPr>
          <w:rFonts w:ascii="MS PGothic" w:cs="MS PGothic" w:eastAsia="MS PGothic" w:hAnsi="MS PGothic"/>
          <w:sz w:val="22"/>
          <w:szCs w:val="22"/>
          <w:color w:val="auto"/>
        </w:rPr>
      </w:pPr>
    </w:p>
    <w:p>
      <w:pPr>
        <w:ind w:left="5140" w:hanging="240"/>
        <w:spacing w:after="0"/>
        <w:tabs>
          <w:tab w:leader="none" w:pos="5140" w:val="left"/>
        </w:tabs>
        <w:numPr>
          <w:ilvl w:val="2"/>
          <w:numId w:val="1"/>
        </w:numPr>
        <w:rPr>
          <w:rFonts w:ascii="MS PGothic" w:cs="MS PGothic" w:eastAsia="MS PGothic" w:hAnsi="MS PGothic"/>
          <w:sz w:val="22"/>
          <w:szCs w:val="22"/>
          <w:color w:val="auto"/>
        </w:rPr>
      </w:pPr>
      <w:r>
        <w:rPr>
          <w:rFonts w:ascii="Arial" w:cs="Arial" w:eastAsia="Arial" w:hAnsi="Arial"/>
          <w:sz w:val="22"/>
          <w:szCs w:val="22"/>
          <w:color w:val="auto"/>
        </w:rPr>
        <w:t>Rule 13d-1(c)</w:t>
      </w:r>
    </w:p>
    <w:p>
      <w:pPr>
        <w:spacing w:after="0" w:line="246" w:lineRule="exact"/>
        <w:rPr>
          <w:rFonts w:ascii="MS PGothic" w:cs="MS PGothic" w:eastAsia="MS PGothic" w:hAnsi="MS PGothic"/>
          <w:sz w:val="22"/>
          <w:szCs w:val="22"/>
          <w:color w:val="auto"/>
        </w:rPr>
      </w:pPr>
    </w:p>
    <w:p>
      <w:pPr>
        <w:ind w:left="5140" w:hanging="246"/>
        <w:spacing w:after="0"/>
        <w:tabs>
          <w:tab w:leader="none" w:pos="5140" w:val="left"/>
        </w:tabs>
        <w:numPr>
          <w:ilvl w:val="1"/>
          <w:numId w:val="1"/>
        </w:numPr>
        <w:rPr>
          <w:rFonts w:ascii="MS PGothic" w:cs="MS PGothic" w:eastAsia="MS PGothic" w:hAnsi="MS PGothic"/>
          <w:sz w:val="22"/>
          <w:szCs w:val="22"/>
          <w:color w:val="auto"/>
        </w:rPr>
      </w:pPr>
      <w:r>
        <w:rPr>
          <w:rFonts w:ascii="Arial" w:cs="Arial" w:eastAsia="Arial" w:hAnsi="Arial"/>
          <w:sz w:val="22"/>
          <w:szCs w:val="22"/>
          <w:color w:val="auto"/>
        </w:rPr>
        <w:t>Rule 13d-1(d)</w:t>
      </w:r>
    </w:p>
    <w:p>
      <w:pPr>
        <w:spacing w:after="0" w:line="233" w:lineRule="exact"/>
        <w:rPr>
          <w:rFonts w:ascii="MS PGothic" w:cs="MS PGothic" w:eastAsia="MS PGothic" w:hAnsi="MS PGothic"/>
          <w:sz w:val="22"/>
          <w:szCs w:val="22"/>
          <w:color w:val="auto"/>
        </w:rPr>
      </w:pPr>
    </w:p>
    <w:p>
      <w:pPr>
        <w:jc w:val="both"/>
        <w:spacing w:after="0"/>
        <w:rPr>
          <w:rFonts w:ascii="MS PGothic" w:cs="MS PGothic" w:eastAsia="MS PGothic" w:hAnsi="MS PGothic"/>
          <w:sz w:val="22"/>
          <w:szCs w:val="22"/>
          <w:color w:val="auto"/>
        </w:rPr>
      </w:pPr>
      <w:r>
        <w:rPr>
          <w:rFonts w:ascii="Arial" w:cs="Arial" w:eastAsia="Arial" w:hAnsi="Arial"/>
          <w:sz w:val="22"/>
          <w:szCs w:val="22"/>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3"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Continued on following pages</w:t>
      </w:r>
    </w:p>
    <w:p>
      <w:pPr>
        <w:jc w:val="center"/>
        <w:ind w:right="-19"/>
        <w:spacing w:after="0" w:line="238" w:lineRule="auto"/>
        <w:rPr>
          <w:sz w:val="20"/>
          <w:szCs w:val="20"/>
          <w:color w:val="auto"/>
        </w:rPr>
      </w:pPr>
      <w:r>
        <w:rPr>
          <w:rFonts w:ascii="Arial" w:cs="Arial" w:eastAsia="Arial" w:hAnsi="Arial"/>
          <w:sz w:val="22"/>
          <w:szCs w:val="22"/>
          <w:color w:val="auto"/>
        </w:rPr>
        <w:t>Page 1 of 9 Pages</w:t>
      </w:r>
    </w:p>
    <w:p>
      <w:pPr>
        <w:jc w:val="center"/>
        <w:ind w:right="-19"/>
        <w:spacing w:after="0"/>
        <w:rPr>
          <w:sz w:val="20"/>
          <w:szCs w:val="20"/>
          <w:color w:val="auto"/>
        </w:rPr>
      </w:pPr>
      <w:r>
        <w:rPr>
          <w:rFonts w:ascii="Arial" w:cs="Arial" w:eastAsia="Arial" w:hAnsi="Arial"/>
          <w:sz w:val="22"/>
          <w:szCs w:val="22"/>
          <w:color w:val="auto"/>
        </w:rPr>
        <w:t>Exhibit Index: Page 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458470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2180" w:type="dxa"/>
            <w:vAlign w:val="bottom"/>
            <w:gridSpan w:val="3"/>
          </w:tcPr>
          <w:p>
            <w:pPr>
              <w:spacing w:after="0"/>
              <w:rPr>
                <w:sz w:val="20"/>
                <w:szCs w:val="20"/>
                <w:color w:val="auto"/>
              </w:rPr>
            </w:pPr>
            <w:r>
              <w:rPr>
                <w:rFonts w:ascii="Arial" w:cs="Arial" w:eastAsia="Arial" w:hAnsi="Arial"/>
                <w:sz w:val="18"/>
                <w:szCs w:val="18"/>
                <w:color w:val="auto"/>
              </w:rPr>
              <w:t>CUSIP No. 816212104</w:t>
            </w: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520" w:type="dxa"/>
            <w:vAlign w:val="bottom"/>
            <w:gridSpan w:val="2"/>
          </w:tcPr>
          <w:p>
            <w:pPr>
              <w:ind w:left="7700"/>
              <w:spacing w:after="0"/>
              <w:rPr>
                <w:sz w:val="20"/>
                <w:szCs w:val="20"/>
                <w:color w:val="auto"/>
              </w:rPr>
            </w:pPr>
            <w:r>
              <w:rPr>
                <w:rFonts w:ascii="Arial" w:cs="Arial" w:eastAsia="Arial" w:hAnsi="Arial"/>
                <w:sz w:val="18"/>
                <w:szCs w:val="18"/>
                <w:color w:val="auto"/>
                <w:w w:val="84"/>
              </w:rPr>
              <w:t>Page 2 of 9</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9840" w:type="dxa"/>
            <w:vAlign w:val="bottom"/>
            <w:tcBorders>
              <w:bottom w:val="single" w:sz="8" w:color="auto"/>
            </w:tcBorders>
            <w:gridSpan w:val="6"/>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840" w:type="dxa"/>
            <w:vAlign w:val="bottom"/>
            <w:tcBorders>
              <w:right w:val="single" w:sz="8" w:color="auto"/>
            </w:tcBorders>
            <w:gridSpan w:val="6"/>
          </w:tcPr>
          <w:p>
            <w:pPr>
              <w:ind w:left="40"/>
              <w:spacing w:after="0"/>
              <w:rPr>
                <w:sz w:val="20"/>
                <w:szCs w:val="20"/>
                <w:color w:val="auto"/>
              </w:rPr>
            </w:pPr>
            <w:r>
              <w:rPr>
                <w:rFonts w:ascii="Arial" w:cs="Arial" w:eastAsia="Arial" w:hAnsi="Arial"/>
                <w:sz w:val="18"/>
                <w:szCs w:val="18"/>
                <w:color w:val="auto"/>
              </w:rPr>
              <w:t>THE MANGROVE PARTNERS MASTER FUND, LTD.</w:t>
            </w: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40" w:type="dxa"/>
            <w:vAlign w:val="bottom"/>
            <w:tcBorders>
              <w:bottom w:val="single" w:sz="8" w:color="auto"/>
              <w:right w:val="single" w:sz="8" w:color="auto"/>
            </w:tcBorders>
            <w:gridSpan w:val="6"/>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40" w:type="dxa"/>
            <w:vAlign w:val="bottom"/>
            <w:shd w:val="clear" w:color="auto" w:fill="BFBFBF"/>
          </w:tcPr>
          <w:p>
            <w:pPr>
              <w:spacing w:after="0"/>
              <w:rPr>
                <w:sz w:val="24"/>
                <w:szCs w:val="24"/>
                <w:color w:val="auto"/>
              </w:rPr>
            </w:pPr>
          </w:p>
        </w:tc>
        <w:tc>
          <w:tcPr>
            <w:tcW w:w="52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320" w:type="dxa"/>
            <w:vAlign w:val="bottom"/>
            <w:tcBorders>
              <w:bottom w:val="single" w:sz="8" w:color="auto"/>
            </w:tcBorders>
            <w:gridSpan w:val="2"/>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840" w:type="dxa"/>
            <w:vAlign w:val="bottom"/>
            <w:tcBorders>
              <w:right w:val="single" w:sz="8" w:color="auto"/>
            </w:tcBorders>
            <w:gridSpan w:val="6"/>
          </w:tcPr>
          <w:p>
            <w:pPr>
              <w:ind w:left="40"/>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40" w:type="dxa"/>
            <w:vAlign w:val="bottom"/>
          </w:tcPr>
          <w:p>
            <w:pPr>
              <w:spacing w:after="0"/>
              <w:rPr>
                <w:sz w:val="19"/>
                <w:szCs w:val="19"/>
                <w:color w:val="auto"/>
              </w:rPr>
            </w:pPr>
          </w:p>
        </w:tc>
        <w:tc>
          <w:tcPr>
            <w:tcW w:w="52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color w:val="auto"/>
              </w:rPr>
              <w:t>3,332,918 (1)</w:t>
            </w: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4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5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40" w:type="dxa"/>
            <w:vAlign w:val="bottom"/>
          </w:tcPr>
          <w:p>
            <w:pPr>
              <w:spacing w:after="0"/>
              <w:rPr>
                <w:sz w:val="14"/>
                <w:szCs w:val="14"/>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52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8300" w:type="dxa"/>
            <w:vAlign w:val="bottom"/>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520" w:type="dxa"/>
            <w:vAlign w:val="bottom"/>
            <w:tcBorders>
              <w:bottom w:val="single" w:sz="8" w:color="auto"/>
              <w:right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3,332,918 (1)</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8"/>
                <w:szCs w:val="18"/>
                <w:color w:val="auto"/>
              </w:rPr>
              <w:t>3,332,918 (1)</w:t>
            </w: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540" w:type="dxa"/>
            <w:vAlign w:val="bottom"/>
            <w:tcBorders>
              <w:bottom w:val="single" w:sz="8" w:color="auto"/>
              <w:right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Arial" w:cs="Arial" w:eastAsia="Arial" w:hAnsi="Arial"/>
                <w:sz w:val="18"/>
                <w:szCs w:val="18"/>
                <w:color w:val="auto"/>
              </w:rPr>
              <w:t>3.0% (2)</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2,627,258 Shares obtainable upon exercise of Common Warrants (defined herein).</w:t>
      </w:r>
    </w:p>
    <w:p>
      <w:pPr>
        <w:spacing w:after="0" w:line="23" w:lineRule="exact"/>
        <w:rPr>
          <w:rFonts w:ascii="Arial" w:cs="Arial" w:eastAsia="Arial" w:hAnsi="Arial"/>
          <w:sz w:val="18"/>
          <w:szCs w:val="18"/>
          <w:color w:val="auto"/>
        </w:rPr>
      </w:pPr>
    </w:p>
    <w:p>
      <w:pPr>
        <w:ind w:left="660" w:right="80" w:hanging="328"/>
        <w:spacing w:after="0" w:line="255"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percentage is calculated based on the sum of (i) 108,030,311 Shares outstanding as of October 30, 2020, based on the Issuer Form 10-Q filed with the Securities and Exchange Commission (“SEC”) on November 5, 2020 and (ii) 2,627,258 Shares issuable upon exercise of the Common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0"/>
        </w:trPr>
        <w:tc>
          <w:tcPr>
            <w:tcW w:w="2180" w:type="dxa"/>
            <w:vAlign w:val="bottom"/>
            <w:gridSpan w:val="3"/>
          </w:tcPr>
          <w:p>
            <w:pPr>
              <w:spacing w:after="0"/>
              <w:rPr>
                <w:sz w:val="20"/>
                <w:szCs w:val="20"/>
                <w:color w:val="auto"/>
              </w:rPr>
            </w:pPr>
            <w:r>
              <w:rPr>
                <w:rFonts w:ascii="Arial" w:cs="Arial" w:eastAsia="Arial" w:hAnsi="Arial"/>
                <w:sz w:val="18"/>
                <w:szCs w:val="18"/>
                <w:color w:val="auto"/>
              </w:rPr>
              <w:t>CUSIP No. 816212104</w:t>
            </w: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520" w:type="dxa"/>
            <w:vAlign w:val="bottom"/>
            <w:gridSpan w:val="2"/>
          </w:tcPr>
          <w:p>
            <w:pPr>
              <w:ind w:left="7700"/>
              <w:spacing w:after="0"/>
              <w:rPr>
                <w:sz w:val="20"/>
                <w:szCs w:val="20"/>
                <w:color w:val="auto"/>
              </w:rPr>
            </w:pPr>
            <w:r>
              <w:rPr>
                <w:rFonts w:ascii="Arial" w:cs="Arial" w:eastAsia="Arial" w:hAnsi="Arial"/>
                <w:sz w:val="18"/>
                <w:szCs w:val="18"/>
                <w:color w:val="auto"/>
                <w:w w:val="84"/>
              </w:rPr>
              <w:t>Page 3 of 9</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9840" w:type="dxa"/>
            <w:vAlign w:val="bottom"/>
            <w:tcBorders>
              <w:bottom w:val="single" w:sz="8" w:color="auto"/>
            </w:tcBorders>
            <w:gridSpan w:val="6"/>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840" w:type="dxa"/>
            <w:vAlign w:val="bottom"/>
            <w:tcBorders>
              <w:right w:val="single" w:sz="8" w:color="auto"/>
            </w:tcBorders>
            <w:gridSpan w:val="6"/>
          </w:tcPr>
          <w:p>
            <w:pPr>
              <w:ind w:left="40"/>
              <w:spacing w:after="0"/>
              <w:rPr>
                <w:sz w:val="20"/>
                <w:szCs w:val="20"/>
                <w:color w:val="auto"/>
              </w:rPr>
            </w:pPr>
            <w:r>
              <w:rPr>
                <w:rFonts w:ascii="Arial" w:cs="Arial" w:eastAsia="Arial" w:hAnsi="Arial"/>
                <w:sz w:val="18"/>
                <w:szCs w:val="18"/>
                <w:color w:val="auto"/>
              </w:rPr>
              <w:t>MANGROVE PARTNERS</w:t>
            </w: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40" w:type="dxa"/>
            <w:vAlign w:val="bottom"/>
            <w:tcBorders>
              <w:bottom w:val="single" w:sz="8" w:color="auto"/>
              <w:right w:val="single" w:sz="8" w:color="auto"/>
            </w:tcBorders>
            <w:gridSpan w:val="6"/>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40" w:type="dxa"/>
            <w:vAlign w:val="bottom"/>
            <w:shd w:val="clear" w:color="auto" w:fill="BFBFBF"/>
          </w:tcPr>
          <w:p>
            <w:pPr>
              <w:spacing w:after="0"/>
              <w:rPr>
                <w:sz w:val="24"/>
                <w:szCs w:val="24"/>
                <w:color w:val="auto"/>
              </w:rPr>
            </w:pPr>
          </w:p>
        </w:tc>
        <w:tc>
          <w:tcPr>
            <w:tcW w:w="52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320" w:type="dxa"/>
            <w:vAlign w:val="bottom"/>
            <w:tcBorders>
              <w:bottom w:val="single" w:sz="8" w:color="auto"/>
            </w:tcBorders>
            <w:gridSpan w:val="2"/>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840" w:type="dxa"/>
            <w:vAlign w:val="bottom"/>
            <w:tcBorders>
              <w:right w:val="single" w:sz="8" w:color="auto"/>
            </w:tcBorders>
            <w:gridSpan w:val="6"/>
          </w:tcPr>
          <w:p>
            <w:pPr>
              <w:ind w:left="40"/>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40" w:type="dxa"/>
            <w:vAlign w:val="bottom"/>
          </w:tcPr>
          <w:p>
            <w:pPr>
              <w:spacing w:after="0"/>
              <w:rPr>
                <w:sz w:val="19"/>
                <w:szCs w:val="19"/>
                <w:color w:val="auto"/>
              </w:rPr>
            </w:pPr>
          </w:p>
        </w:tc>
        <w:tc>
          <w:tcPr>
            <w:tcW w:w="52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color w:val="auto"/>
              </w:rPr>
              <w:t>3,332,918 (1)</w:t>
            </w: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4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5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40" w:type="dxa"/>
            <w:vAlign w:val="bottom"/>
          </w:tcPr>
          <w:p>
            <w:pPr>
              <w:spacing w:after="0"/>
              <w:rPr>
                <w:sz w:val="14"/>
                <w:szCs w:val="14"/>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52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8300" w:type="dxa"/>
            <w:vAlign w:val="bottom"/>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520" w:type="dxa"/>
            <w:vAlign w:val="bottom"/>
            <w:tcBorders>
              <w:bottom w:val="single" w:sz="8" w:color="auto"/>
              <w:right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3,332,918 (1)</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8"/>
                <w:szCs w:val="18"/>
                <w:color w:val="auto"/>
              </w:rPr>
              <w:t>3,332,918 (1)</w:t>
            </w: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540" w:type="dxa"/>
            <w:vAlign w:val="bottom"/>
            <w:tcBorders>
              <w:bottom w:val="single" w:sz="8" w:color="auto"/>
              <w:right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Arial" w:cs="Arial" w:eastAsia="Arial" w:hAnsi="Arial"/>
                <w:sz w:val="18"/>
                <w:szCs w:val="18"/>
                <w:color w:val="auto"/>
              </w:rPr>
              <w:t>3.0% (2)</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2,627,258 Shares obtainable upon exercise of Common Warrants (defined herein).</w:t>
      </w:r>
    </w:p>
    <w:p>
      <w:pPr>
        <w:spacing w:after="0" w:line="23" w:lineRule="exact"/>
        <w:rPr>
          <w:rFonts w:ascii="Arial" w:cs="Arial" w:eastAsia="Arial" w:hAnsi="Arial"/>
          <w:sz w:val="18"/>
          <w:szCs w:val="18"/>
          <w:color w:val="auto"/>
        </w:rPr>
      </w:pPr>
    </w:p>
    <w:p>
      <w:pPr>
        <w:ind w:left="660" w:right="80" w:hanging="328"/>
        <w:spacing w:after="0" w:line="26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percentage is calculated based on the sum of (i) 108,030,311 Shares outstanding as of October 30, 2020, based on the Issuer Form 10-Q filed with the SEC on November 5, 2020 and (ii) 2,627,258 Shares issuable upon exercise of the Common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0"/>
        </w:trPr>
        <w:tc>
          <w:tcPr>
            <w:tcW w:w="2180" w:type="dxa"/>
            <w:vAlign w:val="bottom"/>
            <w:gridSpan w:val="3"/>
          </w:tcPr>
          <w:p>
            <w:pPr>
              <w:spacing w:after="0"/>
              <w:rPr>
                <w:sz w:val="20"/>
                <w:szCs w:val="20"/>
                <w:color w:val="auto"/>
              </w:rPr>
            </w:pPr>
            <w:r>
              <w:rPr>
                <w:rFonts w:ascii="Arial" w:cs="Arial" w:eastAsia="Arial" w:hAnsi="Arial"/>
                <w:sz w:val="18"/>
                <w:szCs w:val="18"/>
                <w:color w:val="auto"/>
              </w:rPr>
              <w:t>CUSIP No. 816212104</w:t>
            </w: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520" w:type="dxa"/>
            <w:vAlign w:val="bottom"/>
            <w:gridSpan w:val="2"/>
          </w:tcPr>
          <w:p>
            <w:pPr>
              <w:ind w:left="7700"/>
              <w:spacing w:after="0"/>
              <w:rPr>
                <w:sz w:val="20"/>
                <w:szCs w:val="20"/>
                <w:color w:val="auto"/>
              </w:rPr>
            </w:pPr>
            <w:r>
              <w:rPr>
                <w:rFonts w:ascii="Arial" w:cs="Arial" w:eastAsia="Arial" w:hAnsi="Arial"/>
                <w:sz w:val="18"/>
                <w:szCs w:val="18"/>
                <w:color w:val="auto"/>
                <w:w w:val="84"/>
              </w:rPr>
              <w:t>Page 4 of 9</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9840" w:type="dxa"/>
            <w:vAlign w:val="bottom"/>
            <w:tcBorders>
              <w:bottom w:val="single" w:sz="8" w:color="auto"/>
            </w:tcBorders>
            <w:gridSpan w:val="6"/>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840" w:type="dxa"/>
            <w:vAlign w:val="bottom"/>
            <w:tcBorders>
              <w:right w:val="single" w:sz="8" w:color="auto"/>
            </w:tcBorders>
            <w:gridSpan w:val="6"/>
          </w:tcPr>
          <w:p>
            <w:pPr>
              <w:ind w:left="40"/>
              <w:spacing w:after="0"/>
              <w:rPr>
                <w:sz w:val="20"/>
                <w:szCs w:val="20"/>
                <w:color w:val="auto"/>
              </w:rPr>
            </w:pPr>
            <w:r>
              <w:rPr>
                <w:rFonts w:ascii="Arial" w:cs="Arial" w:eastAsia="Arial" w:hAnsi="Arial"/>
                <w:sz w:val="18"/>
                <w:szCs w:val="18"/>
                <w:color w:val="auto"/>
              </w:rPr>
              <w:t>NATHANIEL AUGUST</w:t>
            </w: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40" w:type="dxa"/>
            <w:vAlign w:val="bottom"/>
            <w:tcBorders>
              <w:bottom w:val="single" w:sz="8" w:color="auto"/>
              <w:right w:val="single" w:sz="8" w:color="auto"/>
            </w:tcBorders>
            <w:gridSpan w:val="6"/>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40" w:type="dxa"/>
            <w:vAlign w:val="bottom"/>
            <w:shd w:val="clear" w:color="auto" w:fill="BFBFBF"/>
          </w:tcPr>
          <w:p>
            <w:pPr>
              <w:spacing w:after="0"/>
              <w:rPr>
                <w:sz w:val="24"/>
                <w:szCs w:val="24"/>
                <w:color w:val="auto"/>
              </w:rPr>
            </w:pPr>
          </w:p>
        </w:tc>
        <w:tc>
          <w:tcPr>
            <w:tcW w:w="52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320" w:type="dxa"/>
            <w:vAlign w:val="bottom"/>
            <w:tcBorders>
              <w:bottom w:val="single" w:sz="8" w:color="auto"/>
            </w:tcBorders>
            <w:gridSpan w:val="2"/>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840" w:type="dxa"/>
            <w:vAlign w:val="bottom"/>
            <w:tcBorders>
              <w:right w:val="single" w:sz="8" w:color="auto"/>
            </w:tcBorders>
            <w:gridSpan w:val="6"/>
          </w:tcPr>
          <w:p>
            <w:pPr>
              <w:ind w:left="4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40" w:type="dxa"/>
            <w:vAlign w:val="bottom"/>
          </w:tcPr>
          <w:p>
            <w:pPr>
              <w:spacing w:after="0"/>
              <w:rPr>
                <w:sz w:val="19"/>
                <w:szCs w:val="19"/>
                <w:color w:val="auto"/>
              </w:rPr>
            </w:pPr>
          </w:p>
        </w:tc>
        <w:tc>
          <w:tcPr>
            <w:tcW w:w="52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color w:val="auto"/>
              </w:rPr>
              <w:t>3,332,918 (1)</w:t>
            </w: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4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5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40" w:type="dxa"/>
            <w:vAlign w:val="bottom"/>
          </w:tcPr>
          <w:p>
            <w:pPr>
              <w:spacing w:after="0"/>
              <w:rPr>
                <w:sz w:val="14"/>
                <w:szCs w:val="14"/>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52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8300" w:type="dxa"/>
            <w:vAlign w:val="bottom"/>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520" w:type="dxa"/>
            <w:vAlign w:val="bottom"/>
            <w:tcBorders>
              <w:bottom w:val="single" w:sz="8" w:color="auto"/>
              <w:right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3,332,918 (1)</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8"/>
                <w:szCs w:val="18"/>
                <w:color w:val="auto"/>
              </w:rPr>
              <w:t>3,332,918 (1)</w:t>
            </w: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540" w:type="dxa"/>
            <w:vAlign w:val="bottom"/>
            <w:tcBorders>
              <w:bottom w:val="single" w:sz="8" w:color="auto"/>
              <w:right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Arial" w:cs="Arial" w:eastAsia="Arial" w:hAnsi="Arial"/>
                <w:sz w:val="18"/>
                <w:szCs w:val="18"/>
                <w:color w:val="auto"/>
              </w:rPr>
              <w:t>3.0% (2)</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Arial" w:cs="Arial" w:eastAsia="Arial" w:hAnsi="Arial"/>
                <w:sz w:val="18"/>
                <w:szCs w:val="18"/>
                <w:color w:val="auto"/>
              </w:rPr>
              <w:t>IN, HC</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2,627,258 Shares obtainable upon exercise of Common Warrants (defined herein).</w:t>
      </w:r>
    </w:p>
    <w:p>
      <w:pPr>
        <w:spacing w:after="0" w:line="23" w:lineRule="exact"/>
        <w:rPr>
          <w:rFonts w:ascii="Arial" w:cs="Arial" w:eastAsia="Arial" w:hAnsi="Arial"/>
          <w:sz w:val="18"/>
          <w:szCs w:val="18"/>
          <w:color w:val="auto"/>
        </w:rPr>
      </w:pPr>
    </w:p>
    <w:p>
      <w:pPr>
        <w:ind w:left="660" w:right="80" w:hanging="328"/>
        <w:spacing w:after="0" w:line="2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percentage is calculated based on the sum of (i) 108,030,311 Shares outstanding as of October 30, 2020, based on the Issuer Form 10-Q filed with the SEC on November 5, 2020 and (ii) 2,627,258 Shares issuable upon exercise of the Common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1740" w:type="dxa"/>
            <w:vAlign w:val="bottom"/>
            <w:gridSpan w:val="2"/>
          </w:tcPr>
          <w:p>
            <w:pPr>
              <w:spacing w:after="0"/>
              <w:rPr>
                <w:sz w:val="20"/>
                <w:szCs w:val="20"/>
                <w:color w:val="auto"/>
              </w:rPr>
            </w:pPr>
            <w:r>
              <w:rPr>
                <w:rFonts w:ascii="Arial" w:cs="Arial" w:eastAsia="Arial" w:hAnsi="Arial"/>
                <w:sz w:val="18"/>
                <w:szCs w:val="18"/>
                <w:color w:val="auto"/>
                <w:w w:val="93"/>
              </w:rPr>
              <w:t>CUSIP No. 816212104</w:t>
            </w:r>
          </w:p>
        </w:tc>
        <w:tc>
          <w:tcPr>
            <w:tcW w:w="9500" w:type="dxa"/>
            <w:vAlign w:val="bottom"/>
          </w:tcPr>
          <w:p>
            <w:pPr>
              <w:ind w:left="8680"/>
              <w:spacing w:after="0"/>
              <w:rPr>
                <w:sz w:val="20"/>
                <w:szCs w:val="20"/>
                <w:color w:val="auto"/>
              </w:rPr>
            </w:pPr>
            <w:r>
              <w:rPr>
                <w:rFonts w:ascii="Arial" w:cs="Arial" w:eastAsia="Arial" w:hAnsi="Arial"/>
                <w:sz w:val="18"/>
                <w:szCs w:val="18"/>
                <w:color w:val="auto"/>
                <w:w w:val="86"/>
              </w:rPr>
              <w:t>Page 5 of 9</w:t>
            </w:r>
          </w:p>
        </w:tc>
      </w:tr>
      <w:tr>
        <w:trPr>
          <w:trHeight w:val="39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0200" w:type="dxa"/>
            <w:vAlign w:val="bottom"/>
            <w:gridSpan w:val="2"/>
          </w:tcPr>
          <w:p>
            <w:pPr>
              <w:ind w:left="260"/>
              <w:spacing w:after="0"/>
              <w:rPr>
                <w:sz w:val="20"/>
                <w:szCs w:val="20"/>
                <w:color w:val="auto"/>
              </w:rPr>
            </w:pPr>
            <w:r>
              <w:rPr>
                <w:rFonts w:ascii="Arial" w:cs="Arial" w:eastAsia="Arial" w:hAnsi="Arial"/>
                <w:sz w:val="18"/>
                <w:szCs w:val="18"/>
                <w:b w:val="1"/>
                <w:bCs w:val="1"/>
                <w:color w:val="auto"/>
              </w:rPr>
              <w:t>Name of Issuer:</w:t>
            </w:r>
          </w:p>
        </w:tc>
      </w:tr>
      <w:tr>
        <w:trPr>
          <w:trHeight w:val="496"/>
        </w:trPr>
        <w:tc>
          <w:tcPr>
            <w:tcW w:w="1040" w:type="dxa"/>
            <w:vAlign w:val="bottom"/>
          </w:tcPr>
          <w:p>
            <w:pPr>
              <w:spacing w:after="0"/>
              <w:rPr>
                <w:sz w:val="24"/>
                <w:szCs w:val="24"/>
                <w:color w:val="auto"/>
              </w:rPr>
            </w:pPr>
          </w:p>
        </w:tc>
        <w:tc>
          <w:tcPr>
            <w:tcW w:w="10200" w:type="dxa"/>
            <w:vAlign w:val="bottom"/>
            <w:gridSpan w:val="2"/>
          </w:tcPr>
          <w:p>
            <w:pPr>
              <w:ind w:left="260"/>
              <w:spacing w:after="0"/>
              <w:rPr>
                <w:sz w:val="20"/>
                <w:szCs w:val="20"/>
                <w:color w:val="auto"/>
              </w:rPr>
            </w:pPr>
            <w:r>
              <w:rPr>
                <w:rFonts w:ascii="Arial" w:cs="Arial" w:eastAsia="Arial" w:hAnsi="Arial"/>
                <w:sz w:val="22"/>
                <w:szCs w:val="22"/>
                <w:color w:val="auto"/>
              </w:rPr>
              <w:t>Selecta Biosciences, Inc. (the “Issuer”)</w:t>
            </w:r>
          </w:p>
        </w:tc>
      </w:tr>
      <w:tr>
        <w:trPr>
          <w:trHeight w:val="449"/>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10200" w:type="dxa"/>
            <w:vAlign w:val="bottom"/>
            <w:gridSpan w:val="2"/>
          </w:tcPr>
          <w:p>
            <w:pPr>
              <w:ind w:left="260"/>
              <w:spacing w:after="0"/>
              <w:rPr>
                <w:sz w:val="20"/>
                <w:szCs w:val="20"/>
                <w:color w:val="auto"/>
              </w:rPr>
            </w:pPr>
            <w:r>
              <w:rPr>
                <w:rFonts w:ascii="Arial" w:cs="Arial" w:eastAsia="Arial" w:hAnsi="Arial"/>
                <w:sz w:val="18"/>
                <w:szCs w:val="18"/>
                <w:b w:val="1"/>
                <w:bCs w:val="1"/>
                <w:color w:val="auto"/>
              </w:rPr>
              <w:t>Address of Issuer’s Principal Executive Offices:</w:t>
            </w:r>
          </w:p>
        </w:tc>
      </w:tr>
      <w:tr>
        <w:trPr>
          <w:trHeight w:val="496"/>
        </w:trPr>
        <w:tc>
          <w:tcPr>
            <w:tcW w:w="1040" w:type="dxa"/>
            <w:vAlign w:val="bottom"/>
          </w:tcPr>
          <w:p>
            <w:pPr>
              <w:spacing w:after="0"/>
              <w:rPr>
                <w:sz w:val="24"/>
                <w:szCs w:val="24"/>
                <w:color w:val="auto"/>
              </w:rPr>
            </w:pPr>
          </w:p>
        </w:tc>
        <w:tc>
          <w:tcPr>
            <w:tcW w:w="10200" w:type="dxa"/>
            <w:vAlign w:val="bottom"/>
            <w:gridSpan w:val="2"/>
          </w:tcPr>
          <w:p>
            <w:pPr>
              <w:ind w:left="260"/>
              <w:spacing w:after="0"/>
              <w:rPr>
                <w:sz w:val="20"/>
                <w:szCs w:val="20"/>
                <w:color w:val="auto"/>
              </w:rPr>
            </w:pPr>
            <w:r>
              <w:rPr>
                <w:rFonts w:ascii="Arial" w:cs="Arial" w:eastAsia="Arial" w:hAnsi="Arial"/>
                <w:sz w:val="22"/>
                <w:szCs w:val="22"/>
                <w:color w:val="auto"/>
              </w:rPr>
              <w:t>65 Grove Street, Watertown, MA 02472</w:t>
            </w:r>
          </w:p>
        </w:tc>
      </w:tr>
      <w:tr>
        <w:trPr>
          <w:trHeight w:val="449"/>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2(a).</w:t>
            </w:r>
          </w:p>
        </w:tc>
        <w:tc>
          <w:tcPr>
            <w:tcW w:w="10200" w:type="dxa"/>
            <w:vAlign w:val="bottom"/>
            <w:gridSpan w:val="2"/>
          </w:tcPr>
          <w:p>
            <w:pPr>
              <w:ind w:left="260"/>
              <w:spacing w:after="0"/>
              <w:rPr>
                <w:sz w:val="20"/>
                <w:szCs w:val="20"/>
                <w:color w:val="auto"/>
              </w:rPr>
            </w:pPr>
            <w:r>
              <w:rPr>
                <w:rFonts w:ascii="Arial" w:cs="Arial" w:eastAsia="Arial" w:hAnsi="Arial"/>
                <w:sz w:val="18"/>
                <w:szCs w:val="18"/>
                <w:b w:val="1"/>
                <w:bCs w:val="1"/>
                <w:color w:val="auto"/>
              </w:rPr>
              <w:t>Name of Person Filing</w:t>
            </w:r>
          </w:p>
        </w:tc>
      </w:tr>
      <w:tr>
        <w:trPr>
          <w:trHeight w:val="496"/>
        </w:trPr>
        <w:tc>
          <w:tcPr>
            <w:tcW w:w="1040" w:type="dxa"/>
            <w:vAlign w:val="bottom"/>
          </w:tcPr>
          <w:p>
            <w:pPr>
              <w:spacing w:after="0"/>
              <w:rPr>
                <w:sz w:val="24"/>
                <w:szCs w:val="24"/>
                <w:color w:val="auto"/>
              </w:rPr>
            </w:pPr>
          </w:p>
        </w:tc>
        <w:tc>
          <w:tcPr>
            <w:tcW w:w="10200" w:type="dxa"/>
            <w:vAlign w:val="bottom"/>
            <w:gridSpan w:val="2"/>
          </w:tcPr>
          <w:p>
            <w:pPr>
              <w:ind w:left="260"/>
              <w:spacing w:after="0"/>
              <w:rPr>
                <w:sz w:val="20"/>
                <w:szCs w:val="20"/>
                <w:color w:val="auto"/>
              </w:rPr>
            </w:pPr>
            <w:r>
              <w:rPr>
                <w:rFonts w:ascii="Arial" w:cs="Arial" w:eastAsia="Arial" w:hAnsi="Arial"/>
                <w:sz w:val="22"/>
                <w:szCs w:val="22"/>
                <w:color w:val="auto"/>
              </w:rPr>
              <w:t>This Statement is filed on behalf of the following persons (collectively, the “Reporting Persons”):</w:t>
            </w:r>
          </w:p>
        </w:tc>
      </w:tr>
      <w:tr>
        <w:trPr>
          <w:trHeight w:val="449"/>
        </w:trPr>
        <w:tc>
          <w:tcPr>
            <w:tcW w:w="104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Arial" w:cs="Arial" w:eastAsia="Arial" w:hAnsi="Arial"/>
                <w:sz w:val="18"/>
                <w:szCs w:val="18"/>
                <w:color w:val="auto"/>
              </w:rPr>
              <w:t>i)</w:t>
            </w:r>
          </w:p>
        </w:tc>
        <w:tc>
          <w:tcPr>
            <w:tcW w:w="9500" w:type="dxa"/>
            <w:vAlign w:val="bottom"/>
          </w:tcPr>
          <w:p>
            <w:pPr>
              <w:ind w:left="60"/>
              <w:spacing w:after="0"/>
              <w:rPr>
                <w:sz w:val="20"/>
                <w:szCs w:val="20"/>
                <w:color w:val="auto"/>
              </w:rPr>
            </w:pPr>
            <w:r>
              <w:rPr>
                <w:rFonts w:ascii="Arial" w:cs="Arial" w:eastAsia="Arial" w:hAnsi="Arial"/>
                <w:sz w:val="18"/>
                <w:szCs w:val="18"/>
                <w:color w:val="auto"/>
              </w:rPr>
              <w:t>The Mangrove Partners Master Fund, Ltd. (the “Master Fund”);</w:t>
            </w:r>
          </w:p>
        </w:tc>
      </w:tr>
      <w:tr>
        <w:trPr>
          <w:trHeight w:val="432"/>
        </w:trPr>
        <w:tc>
          <w:tcPr>
            <w:tcW w:w="104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Arial" w:cs="Arial" w:eastAsia="Arial" w:hAnsi="Arial"/>
                <w:sz w:val="18"/>
                <w:szCs w:val="18"/>
                <w:color w:val="auto"/>
              </w:rPr>
              <w:t>ii)</w:t>
            </w:r>
          </w:p>
        </w:tc>
        <w:tc>
          <w:tcPr>
            <w:tcW w:w="9500" w:type="dxa"/>
            <w:vAlign w:val="bottom"/>
          </w:tcPr>
          <w:p>
            <w:pPr>
              <w:ind w:left="60"/>
              <w:spacing w:after="0"/>
              <w:rPr>
                <w:sz w:val="20"/>
                <w:szCs w:val="20"/>
                <w:color w:val="auto"/>
              </w:rPr>
            </w:pPr>
            <w:r>
              <w:rPr>
                <w:rFonts w:ascii="Arial" w:cs="Arial" w:eastAsia="Arial" w:hAnsi="Arial"/>
                <w:sz w:val="18"/>
                <w:szCs w:val="18"/>
                <w:color w:val="auto"/>
              </w:rPr>
              <w:t>Mangrove Partners; and</w:t>
            </w:r>
          </w:p>
        </w:tc>
      </w:tr>
    </w:tbl>
    <w:p>
      <w:pPr>
        <w:spacing w:after="0" w:line="202"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auto"/>
        </w:rPr>
        <w:t>iii)</w:t>
      </w:r>
      <w:r>
        <w:rPr>
          <w:sz w:val="20"/>
          <w:szCs w:val="20"/>
          <w:color w:val="auto"/>
        </w:rPr>
        <w:tab/>
      </w:r>
      <w:r>
        <w:rPr>
          <w:rFonts w:ascii="Arial" w:cs="Arial" w:eastAsia="Arial" w:hAnsi="Arial"/>
          <w:sz w:val="18"/>
          <w:szCs w:val="18"/>
          <w:color w:val="auto"/>
        </w:rPr>
        <w:t>Nathaniel August (“Mr. August”)</w:t>
      </w:r>
    </w:p>
    <w:p>
      <w:pPr>
        <w:spacing w:after="0" w:line="245" w:lineRule="exact"/>
        <w:rPr>
          <w:sz w:val="20"/>
          <w:szCs w:val="20"/>
          <w:color w:val="auto"/>
        </w:rPr>
      </w:pPr>
    </w:p>
    <w:p>
      <w:pPr>
        <w:ind w:right="140" w:firstLine="1296"/>
        <w:spacing w:after="0" w:line="252" w:lineRule="auto"/>
        <w:rPr>
          <w:sz w:val="20"/>
          <w:szCs w:val="20"/>
          <w:color w:val="auto"/>
        </w:rPr>
      </w:pPr>
      <w:r>
        <w:rPr>
          <w:rFonts w:ascii="Arial" w:cs="Arial" w:eastAsia="Arial" w:hAnsi="Arial"/>
          <w:sz w:val="21"/>
          <w:szCs w:val="21"/>
          <w:color w:val="auto"/>
        </w:rPr>
        <w:t>This Statement relates to Shares (as defined herein) held by the Master Fund, as well as Shares that the Master Fund has the right to acquire within 60 days upon exercise of warrants to purchase Shares (the “Common Warrants”). Beneficial ownership of the Shares is also claimed by (i) Mangrove Partners which serves as the investment manager of the Master Fund, and (ii) Nathaniel August who is the principal of Mangrove Partners.</w:t>
      </w:r>
    </w:p>
    <w:p>
      <w:pPr>
        <w:spacing w:after="0" w:line="20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The principal business office of Nathaniel August is 645 Madison Avenue, 14th Floor, New York, New York</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10022.</w:t>
      </w:r>
    </w:p>
    <w:p>
      <w:pPr>
        <w:spacing w:after="0" w:line="215" w:lineRule="exact"/>
        <w:rPr>
          <w:sz w:val="20"/>
          <w:szCs w:val="20"/>
          <w:color w:val="auto"/>
        </w:rPr>
      </w:pPr>
    </w:p>
    <w:p>
      <w:pPr>
        <w:ind w:right="100" w:firstLine="1296"/>
        <w:spacing w:after="0" w:line="328" w:lineRule="auto"/>
        <w:rPr>
          <w:sz w:val="20"/>
          <w:szCs w:val="20"/>
          <w:color w:val="auto"/>
        </w:rPr>
      </w:pPr>
      <w:r>
        <w:rPr>
          <w:rFonts w:ascii="Arial" w:cs="Arial" w:eastAsia="Arial" w:hAnsi="Arial"/>
          <w:sz w:val="19"/>
          <w:szCs w:val="19"/>
          <w:color w:val="auto"/>
        </w:rPr>
        <w:t>The principal business address of the Master Fund and Mangrove Partners is c/o Maples Corporate Services, Ltd., PO Box 309, Ugland House, South Church Street, George Town, Grand Cayman, Cayman Islands KY1-1104.</w:t>
      </w:r>
    </w:p>
    <w:p>
      <w:pPr>
        <w:spacing w:after="0" w:line="13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49" w:lineRule="exact"/>
        <w:rPr>
          <w:sz w:val="20"/>
          <w:szCs w:val="20"/>
          <w:color w:val="auto"/>
        </w:rPr>
      </w:pPr>
    </w:p>
    <w:p>
      <w:pPr>
        <w:ind w:right="260" w:firstLine="1296"/>
        <w:spacing w:after="0" w:line="250" w:lineRule="auto"/>
        <w:rPr>
          <w:sz w:val="20"/>
          <w:szCs w:val="20"/>
          <w:color w:val="auto"/>
        </w:rPr>
      </w:pPr>
      <w:r>
        <w:rPr>
          <w:rFonts w:ascii="Arial" w:cs="Arial" w:eastAsia="Arial" w:hAnsi="Arial"/>
          <w:sz w:val="22"/>
          <w:szCs w:val="22"/>
          <w:color w:val="auto"/>
        </w:rPr>
        <w:t>Each of the Master Fund and Mangrove Partners is organized as a limited liability exempted company under the laws of the Cayman Islands. Nathaniel August is a citizen of the United States.</w:t>
      </w:r>
    </w:p>
    <w:p>
      <w:pPr>
        <w:spacing w:after="0" w:line="2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Common Stock, $0.0001 par value per share (the “Shares”)</w:t>
      </w: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816212104</w:t>
      </w: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This Item 3 is not applicable.</w:t>
      </w: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6"/>
          <w:szCs w:val="16"/>
          <w:b w:val="1"/>
          <w:bCs w:val="1"/>
          <w:color w:val="auto"/>
        </w:rPr>
        <w:t>Amount Beneficially Owned:</w:t>
      </w:r>
    </w:p>
    <w:p>
      <w:pPr>
        <w:spacing w:after="0" w:line="249" w:lineRule="exact"/>
        <w:rPr>
          <w:sz w:val="20"/>
          <w:szCs w:val="20"/>
          <w:color w:val="auto"/>
        </w:rPr>
      </w:pPr>
    </w:p>
    <w:p>
      <w:pPr>
        <w:ind w:right="100" w:firstLine="1296"/>
        <w:spacing w:after="0" w:line="249" w:lineRule="auto"/>
        <w:rPr>
          <w:sz w:val="20"/>
          <w:szCs w:val="20"/>
          <w:color w:val="auto"/>
        </w:rPr>
      </w:pPr>
      <w:r>
        <w:rPr>
          <w:rFonts w:ascii="Arial" w:cs="Arial" w:eastAsia="Arial" w:hAnsi="Arial"/>
          <w:sz w:val="21"/>
          <w:szCs w:val="21"/>
          <w:color w:val="auto"/>
        </w:rPr>
        <w:t>As of December 31, 2020, each of the Master Fund, Mangrove Partners, and Mr. August may be deemed the beneficial owner of 3,332,918 Shares. This amount includes: (i) 705,660 Shares held by the Master Fund; and (ii) 2,627,258 Common Warrants held by the Master Fund. As the investment manager of the Master Fund, Mangrove Partners may be deemed the beneficial owner of the Shares owned by the Master Fund. Mr. August, as the principal of Mangrove Partners, may be deemed the beneficial owner of the Shares owned by the Master Fund.</w:t>
      </w:r>
    </w:p>
    <w:p>
      <w:pPr>
        <w:spacing w:after="0" w:line="205" w:lineRule="exact"/>
        <w:rPr>
          <w:sz w:val="20"/>
          <w:szCs w:val="20"/>
          <w:color w:val="auto"/>
        </w:rPr>
      </w:pPr>
    </w:p>
    <w:p>
      <w:pPr>
        <w:ind w:firstLine="1296"/>
        <w:spacing w:after="0" w:line="238" w:lineRule="auto"/>
        <w:rPr>
          <w:sz w:val="20"/>
          <w:szCs w:val="20"/>
          <w:color w:val="auto"/>
        </w:rPr>
      </w:pPr>
      <w:r>
        <w:rPr>
          <w:rFonts w:ascii="Arial" w:cs="Arial" w:eastAsia="Arial" w:hAnsi="Arial"/>
          <w:sz w:val="22"/>
          <w:szCs w:val="22"/>
          <w:color w:val="auto"/>
        </w:rPr>
        <w:t>The filing of this Schedule 13G shall not be construed as an admission that the Reporting Persons are, for purposes of Section 13(d) of the Act, the beneficial owners of any of the Shares directly owned by the other Reporting Persons and each of the Reporting Persons specifically disclaims beneficial ownership of the Shares reported herein that are not directly owned by such other Reporting Persons.</w:t>
      </w:r>
    </w:p>
    <w:p>
      <w:pPr>
        <w:spacing w:after="0" w:line="21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4(b)</w:t>
      </w:r>
      <w:r>
        <w:rPr>
          <w:sz w:val="20"/>
          <w:szCs w:val="20"/>
          <w:color w:val="auto"/>
        </w:rPr>
        <w:tab/>
      </w:r>
      <w:r>
        <w:rPr>
          <w:rFonts w:ascii="Arial" w:cs="Arial" w:eastAsia="Arial" w:hAnsi="Arial"/>
          <w:sz w:val="15"/>
          <w:szCs w:val="15"/>
          <w:b w:val="1"/>
          <w:bCs w:val="1"/>
          <w:color w:val="auto"/>
        </w:rPr>
        <w:t>Percent of Class:</w:t>
      </w:r>
    </w:p>
    <w:p>
      <w:pPr>
        <w:sectPr>
          <w:pgSz w:w="11900" w:h="16838" w:orient="portrait"/>
          <w:cols w:equalWidth="0" w:num="1">
            <w:col w:w="11240"/>
          </w:cols>
          <w:pgMar w:left="320" w:top="125" w:right="339" w:bottom="0" w:gutter="0" w:footer="0" w:header="0"/>
        </w:sectPr>
      </w:pPr>
    </w:p>
    <w:p>
      <w:pPr>
        <w:spacing w:after="0" w:line="249" w:lineRule="exact"/>
        <w:rPr>
          <w:sz w:val="20"/>
          <w:szCs w:val="20"/>
          <w:color w:val="auto"/>
        </w:rPr>
      </w:pPr>
    </w:p>
    <w:p>
      <w:pPr>
        <w:ind w:right="1120" w:firstLine="1296"/>
        <w:spacing w:after="0" w:line="250" w:lineRule="auto"/>
        <w:rPr>
          <w:sz w:val="20"/>
          <w:szCs w:val="20"/>
          <w:color w:val="auto"/>
        </w:rPr>
      </w:pPr>
      <w:r>
        <w:rPr>
          <w:rFonts w:ascii="Arial" w:cs="Arial" w:eastAsia="Arial" w:hAnsi="Arial"/>
          <w:sz w:val="22"/>
          <w:szCs w:val="22"/>
          <w:color w:val="auto"/>
        </w:rPr>
        <w:t>Each of the Master Fund, Mangrove Partners, and Mr. August may be deemed the beneficial owner of approximately 3.0% of Shares outstanding.</w:t>
      </w:r>
    </w:p>
    <w:p>
      <w:pPr>
        <w:sectPr>
          <w:pgSz w:w="11900" w:h="16838" w:orient="portrait"/>
          <w:cols w:equalWidth="0" w:num="1">
            <w:col w:w="11240"/>
          </w:cols>
          <w:pgMar w:left="320" w:top="125" w:right="339" w:bottom="0" w:gutter="0" w:footer="0" w:header="0"/>
          <w:type w:val="continuous"/>
        </w:sectPr>
      </w:pPr>
    </w:p>
    <w:bookmarkStart w:id="5" w:name="page6"/>
    <w:bookmarkEnd w:id="5"/>
    <w:p>
      <w:pPr>
        <w:spacing w:after="0" w:line="250"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tabs>
          <w:tab w:leader="none" w:pos="10400" w:val="left"/>
        </w:tabs>
        <w:rPr>
          <w:sz w:val="20"/>
          <w:szCs w:val="20"/>
          <w:color w:val="auto"/>
        </w:rPr>
      </w:pPr>
      <w:r>
        <w:rPr>
          <w:rFonts w:ascii="Arial" w:cs="Arial" w:eastAsia="Arial" w:hAnsi="Arial"/>
          <w:sz w:val="18"/>
          <w:szCs w:val="18"/>
          <w:color w:val="auto"/>
        </w:rPr>
        <w:t>CUSIP No. 816212104</w:t>
      </w:r>
      <w:r>
        <w:rPr>
          <w:sz w:val="20"/>
          <w:szCs w:val="20"/>
          <w:color w:val="auto"/>
        </w:rPr>
        <w:tab/>
      </w:r>
      <w:r>
        <w:rPr>
          <w:rFonts w:ascii="Arial" w:cs="Arial" w:eastAsia="Arial" w:hAnsi="Arial"/>
          <w:sz w:val="16"/>
          <w:szCs w:val="16"/>
          <w:color w:val="auto"/>
        </w:rPr>
        <w:t>Page 6 of 9</w:t>
      </w:r>
    </w:p>
    <w:p>
      <w:pPr>
        <w:spacing w:after="0" w:line="177" w:lineRule="exact"/>
        <w:rPr>
          <w:sz w:val="20"/>
          <w:szCs w:val="20"/>
          <w:color w:val="auto"/>
        </w:rPr>
      </w:pPr>
    </w:p>
    <w:p>
      <w:pPr>
        <w:ind w:right="180" w:firstLine="1296"/>
        <w:spacing w:after="0" w:line="238" w:lineRule="auto"/>
        <w:rPr>
          <w:sz w:val="20"/>
          <w:szCs w:val="20"/>
          <w:color w:val="auto"/>
        </w:rPr>
      </w:pPr>
      <w:r>
        <w:rPr>
          <w:rFonts w:ascii="Arial" w:cs="Arial" w:eastAsia="Arial" w:hAnsi="Arial"/>
          <w:sz w:val="22"/>
          <w:szCs w:val="22"/>
          <w:color w:val="auto"/>
        </w:rPr>
        <w:t>This percentage is calculated based on the sum of (i) 108,030,311 Shares outstanding as of October 30, 2020, based on the Issuer Form 10-Q filed with the SEC on November 5, 2020 and (ii) 2,627,258 Shares issuable upon exercise of the Common Warrants held by the Master Fund, which are added to the total Shares outstanding pursuant to Rule 13d-3(d)(1)(i) under the Act.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Arial" w:cs="Arial" w:eastAsia="Arial" w:hAnsi="Arial"/>
                <w:sz w:val="18"/>
                <w:szCs w:val="18"/>
                <w:b w:val="1"/>
                <w:bCs w:val="1"/>
                <w:color w:val="auto"/>
              </w:rPr>
              <w:t>Item 4(c)</w:t>
            </w:r>
          </w:p>
        </w:tc>
        <w:tc>
          <w:tcPr>
            <w:tcW w:w="6720" w:type="dxa"/>
            <w:vAlign w:val="bottom"/>
            <w:gridSpan w:val="2"/>
          </w:tcPr>
          <w:p>
            <w:pPr>
              <w:ind w:left="300"/>
              <w:spacing w:after="0"/>
              <w:rPr>
                <w:sz w:val="20"/>
                <w:szCs w:val="20"/>
                <w:color w:val="auto"/>
              </w:rPr>
            </w:pPr>
            <w:r>
              <w:rPr>
                <w:rFonts w:ascii="Arial" w:cs="Arial" w:eastAsia="Arial" w:hAnsi="Arial"/>
                <w:sz w:val="18"/>
                <w:szCs w:val="18"/>
                <w:b w:val="1"/>
                <w:bCs w:val="1"/>
                <w:color w:val="auto"/>
              </w:rPr>
              <w:t>Number of Shares as to which such person has:</w:t>
            </w:r>
          </w:p>
        </w:tc>
        <w:tc>
          <w:tcPr>
            <w:tcW w:w="3520" w:type="dxa"/>
            <w:vAlign w:val="bottom"/>
          </w:tcPr>
          <w:p>
            <w:pPr>
              <w:spacing w:after="0"/>
              <w:rPr>
                <w:sz w:val="20"/>
                <w:szCs w:val="20"/>
                <w:color w:val="auto"/>
              </w:rPr>
            </w:pPr>
          </w:p>
        </w:tc>
      </w:tr>
      <w:tr>
        <w:trPr>
          <w:trHeight w:val="445"/>
        </w:trPr>
        <w:tc>
          <w:tcPr>
            <w:tcW w:w="47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88"/>
              </w:rPr>
              <w:t>The Master Fund, Mangrove Partners and Mr. August:</w:t>
            </w:r>
          </w:p>
        </w:tc>
        <w:tc>
          <w:tcPr>
            <w:tcW w:w="300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479"/>
        </w:trPr>
        <w:tc>
          <w:tcPr>
            <w:tcW w:w="7720" w:type="dxa"/>
            <w:vAlign w:val="bottom"/>
            <w:gridSpan w:val="3"/>
          </w:tcPr>
          <w:p>
            <w:pPr>
              <w:ind w:left="180"/>
              <w:spacing w:after="0"/>
              <w:rPr>
                <w:sz w:val="20"/>
                <w:szCs w:val="20"/>
                <w:color w:val="auto"/>
              </w:rPr>
            </w:pPr>
            <w:r>
              <w:rPr>
                <w:rFonts w:ascii="Arial" w:cs="Arial" w:eastAsia="Arial" w:hAnsi="Arial"/>
                <w:sz w:val="18"/>
                <w:szCs w:val="18"/>
                <w:color w:val="auto"/>
              </w:rPr>
              <w:t>(i) Sole power to vote or direct the vote:</w:t>
            </w:r>
          </w:p>
        </w:tc>
        <w:tc>
          <w:tcPr>
            <w:tcW w:w="35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32"/>
        </w:trPr>
        <w:tc>
          <w:tcPr>
            <w:tcW w:w="7720" w:type="dxa"/>
            <w:vAlign w:val="bottom"/>
            <w:gridSpan w:val="3"/>
          </w:tcPr>
          <w:p>
            <w:pPr>
              <w:ind w:left="180"/>
              <w:spacing w:after="0"/>
              <w:rPr>
                <w:sz w:val="20"/>
                <w:szCs w:val="20"/>
                <w:color w:val="auto"/>
              </w:rPr>
            </w:pPr>
            <w:r>
              <w:rPr>
                <w:rFonts w:ascii="Arial" w:cs="Arial" w:eastAsia="Arial" w:hAnsi="Arial"/>
                <w:sz w:val="18"/>
                <w:szCs w:val="18"/>
                <w:color w:val="auto"/>
              </w:rPr>
              <w:t>(ii) Shared power to vote or direct the vote:</w:t>
            </w:r>
          </w:p>
        </w:tc>
        <w:tc>
          <w:tcPr>
            <w:tcW w:w="3520" w:type="dxa"/>
            <w:vAlign w:val="bottom"/>
          </w:tcPr>
          <w:p>
            <w:pPr>
              <w:jc w:val="right"/>
              <w:spacing w:after="0"/>
              <w:rPr>
                <w:sz w:val="20"/>
                <w:szCs w:val="20"/>
                <w:color w:val="auto"/>
              </w:rPr>
            </w:pPr>
            <w:r>
              <w:rPr>
                <w:rFonts w:ascii="Arial" w:cs="Arial" w:eastAsia="Arial" w:hAnsi="Arial"/>
                <w:sz w:val="18"/>
                <w:szCs w:val="18"/>
                <w:color w:val="auto"/>
              </w:rPr>
              <w:t>3,332,918</w:t>
            </w:r>
          </w:p>
        </w:tc>
      </w:tr>
      <w:tr>
        <w:trPr>
          <w:trHeight w:val="432"/>
        </w:trPr>
        <w:tc>
          <w:tcPr>
            <w:tcW w:w="7720" w:type="dxa"/>
            <w:vAlign w:val="bottom"/>
            <w:gridSpan w:val="3"/>
          </w:tcPr>
          <w:p>
            <w:pPr>
              <w:ind w:left="180"/>
              <w:spacing w:after="0"/>
              <w:rPr>
                <w:sz w:val="20"/>
                <w:szCs w:val="20"/>
                <w:color w:val="auto"/>
              </w:rPr>
            </w:pPr>
            <w:r>
              <w:rPr>
                <w:rFonts w:ascii="Arial" w:cs="Arial" w:eastAsia="Arial" w:hAnsi="Arial"/>
                <w:sz w:val="18"/>
                <w:szCs w:val="18"/>
                <w:color w:val="auto"/>
              </w:rPr>
              <w:t>(iii) Sole power to dispose or direct the disposition of:</w:t>
            </w:r>
          </w:p>
        </w:tc>
        <w:tc>
          <w:tcPr>
            <w:tcW w:w="35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32"/>
        </w:trPr>
        <w:tc>
          <w:tcPr>
            <w:tcW w:w="7720" w:type="dxa"/>
            <w:vAlign w:val="bottom"/>
            <w:gridSpan w:val="3"/>
          </w:tcPr>
          <w:p>
            <w:pPr>
              <w:ind w:left="180"/>
              <w:spacing w:after="0"/>
              <w:rPr>
                <w:sz w:val="20"/>
                <w:szCs w:val="20"/>
                <w:color w:val="auto"/>
              </w:rPr>
            </w:pPr>
            <w:r>
              <w:rPr>
                <w:rFonts w:ascii="Arial" w:cs="Arial" w:eastAsia="Arial" w:hAnsi="Arial"/>
                <w:sz w:val="18"/>
                <w:szCs w:val="18"/>
                <w:color w:val="auto"/>
              </w:rPr>
              <w:t>(iv) Shared power to dispose or direct the disposition of:</w:t>
            </w:r>
          </w:p>
        </w:tc>
        <w:tc>
          <w:tcPr>
            <w:tcW w:w="3520" w:type="dxa"/>
            <w:vAlign w:val="bottom"/>
          </w:tcPr>
          <w:p>
            <w:pPr>
              <w:jc w:val="right"/>
              <w:spacing w:after="0"/>
              <w:rPr>
                <w:sz w:val="20"/>
                <w:szCs w:val="20"/>
                <w:color w:val="auto"/>
              </w:rPr>
            </w:pPr>
            <w:r>
              <w:rPr>
                <w:rFonts w:ascii="Arial" w:cs="Arial" w:eastAsia="Arial" w:hAnsi="Arial"/>
                <w:sz w:val="18"/>
                <w:szCs w:val="18"/>
                <w:color w:val="auto"/>
              </w:rPr>
              <w:t>3,332,918</w:t>
            </w:r>
          </w:p>
        </w:tc>
      </w:tr>
      <w:tr>
        <w:trPr>
          <w:trHeight w:val="459"/>
        </w:trPr>
        <w:tc>
          <w:tcPr>
            <w:tcW w:w="100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6720" w:type="dxa"/>
            <w:vAlign w:val="bottom"/>
            <w:gridSpan w:val="2"/>
          </w:tcPr>
          <w:p>
            <w:pPr>
              <w:ind w:left="300"/>
              <w:spacing w:after="0"/>
              <w:rPr>
                <w:sz w:val="20"/>
                <w:szCs w:val="20"/>
                <w:color w:val="auto"/>
              </w:rPr>
            </w:pPr>
            <w:r>
              <w:rPr>
                <w:rFonts w:ascii="Arial" w:cs="Arial" w:eastAsia="Arial" w:hAnsi="Arial"/>
                <w:sz w:val="18"/>
                <w:szCs w:val="18"/>
                <w:b w:val="1"/>
                <w:bCs w:val="1"/>
                <w:color w:val="auto"/>
              </w:rPr>
              <w:t>Ownership of Five Percent or Less of a Class:</w:t>
            </w:r>
          </w:p>
        </w:tc>
        <w:tc>
          <w:tcPr>
            <w:tcW w:w="3520" w:type="dxa"/>
            <w:vAlign w:val="bottom"/>
          </w:tcPr>
          <w:p>
            <w:pPr>
              <w:spacing w:after="0"/>
              <w:rPr>
                <w:sz w:val="24"/>
                <w:szCs w:val="24"/>
                <w:color w:val="auto"/>
              </w:rPr>
            </w:pPr>
          </w:p>
        </w:tc>
      </w:tr>
    </w:tbl>
    <w:p>
      <w:pPr>
        <w:spacing w:after="0" w:line="222" w:lineRule="exact"/>
        <w:rPr>
          <w:sz w:val="20"/>
          <w:szCs w:val="20"/>
          <w:color w:val="auto"/>
        </w:rPr>
      </w:pPr>
    </w:p>
    <w:p>
      <w:pPr>
        <w:ind w:right="80" w:firstLine="1296"/>
        <w:spacing w:after="0" w:line="277" w:lineRule="exact"/>
        <w:rPr>
          <w:sz w:val="20"/>
          <w:szCs w:val="20"/>
          <w:color w:val="auto"/>
        </w:rPr>
      </w:pPr>
      <w:r>
        <w:rPr>
          <w:rFonts w:ascii="Arial" w:cs="Arial" w:eastAsia="Arial" w:hAnsi="Arial"/>
          <w:sz w:val="21"/>
          <w:szCs w:val="21"/>
          <w:color w:val="auto"/>
        </w:rPr>
        <w:t xml:space="preserve">If this statement is being filed to report the fact that as of the date hereof each of the Reporting Persons has ceased to be the beneficial owner of more than five percent of the class of securities, check the following </w:t>
      </w:r>
      <w:r>
        <w:rPr>
          <w:rFonts w:ascii="MS PGothic" w:cs="MS PGothic" w:eastAsia="MS PGothic" w:hAnsi="MS PGothic"/>
          <w:sz w:val="21"/>
          <w:szCs w:val="21"/>
          <w:color w:val="auto"/>
        </w:rPr>
        <w:t>☒</w:t>
      </w:r>
      <w:r>
        <w:rPr>
          <w:rFonts w:ascii="Arial" w:cs="Arial" w:eastAsia="Arial" w:hAnsi="Arial"/>
          <w:sz w:val="21"/>
          <w:szCs w:val="21"/>
          <w:color w:val="auto"/>
        </w:rPr>
        <w:t>.</w:t>
      </w:r>
    </w:p>
    <w:p>
      <w:pPr>
        <w:spacing w:after="0" w:line="19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This Item 6 is not applicable.</w:t>
      </w:r>
    </w:p>
    <w:p>
      <w:pPr>
        <w:spacing w:after="0" w:line="236" w:lineRule="exact"/>
        <w:rPr>
          <w:sz w:val="20"/>
          <w:szCs w:val="20"/>
          <w:color w:val="auto"/>
        </w:rPr>
      </w:pPr>
    </w:p>
    <w:p>
      <w:pPr>
        <w:ind w:left="1300" w:right="58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This Item 7 is not applicable.</w:t>
      </w: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See disclosures in Item 2 and Exhibit A.</w:t>
      </w: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This Item 9 is not applicable.</w:t>
      </w: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49" w:lineRule="exact"/>
        <w:rPr>
          <w:sz w:val="20"/>
          <w:szCs w:val="20"/>
          <w:color w:val="auto"/>
        </w:rPr>
      </w:pPr>
    </w:p>
    <w:p>
      <w:pPr>
        <w:ind w:right="60" w:firstLine="1296"/>
        <w:spacing w:after="0" w:line="252" w:lineRule="auto"/>
        <w:rPr>
          <w:sz w:val="20"/>
          <w:szCs w:val="20"/>
          <w:color w:val="auto"/>
        </w:rPr>
      </w:pPr>
      <w:r>
        <w:rPr>
          <w:rFonts w:ascii="Arial" w:cs="Arial" w:eastAsia="Arial" w:hAnsi="Arial"/>
          <w:sz w:val="21"/>
          <w:szCs w:val="21"/>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tabs>
          <w:tab w:leader="none" w:pos="10400" w:val="left"/>
        </w:tabs>
        <w:rPr>
          <w:sz w:val="20"/>
          <w:szCs w:val="20"/>
          <w:color w:val="auto"/>
        </w:rPr>
      </w:pPr>
      <w:r>
        <w:rPr>
          <w:rFonts w:ascii="Arial" w:cs="Arial" w:eastAsia="Arial" w:hAnsi="Arial"/>
          <w:sz w:val="18"/>
          <w:szCs w:val="18"/>
          <w:color w:val="auto"/>
        </w:rPr>
        <w:t>CUSIP No. 816212104</w:t>
      </w:r>
      <w:r>
        <w:rPr>
          <w:sz w:val="20"/>
          <w:szCs w:val="20"/>
          <w:color w:val="auto"/>
        </w:rPr>
        <w:tab/>
      </w:r>
      <w:r>
        <w:rPr>
          <w:rFonts w:ascii="Arial" w:cs="Arial" w:eastAsia="Arial" w:hAnsi="Arial"/>
          <w:sz w:val="16"/>
          <w:szCs w:val="16"/>
          <w:color w:val="auto"/>
        </w:rPr>
        <w:t>Page 7 of 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w:t>
      </w:r>
    </w:p>
    <w:p>
      <w:pPr>
        <w:spacing w:after="0" w:line="239"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5"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THE MANGROVE PARTNERS MASTER FUND,</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LTD.</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Mangrove Partners Investment Manager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Nathaniel H. August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Nathaniel H. August</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MANGROVE PARTNERS</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Nathaniel H. August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Nathaniel H. August</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pacing w:after="0" w:line="234"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NATHANIEL H. AUGUST</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Nathaniel H. August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70891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3560" w:type="dxa"/>
            <w:vAlign w:val="bottom"/>
            <w:gridSpan w:val="3"/>
          </w:tcPr>
          <w:p>
            <w:pPr>
              <w:spacing w:after="0"/>
              <w:rPr>
                <w:sz w:val="20"/>
                <w:szCs w:val="20"/>
                <w:color w:val="auto"/>
              </w:rPr>
            </w:pPr>
            <w:r>
              <w:rPr>
                <w:rFonts w:ascii="Arial" w:cs="Arial" w:eastAsia="Arial" w:hAnsi="Arial"/>
                <w:sz w:val="18"/>
                <w:szCs w:val="18"/>
                <w:color w:val="auto"/>
              </w:rPr>
              <w:t>CUSIP No. 816212104</w:t>
            </w:r>
          </w:p>
        </w:tc>
        <w:tc>
          <w:tcPr>
            <w:tcW w:w="7680" w:type="dxa"/>
            <w:vAlign w:val="bottom"/>
            <w:gridSpan w:val="2"/>
          </w:tcPr>
          <w:p>
            <w:pPr>
              <w:jc w:val="right"/>
              <w:spacing w:after="0"/>
              <w:rPr>
                <w:sz w:val="20"/>
                <w:szCs w:val="20"/>
                <w:color w:val="auto"/>
              </w:rPr>
            </w:pPr>
            <w:r>
              <w:rPr>
                <w:rFonts w:ascii="Arial" w:cs="Arial" w:eastAsia="Arial" w:hAnsi="Arial"/>
                <w:sz w:val="18"/>
                <w:szCs w:val="18"/>
                <w:color w:val="auto"/>
              </w:rPr>
              <w:t>Page 8 of 9</w:t>
            </w:r>
          </w:p>
        </w:tc>
      </w:tr>
      <w:tr>
        <w:trPr>
          <w:trHeight w:val="428"/>
        </w:trPr>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7680" w:type="dxa"/>
            <w:vAlign w:val="bottom"/>
            <w:gridSpan w:val="2"/>
          </w:tcPr>
          <w:p>
            <w:pPr>
              <w:jc w:val="right"/>
              <w:ind w:right="4690"/>
              <w:spacing w:after="0"/>
              <w:rPr>
                <w:sz w:val="20"/>
                <w:szCs w:val="20"/>
                <w:color w:val="auto"/>
              </w:rPr>
            </w:pPr>
            <w:r>
              <w:rPr>
                <w:rFonts w:ascii="Arial" w:cs="Arial" w:eastAsia="Arial" w:hAnsi="Arial"/>
                <w:sz w:val="22"/>
                <w:szCs w:val="22"/>
                <w:b w:val="1"/>
                <w:bCs w:val="1"/>
                <w:color w:val="auto"/>
              </w:rPr>
              <w:t>EXHIBIT INDEX</w:t>
            </w:r>
          </w:p>
        </w:tc>
      </w:tr>
      <w:tr>
        <w:trPr>
          <w:trHeight w:val="408"/>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Ex.</w:t>
            </w:r>
          </w:p>
        </w:tc>
        <w:tc>
          <w:tcPr>
            <w:tcW w:w="2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Page No.</w:t>
            </w:r>
          </w:p>
        </w:tc>
      </w:tr>
      <w:tr>
        <w:trPr>
          <w:trHeight w:val="453"/>
        </w:trPr>
        <w:tc>
          <w:tcPr>
            <w:tcW w:w="460" w:type="dxa"/>
            <w:vAlign w:val="bottom"/>
            <w:gridSpan w:val="2"/>
          </w:tcPr>
          <w:p>
            <w:pPr>
              <w:spacing w:after="0"/>
              <w:rPr>
                <w:sz w:val="20"/>
                <w:szCs w:val="20"/>
                <w:color w:val="auto"/>
              </w:rPr>
            </w:pPr>
            <w:r>
              <w:rPr>
                <w:rFonts w:ascii="Arial" w:cs="Arial" w:eastAsia="Arial" w:hAnsi="Arial"/>
                <w:sz w:val="18"/>
                <w:szCs w:val="18"/>
                <w:color w:val="auto"/>
              </w:rPr>
              <w:t>A</w:t>
            </w:r>
          </w:p>
        </w:tc>
        <w:tc>
          <w:tcPr>
            <w:tcW w:w="3100" w:type="dxa"/>
            <w:vAlign w:val="bottom"/>
          </w:tcPr>
          <w:p>
            <w:pPr>
              <w:ind w:left="200"/>
              <w:spacing w:after="0"/>
              <w:rPr>
                <w:sz w:val="20"/>
                <w:szCs w:val="20"/>
                <w:color w:val="auto"/>
              </w:rPr>
            </w:pPr>
            <w:r>
              <w:rPr>
                <w:rFonts w:ascii="Arial" w:cs="Arial" w:eastAsia="Arial" w:hAnsi="Arial"/>
                <w:sz w:val="18"/>
                <w:szCs w:val="18"/>
                <w:color w:val="auto"/>
              </w:rPr>
              <w:t>Joint Filing Agreement</w:t>
            </w:r>
          </w:p>
        </w:tc>
        <w:tc>
          <w:tcPr>
            <w:tcW w:w="768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439"/>
        </w:trPr>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70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9" w:name="page10"/>
    <w:bookmarkEnd w:id="9"/>
    <w:p>
      <w:pPr>
        <w:spacing w:after="0"/>
        <w:tabs>
          <w:tab w:leader="none" w:pos="10400" w:val="left"/>
        </w:tabs>
        <w:rPr>
          <w:sz w:val="20"/>
          <w:szCs w:val="20"/>
          <w:color w:val="auto"/>
        </w:rPr>
      </w:pPr>
      <w:r>
        <w:rPr>
          <w:rFonts w:ascii="Arial" w:cs="Arial" w:eastAsia="Arial" w:hAnsi="Arial"/>
          <w:sz w:val="18"/>
          <w:szCs w:val="18"/>
          <w:color w:val="auto"/>
        </w:rPr>
        <w:t>CUSIP No. 816212104</w:t>
      </w:r>
      <w:r>
        <w:rPr>
          <w:sz w:val="20"/>
          <w:szCs w:val="20"/>
          <w:color w:val="auto"/>
        </w:rPr>
        <w:tab/>
      </w:r>
      <w:r>
        <w:rPr>
          <w:rFonts w:ascii="Arial" w:cs="Arial" w:eastAsia="Arial" w:hAnsi="Arial"/>
          <w:sz w:val="16"/>
          <w:szCs w:val="16"/>
          <w:color w:val="auto"/>
        </w:rPr>
        <w:t>Page 9 of 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JOINT FILING AGREEMENT</w:t>
      </w:r>
    </w:p>
    <w:p>
      <w:pPr>
        <w:spacing w:after="0" w:line="2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undersigned hereby agree that the statement on Schedule 13G with respect to the Common Stock of Selecta Biosciences Inc. dated as of February 16, 2021 is, and any amendments thereto (including amendments on Schedule 13D) signed by each of the undersigned shall be, filed on behalf of each of us pursuant to and in accordance with the provisions of Rule 13d-1(k) under the Securities Exchange Act of 1934, as amended.</w:t>
      </w:r>
    </w:p>
    <w:p>
      <w:pPr>
        <w:spacing w:after="0" w:line="215"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THE MANGROVE PARTNERS MASTER FUND, LTD.</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Mangrove Partners Investment Manager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Nathaniel H. August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8889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88895"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Nathaniel H. August</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MANGROVE PARTNERS</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Nathaniel H. August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Nathaniel H. August</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pacing w:after="0" w:line="234"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NATHANIEL H. AUGUST</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Nathaniel H. August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70891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2021-02-16T11:04:20Z</dcterms:created>
  <dcterms:modified xsi:type="dcterms:W3CDTF">2021-02-16T11:04:20Z</dcterms:modified>
</cp:coreProperties>
</file>