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WASHINGTON, D.C. 20549</w:t>
      </w:r>
    </w:p>
    <w:p>
      <w:pPr>
        <w:jc w:val="center"/>
        <w:ind w:right="-39"/>
        <w:spacing w:after="0"/>
        <w:rPr>
          <w:sz w:val="20"/>
          <w:szCs w:val="20"/>
          <w:color w:val="auto"/>
        </w:rPr>
      </w:pPr>
      <w:r>
        <w:rPr>
          <w:rFonts w:ascii="Arial" w:cs="Arial" w:eastAsia="Arial" w:hAnsi="Arial"/>
          <w:sz w:val="19"/>
          <w:szCs w:val="19"/>
          <w:b w:val="1"/>
          <w:bCs w:val="1"/>
          <w:color w:val="auto"/>
        </w:rPr>
        <w:t>FORM 10-Q</w:t>
      </w:r>
    </w:p>
    <w:p>
      <w:pPr>
        <w:spacing w:after="0" w:line="246" w:lineRule="exact"/>
        <w:rPr>
          <w:sz w:val="24"/>
          <w:szCs w:val="24"/>
          <w:color w:val="auto"/>
        </w:rPr>
      </w:pPr>
    </w:p>
    <w:p>
      <w:pPr>
        <w:ind w:left="4520" w:right="4500" w:hanging="4231"/>
        <w:spacing w:after="0" w:line="427" w:lineRule="auto"/>
        <w:tabs>
          <w:tab w:leader="none" w:pos="699" w:val="left"/>
        </w:tabs>
        <w:numPr>
          <w:ilvl w:val="0"/>
          <w:numId w:val="1"/>
        </w:numPr>
        <w:rPr>
          <w:rFonts w:ascii="MS PGothic" w:cs="MS PGothic" w:eastAsia="MS PGothic" w:hAnsi="MS PGothic"/>
          <w:sz w:val="10"/>
          <w:szCs w:val="10"/>
          <w:color w:val="auto"/>
        </w:rPr>
      </w:pPr>
      <w:r>
        <w:rPr>
          <w:rFonts w:ascii="Arial" w:cs="Arial" w:eastAsia="Arial" w:hAnsi="Arial"/>
          <w:sz w:val="11"/>
          <w:szCs w:val="11"/>
          <w:b w:val="1"/>
          <w:bCs w:val="1"/>
          <w:color w:val="auto"/>
        </w:rPr>
        <w:t>QUARTERLY REPORT PURSUANT TO SECTION 13 OR 15(d) OF THE SECURITIES EXCHANGE ACT OF 1934 For the quarterly period ended March 31, 2019</w:t>
      </w:r>
    </w:p>
    <w:p>
      <w:pPr>
        <w:jc w:val="center"/>
        <w:ind w:right="-39"/>
        <w:spacing w:after="0"/>
        <w:rPr>
          <w:sz w:val="20"/>
          <w:szCs w:val="20"/>
          <w:color w:val="auto"/>
        </w:rPr>
      </w:pPr>
      <w:r>
        <w:rPr>
          <w:rFonts w:ascii="Arial" w:cs="Arial" w:eastAsia="Arial" w:hAnsi="Arial"/>
          <w:sz w:val="12"/>
          <w:szCs w:val="12"/>
          <w:b w:val="1"/>
          <w:bCs w:val="1"/>
          <w:color w:val="auto"/>
        </w:rPr>
        <w:t>OR</w:t>
      </w:r>
    </w:p>
    <w:p>
      <w:pPr>
        <w:spacing w:after="0" w:line="132" w:lineRule="exact"/>
        <w:rPr>
          <w:sz w:val="24"/>
          <w:szCs w:val="24"/>
          <w:color w:val="auto"/>
        </w:rPr>
      </w:pPr>
    </w:p>
    <w:p>
      <w:pPr>
        <w:ind w:left="700" w:hanging="420"/>
        <w:spacing w:after="0"/>
        <w:tabs>
          <w:tab w:leader="none" w:pos="700" w:val="left"/>
        </w:tabs>
        <w:numPr>
          <w:ilvl w:val="0"/>
          <w:numId w:val="2"/>
        </w:numPr>
        <w:rPr>
          <w:rFonts w:ascii="MS PGothic" w:cs="MS PGothic" w:eastAsia="MS PGothic" w:hAnsi="MS PGothic"/>
          <w:sz w:val="13"/>
          <w:szCs w:val="13"/>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1280" w:type="dxa"/>
        <w:tblCellMar>
          <w:top w:w="0" w:type="dxa"/>
          <w:left w:w="0" w:type="dxa"/>
          <w:bottom w:w="0" w:type="dxa"/>
          <w:right w:w="0" w:type="dxa"/>
        </w:tblCellMar>
      </w:tblPr>
      <w:tr>
        <w:trPr>
          <w:trHeight w:val="157"/>
        </w:trPr>
        <w:tc>
          <w:tcPr>
            <w:tcW w:w="2980" w:type="dxa"/>
            <w:vAlign w:val="bottom"/>
          </w:tcPr>
          <w:p>
            <w:pPr>
              <w:spacing w:after="0"/>
              <w:rPr>
                <w:sz w:val="13"/>
                <w:szCs w:val="13"/>
                <w:color w:val="auto"/>
              </w:rPr>
            </w:pPr>
          </w:p>
        </w:tc>
        <w:tc>
          <w:tcPr>
            <w:tcW w:w="5340" w:type="dxa"/>
            <w:vAlign w:val="bottom"/>
          </w:tcPr>
          <w:p>
            <w:pPr>
              <w:jc w:val="center"/>
              <w:ind w:right="2331"/>
              <w:spacing w:after="0"/>
              <w:rPr>
                <w:sz w:val="20"/>
                <w:szCs w:val="20"/>
                <w:color w:val="auto"/>
              </w:rPr>
            </w:pPr>
            <w:r>
              <w:rPr>
                <w:rFonts w:ascii="Arial" w:cs="Arial" w:eastAsia="Arial" w:hAnsi="Arial"/>
                <w:sz w:val="12"/>
                <w:szCs w:val="12"/>
                <w:b w:val="1"/>
                <w:bCs w:val="1"/>
                <w:color w:val="auto"/>
                <w:w w:val="90"/>
              </w:rPr>
              <w:t>Commission File Number: 001-37798</w:t>
            </w:r>
          </w:p>
        </w:tc>
      </w:tr>
      <w:tr>
        <w:trPr>
          <w:trHeight w:val="360"/>
        </w:trPr>
        <w:tc>
          <w:tcPr>
            <w:tcW w:w="2980" w:type="dxa"/>
            <w:vAlign w:val="bottom"/>
          </w:tcPr>
          <w:p>
            <w:pPr>
              <w:spacing w:after="0"/>
              <w:rPr>
                <w:sz w:val="24"/>
                <w:szCs w:val="24"/>
                <w:color w:val="auto"/>
              </w:rPr>
            </w:pPr>
          </w:p>
        </w:tc>
        <w:tc>
          <w:tcPr>
            <w:tcW w:w="5340" w:type="dxa"/>
            <w:vAlign w:val="bottom"/>
          </w:tcPr>
          <w:p>
            <w:pPr>
              <w:jc w:val="center"/>
              <w:ind w:right="2331"/>
              <w:spacing w:after="0"/>
              <w:rPr>
                <w:sz w:val="20"/>
                <w:szCs w:val="20"/>
                <w:color w:val="auto"/>
              </w:rPr>
            </w:pPr>
            <w:r>
              <w:rPr>
                <w:rFonts w:ascii="Arial" w:cs="Arial" w:eastAsia="Arial" w:hAnsi="Arial"/>
                <w:sz w:val="29"/>
                <w:szCs w:val="29"/>
                <w:color w:val="auto"/>
                <w:w w:val="88"/>
              </w:rPr>
              <w:t>Selecta Biosciences, Inc.</w:t>
            </w:r>
          </w:p>
        </w:tc>
      </w:tr>
      <w:tr>
        <w:trPr>
          <w:trHeight w:val="153"/>
        </w:trPr>
        <w:tc>
          <w:tcPr>
            <w:tcW w:w="2980" w:type="dxa"/>
            <w:vAlign w:val="bottom"/>
          </w:tcPr>
          <w:p>
            <w:pPr>
              <w:spacing w:after="0"/>
              <w:rPr>
                <w:sz w:val="13"/>
                <w:szCs w:val="13"/>
                <w:color w:val="auto"/>
              </w:rPr>
            </w:pPr>
          </w:p>
        </w:tc>
        <w:tc>
          <w:tcPr>
            <w:tcW w:w="5340" w:type="dxa"/>
            <w:vAlign w:val="bottom"/>
          </w:tcPr>
          <w:p>
            <w:pPr>
              <w:jc w:val="center"/>
              <w:ind w:right="2311"/>
              <w:spacing w:after="0"/>
              <w:rPr>
                <w:sz w:val="20"/>
                <w:szCs w:val="20"/>
                <w:color w:val="auto"/>
              </w:rPr>
            </w:pPr>
            <w:r>
              <w:rPr>
                <w:rFonts w:ascii="Arial" w:cs="Arial" w:eastAsia="Arial" w:hAnsi="Arial"/>
                <w:sz w:val="12"/>
                <w:szCs w:val="12"/>
                <w:color w:val="auto"/>
                <w:w w:val="91"/>
              </w:rPr>
              <w:t>(Exact Name of Registrant as Specified in its Charter)</w:t>
            </w:r>
          </w:p>
        </w:tc>
      </w:tr>
      <w:tr>
        <w:trPr>
          <w:trHeight w:val="252"/>
        </w:trPr>
        <w:tc>
          <w:tcPr>
            <w:tcW w:w="2980" w:type="dxa"/>
            <w:vAlign w:val="bottom"/>
          </w:tcPr>
          <w:p>
            <w:pPr>
              <w:jc w:val="center"/>
              <w:spacing w:after="0"/>
              <w:rPr>
                <w:sz w:val="20"/>
                <w:szCs w:val="20"/>
                <w:color w:val="auto"/>
              </w:rPr>
            </w:pPr>
            <w:r>
              <w:rPr>
                <w:rFonts w:ascii="Arial" w:cs="Arial" w:eastAsia="Arial" w:hAnsi="Arial"/>
                <w:sz w:val="12"/>
                <w:szCs w:val="12"/>
                <w:b w:val="1"/>
                <w:bCs w:val="1"/>
                <w:color w:val="auto"/>
                <w:w w:val="94"/>
              </w:rPr>
              <w:t>Delaware</w:t>
            </w:r>
          </w:p>
        </w:tc>
        <w:tc>
          <w:tcPr>
            <w:tcW w:w="5340" w:type="dxa"/>
            <w:vAlign w:val="bottom"/>
          </w:tcPr>
          <w:p>
            <w:pPr>
              <w:jc w:val="right"/>
              <w:ind w:right="531"/>
              <w:spacing w:after="0"/>
              <w:rPr>
                <w:sz w:val="20"/>
                <w:szCs w:val="20"/>
                <w:color w:val="auto"/>
              </w:rPr>
            </w:pPr>
            <w:r>
              <w:rPr>
                <w:rFonts w:ascii="Arial" w:cs="Arial" w:eastAsia="Arial" w:hAnsi="Arial"/>
                <w:sz w:val="12"/>
                <w:szCs w:val="12"/>
                <w:b w:val="1"/>
                <w:bCs w:val="1"/>
                <w:color w:val="auto"/>
              </w:rPr>
              <w:t>26-1622110</w:t>
            </w:r>
          </w:p>
        </w:tc>
      </w:tr>
      <w:tr>
        <w:trPr>
          <w:trHeight w:val="180"/>
        </w:trPr>
        <w:tc>
          <w:tcPr>
            <w:tcW w:w="2980" w:type="dxa"/>
            <w:vAlign w:val="bottom"/>
          </w:tcPr>
          <w:p>
            <w:pPr>
              <w:jc w:val="center"/>
              <w:spacing w:after="0"/>
              <w:rPr>
                <w:sz w:val="20"/>
                <w:szCs w:val="20"/>
                <w:color w:val="auto"/>
              </w:rPr>
            </w:pPr>
            <w:r>
              <w:rPr>
                <w:rFonts w:ascii="Arial" w:cs="Arial" w:eastAsia="Arial" w:hAnsi="Arial"/>
                <w:sz w:val="12"/>
                <w:szCs w:val="12"/>
                <w:color w:val="auto"/>
                <w:w w:val="92"/>
              </w:rPr>
              <w:t>(State or Other Jurisdiction of Incorporation or Organization)</w:t>
            </w:r>
          </w:p>
        </w:tc>
        <w:tc>
          <w:tcPr>
            <w:tcW w:w="5340" w:type="dxa"/>
            <w:vAlign w:val="bottom"/>
          </w:tcPr>
          <w:p>
            <w:pPr>
              <w:jc w:val="center"/>
              <w:ind w:left="3511"/>
              <w:spacing w:after="0"/>
              <w:rPr>
                <w:sz w:val="20"/>
                <w:szCs w:val="20"/>
                <w:color w:val="auto"/>
              </w:rPr>
            </w:pPr>
            <w:r>
              <w:rPr>
                <w:rFonts w:ascii="Arial" w:cs="Arial" w:eastAsia="Arial" w:hAnsi="Arial"/>
                <w:sz w:val="12"/>
                <w:szCs w:val="12"/>
                <w:color w:val="auto"/>
                <w:w w:val="95"/>
              </w:rPr>
              <w:t>(I.R.S. Employer Identification No.)</w:t>
            </w:r>
          </w:p>
        </w:tc>
      </w:tr>
      <w:tr>
        <w:trPr>
          <w:trHeight w:val="261"/>
        </w:trPr>
        <w:tc>
          <w:tcPr>
            <w:tcW w:w="2980" w:type="dxa"/>
            <w:vAlign w:val="bottom"/>
          </w:tcPr>
          <w:p>
            <w:pPr>
              <w:jc w:val="center"/>
              <w:spacing w:after="0"/>
              <w:rPr>
                <w:sz w:val="20"/>
                <w:szCs w:val="20"/>
                <w:color w:val="auto"/>
              </w:rPr>
            </w:pPr>
            <w:r>
              <w:rPr>
                <w:rFonts w:ascii="Arial" w:cs="Arial" w:eastAsia="Arial" w:hAnsi="Arial"/>
                <w:sz w:val="12"/>
                <w:szCs w:val="12"/>
                <w:b w:val="1"/>
                <w:bCs w:val="1"/>
                <w:color w:val="auto"/>
                <w:w w:val="90"/>
              </w:rPr>
              <w:t>480 Arsenal Way</w:t>
            </w:r>
          </w:p>
        </w:tc>
        <w:tc>
          <w:tcPr>
            <w:tcW w:w="5340" w:type="dxa"/>
            <w:vAlign w:val="bottom"/>
          </w:tcPr>
          <w:p>
            <w:pPr>
              <w:spacing w:after="0"/>
              <w:rPr>
                <w:sz w:val="22"/>
                <w:szCs w:val="22"/>
                <w:color w:val="auto"/>
              </w:rPr>
            </w:pPr>
          </w:p>
        </w:tc>
      </w:tr>
      <w:tr>
        <w:trPr>
          <w:trHeight w:val="180"/>
        </w:trPr>
        <w:tc>
          <w:tcPr>
            <w:tcW w:w="2980" w:type="dxa"/>
            <w:vAlign w:val="bottom"/>
          </w:tcPr>
          <w:p>
            <w:pPr>
              <w:jc w:val="center"/>
              <w:spacing w:after="0"/>
              <w:rPr>
                <w:sz w:val="20"/>
                <w:szCs w:val="20"/>
                <w:color w:val="auto"/>
              </w:rPr>
            </w:pPr>
            <w:r>
              <w:rPr>
                <w:rFonts w:ascii="Arial" w:cs="Arial" w:eastAsia="Arial" w:hAnsi="Arial"/>
                <w:sz w:val="12"/>
                <w:szCs w:val="12"/>
                <w:b w:val="1"/>
                <w:bCs w:val="1"/>
                <w:color w:val="auto"/>
                <w:w w:val="94"/>
              </w:rPr>
              <w:t>Watertown, MA</w:t>
            </w:r>
          </w:p>
        </w:tc>
        <w:tc>
          <w:tcPr>
            <w:tcW w:w="5340" w:type="dxa"/>
            <w:vAlign w:val="bottom"/>
          </w:tcPr>
          <w:p>
            <w:pPr>
              <w:jc w:val="right"/>
              <w:ind w:right="651"/>
              <w:spacing w:after="0"/>
              <w:rPr>
                <w:sz w:val="20"/>
                <w:szCs w:val="20"/>
                <w:color w:val="auto"/>
              </w:rPr>
            </w:pPr>
            <w:r>
              <w:rPr>
                <w:rFonts w:ascii="Arial" w:cs="Arial" w:eastAsia="Arial" w:hAnsi="Arial"/>
                <w:sz w:val="12"/>
                <w:szCs w:val="12"/>
                <w:b w:val="1"/>
                <w:bCs w:val="1"/>
                <w:color w:val="auto"/>
              </w:rPr>
              <w:t>02472</w:t>
            </w:r>
          </w:p>
        </w:tc>
      </w:tr>
      <w:tr>
        <w:trPr>
          <w:trHeight w:val="180"/>
        </w:trPr>
        <w:tc>
          <w:tcPr>
            <w:tcW w:w="2980" w:type="dxa"/>
            <w:vAlign w:val="bottom"/>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5340" w:type="dxa"/>
            <w:vAlign w:val="bottom"/>
          </w:tcPr>
          <w:p>
            <w:pPr>
              <w:jc w:val="center"/>
              <w:ind w:left="3511"/>
              <w:spacing w:after="0"/>
              <w:rPr>
                <w:sz w:val="20"/>
                <w:szCs w:val="20"/>
                <w:color w:val="auto"/>
              </w:rPr>
            </w:pPr>
            <w:r>
              <w:rPr>
                <w:rFonts w:ascii="Arial" w:cs="Arial" w:eastAsia="Arial" w:hAnsi="Arial"/>
                <w:sz w:val="12"/>
                <w:szCs w:val="12"/>
                <w:color w:val="auto"/>
                <w:w w:val="91"/>
              </w:rPr>
              <w:t>(Zip Code)</w:t>
            </w:r>
          </w:p>
        </w:tc>
      </w:tr>
      <w:tr>
        <w:trPr>
          <w:trHeight w:val="243"/>
        </w:trPr>
        <w:tc>
          <w:tcPr>
            <w:tcW w:w="2980" w:type="dxa"/>
            <w:vAlign w:val="bottom"/>
          </w:tcPr>
          <w:p>
            <w:pPr>
              <w:spacing w:after="0"/>
              <w:rPr>
                <w:sz w:val="21"/>
                <w:szCs w:val="21"/>
                <w:color w:val="auto"/>
              </w:rPr>
            </w:pPr>
          </w:p>
        </w:tc>
        <w:tc>
          <w:tcPr>
            <w:tcW w:w="5340" w:type="dxa"/>
            <w:vAlign w:val="bottom"/>
          </w:tcPr>
          <w:p>
            <w:pPr>
              <w:jc w:val="center"/>
              <w:ind w:right="2311"/>
              <w:spacing w:after="0"/>
              <w:rPr>
                <w:sz w:val="20"/>
                <w:szCs w:val="20"/>
                <w:color w:val="auto"/>
              </w:rPr>
            </w:pPr>
            <w:r>
              <w:rPr>
                <w:rFonts w:ascii="Arial" w:cs="Arial" w:eastAsia="Arial" w:hAnsi="Arial"/>
                <w:sz w:val="12"/>
                <w:szCs w:val="12"/>
                <w:b w:val="1"/>
                <w:bCs w:val="1"/>
                <w:color w:val="auto"/>
                <w:w w:val="90"/>
              </w:rPr>
              <w:t>617-923-1400</w:t>
            </w:r>
          </w:p>
        </w:tc>
      </w:tr>
      <w:tr>
        <w:trPr>
          <w:trHeight w:val="225"/>
        </w:trPr>
        <w:tc>
          <w:tcPr>
            <w:tcW w:w="2980" w:type="dxa"/>
            <w:vAlign w:val="bottom"/>
          </w:tcPr>
          <w:p>
            <w:pPr>
              <w:spacing w:after="0"/>
              <w:rPr>
                <w:sz w:val="19"/>
                <w:szCs w:val="19"/>
                <w:color w:val="auto"/>
              </w:rPr>
            </w:pPr>
          </w:p>
        </w:tc>
        <w:tc>
          <w:tcPr>
            <w:tcW w:w="5340" w:type="dxa"/>
            <w:vAlign w:val="bottom"/>
          </w:tcPr>
          <w:p>
            <w:pPr>
              <w:jc w:val="center"/>
              <w:ind w:right="2331"/>
              <w:spacing w:after="0"/>
              <w:rPr>
                <w:sz w:val="20"/>
                <w:szCs w:val="20"/>
                <w:color w:val="auto"/>
              </w:rPr>
            </w:pPr>
            <w:r>
              <w:rPr>
                <w:rFonts w:ascii="Arial" w:cs="Arial" w:eastAsia="Arial" w:hAnsi="Arial"/>
                <w:sz w:val="12"/>
                <w:szCs w:val="12"/>
                <w:color w:val="auto"/>
                <w:w w:val="90"/>
              </w:rPr>
              <w:t>(Registrant’s Telephone Number, Including Area Code)</w:t>
            </w:r>
          </w:p>
        </w:tc>
      </w:tr>
    </w:tbl>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N/A</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35" w:lineRule="exact"/>
        <w:rPr>
          <w:sz w:val="24"/>
          <w:szCs w:val="24"/>
          <w:color w:val="auto"/>
        </w:rPr>
      </w:pPr>
    </w:p>
    <w:p>
      <w:pPr>
        <w:ind w:right="220"/>
        <w:spacing w:after="0" w:line="25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45" w:lineRule="exact"/>
        <w:rPr>
          <w:sz w:val="24"/>
          <w:szCs w:val="24"/>
          <w:color w:val="auto"/>
        </w:rPr>
      </w:pPr>
    </w:p>
    <w:p>
      <w:pPr>
        <w:spacing w:after="0" w:line="255"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45"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200" w:type="dxa"/>
        <w:tblCellMar>
          <w:top w:w="0" w:type="dxa"/>
          <w:left w:w="0" w:type="dxa"/>
          <w:bottom w:w="0" w:type="dxa"/>
          <w:right w:w="0" w:type="dxa"/>
        </w:tblCellMar>
      </w:tblPr>
      <w:tr>
        <w:trPr>
          <w:trHeight w:val="177"/>
        </w:trPr>
        <w:tc>
          <w:tcPr>
            <w:tcW w:w="3480" w:type="dxa"/>
            <w:vAlign w:val="bottom"/>
          </w:tcPr>
          <w:p>
            <w:pPr>
              <w:jc w:val="center"/>
              <w:ind w:right="2326"/>
              <w:spacing w:after="0" w:line="127" w:lineRule="exact"/>
              <w:rPr>
                <w:sz w:val="20"/>
                <w:szCs w:val="20"/>
                <w:color w:val="auto"/>
              </w:rPr>
            </w:pPr>
            <w:r>
              <w:rPr>
                <w:rFonts w:ascii="Arial" w:cs="Arial" w:eastAsia="Arial" w:hAnsi="Arial"/>
                <w:sz w:val="11"/>
                <w:szCs w:val="11"/>
                <w:color w:val="auto"/>
                <w:w w:val="89"/>
              </w:rPr>
              <w:t xml:space="preserve">Large accelerated filer </w:t>
            </w:r>
            <w:r>
              <w:rPr>
                <w:rFonts w:ascii="MS PGothic" w:cs="MS PGothic" w:eastAsia="MS PGothic" w:hAnsi="MS PGothic"/>
                <w:sz w:val="11"/>
                <w:szCs w:val="11"/>
                <w:color w:val="auto"/>
                <w:w w:val="89"/>
              </w:rPr>
              <w:t>☐</w:t>
            </w:r>
          </w:p>
        </w:tc>
        <w:tc>
          <w:tcPr>
            <w:tcW w:w="3700" w:type="dxa"/>
            <w:vAlign w:val="bottom"/>
          </w:tcPr>
          <w:p>
            <w:pPr>
              <w:jc w:val="center"/>
              <w:ind w:left="2286"/>
              <w:spacing w:after="0" w:line="127" w:lineRule="exact"/>
              <w:rPr>
                <w:sz w:val="20"/>
                <w:szCs w:val="20"/>
                <w:color w:val="auto"/>
              </w:rPr>
            </w:pPr>
            <w:r>
              <w:rPr>
                <w:rFonts w:ascii="Arial" w:cs="Arial" w:eastAsia="Arial" w:hAnsi="Arial"/>
                <w:sz w:val="11"/>
                <w:szCs w:val="11"/>
                <w:color w:val="auto"/>
                <w:w w:val="90"/>
              </w:rPr>
              <w:t xml:space="preserve">Accelerated filer </w:t>
            </w:r>
            <w:r>
              <w:rPr>
                <w:rFonts w:ascii="MS PGothic" w:cs="MS PGothic" w:eastAsia="MS PGothic" w:hAnsi="MS PGothic"/>
                <w:sz w:val="11"/>
                <w:szCs w:val="11"/>
                <w:color w:val="auto"/>
                <w:w w:val="90"/>
              </w:rPr>
              <w:t>☒</w:t>
            </w:r>
          </w:p>
        </w:tc>
      </w:tr>
      <w:tr>
        <w:trPr>
          <w:trHeight w:val="180"/>
        </w:trPr>
        <w:tc>
          <w:tcPr>
            <w:tcW w:w="3480" w:type="dxa"/>
            <w:vAlign w:val="bottom"/>
          </w:tcPr>
          <w:p>
            <w:pPr>
              <w:jc w:val="center"/>
              <w:ind w:right="2346"/>
              <w:spacing w:after="0" w:line="127" w:lineRule="exact"/>
              <w:rPr>
                <w:sz w:val="20"/>
                <w:szCs w:val="20"/>
                <w:color w:val="auto"/>
              </w:rPr>
            </w:pPr>
            <w:r>
              <w:rPr>
                <w:rFonts w:ascii="Arial" w:cs="Arial" w:eastAsia="Arial" w:hAnsi="Arial"/>
                <w:sz w:val="11"/>
                <w:szCs w:val="11"/>
                <w:color w:val="auto"/>
                <w:w w:val="89"/>
              </w:rPr>
              <w:t xml:space="preserve">Non-accelerated filer </w:t>
            </w:r>
            <w:r>
              <w:rPr>
                <w:rFonts w:ascii="MS PGothic" w:cs="MS PGothic" w:eastAsia="MS PGothic" w:hAnsi="MS PGothic"/>
                <w:sz w:val="11"/>
                <w:szCs w:val="11"/>
                <w:color w:val="auto"/>
                <w:w w:val="89"/>
              </w:rPr>
              <w:t>☐</w:t>
            </w:r>
          </w:p>
        </w:tc>
        <w:tc>
          <w:tcPr>
            <w:tcW w:w="3700" w:type="dxa"/>
            <w:vAlign w:val="bottom"/>
          </w:tcPr>
          <w:p>
            <w:pPr>
              <w:jc w:val="center"/>
              <w:ind w:left="2326"/>
              <w:spacing w:after="0" w:line="127" w:lineRule="exact"/>
              <w:rPr>
                <w:sz w:val="20"/>
                <w:szCs w:val="20"/>
                <w:color w:val="auto"/>
              </w:rPr>
            </w:pPr>
            <w:r>
              <w:rPr>
                <w:rFonts w:ascii="Arial" w:cs="Arial" w:eastAsia="Arial" w:hAnsi="Arial"/>
                <w:sz w:val="11"/>
                <w:szCs w:val="11"/>
                <w:color w:val="auto"/>
                <w:w w:val="90"/>
              </w:rPr>
              <w:t xml:space="preserve">Smaller reporting company </w:t>
            </w:r>
            <w:r>
              <w:rPr>
                <w:rFonts w:ascii="MS PGothic" w:cs="MS PGothic" w:eastAsia="MS PGothic" w:hAnsi="MS PGothic"/>
                <w:sz w:val="11"/>
                <w:szCs w:val="11"/>
                <w:color w:val="auto"/>
                <w:w w:val="90"/>
              </w:rPr>
              <w:t>☒</w:t>
            </w:r>
          </w:p>
        </w:tc>
      </w:tr>
      <w:tr>
        <w:trPr>
          <w:trHeight w:val="171"/>
        </w:trPr>
        <w:tc>
          <w:tcPr>
            <w:tcW w:w="3480" w:type="dxa"/>
            <w:vAlign w:val="bottom"/>
          </w:tcPr>
          <w:p>
            <w:pPr>
              <w:spacing w:after="0"/>
              <w:rPr>
                <w:sz w:val="14"/>
                <w:szCs w:val="14"/>
                <w:color w:val="auto"/>
              </w:rPr>
            </w:pPr>
          </w:p>
        </w:tc>
        <w:tc>
          <w:tcPr>
            <w:tcW w:w="3700" w:type="dxa"/>
            <w:vAlign w:val="bottom"/>
          </w:tcPr>
          <w:p>
            <w:pPr>
              <w:jc w:val="center"/>
              <w:ind w:left="2326"/>
              <w:spacing w:after="0" w:line="127" w:lineRule="exact"/>
              <w:rPr>
                <w:sz w:val="20"/>
                <w:szCs w:val="20"/>
                <w:color w:val="auto"/>
              </w:rPr>
            </w:pPr>
            <w:r>
              <w:rPr>
                <w:rFonts w:ascii="Arial" w:cs="Arial" w:eastAsia="Arial" w:hAnsi="Arial"/>
                <w:sz w:val="11"/>
                <w:szCs w:val="11"/>
                <w:color w:val="auto"/>
                <w:w w:val="91"/>
              </w:rPr>
              <w:t xml:space="preserve">Emerging growth company </w:t>
            </w:r>
            <w:r>
              <w:rPr>
                <w:rFonts w:ascii="MS PGothic" w:cs="MS PGothic" w:eastAsia="MS PGothic" w:hAnsi="MS PGothic"/>
                <w:sz w:val="11"/>
                <w:szCs w:val="11"/>
                <w:color w:val="auto"/>
                <w:w w:val="91"/>
              </w:rPr>
              <w:t>☒</w:t>
            </w:r>
          </w:p>
        </w:tc>
      </w:tr>
    </w:tbl>
    <w:p>
      <w:pPr>
        <w:spacing w:after="0" w:line="91" w:lineRule="exact"/>
        <w:rPr>
          <w:sz w:val="24"/>
          <w:szCs w:val="24"/>
          <w:color w:val="auto"/>
        </w:rPr>
      </w:pPr>
    </w:p>
    <w:p>
      <w:pPr>
        <w:ind w:right="6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40"/>
          </w:cols>
          <w:pgMar w:left="220" w:top="496" w:right="239" w:bottom="1440" w:gutter="0" w:footer="0" w:header="0"/>
        </w:sectPr>
      </w:pPr>
    </w:p>
    <w:bookmarkStart w:id="1" w:name="page2"/>
    <w:bookmarkEnd w:id="1"/>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05" w:lineRule="exact"/>
        <w:rPr>
          <w:sz w:val="20"/>
          <w:szCs w:val="20"/>
          <w:color w:val="auto"/>
        </w:rPr>
      </w:pPr>
    </w:p>
    <w:p>
      <w:pPr>
        <w:ind w:left="426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ectPr>
          <w:pgSz w:w="11900" w:h="16838" w:orient="portrait"/>
          <w:cols w:equalWidth="0" w:num="1">
            <w:col w:w="10239"/>
          </w:cols>
          <w:pgMar w:left="220" w:top="414" w:right="1440" w:bottom="1440" w:gutter="0" w:footer="0" w:header="0"/>
        </w:sectPr>
      </w:pPr>
    </w:p>
    <w:p>
      <w:pPr>
        <w:spacing w:after="0" w:line="150" w:lineRule="exact"/>
        <w:rPr>
          <w:sz w:val="20"/>
          <w:szCs w:val="20"/>
          <w:color w:val="auto"/>
        </w:rPr>
      </w:pPr>
    </w:p>
    <w:p>
      <w:pPr>
        <w:ind w:left="1860"/>
        <w:spacing w:after="0"/>
        <w:rPr>
          <w:sz w:val="20"/>
          <w:szCs w:val="20"/>
          <w:color w:val="auto"/>
        </w:rPr>
      </w:pPr>
      <w:r>
        <w:rPr>
          <w:rFonts w:ascii="Arial" w:cs="Arial" w:eastAsia="Arial" w:hAnsi="Arial"/>
          <w:sz w:val="10"/>
          <w:szCs w:val="10"/>
          <w:color w:val="auto"/>
        </w:rPr>
        <w:t>Title of each class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65" w:lineRule="exact"/>
        <w:rPr>
          <w:sz w:val="20"/>
          <w:szCs w:val="20"/>
          <w:color w:val="auto"/>
        </w:rPr>
      </w:pPr>
    </w:p>
    <w:p>
      <w:pPr>
        <w:sectPr>
          <w:pgSz w:w="11900" w:h="16838" w:orient="portrait"/>
          <w:cols w:equalWidth="0" w:num="3">
            <w:col w:w="4520" w:space="720"/>
            <w:col w:w="2100" w:space="720"/>
            <w:col w:w="2179"/>
          </w:cols>
          <w:pgMar w:left="220" w:top="414" w:right="1440" w:bottom="1440" w:gutter="0" w:footer="0" w:header="0"/>
          <w:type w:val="continuous"/>
        </w:sectPr>
      </w:pPr>
    </w:p>
    <w:p>
      <w:pPr>
        <w:ind w:left="1900"/>
        <w:spacing w:after="0"/>
        <w:rPr>
          <w:sz w:val="20"/>
          <w:szCs w:val="20"/>
          <w:color w:val="auto"/>
        </w:rPr>
      </w:pPr>
      <w:r>
        <w:rPr>
          <w:rFonts w:ascii="Arial" w:cs="Arial" w:eastAsia="Arial" w:hAnsi="Arial"/>
          <w:sz w:val="10"/>
          <w:szCs w:val="10"/>
          <w:color w:val="auto"/>
        </w:rPr>
        <w:t>Common Stock,</w:t>
      </w:r>
    </w:p>
    <w:p>
      <w:pPr>
        <w:spacing w:after="0" w:line="20" w:lineRule="exact"/>
        <w:rPr>
          <w:sz w:val="20"/>
          <w:szCs w:val="20"/>
          <w:color w:val="auto"/>
        </w:rPr>
      </w:pPr>
      <w:r>
        <w:rPr>
          <w:sz w:val="20"/>
          <w:szCs w:val="20"/>
          <w:color w:val="auto"/>
        </w:rPr>
        <w:br w:type="column"/>
      </w:r>
    </w:p>
    <w:p>
      <w:pPr>
        <w:jc w:val="center"/>
        <w:ind w:right="2020"/>
        <w:spacing w:after="0"/>
        <w:rPr>
          <w:sz w:val="20"/>
          <w:szCs w:val="20"/>
          <w:color w:val="auto"/>
        </w:rPr>
      </w:pPr>
      <w:r>
        <w:rPr>
          <w:rFonts w:ascii="Arial" w:cs="Arial" w:eastAsia="Arial" w:hAnsi="Arial"/>
          <w:sz w:val="11"/>
          <w:szCs w:val="11"/>
          <w:color w:val="auto"/>
        </w:rPr>
        <w:t>SELB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Nasdaq Global Market</w:t>
      </w:r>
    </w:p>
    <w:p>
      <w:pPr>
        <w:spacing w:after="0" w:line="54" w:lineRule="exact"/>
        <w:rPr>
          <w:sz w:val="20"/>
          <w:szCs w:val="20"/>
          <w:color w:val="auto"/>
        </w:rPr>
      </w:pPr>
    </w:p>
    <w:p>
      <w:pPr>
        <w:sectPr>
          <w:pgSz w:w="11900" w:h="16838" w:orient="portrait"/>
          <w:cols w:equalWidth="0" w:num="3">
            <w:col w:w="4820" w:space="720"/>
            <w:col w:w="2320" w:space="720"/>
            <w:col w:w="1659"/>
          </w:cols>
          <w:pgMar w:left="220" w:top="414" w:right="1440" w:bottom="1440" w:gutter="0" w:footer="0" w:header="0"/>
          <w:type w:val="continuous"/>
        </w:sectPr>
      </w:pPr>
    </w:p>
    <w:p>
      <w:pPr>
        <w:ind w:left="1620"/>
        <w:spacing w:after="0"/>
        <w:rPr>
          <w:sz w:val="20"/>
          <w:szCs w:val="20"/>
          <w:color w:val="auto"/>
        </w:rPr>
      </w:pPr>
      <w:r>
        <w:rPr>
          <w:rFonts w:ascii="Arial" w:cs="Arial" w:eastAsia="Arial" w:hAnsi="Arial"/>
          <w:sz w:val="10"/>
          <w:szCs w:val="10"/>
          <w:color w:val="auto"/>
        </w:rPr>
        <w:t>$0.0001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195580</wp:posOffset>
            </wp:positionV>
            <wp:extent cx="38950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5090" cy="5715"/>
                    </a:xfrm>
                    <a:prstGeom prst="rect">
                      <a:avLst/>
                    </a:prstGeom>
                    <a:noFill/>
                  </pic:spPr>
                </pic:pic>
              </a:graphicData>
            </a:graphic>
          </wp:anchor>
        </w:drawing>
      </w:r>
    </w:p>
    <w:p>
      <w:pPr>
        <w:sectPr>
          <w:pgSz w:w="11900" w:h="16838" w:orient="portrait"/>
          <w:cols w:equalWidth="0" w:num="1">
            <w:col w:w="10239"/>
          </w:cols>
          <w:pgMar w:left="220" w:top="414" w:right="1440"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0"/>
          <w:szCs w:val="10"/>
          <w:color w:val="auto"/>
        </w:rPr>
        <w:t>As of May 3, 2019, the registrant had 44,788,025 shares of common stock, par value $0.0001 per share, outstanding.</w:t>
      </w:r>
    </w:p>
    <w:p>
      <w:pPr>
        <w:sectPr>
          <w:pgSz w:w="11900" w:h="16838" w:orient="portrait"/>
          <w:cols w:equalWidth="0" w:num="1">
            <w:col w:w="10239"/>
          </w:cols>
          <w:pgMar w:left="220" w:top="414"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TABLE OF CONTENTS</w:t>
            </w:r>
          </w:p>
        </w:tc>
        <w:tc>
          <w:tcPr>
            <w:tcW w:w="49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37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520" w:type="dxa"/>
            <w:vAlign w:val="bottom"/>
            <w:gridSpan w:val="6"/>
          </w:tcPr>
          <w:p>
            <w:pPr>
              <w:jc w:val="center"/>
              <w:ind w:right="4700"/>
              <w:spacing w:after="0"/>
              <w:rPr>
                <w:sz w:val="20"/>
                <w:szCs w:val="20"/>
                <w:color w:val="auto"/>
              </w:rPr>
            </w:pPr>
            <w:r>
              <w:rPr>
                <w:rFonts w:ascii="Arial" w:cs="Arial" w:eastAsia="Arial" w:hAnsi="Arial"/>
                <w:sz w:val="12"/>
                <w:szCs w:val="12"/>
                <w:color w:val="auto"/>
                <w:w w:val="98"/>
              </w:rPr>
              <w:t>Part I. FINANCIAL INFORMATION</w:t>
            </w:r>
          </w:p>
        </w:tc>
        <w:tc>
          <w:tcPr>
            <w:tcW w:w="120" w:type="dxa"/>
            <w:vAlign w:val="bottom"/>
          </w:tcPr>
          <w:p>
            <w:pPr>
              <w:spacing w:after="0"/>
              <w:rPr>
                <w:sz w:val="24"/>
                <w:szCs w:val="24"/>
                <w:color w:val="auto"/>
              </w:rPr>
            </w:pPr>
          </w:p>
        </w:tc>
      </w:tr>
      <w:tr>
        <w:trPr>
          <w:trHeight w:val="340"/>
        </w:trPr>
        <w:tc>
          <w:tcPr>
            <w:tcW w:w="1160" w:type="dxa"/>
            <w:vAlign w:val="bottom"/>
          </w:tcPr>
          <w:p>
            <w:pPr>
              <w:spacing w:after="0"/>
              <w:rPr>
                <w:sz w:val="20"/>
                <w:szCs w:val="20"/>
                <w:color w:val="auto"/>
              </w:rPr>
            </w:pPr>
            <w:r>
              <w:rPr>
                <w:rFonts w:ascii="Arial" w:cs="Arial" w:eastAsia="Arial" w:hAnsi="Arial"/>
                <w:sz w:val="12"/>
                <w:szCs w:val="12"/>
                <w:color w:val="auto"/>
              </w:rPr>
              <w:t>Item 1.</w:t>
            </w:r>
          </w:p>
        </w:tc>
        <w:tc>
          <w:tcPr>
            <w:tcW w:w="3640" w:type="dxa"/>
            <w:vAlign w:val="bottom"/>
          </w:tcPr>
          <w:p>
            <w:pPr>
              <w:ind w:left="440"/>
              <w:spacing w:after="0"/>
              <w:rPr>
                <w:sz w:val="20"/>
                <w:szCs w:val="20"/>
                <w:color w:val="auto"/>
              </w:rPr>
            </w:pPr>
            <w:r>
              <w:rPr>
                <w:rFonts w:ascii="Arial" w:cs="Arial" w:eastAsia="Arial" w:hAnsi="Arial"/>
                <w:sz w:val="12"/>
                <w:szCs w:val="12"/>
                <w:color w:val="auto"/>
              </w:rPr>
              <w:t>Financial Statements</w:t>
            </w:r>
          </w:p>
        </w:tc>
        <w:tc>
          <w:tcPr>
            <w:tcW w:w="1820" w:type="dxa"/>
            <w:vAlign w:val="bottom"/>
            <w:tcBorders>
              <w:top w:val="single" w:sz="8" w:color="auto"/>
            </w:tcBorders>
            <w:gridSpan w:val="5"/>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jc w:val="right"/>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3</w:t>
              </w:r>
            </w:hyperlink>
          </w:p>
        </w:tc>
      </w:tr>
      <w:tr>
        <w:trPr>
          <w:trHeight w:val="378"/>
        </w:trPr>
        <w:tc>
          <w:tcPr>
            <w:tcW w:w="1160" w:type="dxa"/>
            <w:vAlign w:val="bottom"/>
          </w:tcPr>
          <w:p>
            <w:pPr>
              <w:spacing w:after="0"/>
              <w:rPr>
                <w:sz w:val="24"/>
                <w:szCs w:val="24"/>
                <w:color w:val="auto"/>
              </w:rPr>
            </w:pP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Consolidated Balance Sheets as of March 31, 2019 (Unaudited) and December 31, 2018</w:t>
            </w:r>
          </w:p>
        </w:tc>
        <w:tc>
          <w:tcPr>
            <w:tcW w:w="120" w:type="dxa"/>
            <w:vAlign w:val="bottom"/>
          </w:tcPr>
          <w:p>
            <w:pPr>
              <w:jc w:val="right"/>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3</w:t>
              </w:r>
            </w:hyperlink>
          </w:p>
        </w:tc>
      </w:tr>
      <w:tr>
        <w:trPr>
          <w:trHeight w:val="378"/>
        </w:trPr>
        <w:tc>
          <w:tcPr>
            <w:tcW w:w="1160" w:type="dxa"/>
            <w:vAlign w:val="bottom"/>
          </w:tcPr>
          <w:p>
            <w:pPr>
              <w:spacing w:after="0"/>
              <w:rPr>
                <w:sz w:val="24"/>
                <w:szCs w:val="24"/>
                <w:color w:val="auto"/>
              </w:rPr>
            </w:pP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Consolidated Statements of Operations and Comprehensive Loss for the Three Months ended March 31, 2019 and 2018 (Unaudited)</w:t>
            </w:r>
          </w:p>
        </w:tc>
        <w:tc>
          <w:tcPr>
            <w:tcW w:w="120" w:type="dxa"/>
            <w:vAlign w:val="bottom"/>
          </w:tcPr>
          <w:p>
            <w:pPr>
              <w:jc w:val="right"/>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4</w:t>
              </w:r>
            </w:hyperlink>
          </w:p>
        </w:tc>
      </w:tr>
      <w:tr>
        <w:trPr>
          <w:trHeight w:val="378"/>
        </w:trPr>
        <w:tc>
          <w:tcPr>
            <w:tcW w:w="1160" w:type="dxa"/>
            <w:vAlign w:val="bottom"/>
          </w:tcPr>
          <w:p>
            <w:pPr>
              <w:spacing w:after="0"/>
              <w:rPr>
                <w:sz w:val="24"/>
                <w:szCs w:val="24"/>
                <w:color w:val="auto"/>
              </w:rPr>
            </w:pP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Consolidated Statements of Changes in Stockholders' Equity (Deficit) for the Three Months ended March 31, 2019 and 2018 (Unaudited)</w:t>
            </w:r>
          </w:p>
        </w:tc>
        <w:tc>
          <w:tcPr>
            <w:tcW w:w="120" w:type="dxa"/>
            <w:vAlign w:val="bottom"/>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5</w:t>
              </w:r>
            </w:hyperlink>
          </w:p>
        </w:tc>
      </w:tr>
      <w:tr>
        <w:trPr>
          <w:trHeight w:val="378"/>
        </w:trPr>
        <w:tc>
          <w:tcPr>
            <w:tcW w:w="1160" w:type="dxa"/>
            <w:vAlign w:val="bottom"/>
          </w:tcPr>
          <w:p>
            <w:pPr>
              <w:spacing w:after="0"/>
              <w:rPr>
                <w:sz w:val="24"/>
                <w:szCs w:val="24"/>
                <w:color w:val="auto"/>
              </w:rPr>
            </w:pP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Consolidated Statements of Cash Flows for the Three Months ended March 31, 2019 and 2018 (Unaudited)</w:t>
            </w:r>
          </w:p>
        </w:tc>
        <w:tc>
          <w:tcPr>
            <w:tcW w:w="120" w:type="dxa"/>
            <w:vAlign w:val="bottom"/>
          </w:tcPr>
          <w:p>
            <w:pPr>
              <w:jc w:val="right"/>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6</w:t>
              </w:r>
            </w:hyperlink>
          </w:p>
        </w:tc>
      </w:tr>
      <w:tr>
        <w:trPr>
          <w:trHeight w:val="378"/>
        </w:trPr>
        <w:tc>
          <w:tcPr>
            <w:tcW w:w="1160" w:type="dxa"/>
            <w:vAlign w:val="bottom"/>
          </w:tcPr>
          <w:p>
            <w:pPr>
              <w:spacing w:after="0"/>
              <w:rPr>
                <w:sz w:val="24"/>
                <w:szCs w:val="24"/>
                <w:color w:val="auto"/>
              </w:rPr>
            </w:pP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Notes to Consolidated Financial Statements (Unaudited)</w:t>
            </w:r>
          </w:p>
        </w:tc>
        <w:tc>
          <w:tcPr>
            <w:tcW w:w="120" w:type="dxa"/>
            <w:vAlign w:val="bottom"/>
          </w:tcPr>
          <w:p>
            <w:pPr>
              <w:jc w:val="right"/>
              <w:spacing w:after="0"/>
              <w:rPr>
                <w:rFonts w:ascii="Arial" w:cs="Arial" w:eastAsia="Arial" w:hAnsi="Arial"/>
                <w:sz w:val="12"/>
                <w:szCs w:val="12"/>
                <w:u w:val="single" w:color="auto"/>
                <w:color w:val="0000EE"/>
              </w:rPr>
            </w:pPr>
            <w:hyperlink w:anchor="page9">
              <w:r>
                <w:rPr>
                  <w:rFonts w:ascii="Arial" w:cs="Arial" w:eastAsia="Arial" w:hAnsi="Arial"/>
                  <w:sz w:val="12"/>
                  <w:szCs w:val="12"/>
                  <w:u w:val="single" w:color="auto"/>
                  <w:color w:val="0000EE"/>
                </w:rPr>
                <w:t>7</w:t>
              </w:r>
            </w:hyperlink>
          </w:p>
        </w:tc>
      </w:tr>
      <w:tr>
        <w:trPr>
          <w:trHeight w:val="351"/>
        </w:trPr>
        <w:tc>
          <w:tcPr>
            <w:tcW w:w="1160" w:type="dxa"/>
            <w:vAlign w:val="bottom"/>
          </w:tcPr>
          <w:p>
            <w:pPr>
              <w:spacing w:after="0"/>
              <w:rPr>
                <w:sz w:val="20"/>
                <w:szCs w:val="20"/>
                <w:color w:val="auto"/>
              </w:rPr>
            </w:pPr>
            <w:r>
              <w:rPr>
                <w:rFonts w:ascii="Arial" w:cs="Arial" w:eastAsia="Arial" w:hAnsi="Arial"/>
                <w:sz w:val="12"/>
                <w:szCs w:val="12"/>
                <w:color w:val="auto"/>
              </w:rPr>
              <w:t>Item 2.</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36">
              <w:r>
                <w:rPr>
                  <w:rFonts w:ascii="Arial" w:cs="Arial" w:eastAsia="Arial" w:hAnsi="Arial"/>
                  <w:sz w:val="12"/>
                  <w:szCs w:val="12"/>
                  <w:color w:val="0000EE"/>
                  <w:w w:val="74"/>
                </w:rPr>
                <w:t>34</w:t>
              </w:r>
            </w:hyperlink>
          </w:p>
        </w:tc>
      </w:tr>
      <w:tr>
        <w:trPr>
          <w:trHeight w:val="358"/>
        </w:trPr>
        <w:tc>
          <w:tcPr>
            <w:tcW w:w="1160" w:type="dxa"/>
            <w:vAlign w:val="bottom"/>
          </w:tcPr>
          <w:p>
            <w:pPr>
              <w:spacing w:after="0"/>
              <w:rPr>
                <w:sz w:val="20"/>
                <w:szCs w:val="20"/>
                <w:color w:val="auto"/>
              </w:rPr>
            </w:pPr>
            <w:r>
              <w:rPr>
                <w:rFonts w:ascii="Arial" w:cs="Arial" w:eastAsia="Arial" w:hAnsi="Arial"/>
                <w:sz w:val="12"/>
                <w:szCs w:val="12"/>
                <w:color w:val="auto"/>
              </w:rPr>
              <w:t>Item 3.</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Quantitative and Qualitative Disclosures About Market Risk</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44">
              <w:r>
                <w:rPr>
                  <w:rFonts w:ascii="Arial" w:cs="Arial" w:eastAsia="Arial" w:hAnsi="Arial"/>
                  <w:sz w:val="12"/>
                  <w:szCs w:val="12"/>
                  <w:color w:val="0000EE"/>
                  <w:w w:val="74"/>
                </w:rPr>
                <w:t>42</w:t>
              </w:r>
            </w:hyperlink>
          </w:p>
        </w:tc>
      </w:tr>
      <w:tr>
        <w:trPr>
          <w:trHeight w:val="358"/>
        </w:trPr>
        <w:tc>
          <w:tcPr>
            <w:tcW w:w="1160" w:type="dxa"/>
            <w:vAlign w:val="bottom"/>
          </w:tcPr>
          <w:p>
            <w:pPr>
              <w:spacing w:after="0"/>
              <w:rPr>
                <w:sz w:val="20"/>
                <w:szCs w:val="20"/>
                <w:color w:val="auto"/>
              </w:rPr>
            </w:pPr>
            <w:r>
              <w:rPr>
                <w:rFonts w:ascii="Arial" w:cs="Arial" w:eastAsia="Arial" w:hAnsi="Arial"/>
                <w:sz w:val="12"/>
                <w:szCs w:val="12"/>
                <w:color w:val="auto"/>
              </w:rPr>
              <w:t>Item 4.</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Controls and Procedures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45">
              <w:r>
                <w:rPr>
                  <w:rFonts w:ascii="Arial" w:cs="Arial" w:eastAsia="Arial" w:hAnsi="Arial"/>
                  <w:sz w:val="12"/>
                  <w:szCs w:val="12"/>
                  <w:color w:val="0000EE"/>
                  <w:w w:val="74"/>
                </w:rPr>
                <w:t>43</w:t>
              </w:r>
            </w:hyperlink>
          </w:p>
        </w:tc>
      </w:tr>
      <w:tr>
        <w:trPr>
          <w:trHeight w:val="37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5"/>
          </w:tcPr>
          <w:p>
            <w:pPr>
              <w:jc w:val="center"/>
              <w:ind w:right="4800"/>
              <w:spacing w:after="0"/>
              <w:rPr>
                <w:sz w:val="20"/>
                <w:szCs w:val="20"/>
                <w:color w:val="auto"/>
              </w:rPr>
            </w:pPr>
            <w:r>
              <w:rPr>
                <w:rFonts w:ascii="Arial" w:cs="Arial" w:eastAsia="Arial" w:hAnsi="Arial"/>
                <w:sz w:val="12"/>
                <w:szCs w:val="12"/>
                <w:color w:val="auto"/>
                <w:w w:val="96"/>
              </w:rPr>
              <w:t>Part II. OTHER INFORMATION</w:t>
            </w:r>
          </w:p>
        </w:tc>
        <w:tc>
          <w:tcPr>
            <w:tcW w:w="120" w:type="dxa"/>
            <w:vAlign w:val="bottom"/>
          </w:tcPr>
          <w:p>
            <w:pPr>
              <w:spacing w:after="0"/>
              <w:rPr>
                <w:sz w:val="24"/>
                <w:szCs w:val="24"/>
                <w:color w:val="auto"/>
              </w:rPr>
            </w:pPr>
          </w:p>
        </w:tc>
      </w:tr>
      <w:tr>
        <w:trPr>
          <w:trHeight w:val="376"/>
        </w:trPr>
        <w:tc>
          <w:tcPr>
            <w:tcW w:w="1160" w:type="dxa"/>
            <w:vAlign w:val="bottom"/>
          </w:tcPr>
          <w:p>
            <w:pPr>
              <w:spacing w:after="0"/>
              <w:rPr>
                <w:sz w:val="20"/>
                <w:szCs w:val="20"/>
                <w:color w:val="auto"/>
              </w:rPr>
            </w:pPr>
            <w:r>
              <w:rPr>
                <w:rFonts w:ascii="Arial" w:cs="Arial" w:eastAsia="Arial" w:hAnsi="Arial"/>
                <w:sz w:val="12"/>
                <w:szCs w:val="12"/>
                <w:color w:val="auto"/>
              </w:rPr>
              <w:t>Item 1.</w:t>
            </w:r>
          </w:p>
        </w:tc>
        <w:tc>
          <w:tcPr>
            <w:tcW w:w="3740" w:type="dxa"/>
            <w:vAlign w:val="bottom"/>
            <w:gridSpan w:val="2"/>
          </w:tcPr>
          <w:p>
            <w:pPr>
              <w:ind w:left="440"/>
              <w:spacing w:after="0"/>
              <w:rPr>
                <w:sz w:val="20"/>
                <w:szCs w:val="20"/>
                <w:color w:val="auto"/>
              </w:rPr>
            </w:pPr>
            <w:r>
              <w:rPr>
                <w:rFonts w:ascii="Arial" w:cs="Arial" w:eastAsia="Arial" w:hAnsi="Arial"/>
                <w:sz w:val="12"/>
                <w:szCs w:val="12"/>
                <w:color w:val="auto"/>
              </w:rPr>
              <w:t>Legal Proceedings</w:t>
            </w:r>
          </w:p>
        </w:tc>
        <w:tc>
          <w:tcPr>
            <w:tcW w:w="1620" w:type="dxa"/>
            <w:vAlign w:val="bottom"/>
            <w:tcBorders>
              <w:top w:val="single" w:sz="8" w:color="auto"/>
            </w:tcBorders>
            <w:gridSpan w:val="3"/>
          </w:tcPr>
          <w:p>
            <w:pPr>
              <w:spacing w:after="0"/>
              <w:rPr>
                <w:sz w:val="24"/>
                <w:szCs w:val="24"/>
                <w:color w:val="auto"/>
              </w:rPr>
            </w:pPr>
          </w:p>
        </w:tc>
        <w:tc>
          <w:tcPr>
            <w:tcW w:w="480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46">
              <w:r>
                <w:rPr>
                  <w:rFonts w:ascii="Arial" w:cs="Arial" w:eastAsia="Arial" w:hAnsi="Arial"/>
                  <w:sz w:val="12"/>
                  <w:szCs w:val="12"/>
                  <w:color w:val="0000EE"/>
                  <w:w w:val="74"/>
                </w:rPr>
                <w:t>44</w:t>
              </w:r>
            </w:hyperlink>
          </w:p>
        </w:tc>
      </w:tr>
      <w:tr>
        <w:trPr>
          <w:trHeight w:val="376"/>
        </w:trPr>
        <w:tc>
          <w:tcPr>
            <w:tcW w:w="1160" w:type="dxa"/>
            <w:vAlign w:val="bottom"/>
          </w:tcPr>
          <w:p>
            <w:pPr>
              <w:spacing w:after="0"/>
              <w:rPr>
                <w:sz w:val="20"/>
                <w:szCs w:val="20"/>
                <w:color w:val="auto"/>
              </w:rPr>
            </w:pPr>
            <w:r>
              <w:rPr>
                <w:rFonts w:ascii="Arial" w:cs="Arial" w:eastAsia="Arial" w:hAnsi="Arial"/>
                <w:sz w:val="12"/>
                <w:szCs w:val="12"/>
                <w:color w:val="auto"/>
              </w:rPr>
              <w:t>Item 1A.</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Risk Factors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46">
              <w:r>
                <w:rPr>
                  <w:rFonts w:ascii="Arial" w:cs="Arial" w:eastAsia="Arial" w:hAnsi="Arial"/>
                  <w:sz w:val="12"/>
                  <w:szCs w:val="12"/>
                  <w:color w:val="0000EE"/>
                  <w:w w:val="74"/>
                </w:rPr>
                <w:t>44</w:t>
              </w:r>
            </w:hyperlink>
          </w:p>
        </w:tc>
      </w:tr>
      <w:tr>
        <w:trPr>
          <w:trHeight w:val="358"/>
        </w:trPr>
        <w:tc>
          <w:tcPr>
            <w:tcW w:w="1160" w:type="dxa"/>
            <w:vAlign w:val="bottom"/>
          </w:tcPr>
          <w:p>
            <w:pPr>
              <w:spacing w:after="0"/>
              <w:rPr>
                <w:sz w:val="20"/>
                <w:szCs w:val="20"/>
                <w:color w:val="auto"/>
              </w:rPr>
            </w:pPr>
            <w:r>
              <w:rPr>
                <w:rFonts w:ascii="Arial" w:cs="Arial" w:eastAsia="Arial" w:hAnsi="Arial"/>
                <w:sz w:val="12"/>
                <w:szCs w:val="12"/>
                <w:color w:val="auto"/>
              </w:rPr>
              <w:t>Item 2.</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Unregistered Sales of Equity Securities and Use of Proceeds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82">
              <w:r>
                <w:rPr>
                  <w:rFonts w:ascii="Arial" w:cs="Arial" w:eastAsia="Arial" w:hAnsi="Arial"/>
                  <w:sz w:val="12"/>
                  <w:szCs w:val="12"/>
                  <w:color w:val="0000EE"/>
                  <w:w w:val="74"/>
                </w:rPr>
                <w:t>80</w:t>
              </w:r>
            </w:hyperlink>
          </w:p>
        </w:tc>
      </w:tr>
      <w:tr>
        <w:trPr>
          <w:trHeight w:val="349"/>
        </w:trPr>
        <w:tc>
          <w:tcPr>
            <w:tcW w:w="1160" w:type="dxa"/>
            <w:vAlign w:val="bottom"/>
          </w:tcPr>
          <w:p>
            <w:pPr>
              <w:spacing w:after="0"/>
              <w:rPr>
                <w:sz w:val="20"/>
                <w:szCs w:val="20"/>
                <w:color w:val="auto"/>
              </w:rPr>
            </w:pPr>
            <w:r>
              <w:rPr>
                <w:rFonts w:ascii="Arial" w:cs="Arial" w:eastAsia="Arial" w:hAnsi="Arial"/>
                <w:sz w:val="12"/>
                <w:szCs w:val="12"/>
                <w:color w:val="auto"/>
              </w:rPr>
              <w:t>Item 3.</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Defaults Upon Senior Securities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82">
              <w:r>
                <w:rPr>
                  <w:rFonts w:ascii="Arial" w:cs="Arial" w:eastAsia="Arial" w:hAnsi="Arial"/>
                  <w:sz w:val="12"/>
                  <w:szCs w:val="12"/>
                  <w:color w:val="0000EE"/>
                  <w:w w:val="74"/>
                </w:rPr>
                <w:t>80</w:t>
              </w:r>
            </w:hyperlink>
          </w:p>
        </w:tc>
      </w:tr>
      <w:tr>
        <w:trPr>
          <w:trHeight w:val="349"/>
        </w:trPr>
        <w:tc>
          <w:tcPr>
            <w:tcW w:w="1160" w:type="dxa"/>
            <w:vAlign w:val="bottom"/>
          </w:tcPr>
          <w:p>
            <w:pPr>
              <w:spacing w:after="0"/>
              <w:rPr>
                <w:sz w:val="20"/>
                <w:szCs w:val="20"/>
                <w:color w:val="auto"/>
              </w:rPr>
            </w:pPr>
            <w:r>
              <w:rPr>
                <w:rFonts w:ascii="Arial" w:cs="Arial" w:eastAsia="Arial" w:hAnsi="Arial"/>
                <w:sz w:val="12"/>
                <w:szCs w:val="12"/>
                <w:color w:val="auto"/>
              </w:rPr>
              <w:t>Item 4.</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Mine Safety Disclosures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82">
              <w:r>
                <w:rPr>
                  <w:rFonts w:ascii="Arial" w:cs="Arial" w:eastAsia="Arial" w:hAnsi="Arial"/>
                  <w:sz w:val="12"/>
                  <w:szCs w:val="12"/>
                  <w:color w:val="0000EE"/>
                  <w:w w:val="74"/>
                </w:rPr>
                <w:t>80</w:t>
              </w:r>
            </w:hyperlink>
          </w:p>
        </w:tc>
      </w:tr>
      <w:tr>
        <w:trPr>
          <w:trHeight w:val="349"/>
        </w:trPr>
        <w:tc>
          <w:tcPr>
            <w:tcW w:w="1160" w:type="dxa"/>
            <w:vAlign w:val="bottom"/>
          </w:tcPr>
          <w:p>
            <w:pPr>
              <w:spacing w:after="0"/>
              <w:rPr>
                <w:sz w:val="20"/>
                <w:szCs w:val="20"/>
                <w:color w:val="auto"/>
              </w:rPr>
            </w:pPr>
            <w:r>
              <w:rPr>
                <w:rFonts w:ascii="Arial" w:cs="Arial" w:eastAsia="Arial" w:hAnsi="Arial"/>
                <w:sz w:val="12"/>
                <w:szCs w:val="12"/>
                <w:color w:val="auto"/>
              </w:rPr>
              <w:t>Item 5.</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Other Information</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82">
              <w:r>
                <w:rPr>
                  <w:rFonts w:ascii="Arial" w:cs="Arial" w:eastAsia="Arial" w:hAnsi="Arial"/>
                  <w:sz w:val="12"/>
                  <w:szCs w:val="12"/>
                  <w:color w:val="0000EE"/>
                  <w:w w:val="74"/>
                </w:rPr>
                <w:t>80</w:t>
              </w:r>
            </w:hyperlink>
          </w:p>
        </w:tc>
      </w:tr>
      <w:tr>
        <w:trPr>
          <w:trHeight w:val="349"/>
        </w:trPr>
        <w:tc>
          <w:tcPr>
            <w:tcW w:w="1160" w:type="dxa"/>
            <w:vAlign w:val="bottom"/>
          </w:tcPr>
          <w:p>
            <w:pPr>
              <w:spacing w:after="0"/>
              <w:rPr>
                <w:sz w:val="20"/>
                <w:szCs w:val="20"/>
                <w:color w:val="auto"/>
              </w:rPr>
            </w:pPr>
            <w:r>
              <w:rPr>
                <w:rFonts w:ascii="Arial" w:cs="Arial" w:eastAsia="Arial" w:hAnsi="Arial"/>
                <w:sz w:val="12"/>
                <w:szCs w:val="12"/>
                <w:color w:val="auto"/>
              </w:rPr>
              <w:t>Item 6.</w:t>
            </w:r>
          </w:p>
        </w:tc>
        <w:tc>
          <w:tcPr>
            <w:tcW w:w="10160" w:type="dxa"/>
            <w:vAlign w:val="bottom"/>
            <w:gridSpan w:val="7"/>
          </w:tcPr>
          <w:p>
            <w:pPr>
              <w:ind w:left="440"/>
              <w:spacing w:after="0"/>
              <w:rPr>
                <w:sz w:val="20"/>
                <w:szCs w:val="20"/>
                <w:color w:val="auto"/>
              </w:rPr>
            </w:pPr>
            <w:r>
              <w:rPr>
                <w:rFonts w:ascii="Arial" w:cs="Arial" w:eastAsia="Arial" w:hAnsi="Arial"/>
                <w:sz w:val="12"/>
                <w:szCs w:val="12"/>
                <w:color w:val="auto"/>
              </w:rPr>
              <w:t>Exhibits</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84">
              <w:r>
                <w:rPr>
                  <w:rFonts w:ascii="Arial" w:cs="Arial" w:eastAsia="Arial" w:hAnsi="Arial"/>
                  <w:sz w:val="12"/>
                  <w:szCs w:val="12"/>
                  <w:color w:val="0000EE"/>
                  <w:w w:val="74"/>
                </w:rPr>
                <w:t>82</w:t>
              </w:r>
            </w:hyperlink>
          </w:p>
        </w:tc>
      </w:tr>
      <w:tr>
        <w:trPr>
          <w:trHeight w:val="358"/>
        </w:trPr>
        <w:tc>
          <w:tcPr>
            <w:tcW w:w="1160" w:type="dxa"/>
            <w:vAlign w:val="bottom"/>
          </w:tcPr>
          <w:p>
            <w:pPr>
              <w:spacing w:after="0"/>
              <w:rPr>
                <w:sz w:val="20"/>
                <w:szCs w:val="20"/>
                <w:color w:val="auto"/>
              </w:rPr>
            </w:pPr>
            <w:r>
              <w:rPr>
                <w:rFonts w:ascii="Arial" w:cs="Arial" w:eastAsia="Arial" w:hAnsi="Arial"/>
                <w:sz w:val="12"/>
                <w:szCs w:val="12"/>
                <w:color w:val="auto"/>
              </w:rPr>
              <w:t>SIGNATURES</w:t>
            </w: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85">
              <w:r>
                <w:rPr>
                  <w:rFonts w:ascii="Arial" w:cs="Arial" w:eastAsia="Arial" w:hAnsi="Arial"/>
                  <w:sz w:val="12"/>
                  <w:szCs w:val="12"/>
                  <w:color w:val="0000EE"/>
                  <w:w w:val="74"/>
                </w:rPr>
                <w:t>83</w:t>
              </w:r>
            </w:hyperlink>
          </w:p>
        </w:tc>
      </w:tr>
      <w:tr>
        <w:trPr>
          <w:trHeight w:val="764"/>
        </w:trPr>
        <w:tc>
          <w:tcPr>
            <w:tcW w:w="1160" w:type="dxa"/>
            <w:vAlign w:val="bottom"/>
          </w:tcPr>
          <w:p>
            <w:pPr>
              <w:spacing w:after="0"/>
              <w:rPr>
                <w:sz w:val="24"/>
                <w:szCs w:val="24"/>
                <w:color w:val="auto"/>
              </w:rPr>
            </w:pPr>
          </w:p>
        </w:tc>
        <w:tc>
          <w:tcPr>
            <w:tcW w:w="5200" w:type="dxa"/>
            <w:vAlign w:val="bottom"/>
            <w:gridSpan w:val="4"/>
          </w:tcPr>
          <w:p>
            <w:pPr>
              <w:jc w:val="center"/>
              <w:ind w:left="3840"/>
              <w:spacing w:after="0"/>
              <w:rPr>
                <w:sz w:val="20"/>
                <w:szCs w:val="20"/>
                <w:color w:val="auto"/>
              </w:rPr>
            </w:pPr>
            <w:r>
              <w:rPr>
                <w:rFonts w:ascii="Arial" w:cs="Arial" w:eastAsia="Arial" w:hAnsi="Arial"/>
                <w:sz w:val="12"/>
                <w:szCs w:val="12"/>
                <w:color w:val="auto"/>
                <w:w w:val="89"/>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40"/>
          </w:cols>
          <w:pgMar w:left="240" w:top="605"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ind w:right="40" w:firstLine="270"/>
        <w:spacing w:after="0" w:line="257" w:lineRule="auto"/>
        <w:rPr>
          <w:sz w:val="20"/>
          <w:szCs w:val="20"/>
          <w:color w:val="auto"/>
        </w:rPr>
      </w:pPr>
      <w:r>
        <w:rPr>
          <w:rFonts w:ascii="Arial" w:cs="Arial" w:eastAsia="Arial" w:hAnsi="Arial"/>
          <w:sz w:val="12"/>
          <w:szCs w:val="12"/>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6" w:lineRule="exact"/>
        <w:rPr>
          <w:sz w:val="20"/>
          <w:szCs w:val="20"/>
          <w:color w:val="auto"/>
        </w:rPr>
      </w:pPr>
    </w:p>
    <w:p>
      <w:pPr>
        <w:ind w:right="40" w:firstLine="270"/>
        <w:spacing w:after="0" w:line="257" w:lineRule="auto"/>
        <w:rPr>
          <w:sz w:val="20"/>
          <w:szCs w:val="20"/>
          <w:color w:val="auto"/>
        </w:rPr>
      </w:pPr>
      <w:r>
        <w:rPr>
          <w:rFonts w:ascii="Arial" w:cs="Arial" w:eastAsia="Arial" w:hAnsi="Arial"/>
          <w:sz w:val="12"/>
          <w:szCs w:val="12"/>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26" w:lineRule="exact"/>
        <w:rPr>
          <w:sz w:val="20"/>
          <w:szCs w:val="20"/>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status as a development-stage company and our expectation to incur losses in the future;</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continue as a going concern, our future capital needs and our need to raise additional funds;</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build a pipeline of product candidates and develop and commercialize drugs;</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unproven approach to therapeutic intervention;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enroll patients in clinical trials, timely and successfully complete those trials and receive necessary regulatory approvals;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establish our own manufacturing facilities and to receive or manufacture sufficient quantities of our product candidates;</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our existing or future collaborations or licenses;</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protect and enforce our intellectual property rights;</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federal, state, and foreign regulatory requirements, including FDA regulation of our product candidates;</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and retain key executives and attract and retain qualified personnel; and</w:t>
      </w:r>
    </w:p>
    <w:p>
      <w:pPr>
        <w:spacing w:after="0" w:line="150" w:lineRule="exact"/>
        <w:rPr>
          <w:rFonts w:ascii="Arial" w:cs="Arial" w:eastAsia="Arial" w:hAnsi="Arial"/>
          <w:sz w:val="12"/>
          <w:szCs w:val="12"/>
          <w:color w:val="auto"/>
        </w:rPr>
      </w:pPr>
    </w:p>
    <w:p>
      <w:pPr>
        <w:ind w:left="360" w:hanging="1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manage our growth.</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Moreover, we operate in an evolving environment. New risk factors and uncertainties may emerge from time to time, and it is not possible for management to predict all risk factors and uncertainties.</w:t>
      </w:r>
    </w:p>
    <w:p>
      <w:pPr>
        <w:spacing w:after="0" w:line="150" w:lineRule="exact"/>
        <w:rPr>
          <w:sz w:val="20"/>
          <w:szCs w:val="20"/>
          <w:color w:val="auto"/>
        </w:rPr>
      </w:pPr>
    </w:p>
    <w:p>
      <w:pPr>
        <w:ind w:firstLine="270"/>
        <w:spacing w:after="0" w:line="263" w:lineRule="auto"/>
        <w:rPr>
          <w:sz w:val="20"/>
          <w:szCs w:val="20"/>
          <w:color w:val="auto"/>
        </w:rPr>
      </w:pPr>
      <w:r>
        <w:rPr>
          <w:rFonts w:ascii="Arial" w:cs="Arial" w:eastAsia="Arial" w:hAnsi="Arial"/>
          <w:sz w:val="12"/>
          <w:szCs w:val="12"/>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40"/>
          </w:cols>
          <w:pgMar w:left="220" w:top="50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1"/>
          <w:szCs w:val="11"/>
          <w:b w:val="1"/>
          <w:bCs w:val="1"/>
          <w:color w:val="auto"/>
        </w:rPr>
        <w:t>PART I -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1.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Selecta Biosciences, Inc. and Subsidiaries</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(Amounts in thousands, except share data and par value)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0"/>
              </w:rPr>
              <w:t>March 31,</w:t>
            </w:r>
          </w:p>
        </w:tc>
        <w:tc>
          <w:tcPr>
            <w:tcW w:w="220" w:type="dxa"/>
            <w:vAlign w:val="bottom"/>
          </w:tcPr>
          <w:p>
            <w:pPr>
              <w:spacing w:after="0"/>
              <w:rPr>
                <w:sz w:val="10"/>
                <w:szCs w:val="10"/>
                <w:color w:val="auto"/>
              </w:rPr>
            </w:pPr>
          </w:p>
        </w:tc>
        <w:tc>
          <w:tcPr>
            <w:tcW w:w="1040" w:type="dxa"/>
            <w:vAlign w:val="bottom"/>
          </w:tcPr>
          <w:p>
            <w:pPr>
              <w:jc w:val="right"/>
              <w:ind w:right="312"/>
              <w:spacing w:after="0"/>
              <w:rPr>
                <w:sz w:val="20"/>
                <w:szCs w:val="20"/>
                <w:color w:val="auto"/>
              </w:rPr>
            </w:pPr>
            <w:r>
              <w:rPr>
                <w:rFonts w:ascii="Arial" w:cs="Arial" w:eastAsia="Arial" w:hAnsi="Arial"/>
                <w:sz w:val="10"/>
                <w:szCs w:val="10"/>
                <w:b w:val="1"/>
                <w:bCs w:val="1"/>
                <w:color w:val="auto"/>
              </w:rPr>
              <w:t>December 31,</w:t>
            </w:r>
          </w:p>
        </w:tc>
      </w:tr>
      <w:tr>
        <w:trPr>
          <w:trHeight w:val="184"/>
        </w:trPr>
        <w:tc>
          <w:tcPr>
            <w:tcW w:w="8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80"/>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2018</w:t>
            </w:r>
          </w:p>
        </w:tc>
      </w:tr>
      <w:tr>
        <w:trPr>
          <w:trHeight w:val="160"/>
        </w:trPr>
        <w:tc>
          <w:tcPr>
            <w:tcW w:w="8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(Unaudited)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shd w:val="clear" w:color="auto" w:fill="CCEEFF"/>
              </w:rPr>
              <w:t>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cash equivalents, and restricted cash</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32,452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37,403</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Short-term deposits and investments</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16,244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75"/>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Prepaid expenses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10,832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4,673</w:t>
            </w:r>
          </w:p>
        </w:tc>
      </w:tr>
      <w:tr>
        <w:trPr>
          <w:trHeight w:val="138"/>
        </w:trPr>
        <w:tc>
          <w:tcPr>
            <w:tcW w:w="8840" w:type="dxa"/>
            <w:vAlign w:val="bottom"/>
          </w:tcPr>
          <w:p>
            <w:pPr>
              <w:ind w:left="20"/>
              <w:spacing w:after="0"/>
              <w:rPr>
                <w:sz w:val="20"/>
                <w:szCs w:val="20"/>
                <w:color w:val="auto"/>
              </w:rPr>
            </w:pPr>
            <w:r>
              <w:rPr>
                <w:rFonts w:ascii="Arial" w:cs="Arial" w:eastAsia="Arial" w:hAnsi="Arial"/>
                <w:sz w:val="10"/>
                <w:szCs w:val="10"/>
                <w:color w:val="auto"/>
              </w:rPr>
              <w:t>Total current assets</w:t>
            </w:r>
          </w:p>
        </w:tc>
        <w:tc>
          <w:tcPr>
            <w:tcW w:w="220" w:type="dxa"/>
            <w:vAlign w:val="bottom"/>
          </w:tcPr>
          <w:p>
            <w:pPr>
              <w:spacing w:after="0"/>
              <w:rPr>
                <w:sz w:val="12"/>
                <w:szCs w:val="12"/>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59,528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42,076</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Property and equipment, net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2,127</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Right of use asset, net (Note 9)</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1,155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Restricted cash and other assets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279</w:t>
            </w:r>
          </w:p>
        </w:tc>
      </w:tr>
      <w:tr>
        <w:trPr>
          <w:trHeight w:val="144"/>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Total assets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62,482</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44,482</w:t>
            </w:r>
          </w:p>
        </w:tc>
      </w:tr>
      <w:tr>
        <w:trPr>
          <w:trHeight w:val="162"/>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Accounts payable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1,100</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Accrued expenses</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8,500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11,700</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Loan payable, current portion</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21,466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21,385</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Lease liability, current portion (Note 9)</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1,428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75"/>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revenue, current portion</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959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959</w:t>
            </w:r>
          </w:p>
        </w:tc>
      </w:tr>
      <w:tr>
        <w:trPr>
          <w:trHeight w:val="138"/>
        </w:trPr>
        <w:tc>
          <w:tcPr>
            <w:tcW w:w="8840" w:type="dxa"/>
            <w:vAlign w:val="bottom"/>
          </w:tcPr>
          <w:p>
            <w:pPr>
              <w:ind w:left="20"/>
              <w:spacing w:after="0"/>
              <w:rPr>
                <w:sz w:val="20"/>
                <w:szCs w:val="20"/>
                <w:color w:val="auto"/>
              </w:rPr>
            </w:pPr>
            <w:r>
              <w:rPr>
                <w:rFonts w:ascii="Arial" w:cs="Arial" w:eastAsia="Arial" w:hAnsi="Arial"/>
                <w:sz w:val="10"/>
                <w:szCs w:val="10"/>
                <w:color w:val="auto"/>
              </w:rPr>
              <w:t>Total current liabilities</w:t>
            </w:r>
          </w:p>
        </w:tc>
        <w:tc>
          <w:tcPr>
            <w:tcW w:w="220" w:type="dxa"/>
            <w:vAlign w:val="bottom"/>
          </w:tcPr>
          <w:p>
            <w:pPr>
              <w:spacing w:after="0"/>
              <w:rPr>
                <w:sz w:val="12"/>
                <w:szCs w:val="12"/>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33,046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35,144</w:t>
            </w:r>
          </w:p>
        </w:tc>
      </w:tr>
      <w:tr>
        <w:trPr>
          <w:trHeight w:val="184"/>
        </w:trPr>
        <w:tc>
          <w:tcPr>
            <w:tcW w:w="8840" w:type="dxa"/>
            <w:vAlign w:val="bottom"/>
            <w:shd w:val="clear" w:color="auto" w:fill="CCEEFF"/>
          </w:tcPr>
          <w:p>
            <w:pPr>
              <w:ind w:left="20"/>
              <w:spacing w:after="0" w:line="115" w:lineRule="exact"/>
              <w:rPr>
                <w:sz w:val="20"/>
                <w:szCs w:val="20"/>
                <w:color w:val="auto"/>
              </w:rPr>
            </w:pPr>
            <w:r>
              <w:rPr>
                <w:rFonts w:ascii="Arial" w:cs="Arial" w:eastAsia="Arial" w:hAnsi="Arial"/>
                <w:sz w:val="10"/>
                <w:szCs w:val="10"/>
                <w:b w:val="1"/>
                <w:bCs w:val="1"/>
                <w:color w:val="auto"/>
              </w:rPr>
              <w:t>Non</w:t>
            </w:r>
            <w:r>
              <w:rPr>
                <w:rFonts w:ascii="MS PGothic" w:cs="MS PGothic" w:eastAsia="MS PGothic" w:hAnsi="MS PGothic"/>
                <w:sz w:val="10"/>
                <w:szCs w:val="10"/>
                <w:b w:val="1"/>
                <w:bCs w:val="1"/>
                <w:color w:val="auto"/>
              </w:rPr>
              <w:t>‑</w:t>
            </w:r>
            <w:r>
              <w:rPr>
                <w:rFonts w:ascii="Arial" w:cs="Arial" w:eastAsia="Arial" w:hAnsi="Arial"/>
                <w:sz w:val="10"/>
                <w:szCs w:val="10"/>
                <w:b w:val="1"/>
                <w:bCs w:val="1"/>
                <w:color w:val="auto"/>
              </w:rPr>
              <w:t>current liabilities: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Deferred rent and lease incentive</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34</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revenue, net of current portion</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13,816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13,818</w:t>
            </w:r>
          </w:p>
        </w:tc>
      </w:tr>
      <w:tr>
        <w:trPr>
          <w:trHeight w:val="176"/>
        </w:trPr>
        <w:tc>
          <w:tcPr>
            <w:tcW w:w="884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0"/>
                <w:szCs w:val="10"/>
                <w:color w:val="auto"/>
              </w:rPr>
              <w:t>Other long</w:t>
            </w:r>
            <w:r>
              <w:rPr>
                <w:rFonts w:ascii="MS PGothic" w:cs="MS PGothic" w:eastAsia="MS PGothic" w:hAnsi="MS PGothic"/>
                <w:sz w:val="10"/>
                <w:szCs w:val="10"/>
                <w:color w:val="auto"/>
              </w:rPr>
              <w:t>‑</w:t>
            </w:r>
            <w:r>
              <w:rPr>
                <w:rFonts w:ascii="Arial" w:cs="Arial" w:eastAsia="Arial" w:hAnsi="Arial"/>
                <w:sz w:val="10"/>
                <w:szCs w:val="10"/>
                <w:color w:val="auto"/>
              </w:rPr>
              <w:t>term liabilities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801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904</w:t>
            </w:r>
          </w:p>
        </w:tc>
      </w:tr>
      <w:tr>
        <w:trPr>
          <w:trHeight w:val="137"/>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liabilities</w:t>
            </w:r>
          </w:p>
        </w:tc>
        <w:tc>
          <w:tcPr>
            <w:tcW w:w="2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47,663</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49,900</w:t>
            </w:r>
          </w:p>
        </w:tc>
      </w:tr>
      <w:tr>
        <w:trPr>
          <w:trHeight w:val="156"/>
        </w:trPr>
        <w:tc>
          <w:tcPr>
            <w:tcW w:w="8840" w:type="dxa"/>
            <w:vAlign w:val="bottom"/>
          </w:tcPr>
          <w:p>
            <w:pPr>
              <w:ind w:left="20"/>
              <w:spacing w:after="0"/>
              <w:rPr>
                <w:sz w:val="20"/>
                <w:szCs w:val="20"/>
                <w:color w:val="auto"/>
              </w:rPr>
            </w:pPr>
            <w:r>
              <w:rPr>
                <w:rFonts w:ascii="Arial" w:cs="Arial" w:eastAsia="Arial" w:hAnsi="Arial"/>
                <w:sz w:val="10"/>
                <w:szCs w:val="10"/>
                <w:color w:val="auto"/>
              </w:rPr>
              <w:t>Commitments and contingencies (Note 18)</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Stockholders’ equity (deficit):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Preferred stock, $0.0001 par value; 10,000,000 shares authorized; no shares issued and outstanding at March 31, 2019 and December 31, 2018, respectively</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 stock, $0.0001 par value; 200,000,000 shares authorized; 44,788,025 and 22,471,776 shares issued and outstanding as of March 31, 2019 and December 31, 2018, respectively</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Additional paid-in capital</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311,824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279,539</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Accumulated deficit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(292,477)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(280,403)</w:t>
            </w:r>
          </w:p>
        </w:tc>
      </w:tr>
      <w:tr>
        <w:trPr>
          <w:trHeight w:val="17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Accumulated other comprehensive loss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(4,533)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(4,557)</w:t>
            </w:r>
          </w:p>
        </w:tc>
      </w:tr>
      <w:tr>
        <w:trPr>
          <w:trHeight w:val="160"/>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stockholders’ equity (deficit)</w:t>
            </w: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14,819</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(5,418)</w:t>
            </w:r>
          </w:p>
        </w:tc>
      </w:tr>
      <w:tr>
        <w:trPr>
          <w:trHeight w:val="144"/>
        </w:trPr>
        <w:tc>
          <w:tcPr>
            <w:tcW w:w="8840" w:type="dxa"/>
            <w:vAlign w:val="bottom"/>
          </w:tcPr>
          <w:p>
            <w:pPr>
              <w:ind w:left="20"/>
              <w:spacing w:after="0"/>
              <w:rPr>
                <w:sz w:val="20"/>
                <w:szCs w:val="20"/>
                <w:color w:val="auto"/>
              </w:rPr>
            </w:pPr>
            <w:r>
              <w:rPr>
                <w:rFonts w:ascii="Arial" w:cs="Arial" w:eastAsia="Arial" w:hAnsi="Arial"/>
                <w:sz w:val="10"/>
                <w:szCs w:val="10"/>
                <w:color w:val="auto"/>
              </w:rPr>
              <w:t>Total liabilities and stockholders’ equity</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62,482</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44,482</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unaudited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653"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1"/>
          <w:szCs w:val="11"/>
          <w:b w:val="1"/>
          <w:bCs w:val="1"/>
          <w:color w:val="auto"/>
        </w:rPr>
        <w:t>Selecta Biosciences, Inc. and Subsidiaries</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Operations and Comprehensive Loss</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(Amounts 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8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Three Months Ended March 31,</w:t>
            </w:r>
          </w:p>
        </w:tc>
        <w:tc>
          <w:tcPr>
            <w:tcW w:w="860" w:type="dxa"/>
            <w:vAlign w:val="bottom"/>
            <w:tcBorders>
              <w:bottom w:val="single" w:sz="8" w:color="auto"/>
            </w:tcBorders>
          </w:tcPr>
          <w:p>
            <w:pPr>
              <w:spacing w:after="0"/>
              <w:rPr>
                <w:sz w:val="11"/>
                <w:szCs w:val="11"/>
                <w:color w:val="auto"/>
              </w:rPr>
            </w:pPr>
          </w:p>
        </w:tc>
      </w:tr>
      <w:tr>
        <w:trPr>
          <w:trHeight w:val="169"/>
        </w:trPr>
        <w:tc>
          <w:tcPr>
            <w:tcW w:w="1820" w:type="dxa"/>
            <w:vAlign w:val="bottom"/>
            <w:tcBorders>
              <w:bottom w:val="single" w:sz="8" w:color="CCEEFF"/>
            </w:tcBorders>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w w:val="89"/>
              </w:rPr>
              <w:t>2018</w:t>
            </w:r>
          </w:p>
        </w:tc>
      </w:tr>
      <w:tr>
        <w:trPr>
          <w:trHeight w:val="164"/>
        </w:trPr>
        <w:tc>
          <w:tcPr>
            <w:tcW w:w="182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392"/>
              <w:spacing w:after="0"/>
              <w:rPr>
                <w:sz w:val="20"/>
                <w:szCs w:val="20"/>
                <w:color w:val="auto"/>
              </w:rPr>
            </w:pPr>
            <w:r>
              <w:rPr>
                <w:rFonts w:ascii="Arial" w:cs="Arial" w:eastAsia="Arial" w:hAnsi="Arial"/>
                <w:sz w:val="10"/>
                <w:szCs w:val="10"/>
                <w:b w:val="1"/>
                <w:bCs w:val="1"/>
                <w:color w:val="auto"/>
              </w:rPr>
              <w:t>(Unaudited)</w:t>
            </w:r>
          </w:p>
        </w:tc>
        <w:tc>
          <w:tcPr>
            <w:tcW w:w="860" w:type="dxa"/>
            <w:vAlign w:val="bottom"/>
            <w:shd w:val="clear" w:color="auto" w:fill="CCEEFF"/>
          </w:tcPr>
          <w:p>
            <w:pPr>
              <w:spacing w:after="0"/>
              <w:rPr>
                <w:sz w:val="14"/>
                <w:szCs w:val="14"/>
                <w:color w:val="auto"/>
              </w:rPr>
            </w:pPr>
          </w:p>
        </w:tc>
      </w:tr>
      <w:tr>
        <w:trPr>
          <w:trHeight w:val="176"/>
        </w:trPr>
        <w:tc>
          <w:tcPr>
            <w:tcW w:w="8380" w:type="dxa"/>
            <w:vAlign w:val="bottom"/>
            <w:gridSpan w:val="2"/>
          </w:tcPr>
          <w:p>
            <w:pPr>
              <w:ind w:left="20"/>
              <w:spacing w:after="0"/>
              <w:rPr>
                <w:sz w:val="20"/>
                <w:szCs w:val="20"/>
                <w:color w:val="auto"/>
              </w:rPr>
            </w:pPr>
            <w:r>
              <w:rPr>
                <w:rFonts w:ascii="Arial" w:cs="Arial" w:eastAsia="Arial" w:hAnsi="Arial"/>
                <w:sz w:val="10"/>
                <w:szCs w:val="10"/>
                <w:color w:val="auto"/>
              </w:rPr>
              <w:t>Grant and collaboration revenue</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5"/>
                <w:szCs w:val="15"/>
                <w:color w:val="auto"/>
              </w:rPr>
            </w:pP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18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expenses:</w:t>
            </w:r>
          </w:p>
        </w:tc>
        <w:tc>
          <w:tcPr>
            <w:tcW w:w="6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6"/>
        </w:trPr>
        <w:tc>
          <w:tcPr>
            <w:tcW w:w="8380" w:type="dxa"/>
            <w:vAlign w:val="bottom"/>
            <w:gridSpan w:val="2"/>
          </w:tcPr>
          <w:p>
            <w:pPr>
              <w:ind w:left="180"/>
              <w:spacing w:after="0"/>
              <w:rPr>
                <w:sz w:val="20"/>
                <w:szCs w:val="20"/>
                <w:color w:val="auto"/>
              </w:rPr>
            </w:pPr>
            <w:r>
              <w:rPr>
                <w:rFonts w:ascii="Arial" w:cs="Arial" w:eastAsia="Arial" w:hAnsi="Arial"/>
                <w:sz w:val="10"/>
                <w:szCs w:val="10"/>
                <w:color w:val="auto"/>
              </w:rPr>
              <w:t>Research and development</w:t>
            </w:r>
          </w:p>
        </w:tc>
        <w:tc>
          <w:tcPr>
            <w:tcW w:w="88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7,353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11,139</w:t>
            </w:r>
          </w:p>
        </w:tc>
      </w:tr>
      <w:tr>
        <w:trPr>
          <w:trHeight w:val="175"/>
        </w:trPr>
        <w:tc>
          <w:tcPr>
            <w:tcW w:w="18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General and administrative</w:t>
            </w:r>
          </w:p>
        </w:tc>
        <w:tc>
          <w:tcPr>
            <w:tcW w:w="65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4,513</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4,674</w:t>
            </w:r>
          </w:p>
        </w:tc>
      </w:tr>
      <w:tr>
        <w:trPr>
          <w:trHeight w:val="165"/>
        </w:trPr>
        <w:tc>
          <w:tcPr>
            <w:tcW w:w="83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Total operating expenses</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11,866</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15,813</w:t>
            </w:r>
          </w:p>
        </w:tc>
      </w:tr>
      <w:tr>
        <w:trPr>
          <w:trHeight w:val="164"/>
        </w:trPr>
        <w:tc>
          <w:tcPr>
            <w:tcW w:w="1820" w:type="dxa"/>
            <w:vAlign w:val="bottom"/>
            <w:shd w:val="clear" w:color="auto" w:fill="CCEEFF"/>
          </w:tcPr>
          <w:p>
            <w:pPr>
              <w:ind w:left="20"/>
              <w:spacing w:after="0"/>
              <w:rPr>
                <w:sz w:val="20"/>
                <w:szCs w:val="20"/>
                <w:color w:val="auto"/>
              </w:rPr>
            </w:pPr>
            <w:r>
              <w:rPr>
                <w:rFonts w:ascii="Arial" w:cs="Arial" w:eastAsia="Arial" w:hAnsi="Arial"/>
                <w:sz w:val="10"/>
                <w:szCs w:val="10"/>
                <w:color w:val="auto"/>
              </w:rPr>
              <w:t>Loss from operations</w:t>
            </w:r>
          </w:p>
        </w:tc>
        <w:tc>
          <w:tcPr>
            <w:tcW w:w="6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(11,856)</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(15,813)</w:t>
            </w:r>
          </w:p>
        </w:tc>
      </w:tr>
      <w:tr>
        <w:trPr>
          <w:trHeight w:val="176"/>
        </w:trPr>
        <w:tc>
          <w:tcPr>
            <w:tcW w:w="8380" w:type="dxa"/>
            <w:vAlign w:val="bottom"/>
            <w:gridSpan w:val="2"/>
          </w:tcPr>
          <w:p>
            <w:pPr>
              <w:ind w:left="20"/>
              <w:spacing w:after="0"/>
              <w:rPr>
                <w:sz w:val="20"/>
                <w:szCs w:val="20"/>
                <w:color w:val="auto"/>
              </w:rPr>
            </w:pPr>
            <w:r>
              <w:rPr>
                <w:rFonts w:ascii="Arial" w:cs="Arial" w:eastAsia="Arial" w:hAnsi="Arial"/>
                <w:sz w:val="10"/>
                <w:szCs w:val="10"/>
                <w:color w:val="auto"/>
              </w:rPr>
              <w:t>Investment income</w:t>
            </w:r>
          </w:p>
        </w:tc>
        <w:tc>
          <w:tcPr>
            <w:tcW w:w="88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277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288</w:t>
            </w:r>
          </w:p>
        </w:tc>
      </w:tr>
      <w:tr>
        <w:trPr>
          <w:trHeight w:val="184"/>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currency transaction (loss), net</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(13)</w:t>
            </w:r>
          </w:p>
        </w:tc>
      </w:tr>
      <w:tr>
        <w:trPr>
          <w:trHeight w:val="176"/>
        </w:trPr>
        <w:tc>
          <w:tcPr>
            <w:tcW w:w="8380" w:type="dxa"/>
            <w:vAlign w:val="bottom"/>
            <w:gridSpan w:val="2"/>
          </w:tcPr>
          <w:p>
            <w:pPr>
              <w:ind w:left="20"/>
              <w:spacing w:after="0"/>
              <w:rPr>
                <w:sz w:val="20"/>
                <w:szCs w:val="20"/>
                <w:color w:val="auto"/>
              </w:rPr>
            </w:pPr>
            <w:r>
              <w:rPr>
                <w:rFonts w:ascii="Arial" w:cs="Arial" w:eastAsia="Arial" w:hAnsi="Arial"/>
                <w:sz w:val="10"/>
                <w:szCs w:val="10"/>
                <w:color w:val="auto"/>
              </w:rPr>
              <w:t>Interest expense</w:t>
            </w:r>
          </w:p>
        </w:tc>
        <w:tc>
          <w:tcPr>
            <w:tcW w:w="88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(396)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(350)</w:t>
            </w:r>
          </w:p>
        </w:tc>
      </w:tr>
      <w:tr>
        <w:trPr>
          <w:trHeight w:val="180"/>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(expense), net</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(69)</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60"/>
        </w:trPr>
        <w:tc>
          <w:tcPr>
            <w:tcW w:w="83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Net loss</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(12,074)</w:t>
            </w: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(15,888)</w:t>
            </w:r>
          </w:p>
        </w:tc>
      </w:tr>
      <w:tr>
        <w:trPr>
          <w:trHeight w:val="17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6"/>
        </w:trPr>
        <w:tc>
          <w:tcPr>
            <w:tcW w:w="8380" w:type="dxa"/>
            <w:vAlign w:val="bottom"/>
            <w:gridSpan w:val="2"/>
          </w:tcPr>
          <w:p>
            <w:pPr>
              <w:ind w:left="180"/>
              <w:spacing w:after="0"/>
              <w:rPr>
                <w:sz w:val="20"/>
                <w:szCs w:val="20"/>
                <w:color w:val="auto"/>
              </w:rPr>
            </w:pPr>
            <w:r>
              <w:rPr>
                <w:rFonts w:ascii="Arial" w:cs="Arial" w:eastAsia="Arial" w:hAnsi="Arial"/>
                <w:sz w:val="10"/>
                <w:szCs w:val="10"/>
                <w:color w:val="auto"/>
              </w:rPr>
              <w:t>Foreign currency translation adjustment</w:t>
            </w:r>
          </w:p>
        </w:tc>
        <w:tc>
          <w:tcPr>
            <w:tcW w:w="88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22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19</w:t>
            </w:r>
          </w:p>
        </w:tc>
      </w:tr>
      <w:tr>
        <w:trPr>
          <w:trHeight w:val="180"/>
        </w:trPr>
        <w:tc>
          <w:tcPr>
            <w:tcW w:w="8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Unrealized gain on securities</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r>
      <w:tr>
        <w:trPr>
          <w:trHeight w:val="162"/>
        </w:trPr>
        <w:tc>
          <w:tcPr>
            <w:tcW w:w="83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Total comprehensive loss</w:t>
            </w: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(12,050)</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(15,866)</w:t>
            </w:r>
          </w:p>
        </w:tc>
      </w:tr>
      <w:tr>
        <w:trPr>
          <w:trHeight w:val="189"/>
        </w:trPr>
        <w:tc>
          <w:tcPr>
            <w:tcW w:w="182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6"/>
        </w:trPr>
        <w:tc>
          <w:tcPr>
            <w:tcW w:w="83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88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(12,074)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(15,888)</w:t>
            </w: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89"/>
              </w:rPr>
              <w:t>Net loss attributable to common stockholders</w:t>
            </w:r>
          </w:p>
        </w:tc>
        <w:tc>
          <w:tcPr>
            <w:tcW w:w="65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(12,074)</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(15,888)</w:t>
            </w:r>
          </w:p>
        </w:tc>
      </w:tr>
      <w:tr>
        <w:trPr>
          <w:trHeight w:val="189"/>
        </w:trPr>
        <w:tc>
          <w:tcPr>
            <w:tcW w:w="18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18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 per share:</w:t>
            </w:r>
          </w:p>
        </w:tc>
        <w:tc>
          <w:tcPr>
            <w:tcW w:w="6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8"/>
        </w:trPr>
        <w:tc>
          <w:tcPr>
            <w:tcW w:w="8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0"/>
                <w:szCs w:val="10"/>
                <w:color w:val="auto"/>
              </w:rPr>
              <w:t>Basic and diluted</w:t>
            </w: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(0.31)</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(0.71)</w:t>
            </w:r>
          </w:p>
        </w:tc>
      </w:tr>
      <w:tr>
        <w:trPr>
          <w:trHeight w:val="180"/>
        </w:trPr>
        <w:tc>
          <w:tcPr>
            <w:tcW w:w="182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Weighted average common shares outstanding:</w:t>
            </w:r>
          </w:p>
        </w:tc>
        <w:tc>
          <w:tcPr>
            <w:tcW w:w="6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8"/>
        </w:trPr>
        <w:tc>
          <w:tcPr>
            <w:tcW w:w="8380" w:type="dxa"/>
            <w:vAlign w:val="bottom"/>
            <w:gridSpan w:val="2"/>
          </w:tcPr>
          <w:p>
            <w:pPr>
              <w:ind w:left="180"/>
              <w:spacing w:after="0"/>
              <w:rPr>
                <w:sz w:val="20"/>
                <w:szCs w:val="20"/>
                <w:color w:val="auto"/>
              </w:rPr>
            </w:pPr>
            <w:r>
              <w:rPr>
                <w:rFonts w:ascii="Arial" w:cs="Arial" w:eastAsia="Arial" w:hAnsi="Arial"/>
                <w:sz w:val="10"/>
                <w:szCs w:val="10"/>
                <w:color w:val="auto"/>
              </w:rPr>
              <w:t>Basic and diluted</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5"/>
              </w:rPr>
              <w:t>38,447,319</w:t>
            </w: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22,345,523</w:t>
            </w: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671" w:right="1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1"/>
          <w:szCs w:val="11"/>
          <w:b w:val="1"/>
          <w:bCs w:val="1"/>
          <w:color w:val="auto"/>
        </w:rPr>
        <w:t>Selecta Biosciences, Inc. and Subsidiaries</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Changes in Stockholders’ Equity (Deficit)</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(Amounts in thousands, except share data)</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152"/>
              <w:spacing w:after="0"/>
              <w:rPr>
                <w:sz w:val="20"/>
                <w:szCs w:val="20"/>
                <w:color w:val="auto"/>
              </w:rPr>
            </w:pPr>
            <w:r>
              <w:rPr>
                <w:rFonts w:ascii="Arial" w:cs="Arial" w:eastAsia="Arial" w:hAnsi="Arial"/>
                <w:sz w:val="10"/>
                <w:szCs w:val="10"/>
                <w:b w:val="1"/>
                <w:bCs w:val="1"/>
                <w:color w:val="auto"/>
                <w:w w:val="85"/>
              </w:rPr>
              <w:t>Accumulated</w:t>
            </w: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0"/>
        </w:trPr>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Arial" w:cs="Arial" w:eastAsia="Arial" w:hAnsi="Arial"/>
                <w:sz w:val="10"/>
                <w:szCs w:val="10"/>
                <w:b w:val="1"/>
                <w:bCs w:val="1"/>
                <w:color w:val="auto"/>
              </w:rPr>
              <w:t>Additional</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152"/>
              <w:spacing w:after="0"/>
              <w:rPr>
                <w:sz w:val="20"/>
                <w:szCs w:val="20"/>
                <w:color w:val="auto"/>
              </w:rPr>
            </w:pPr>
            <w:r>
              <w:rPr>
                <w:rFonts w:ascii="Arial" w:cs="Arial" w:eastAsia="Arial" w:hAnsi="Arial"/>
                <w:sz w:val="10"/>
                <w:szCs w:val="10"/>
                <w:b w:val="1"/>
                <w:bCs w:val="1"/>
                <w:color w:val="auto"/>
                <w:w w:val="87"/>
              </w:rPr>
              <w:t>other</w:t>
            </w:r>
          </w:p>
        </w:tc>
        <w:tc>
          <w:tcPr>
            <w:tcW w:w="300" w:type="dxa"/>
            <w:vAlign w:val="bottom"/>
          </w:tcPr>
          <w:p>
            <w:pPr>
              <w:spacing w:after="0"/>
              <w:rPr>
                <w:sz w:val="15"/>
                <w:szCs w:val="15"/>
                <w:color w:val="auto"/>
              </w:rPr>
            </w:pPr>
          </w:p>
        </w:tc>
        <w:tc>
          <w:tcPr>
            <w:tcW w:w="1040" w:type="dxa"/>
            <w:vAlign w:val="bottom"/>
          </w:tcPr>
          <w:p>
            <w:pPr>
              <w:jc w:val="center"/>
              <w:ind w:right="152"/>
              <w:spacing w:after="0"/>
              <w:rPr>
                <w:sz w:val="20"/>
                <w:szCs w:val="20"/>
                <w:color w:val="auto"/>
              </w:rPr>
            </w:pPr>
            <w:r>
              <w:rPr>
                <w:rFonts w:ascii="Arial" w:cs="Arial" w:eastAsia="Arial" w:hAnsi="Arial"/>
                <w:sz w:val="10"/>
                <w:szCs w:val="10"/>
                <w:b w:val="1"/>
                <w:bCs w:val="1"/>
                <w:color w:val="auto"/>
                <w:w w:val="84"/>
              </w:rPr>
              <w:t>Stockholders’</w:t>
            </w:r>
          </w:p>
        </w:tc>
      </w:tr>
      <w:tr>
        <w:trPr>
          <w:trHeight w:val="184"/>
        </w:trPr>
        <w:tc>
          <w:tcPr>
            <w:tcW w:w="436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0"/>
                <w:szCs w:val="10"/>
                <w:b w:val="1"/>
                <w:bCs w:val="1"/>
                <w:color w:val="auto"/>
              </w:rPr>
              <w:t>Common stock</w:t>
            </w:r>
          </w:p>
        </w:tc>
        <w:tc>
          <w:tcPr>
            <w:tcW w:w="300" w:type="dxa"/>
            <w:vAlign w:val="bottom"/>
          </w:tcPr>
          <w:p>
            <w:pPr>
              <w:spacing w:after="0"/>
              <w:rPr>
                <w:sz w:val="16"/>
                <w:szCs w:val="16"/>
                <w:color w:val="auto"/>
              </w:rPr>
            </w:pPr>
          </w:p>
        </w:tc>
        <w:tc>
          <w:tcPr>
            <w:tcW w:w="860" w:type="dxa"/>
            <w:vAlign w:val="bottom"/>
          </w:tcPr>
          <w:p>
            <w:pPr>
              <w:jc w:val="right"/>
              <w:ind w:right="332"/>
              <w:spacing w:after="0" w:line="115" w:lineRule="exact"/>
              <w:rPr>
                <w:sz w:val="20"/>
                <w:szCs w:val="20"/>
                <w:color w:val="auto"/>
              </w:rPr>
            </w:pPr>
            <w:r>
              <w:rPr>
                <w:rFonts w:ascii="Arial" w:cs="Arial" w:eastAsia="Arial" w:hAnsi="Arial"/>
                <w:sz w:val="10"/>
                <w:szCs w:val="10"/>
                <w:b w:val="1"/>
                <w:bCs w:val="1"/>
                <w:color w:val="auto"/>
              </w:rPr>
              <w:t>paid</w:t>
            </w:r>
            <w:r>
              <w:rPr>
                <w:rFonts w:ascii="MS PGothic" w:cs="MS PGothic" w:eastAsia="MS PGothic" w:hAnsi="MS PGothic"/>
                <w:sz w:val="10"/>
                <w:szCs w:val="10"/>
                <w:b w:val="1"/>
                <w:bCs w:val="1"/>
                <w:color w:val="auto"/>
              </w:rPr>
              <w:t>‑</w:t>
            </w:r>
            <w:r>
              <w:rPr>
                <w:rFonts w:ascii="Arial" w:cs="Arial" w:eastAsia="Arial" w:hAnsi="Arial"/>
                <w:sz w:val="10"/>
                <w:szCs w:val="10"/>
                <w:b w:val="1"/>
                <w:bCs w:val="1"/>
                <w:color w:val="auto"/>
              </w:rPr>
              <w:t>In</w:t>
            </w:r>
          </w:p>
        </w:tc>
        <w:tc>
          <w:tcPr>
            <w:tcW w:w="320" w:type="dxa"/>
            <w:vAlign w:val="bottom"/>
          </w:tcPr>
          <w:p>
            <w:pPr>
              <w:spacing w:after="0"/>
              <w:rPr>
                <w:sz w:val="16"/>
                <w:szCs w:val="16"/>
                <w:color w:val="auto"/>
              </w:rPr>
            </w:pPr>
          </w:p>
        </w:tc>
        <w:tc>
          <w:tcPr>
            <w:tcW w:w="1080" w:type="dxa"/>
            <w:vAlign w:val="bottom"/>
          </w:tcPr>
          <w:p>
            <w:pPr>
              <w:jc w:val="right"/>
              <w:ind w:right="332"/>
              <w:spacing w:after="0"/>
              <w:rPr>
                <w:sz w:val="20"/>
                <w:szCs w:val="20"/>
                <w:color w:val="auto"/>
              </w:rPr>
            </w:pPr>
            <w:r>
              <w:rPr>
                <w:rFonts w:ascii="Arial" w:cs="Arial" w:eastAsia="Arial" w:hAnsi="Arial"/>
                <w:sz w:val="10"/>
                <w:szCs w:val="10"/>
                <w:b w:val="1"/>
                <w:bCs w:val="1"/>
                <w:color w:val="auto"/>
              </w:rPr>
              <w:t>Accumulated</w:t>
            </w:r>
          </w:p>
        </w:tc>
        <w:tc>
          <w:tcPr>
            <w:tcW w:w="300" w:type="dxa"/>
            <w:vAlign w:val="bottom"/>
          </w:tcPr>
          <w:p>
            <w:pPr>
              <w:spacing w:after="0"/>
              <w:rPr>
                <w:sz w:val="16"/>
                <w:szCs w:val="16"/>
                <w:color w:val="auto"/>
              </w:rPr>
            </w:pPr>
          </w:p>
        </w:tc>
        <w:tc>
          <w:tcPr>
            <w:tcW w:w="1060" w:type="dxa"/>
            <w:vAlign w:val="bottom"/>
          </w:tcPr>
          <w:p>
            <w:pPr>
              <w:jc w:val="center"/>
              <w:ind w:right="172"/>
              <w:spacing w:after="0"/>
              <w:rPr>
                <w:sz w:val="20"/>
                <w:szCs w:val="20"/>
                <w:color w:val="auto"/>
              </w:rPr>
            </w:pPr>
            <w:r>
              <w:rPr>
                <w:rFonts w:ascii="Arial" w:cs="Arial" w:eastAsia="Arial" w:hAnsi="Arial"/>
                <w:sz w:val="10"/>
                <w:szCs w:val="10"/>
                <w:b w:val="1"/>
                <w:bCs w:val="1"/>
                <w:color w:val="auto"/>
                <w:w w:val="81"/>
              </w:rPr>
              <w:t>comprehensive</w:t>
            </w:r>
          </w:p>
        </w:tc>
        <w:tc>
          <w:tcPr>
            <w:tcW w:w="300" w:type="dxa"/>
            <w:vAlign w:val="bottom"/>
          </w:tcPr>
          <w:p>
            <w:pPr>
              <w:spacing w:after="0"/>
              <w:rPr>
                <w:sz w:val="16"/>
                <w:szCs w:val="16"/>
                <w:color w:val="auto"/>
              </w:rPr>
            </w:pPr>
          </w:p>
        </w:tc>
        <w:tc>
          <w:tcPr>
            <w:tcW w:w="1040" w:type="dxa"/>
            <w:vAlign w:val="bottom"/>
          </w:tcPr>
          <w:p>
            <w:pPr>
              <w:jc w:val="center"/>
              <w:ind w:right="152"/>
              <w:spacing w:after="0"/>
              <w:rPr>
                <w:sz w:val="20"/>
                <w:szCs w:val="20"/>
                <w:color w:val="auto"/>
              </w:rPr>
            </w:pPr>
            <w:r>
              <w:rPr>
                <w:rFonts w:ascii="Arial" w:cs="Arial" w:eastAsia="Arial" w:hAnsi="Arial"/>
                <w:sz w:val="10"/>
                <w:szCs w:val="10"/>
                <w:b w:val="1"/>
                <w:bCs w:val="1"/>
                <w:color w:val="auto"/>
                <w:w w:val="91"/>
              </w:rPr>
              <w:t>Equity</w:t>
            </w:r>
          </w:p>
        </w:tc>
      </w:tr>
      <w:tr>
        <w:trPr>
          <w:trHeight w:val="160"/>
        </w:trPr>
        <w:tc>
          <w:tcPr>
            <w:tcW w:w="4360" w:type="dxa"/>
            <w:vAlign w:val="bottom"/>
          </w:tcPr>
          <w:p>
            <w:pPr>
              <w:spacing w:after="0"/>
              <w:rPr>
                <w:sz w:val="13"/>
                <w:szCs w:val="1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Amount</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Capital</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deficit</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79"/>
              </w:rPr>
              <w:t>loss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1"/>
              </w:rPr>
              <w:t>(Deficit)</w:t>
            </w:r>
          </w:p>
        </w:tc>
      </w:tr>
      <w:tr>
        <w:trPr>
          <w:trHeight w:val="18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Balance at December 31, 2018</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22,471,776</w:t>
            </w: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279,539</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(280,403)</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(4,557)</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(5,418)</w:t>
            </w: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common stock under Employee Stock Purchase Plan</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11,943</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20</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20</w:t>
            </w:r>
          </w:p>
        </w:tc>
      </w:tr>
    </w:tbl>
    <w:p>
      <w:pPr>
        <w:spacing w:after="0" w:line="51" w:lineRule="exact"/>
        <w:rPr>
          <w:sz w:val="20"/>
          <w:szCs w:val="20"/>
          <w:color w:val="auto"/>
        </w:rPr>
      </w:pPr>
    </w:p>
    <w:p>
      <w:pPr>
        <w:sectPr>
          <w:pgSz w:w="11900" w:h="16838" w:orient="portrait"/>
          <w:cols w:equalWidth="0" w:num="1">
            <w:col w:w="11480"/>
          </w:cols>
          <w:pgMar w:left="220" w:top="671" w:right="199" w:bottom="1440" w:gutter="0" w:footer="0" w:header="0"/>
        </w:sectPr>
      </w:pPr>
    </w:p>
    <w:p>
      <w:pPr>
        <w:ind w:left="20"/>
        <w:spacing w:after="0"/>
        <w:rPr>
          <w:sz w:val="20"/>
          <w:szCs w:val="20"/>
          <w:color w:val="auto"/>
        </w:rPr>
      </w:pPr>
      <w:r>
        <w:rPr>
          <w:rFonts w:ascii="Arial" w:cs="Arial" w:eastAsia="Arial" w:hAnsi="Arial"/>
          <w:sz w:val="8"/>
          <w:szCs w:val="8"/>
          <w:color w:val="auto"/>
        </w:rPr>
        <w:t>Issuance of common stock upon exercise of options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8"/>
          <w:szCs w:val="8"/>
          <w:color w:val="auto"/>
        </w:rPr>
        <w:t>Issuance of common stock, net of issuance costs of $344.1</w:t>
      </w:r>
    </w:p>
    <w:p>
      <w:pPr>
        <w:spacing w:after="0" w:line="88" w:lineRule="exact"/>
        <w:rPr>
          <w:sz w:val="20"/>
          <w:szCs w:val="20"/>
          <w:color w:val="auto"/>
        </w:rPr>
      </w:pPr>
    </w:p>
    <w:p>
      <w:pPr>
        <w:ind w:left="2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 compensation expense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0"/>
          <w:szCs w:val="10"/>
          <w:color w:val="auto"/>
        </w:rPr>
        <w:t>Currency translation adjustment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0"/>
          <w:szCs w:val="10"/>
          <w:color w:val="auto"/>
        </w:rPr>
        <w:t>Unrealized gains (losses) on securities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0"/>
          <w:szCs w:val="10"/>
          <w:color w:val="auto"/>
        </w:rPr>
        <w:t>Net loss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0"/>
          <w:szCs w:val="10"/>
          <w:color w:val="auto"/>
        </w:rPr>
        <w:t>Balance at March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880" w:type="dxa"/>
            <w:vAlign w:val="bottom"/>
          </w:tcPr>
          <w:p>
            <w:pPr>
              <w:jc w:val="right"/>
              <w:ind w:right="12"/>
              <w:spacing w:after="0"/>
              <w:rPr>
                <w:sz w:val="20"/>
                <w:szCs w:val="20"/>
                <w:color w:val="auto"/>
              </w:rPr>
            </w:pPr>
            <w:r>
              <w:rPr>
                <w:rFonts w:ascii="Arial" w:cs="Arial" w:eastAsia="Arial" w:hAnsi="Arial"/>
                <w:sz w:val="10"/>
                <w:szCs w:val="10"/>
                <w:color w:val="auto"/>
              </w:rPr>
              <w:t>115,600</w:t>
            </w:r>
          </w:p>
        </w:tc>
        <w:tc>
          <w:tcPr>
            <w:tcW w:w="44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145</w:t>
            </w:r>
          </w:p>
        </w:tc>
        <w:tc>
          <w:tcPr>
            <w:tcW w:w="56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0"/>
                <w:szCs w:val="1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145</w:t>
            </w:r>
          </w:p>
        </w:tc>
      </w:tr>
      <w:tr>
        <w:trPr>
          <w:trHeight w:val="180"/>
        </w:trPr>
        <w:tc>
          <w:tcPr>
            <w:tcW w:w="880" w:type="dxa"/>
            <w:vAlign w:val="bottom"/>
          </w:tcPr>
          <w:p>
            <w:pPr>
              <w:jc w:val="right"/>
              <w:ind w:right="12"/>
              <w:spacing w:after="0"/>
              <w:rPr>
                <w:sz w:val="20"/>
                <w:szCs w:val="20"/>
                <w:color w:val="auto"/>
              </w:rPr>
            </w:pPr>
            <w:r>
              <w:rPr>
                <w:rFonts w:ascii="Arial" w:cs="Arial" w:eastAsia="Arial" w:hAnsi="Arial"/>
                <w:sz w:val="10"/>
                <w:szCs w:val="10"/>
                <w:color w:val="auto"/>
              </w:rPr>
              <w:t>22,188,706</w:t>
            </w:r>
          </w:p>
        </w:tc>
        <w:tc>
          <w:tcPr>
            <w:tcW w:w="44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30,940</w:t>
            </w:r>
          </w:p>
        </w:tc>
        <w:tc>
          <w:tcPr>
            <w:tcW w:w="56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5"/>
                <w:szCs w:val="15"/>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30,942</w:t>
            </w:r>
          </w:p>
        </w:tc>
      </w:tr>
      <w:tr>
        <w:trPr>
          <w:trHeight w:val="180"/>
        </w:trPr>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1,180</w:t>
            </w:r>
          </w:p>
        </w:tc>
        <w:tc>
          <w:tcPr>
            <w:tcW w:w="56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5"/>
                <w:szCs w:val="15"/>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1,180</w:t>
            </w:r>
          </w:p>
        </w:tc>
      </w:tr>
      <w:tr>
        <w:trPr>
          <w:trHeight w:val="180"/>
        </w:trPr>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22</w:t>
            </w:r>
          </w:p>
        </w:tc>
        <w:tc>
          <w:tcPr>
            <w:tcW w:w="540" w:type="dxa"/>
            <w:vAlign w:val="bottom"/>
          </w:tcPr>
          <w:p>
            <w:pPr>
              <w:spacing w:after="0"/>
              <w:rPr>
                <w:sz w:val="15"/>
                <w:szCs w:val="15"/>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22</w:t>
            </w:r>
          </w:p>
        </w:tc>
      </w:tr>
      <w:tr>
        <w:trPr>
          <w:trHeight w:val="180"/>
        </w:trPr>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540" w:type="dxa"/>
            <w:vAlign w:val="bottom"/>
          </w:tcPr>
          <w:p>
            <w:pPr>
              <w:spacing w:after="0"/>
              <w:rPr>
                <w:sz w:val="15"/>
                <w:szCs w:val="15"/>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w:t>
            </w:r>
          </w:p>
        </w:tc>
      </w:tr>
      <w:tr>
        <w:trPr>
          <w:trHeight w:val="184"/>
        </w:trPr>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(12,074)</w:t>
            </w: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(12,074)</w:t>
            </w:r>
          </w:p>
        </w:tc>
      </w:tr>
      <w:tr>
        <w:trPr>
          <w:trHeight w:val="180"/>
        </w:trPr>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44,788,025</w:t>
            </w:r>
          </w:p>
        </w:tc>
        <w:tc>
          <w:tcPr>
            <w:tcW w:w="4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w:t>
            </w: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311,824</w:t>
            </w:r>
          </w:p>
        </w:tc>
        <w:tc>
          <w:tcPr>
            <w:tcW w:w="5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(292,477)</w:t>
            </w: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(4,533)</w:t>
            </w: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14,819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-708660</wp:posOffset>
            </wp:positionV>
            <wp:extent cx="729234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-480060</wp:posOffset>
            </wp:positionV>
            <wp:extent cx="729234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-250825</wp:posOffset>
            </wp:positionV>
            <wp:extent cx="729234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640" w:space="720"/>
            <w:col w:w="7120"/>
          </w:cols>
          <w:pgMar w:left="220" w:top="671" w:right="199" w:bottom="1440" w:gutter="0" w:footer="0" w:header="0"/>
          <w:type w:val="continuous"/>
        </w:sect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unaudited consolidated financial statements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Selecta Biosciences, Inc. and Subsidiaries</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Changes in Stockholders’ Equity (Deficit)</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(Amounts in thousands, except share data)</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0"/>
        </w:trPr>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other</w:t>
            </w:r>
          </w:p>
        </w:tc>
        <w:tc>
          <w:tcPr>
            <w:tcW w:w="200" w:type="dxa"/>
            <w:vAlign w:val="bottom"/>
          </w:tcPr>
          <w:p>
            <w:pPr>
              <w:spacing w:after="0"/>
              <w:rPr>
                <w:sz w:val="15"/>
                <w:szCs w:val="15"/>
                <w:color w:val="auto"/>
              </w:rPr>
            </w:pPr>
          </w:p>
        </w:tc>
        <w:tc>
          <w:tcPr>
            <w:tcW w:w="1040" w:type="dxa"/>
            <w:vAlign w:val="bottom"/>
          </w:tcPr>
          <w:p>
            <w:pPr>
              <w:jc w:val="center"/>
              <w:ind w:right="152"/>
              <w:spacing w:after="0"/>
              <w:rPr>
                <w:sz w:val="20"/>
                <w:szCs w:val="20"/>
                <w:color w:val="auto"/>
              </w:rPr>
            </w:pPr>
            <w:r>
              <w:rPr>
                <w:rFonts w:ascii="Arial" w:cs="Arial" w:eastAsia="Arial" w:hAnsi="Arial"/>
                <w:sz w:val="10"/>
                <w:szCs w:val="10"/>
                <w:b w:val="1"/>
                <w:bCs w:val="1"/>
                <w:color w:val="auto"/>
                <w:w w:val="85"/>
              </w:rPr>
              <w:t>Stockholders'</w:t>
            </w:r>
          </w:p>
        </w:tc>
      </w:tr>
      <w:tr>
        <w:trPr>
          <w:trHeight w:val="184"/>
        </w:trPr>
        <w:tc>
          <w:tcPr>
            <w:tcW w:w="436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20"/>
              <w:spacing w:after="0" w:line="115" w:lineRule="exact"/>
              <w:rPr>
                <w:sz w:val="20"/>
                <w:szCs w:val="20"/>
                <w:color w:val="auto"/>
              </w:rPr>
            </w:pPr>
            <w:r>
              <w:rPr>
                <w:rFonts w:ascii="Arial" w:cs="Arial" w:eastAsia="Arial" w:hAnsi="Arial"/>
                <w:sz w:val="10"/>
                <w:szCs w:val="10"/>
                <w:b w:val="1"/>
                <w:bCs w:val="1"/>
                <w:color w:val="auto"/>
                <w:w w:val="92"/>
              </w:rPr>
              <w:t>paid</w:t>
            </w:r>
            <w:r>
              <w:rPr>
                <w:rFonts w:ascii="MS PGothic" w:cs="MS PGothic" w:eastAsia="MS PGothic" w:hAnsi="MS PGothic"/>
                <w:sz w:val="10"/>
                <w:szCs w:val="10"/>
                <w:b w:val="1"/>
                <w:bCs w:val="1"/>
                <w:color w:val="auto"/>
                <w:w w:val="92"/>
              </w:rPr>
              <w:t>‑</w:t>
            </w:r>
            <w:r>
              <w:rPr>
                <w:rFonts w:ascii="Arial" w:cs="Arial" w:eastAsia="Arial" w:hAnsi="Arial"/>
                <w:sz w:val="10"/>
                <w:szCs w:val="10"/>
                <w:b w:val="1"/>
                <w:bCs w:val="1"/>
                <w:color w:val="auto"/>
                <w:w w:val="92"/>
              </w:rPr>
              <w:t>In</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5"/>
              </w:rPr>
              <w:t>Accumulated</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comprehensive</w:t>
            </w:r>
          </w:p>
        </w:tc>
        <w:tc>
          <w:tcPr>
            <w:tcW w:w="200" w:type="dxa"/>
            <w:vAlign w:val="bottom"/>
          </w:tcPr>
          <w:p>
            <w:pPr>
              <w:spacing w:after="0"/>
              <w:rPr>
                <w:sz w:val="16"/>
                <w:szCs w:val="16"/>
                <w:color w:val="auto"/>
              </w:rPr>
            </w:pPr>
          </w:p>
        </w:tc>
        <w:tc>
          <w:tcPr>
            <w:tcW w:w="1040" w:type="dxa"/>
            <w:vAlign w:val="bottom"/>
          </w:tcPr>
          <w:p>
            <w:pPr>
              <w:jc w:val="center"/>
              <w:ind w:right="152"/>
              <w:spacing w:after="0"/>
              <w:rPr>
                <w:sz w:val="20"/>
                <w:szCs w:val="20"/>
                <w:color w:val="auto"/>
              </w:rPr>
            </w:pPr>
            <w:r>
              <w:rPr>
                <w:rFonts w:ascii="Arial" w:cs="Arial" w:eastAsia="Arial" w:hAnsi="Arial"/>
                <w:sz w:val="10"/>
                <w:szCs w:val="10"/>
                <w:b w:val="1"/>
                <w:bCs w:val="1"/>
                <w:color w:val="auto"/>
                <w:w w:val="91"/>
              </w:rPr>
              <w:t>Equity</w:t>
            </w:r>
          </w:p>
        </w:tc>
      </w:tr>
      <w:tr>
        <w:trPr>
          <w:trHeight w:val="160"/>
        </w:trPr>
        <w:tc>
          <w:tcPr>
            <w:tcW w:w="4360" w:type="dxa"/>
            <w:vAlign w:val="bottom"/>
          </w:tcPr>
          <w:p>
            <w:pPr>
              <w:spacing w:after="0"/>
              <w:rPr>
                <w:sz w:val="13"/>
                <w:szCs w:val="13"/>
                <w:color w:val="auto"/>
              </w:rPr>
            </w:pPr>
          </w:p>
        </w:tc>
        <w:tc>
          <w:tcPr>
            <w:tcW w:w="880" w:type="dxa"/>
            <w:vAlign w:val="bottom"/>
          </w:tcPr>
          <w:p>
            <w:pPr>
              <w:jc w:val="right"/>
              <w:ind w:right="232"/>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Capital</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8"/>
              </w:rPr>
              <w:t>deficit</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87"/>
              </w:rPr>
              <w:t>loss</w:t>
            </w:r>
          </w:p>
        </w:tc>
        <w:tc>
          <w:tcPr>
            <w:tcW w:w="200" w:type="dxa"/>
            <w:vAlign w:val="bottom"/>
          </w:tcPr>
          <w:p>
            <w:pPr>
              <w:spacing w:after="0"/>
              <w:rPr>
                <w:sz w:val="13"/>
                <w:szCs w:val="13"/>
                <w:color w:val="auto"/>
              </w:rPr>
            </w:pPr>
          </w:p>
        </w:tc>
        <w:tc>
          <w:tcPr>
            <w:tcW w:w="1040" w:type="dxa"/>
            <w:vAlign w:val="bottom"/>
          </w:tcPr>
          <w:p>
            <w:pPr>
              <w:jc w:val="center"/>
              <w:ind w:right="172"/>
              <w:spacing w:after="0"/>
              <w:rPr>
                <w:sz w:val="20"/>
                <w:szCs w:val="20"/>
                <w:color w:val="auto"/>
              </w:rPr>
            </w:pPr>
            <w:r>
              <w:rPr>
                <w:rFonts w:ascii="Arial" w:cs="Arial" w:eastAsia="Arial" w:hAnsi="Arial"/>
                <w:sz w:val="10"/>
                <w:szCs w:val="10"/>
                <w:b w:val="1"/>
                <w:bCs w:val="1"/>
                <w:color w:val="auto"/>
                <w:w w:val="91"/>
              </w:rPr>
              <w:t>(Deficit)</w:t>
            </w:r>
          </w:p>
        </w:tc>
      </w:tr>
      <w:tr>
        <w:trPr>
          <w:trHeight w:val="16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2017</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22,343,254</w:t>
            </w: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rPr>
              <w:t>$</w:t>
            </w:r>
          </w:p>
        </w:tc>
        <w:tc>
          <w:tcPr>
            <w:tcW w:w="7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273,128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rPr>
              <w:t>(216,897)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rPr>
              <w:t>(4,420)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51,814</w:t>
            </w:r>
          </w:p>
        </w:tc>
      </w:tr>
      <w:tr>
        <w:trPr>
          <w:trHeight w:val="158"/>
        </w:trPr>
        <w:tc>
          <w:tcPr>
            <w:tcW w:w="4360" w:type="dxa"/>
            <w:vAlign w:val="bottom"/>
          </w:tcPr>
          <w:p>
            <w:pPr>
              <w:ind w:left="20"/>
              <w:spacing w:after="0"/>
              <w:rPr>
                <w:sz w:val="20"/>
                <w:szCs w:val="20"/>
                <w:color w:val="auto"/>
              </w:rPr>
            </w:pPr>
            <w:r>
              <w:rPr>
                <w:rFonts w:ascii="Arial" w:cs="Arial" w:eastAsia="Arial" w:hAnsi="Arial"/>
                <w:sz w:val="10"/>
                <w:szCs w:val="10"/>
                <w:color w:val="auto"/>
              </w:rPr>
              <w:t>Adoption of new accounting principle</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1,830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1,830</w:t>
            </w:r>
          </w:p>
        </w:tc>
      </w:tr>
      <w:tr>
        <w:trPr>
          <w:trHeight w:val="184"/>
        </w:trPr>
        <w:tc>
          <w:tcPr>
            <w:tcW w:w="4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common stock under Employee Stock Purchase Plan</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6,586</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w:t>
            </w:r>
          </w:p>
        </w:tc>
      </w:tr>
      <w:tr>
        <w:trPr>
          <w:trHeight w:val="176"/>
        </w:trPr>
        <w:tc>
          <w:tcPr>
            <w:tcW w:w="4360" w:type="dxa"/>
            <w:vAlign w:val="bottom"/>
          </w:tcPr>
          <w:p>
            <w:pPr>
              <w:ind w:left="2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 compensation expense</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1,153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1,153</w:t>
            </w:r>
          </w:p>
        </w:tc>
      </w:tr>
      <w:tr>
        <w:trPr>
          <w:trHeight w:val="184"/>
        </w:trPr>
        <w:tc>
          <w:tcPr>
            <w:tcW w:w="4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 translation adjustment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w:t>
            </w:r>
          </w:p>
        </w:tc>
      </w:tr>
      <w:tr>
        <w:trPr>
          <w:trHeight w:val="176"/>
        </w:trPr>
        <w:tc>
          <w:tcPr>
            <w:tcW w:w="4360" w:type="dxa"/>
            <w:vAlign w:val="bottom"/>
          </w:tcPr>
          <w:p>
            <w:pPr>
              <w:ind w:left="20"/>
              <w:spacing w:after="0"/>
              <w:rPr>
                <w:sz w:val="20"/>
                <w:szCs w:val="20"/>
                <w:color w:val="auto"/>
              </w:rPr>
            </w:pPr>
            <w:r>
              <w:rPr>
                <w:rFonts w:ascii="Arial" w:cs="Arial" w:eastAsia="Arial" w:hAnsi="Arial"/>
                <w:sz w:val="10"/>
                <w:szCs w:val="10"/>
                <w:color w:val="auto"/>
              </w:rPr>
              <w:t>Unrealized gains (losses) on securities</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w:t>
            </w: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(15,888)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(15,888)</w:t>
            </w:r>
          </w:p>
        </w:tc>
      </w:tr>
      <w:tr>
        <w:trPr>
          <w:trHeight w:val="162"/>
        </w:trPr>
        <w:tc>
          <w:tcPr>
            <w:tcW w:w="4360" w:type="dxa"/>
            <w:vAlign w:val="bottom"/>
          </w:tcPr>
          <w:p>
            <w:pPr>
              <w:ind w:left="20"/>
              <w:spacing w:after="0"/>
              <w:rPr>
                <w:sz w:val="20"/>
                <w:szCs w:val="20"/>
                <w:color w:val="auto"/>
              </w:rPr>
            </w:pPr>
            <w:r>
              <w:rPr>
                <w:rFonts w:ascii="Arial" w:cs="Arial" w:eastAsia="Arial" w:hAnsi="Arial"/>
                <w:sz w:val="10"/>
                <w:szCs w:val="10"/>
                <w:color w:val="auto"/>
              </w:rPr>
              <w:t>Balance at March 31, 2018</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22,349,840</w:t>
            </w: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274,334</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(230,955)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(4,398)</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38,984</w:t>
            </w: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unaudited consolidated financial statements</w:t>
      </w:r>
      <w:r>
        <w:rPr>
          <w:rFonts w:ascii="Arial" w:cs="Arial" w:eastAsia="Arial" w:hAnsi="Arial"/>
          <w:sz w:val="11"/>
          <w:szCs w:val="11"/>
          <w:color w:val="auto"/>
        </w:rPr>
        <w: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671" w:right="199" w:bottom="1440" w:gutter="0" w:footer="0" w:header="0"/>
          <w:type w:val="continuous"/>
        </w:sectPr>
      </w:pPr>
    </w:p>
    <w:bookmarkStart w:id="7" w:name="page8"/>
    <w:bookmarkEnd w:id="7"/>
    <w:p>
      <w:pPr>
        <w:ind w:left="4760"/>
        <w:spacing w:after="0"/>
        <w:rPr>
          <w:sz w:val="20"/>
          <w:szCs w:val="20"/>
          <w:color w:val="auto"/>
        </w:rPr>
      </w:pPr>
      <w:r>
        <w:rPr>
          <w:rFonts w:ascii="Arial" w:cs="Arial" w:eastAsia="Arial" w:hAnsi="Arial"/>
          <w:sz w:val="11"/>
          <w:szCs w:val="11"/>
          <w:b w:val="1"/>
          <w:bCs w:val="1"/>
          <w:color w:val="auto"/>
        </w:rPr>
        <w:t>Selecta Biosciences, Inc. and Subsidiaries</w:t>
      </w:r>
    </w:p>
    <w:p>
      <w:pPr>
        <w:spacing w:after="0" w:line="72" w:lineRule="exact"/>
        <w:rPr>
          <w:sz w:val="20"/>
          <w:szCs w:val="20"/>
          <w:color w:val="auto"/>
        </w:rPr>
      </w:pPr>
    </w:p>
    <w:p>
      <w:pPr>
        <w:ind w:left="4800"/>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81" w:lineRule="exact"/>
        <w:rPr>
          <w:sz w:val="20"/>
          <w:szCs w:val="20"/>
          <w:color w:val="auto"/>
        </w:rPr>
      </w:pPr>
    </w:p>
    <w:p>
      <w:pPr>
        <w:ind w:left="5180"/>
        <w:spacing w:after="0"/>
        <w:rPr>
          <w:sz w:val="20"/>
          <w:szCs w:val="20"/>
          <w:color w:val="auto"/>
        </w:rPr>
      </w:pPr>
      <w:r>
        <w:rPr>
          <w:rFonts w:ascii="Arial" w:cs="Arial" w:eastAsia="Arial" w:hAnsi="Arial"/>
          <w:sz w:val="11"/>
          <w:szCs w:val="11"/>
          <w:b w:val="1"/>
          <w:bCs w:val="1"/>
          <w:color w:val="auto"/>
        </w:rPr>
        <w:t>(Amounts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260" w:type="dxa"/>
            <w:vAlign w:val="bottom"/>
          </w:tcPr>
          <w:p>
            <w:pPr>
              <w:spacing w:after="0"/>
              <w:rPr>
                <w:sz w:val="11"/>
                <w:szCs w:val="11"/>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Three Months Ended March 31,</w:t>
            </w: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372"/>
              <w:spacing w:after="0"/>
              <w:rPr>
                <w:sz w:val="20"/>
                <w:szCs w:val="20"/>
                <w:color w:val="auto"/>
              </w:rPr>
            </w:pPr>
            <w:r>
              <w:rPr>
                <w:rFonts w:ascii="Arial" w:cs="Arial" w:eastAsia="Arial" w:hAnsi="Arial"/>
                <w:sz w:val="10"/>
                <w:szCs w:val="10"/>
                <w:b w:val="1"/>
                <w:bCs w:val="1"/>
                <w:color w:val="auto"/>
              </w:rPr>
              <w:t>(Unaudited)</w:t>
            </w: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85"/>
              </w:rPr>
              <w:t>(12,074)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85"/>
              </w:rPr>
              <w:t>(15,888)</w:t>
            </w: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Depreciation</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169</w:t>
            </w:r>
          </w:p>
        </w:tc>
        <w:tc>
          <w:tcPr>
            <w:tcW w:w="0" w:type="dxa"/>
            <w:vAlign w:val="bottom"/>
          </w:tcPr>
          <w:p>
            <w:pPr>
              <w:spacing w:after="0"/>
              <w:rPr>
                <w:sz w:val="1"/>
                <w:szCs w:val="1"/>
                <w:color w:val="auto"/>
              </w:rPr>
            </w:pPr>
          </w:p>
        </w:tc>
      </w:tr>
      <w:tr>
        <w:trPr>
          <w:trHeight w:val="176"/>
        </w:trPr>
        <w:tc>
          <w:tcPr>
            <w:tcW w:w="9260" w:type="dxa"/>
            <w:vAlign w:val="bottom"/>
          </w:tcPr>
          <w:p>
            <w:pPr>
              <w:ind w:left="180"/>
              <w:spacing w:after="0"/>
              <w:rPr>
                <w:sz w:val="20"/>
                <w:szCs w:val="20"/>
                <w:color w:val="auto"/>
              </w:rPr>
            </w:pPr>
            <w:r>
              <w:rPr>
                <w:rFonts w:ascii="Arial" w:cs="Arial" w:eastAsia="Arial" w:hAnsi="Arial"/>
                <w:sz w:val="10"/>
                <w:szCs w:val="10"/>
                <w:color w:val="auto"/>
              </w:rPr>
              <w:t>Amortization of premiums (accretion of discounts) on investments</w:t>
            </w:r>
          </w:p>
        </w:tc>
        <w:tc>
          <w:tcPr>
            <w:tcW w:w="62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(47)</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16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 compensation expense</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1,180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1,153</w:t>
            </w:r>
          </w:p>
        </w:tc>
        <w:tc>
          <w:tcPr>
            <w:tcW w:w="0" w:type="dxa"/>
            <w:vAlign w:val="bottom"/>
          </w:tcPr>
          <w:p>
            <w:pPr>
              <w:spacing w:after="0"/>
              <w:rPr>
                <w:sz w:val="1"/>
                <w:szCs w:val="1"/>
                <w:color w:val="auto"/>
              </w:rPr>
            </w:pPr>
          </w:p>
        </w:tc>
      </w:tr>
      <w:tr>
        <w:trPr>
          <w:trHeight w:val="176"/>
        </w:trPr>
        <w:tc>
          <w:tcPr>
            <w:tcW w:w="9260" w:type="dxa"/>
            <w:vAlign w:val="bottom"/>
          </w:tcPr>
          <w:p>
            <w:pPr>
              <w:ind w:left="160"/>
              <w:spacing w:after="0" w:line="115" w:lineRule="exact"/>
              <w:rPr>
                <w:sz w:val="20"/>
                <w:szCs w:val="20"/>
                <w:color w:val="auto"/>
              </w:rPr>
            </w:pPr>
            <w:r>
              <w:rPr>
                <w:rFonts w:ascii="Arial" w:cs="Arial" w:eastAsia="Arial" w:hAnsi="Arial"/>
                <w:sz w:val="10"/>
                <w:szCs w:val="10"/>
                <w:color w:val="auto"/>
              </w:rPr>
              <w:t>Non</w:t>
            </w:r>
            <w:r>
              <w:rPr>
                <w:rFonts w:ascii="MS PGothic" w:cs="MS PGothic" w:eastAsia="MS PGothic" w:hAnsi="MS PGothic"/>
                <w:sz w:val="10"/>
                <w:szCs w:val="10"/>
                <w:color w:val="auto"/>
              </w:rPr>
              <w:t>‑</w:t>
            </w:r>
            <w:r>
              <w:rPr>
                <w:rFonts w:ascii="Arial" w:cs="Arial" w:eastAsia="Arial" w:hAnsi="Arial"/>
                <w:sz w:val="10"/>
                <w:szCs w:val="10"/>
                <w:color w:val="auto"/>
              </w:rPr>
              <w:t>cash interest expense</w:t>
            </w:r>
          </w:p>
        </w:tc>
        <w:tc>
          <w:tcPr>
            <w:tcW w:w="6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189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Loss on disposal of property and equipment</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9260" w:type="dxa"/>
            <w:vAlign w:val="bottom"/>
          </w:tcPr>
          <w:p>
            <w:pPr>
              <w:ind w:left="180"/>
              <w:spacing w:after="0"/>
              <w:rPr>
                <w:sz w:val="20"/>
                <w:szCs w:val="20"/>
                <w:color w:val="auto"/>
              </w:rPr>
            </w:pPr>
            <w:r>
              <w:rPr>
                <w:rFonts w:ascii="Arial" w:cs="Arial" w:eastAsia="Arial" w:hAnsi="Arial"/>
                <w:sz w:val="10"/>
                <w:szCs w:val="10"/>
                <w:color w:val="auto"/>
              </w:rPr>
              <w:t>Changes in operating assets and liabilities: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Accounts receivable</w:t>
            </w:r>
          </w:p>
        </w:tc>
        <w:tc>
          <w:tcPr>
            <w:tcW w:w="6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76"/>
        </w:trPr>
        <w:tc>
          <w:tcPr>
            <w:tcW w:w="9260" w:type="dxa"/>
            <w:vAlign w:val="bottom"/>
          </w:tcPr>
          <w:p>
            <w:pPr>
              <w:ind w:left="240"/>
              <w:spacing w:after="0"/>
              <w:rPr>
                <w:sz w:val="20"/>
                <w:szCs w:val="20"/>
                <w:color w:val="auto"/>
              </w:rPr>
            </w:pPr>
            <w:r>
              <w:rPr>
                <w:rFonts w:ascii="Arial" w:cs="Arial" w:eastAsia="Arial" w:hAnsi="Arial"/>
                <w:sz w:val="10"/>
                <w:szCs w:val="10"/>
                <w:color w:val="auto"/>
              </w:rPr>
              <w:t>Prepaid expenses, deposits and other assets</w:t>
            </w:r>
          </w:p>
        </w:tc>
        <w:tc>
          <w:tcPr>
            <w:tcW w:w="62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(5,712)</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417</w:t>
            </w: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Accounts payable</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(407)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180</w:t>
            </w:r>
          </w:p>
        </w:tc>
        <w:tc>
          <w:tcPr>
            <w:tcW w:w="0" w:type="dxa"/>
            <w:vAlign w:val="bottom"/>
          </w:tcPr>
          <w:p>
            <w:pPr>
              <w:spacing w:after="0"/>
              <w:rPr>
                <w:sz w:val="1"/>
                <w:szCs w:val="1"/>
                <w:color w:val="auto"/>
              </w:rPr>
            </w:pPr>
          </w:p>
        </w:tc>
      </w:tr>
      <w:tr>
        <w:trPr>
          <w:trHeight w:val="176"/>
        </w:trPr>
        <w:tc>
          <w:tcPr>
            <w:tcW w:w="9260" w:type="dxa"/>
            <w:vAlign w:val="bottom"/>
          </w:tcPr>
          <w:p>
            <w:pPr>
              <w:ind w:left="240"/>
              <w:spacing w:after="0"/>
              <w:rPr>
                <w:sz w:val="20"/>
                <w:szCs w:val="20"/>
                <w:color w:val="auto"/>
              </w:rPr>
            </w:pPr>
            <w:r>
              <w:rPr>
                <w:rFonts w:ascii="Arial" w:cs="Arial" w:eastAsia="Arial" w:hAnsi="Arial"/>
                <w:sz w:val="10"/>
                <w:szCs w:val="10"/>
                <w:color w:val="auto"/>
              </w:rPr>
              <w:t>Deferred revenue</w:t>
            </w:r>
          </w:p>
        </w:tc>
        <w:tc>
          <w:tcPr>
            <w:tcW w:w="62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9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Accrued expenses and other liabilities</w:t>
            </w:r>
          </w:p>
        </w:tc>
        <w:tc>
          <w:tcPr>
            <w:tcW w:w="6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(3,618)</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404</w:t>
            </w:r>
          </w:p>
        </w:tc>
        <w:tc>
          <w:tcPr>
            <w:tcW w:w="0" w:type="dxa"/>
            <w:vAlign w:val="bottom"/>
          </w:tcPr>
          <w:p>
            <w:pPr>
              <w:spacing w:after="0"/>
              <w:rPr>
                <w:sz w:val="1"/>
                <w:szCs w:val="1"/>
                <w:color w:val="auto"/>
              </w:rPr>
            </w:pPr>
          </w:p>
        </w:tc>
      </w:tr>
      <w:tr>
        <w:trPr>
          <w:trHeight w:val="160"/>
        </w:trPr>
        <w:tc>
          <w:tcPr>
            <w:tcW w:w="9260" w:type="dxa"/>
            <w:vAlign w:val="bottom"/>
          </w:tcPr>
          <w:p>
            <w:pPr>
              <w:ind w:left="500"/>
              <w:spacing w:after="0"/>
              <w:rPr>
                <w:sz w:val="20"/>
                <w:szCs w:val="20"/>
                <w:color w:val="auto"/>
              </w:rPr>
            </w:pPr>
            <w:r>
              <w:rPr>
                <w:rFonts w:ascii="Arial" w:cs="Arial" w:eastAsia="Arial" w:hAnsi="Arial"/>
                <w:sz w:val="10"/>
                <w:szCs w:val="10"/>
                <w:color w:val="auto"/>
              </w:rPr>
              <w:t>Net cash used in operating activities</w:t>
            </w:r>
          </w:p>
        </w:tc>
        <w:tc>
          <w:tcPr>
            <w:tcW w:w="62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w w:val="85"/>
              </w:rPr>
              <w:t>(20,240)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w w:val="85"/>
              </w:rPr>
              <w:t>(13,409)</w:t>
            </w: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color w:val="auto"/>
              </w:rPr>
              <w:t>Receipts from the maturity of short-term investments</w:t>
            </w:r>
          </w:p>
        </w:tc>
        <w:tc>
          <w:tcPr>
            <w:tcW w:w="6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w w:val="91"/>
              </w:rPr>
              <w:t>15,045</w:t>
            </w:r>
          </w:p>
        </w:tc>
        <w:tc>
          <w:tcPr>
            <w:tcW w:w="0" w:type="dxa"/>
            <w:vAlign w:val="bottom"/>
          </w:tcPr>
          <w:p>
            <w:pPr>
              <w:spacing w:after="0"/>
              <w:rPr>
                <w:sz w:val="1"/>
                <w:szCs w:val="1"/>
                <w:color w:val="auto"/>
              </w:rPr>
            </w:pPr>
          </w:p>
        </w:tc>
      </w:tr>
      <w:tr>
        <w:trPr>
          <w:trHeight w:val="164"/>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Purchases of short-term investments</w:t>
            </w:r>
          </w:p>
        </w:tc>
        <w:tc>
          <w:tcPr>
            <w:tcW w:w="6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85"/>
              </w:rPr>
              <w:t>(18,188)</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85"/>
              </w:rPr>
              <w:t>(13,908)</w:t>
            </w: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color w:val="auto"/>
              </w:rPr>
              <w:t>Sale of short term investments</w:t>
            </w:r>
          </w:p>
        </w:tc>
        <w:tc>
          <w:tcPr>
            <w:tcW w:w="6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1,992</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property and equipment</w:t>
            </w:r>
          </w:p>
        </w:tc>
        <w:tc>
          <w:tcPr>
            <w:tcW w:w="6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r>
        <w:trPr>
          <w:trHeight w:val="176"/>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Proceeds from the sale of property and equipment</w:t>
            </w: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77</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4"/>
        </w:trPr>
        <w:tc>
          <w:tcPr>
            <w:tcW w:w="9260" w:type="dxa"/>
            <w:vAlign w:val="bottom"/>
            <w:shd w:val="clear" w:color="auto" w:fill="CCEEFF"/>
          </w:tcPr>
          <w:p>
            <w:pPr>
              <w:ind w:left="500"/>
              <w:spacing w:after="0"/>
              <w:rPr>
                <w:sz w:val="20"/>
                <w:szCs w:val="20"/>
                <w:color w:val="auto"/>
              </w:rPr>
            </w:pPr>
            <w:r>
              <w:rPr>
                <w:rFonts w:ascii="Arial" w:cs="Arial" w:eastAsia="Arial" w:hAnsi="Arial"/>
                <w:sz w:val="10"/>
                <w:szCs w:val="10"/>
                <w:color w:val="auto"/>
              </w:rPr>
              <w:t>Net cash provided by (used in) investing activities</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85"/>
              </w:rPr>
              <w:t>(16,119)</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945</w:t>
            </w: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proceeds from issuance of common stock</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1"/>
              </w:rPr>
              <w:t>30,942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color w:val="auto"/>
              </w:rPr>
              <w:t>Proceeds from exercise of stock options</w:t>
            </w:r>
          </w:p>
        </w:tc>
        <w:tc>
          <w:tcPr>
            <w:tcW w:w="6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145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Proceeds from issuance of common stock under Employee Stock Purchase Plan</w:t>
            </w:r>
          </w:p>
        </w:tc>
        <w:tc>
          <w:tcPr>
            <w:tcW w:w="6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60"/>
        </w:trPr>
        <w:tc>
          <w:tcPr>
            <w:tcW w:w="9260" w:type="dxa"/>
            <w:vAlign w:val="bottom"/>
            <w:tcBorders>
              <w:bottom w:val="single" w:sz="8" w:color="CCEEFF"/>
            </w:tcBorders>
          </w:tcPr>
          <w:p>
            <w:pPr>
              <w:ind w:left="500"/>
              <w:spacing w:after="0"/>
              <w:rPr>
                <w:sz w:val="20"/>
                <w:szCs w:val="20"/>
                <w:color w:val="auto"/>
              </w:rPr>
            </w:pPr>
            <w:r>
              <w:rPr>
                <w:rFonts w:ascii="Arial" w:cs="Arial" w:eastAsia="Arial" w:hAnsi="Arial"/>
                <w:sz w:val="10"/>
                <w:szCs w:val="10"/>
                <w:color w:val="auto"/>
              </w:rPr>
              <w:t>Net cash provided by financing activities</w:t>
            </w: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1"/>
              </w:rPr>
              <w:t>31,107</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60"/>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Effect of exchange rate changes on cash</w:t>
            </w:r>
          </w:p>
        </w:tc>
        <w:tc>
          <w:tcPr>
            <w:tcW w:w="6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22</w:t>
            </w:r>
          </w:p>
        </w:tc>
        <w:tc>
          <w:tcPr>
            <w:tcW w:w="12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60"/>
        </w:trPr>
        <w:tc>
          <w:tcPr>
            <w:tcW w:w="9260" w:type="dxa"/>
            <w:vAlign w:val="bottom"/>
          </w:tcPr>
          <w:p>
            <w:pPr>
              <w:ind w:left="20"/>
              <w:spacing w:after="0"/>
              <w:rPr>
                <w:sz w:val="20"/>
                <w:szCs w:val="20"/>
                <w:color w:val="auto"/>
              </w:rPr>
            </w:pPr>
            <w:r>
              <w:rPr>
                <w:rFonts w:ascii="Arial" w:cs="Arial" w:eastAsia="Arial" w:hAnsi="Arial"/>
                <w:sz w:val="10"/>
                <w:szCs w:val="10"/>
                <w:color w:val="auto"/>
              </w:rPr>
              <w:t>Net change in cash, cash equivalents, and restricted cash</w:t>
            </w:r>
          </w:p>
        </w:tc>
        <w:tc>
          <w:tcPr>
            <w:tcW w:w="62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rPr>
              <w:t>(5,230)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jc w:val="right"/>
              <w:ind w:right="32"/>
              <w:spacing w:after="0"/>
              <w:rPr>
                <w:sz w:val="20"/>
                <w:szCs w:val="20"/>
                <w:color w:val="auto"/>
              </w:rPr>
            </w:pPr>
            <w:r>
              <w:rPr>
                <w:rFonts w:ascii="Arial" w:cs="Arial" w:eastAsia="Arial" w:hAnsi="Arial"/>
                <w:sz w:val="10"/>
                <w:szCs w:val="10"/>
                <w:color w:val="auto"/>
                <w:w w:val="85"/>
              </w:rPr>
              <w:t>(12,394)</w:t>
            </w:r>
          </w:p>
        </w:tc>
        <w:tc>
          <w:tcPr>
            <w:tcW w:w="0" w:type="dxa"/>
            <w:vAlign w:val="bottom"/>
          </w:tcPr>
          <w:p>
            <w:pPr>
              <w:spacing w:after="0"/>
              <w:rPr>
                <w:sz w:val="1"/>
                <w:szCs w:val="1"/>
                <w:color w:val="auto"/>
              </w:rPr>
            </w:pPr>
          </w:p>
        </w:tc>
      </w:tr>
      <w:tr>
        <w:trPr>
          <w:trHeight w:val="180"/>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6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1"/>
              </w:rPr>
              <w:t>37,682</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1"/>
              </w:rPr>
              <w:t>71,027</w:t>
            </w:r>
          </w:p>
        </w:tc>
        <w:tc>
          <w:tcPr>
            <w:tcW w:w="0" w:type="dxa"/>
            <w:vAlign w:val="bottom"/>
          </w:tcPr>
          <w:p>
            <w:pPr>
              <w:spacing w:after="0"/>
              <w:rPr>
                <w:sz w:val="1"/>
                <w:szCs w:val="1"/>
                <w:color w:val="auto"/>
              </w:rPr>
            </w:pPr>
          </w:p>
        </w:tc>
      </w:tr>
      <w:tr>
        <w:trPr>
          <w:trHeight w:val="16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cash equivalents, and restricted cash at end of period</w:t>
            </w: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1"/>
              </w:rPr>
              <w:t>32,452</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1"/>
              </w:rPr>
              <w:t>58,633</w:t>
            </w:r>
          </w:p>
        </w:tc>
        <w:tc>
          <w:tcPr>
            <w:tcW w:w="0" w:type="dxa"/>
            <w:vAlign w:val="bottom"/>
          </w:tcPr>
          <w:p>
            <w:pPr>
              <w:spacing w:after="0"/>
              <w:rPr>
                <w:sz w:val="1"/>
                <w:szCs w:val="1"/>
                <w:color w:val="auto"/>
              </w:rPr>
            </w:pPr>
          </w:p>
        </w:tc>
      </w:tr>
      <w:tr>
        <w:trPr>
          <w:trHeight w:val="180"/>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Supplement cash flow information</w:t>
            </w: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60" w:type="dxa"/>
            <w:vAlign w:val="bottom"/>
          </w:tcPr>
          <w:p>
            <w:pPr>
              <w:ind w:left="20"/>
              <w:spacing w:after="0"/>
              <w:rPr>
                <w:sz w:val="20"/>
                <w:szCs w:val="20"/>
                <w:color w:val="auto"/>
              </w:rPr>
            </w:pPr>
            <w:r>
              <w:rPr>
                <w:rFonts w:ascii="Arial" w:cs="Arial" w:eastAsia="Arial" w:hAnsi="Arial"/>
                <w:sz w:val="10"/>
                <w:szCs w:val="10"/>
                <w:color w:val="auto"/>
              </w:rPr>
              <w:t>Cash paid for interest</w:t>
            </w: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312</w:t>
            </w:r>
          </w:p>
        </w:tc>
        <w:tc>
          <w:tcPr>
            <w:tcW w:w="120" w:type="dxa"/>
            <w:vAlign w:val="bottom"/>
          </w:tcPr>
          <w:p>
            <w:pPr>
              <w:spacing w:after="0"/>
              <w:rPr>
                <w:sz w:val="15"/>
                <w:szCs w:val="15"/>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261</w:t>
            </w: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Noncash investing and financing activities</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9260" w:type="dxa"/>
            <w:vAlign w:val="bottom"/>
          </w:tcPr>
          <w:p>
            <w:pPr>
              <w:ind w:left="20"/>
              <w:spacing w:after="0"/>
              <w:rPr>
                <w:sz w:val="20"/>
                <w:szCs w:val="20"/>
                <w:color w:val="auto"/>
              </w:rPr>
            </w:pPr>
            <w:r>
              <w:rPr>
                <w:rFonts w:ascii="Arial" w:cs="Arial" w:eastAsia="Arial" w:hAnsi="Arial"/>
                <w:sz w:val="10"/>
                <w:szCs w:val="10"/>
                <w:color w:val="auto"/>
              </w:rPr>
              <w:t>Purchase of property and equipment not yet paid</w:t>
            </w:r>
          </w:p>
        </w:tc>
        <w:tc>
          <w:tcPr>
            <w:tcW w:w="620" w:type="dxa"/>
            <w:vAlign w:val="bottom"/>
            <w:vMerge w:val="restart"/>
          </w:tcPr>
          <w:p>
            <w:pPr>
              <w:jc w:val="right"/>
              <w:ind w:right="512"/>
              <w:spacing w:after="0"/>
              <w:rPr>
                <w:sz w:val="20"/>
                <w:szCs w:val="20"/>
                <w:color w:val="auto"/>
              </w:rPr>
            </w:pPr>
            <w:r>
              <w:rPr>
                <w:rFonts w:ascii="Arial" w:cs="Arial" w:eastAsia="Arial" w:hAnsi="Arial"/>
                <w:sz w:val="10"/>
                <w:szCs w:val="10"/>
                <w:color w:val="auto"/>
                <w:w w:val="71"/>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492"/>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ind w:right="72"/>
              <w:spacing w:after="0"/>
              <w:rPr>
                <w:sz w:val="20"/>
                <w:szCs w:val="20"/>
                <w:color w:val="auto"/>
              </w:rPr>
            </w:pPr>
            <w:r>
              <w:rPr>
                <w:rFonts w:ascii="Arial" w:cs="Arial" w:eastAsia="Arial" w:hAnsi="Arial"/>
                <w:sz w:val="10"/>
                <w:szCs w:val="10"/>
                <w:color w:val="auto"/>
              </w:rPr>
              <w:t>142</w:t>
            </w:r>
          </w:p>
        </w:tc>
        <w:tc>
          <w:tcPr>
            <w:tcW w:w="0" w:type="dxa"/>
            <w:vAlign w:val="bottom"/>
          </w:tcPr>
          <w:p>
            <w:pPr>
              <w:spacing w:after="0"/>
              <w:rPr>
                <w:sz w:val="1"/>
                <w:szCs w:val="1"/>
                <w:color w:val="auto"/>
              </w:rPr>
            </w:pPr>
          </w:p>
        </w:tc>
      </w:tr>
      <w:tr>
        <w:trPr>
          <w:trHeight w:val="49"/>
        </w:trPr>
        <w:tc>
          <w:tcPr>
            <w:tcW w:w="92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9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offering costs in accrued liabilities</w:t>
            </w: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2"/>
        </w:trPr>
        <w:tc>
          <w:tcPr>
            <w:tcW w:w="9260" w:type="dxa"/>
            <w:vAlign w:val="bottom"/>
          </w:tcPr>
          <w:p>
            <w:pPr>
              <w:ind w:left="20"/>
              <w:spacing w:after="0"/>
              <w:rPr>
                <w:sz w:val="20"/>
                <w:szCs w:val="20"/>
                <w:color w:val="auto"/>
              </w:rPr>
            </w:pPr>
            <w:r>
              <w:rPr>
                <w:rFonts w:ascii="Arial" w:cs="Arial" w:eastAsia="Arial" w:hAnsi="Arial"/>
                <w:sz w:val="10"/>
                <w:szCs w:val="10"/>
                <w:color w:val="auto"/>
              </w:rPr>
              <w:t>Unrealized gain (loss) on marketable securities</w:t>
            </w: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unaudited consolidated financial statements</w:t>
      </w:r>
      <w:r>
        <w:rPr>
          <w:rFonts w:ascii="Arial" w:cs="Arial" w:eastAsia="Arial" w:hAnsi="Arial"/>
          <w:sz w:val="11"/>
          <w:szCs w:val="11"/>
          <w:b w:val="1"/>
          <w:bCs w:val="1"/>
          <w:color w:val="auto"/>
        </w:rPr>
        <w: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40"/>
          </w:cols>
          <w:pgMar w:left="240" w:top="671" w:right="21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2"/>
          <w:szCs w:val="12"/>
          <w:b w:val="1"/>
          <w:bCs w:val="1"/>
          <w:color w:val="auto"/>
        </w:rPr>
        <w:t>Selecta Biosciences, Inc. and Subsidiaries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(Unaudited)</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the Business and Basis of Presentation</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23"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2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Interim Financial Information</w:t>
      </w:r>
    </w:p>
    <w:p>
      <w:pPr>
        <w:spacing w:after="0" w:line="154"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The accompanying unaudited consolidated financial statements for the three months ended March 31, 2019 and 2018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2018 included in the Company’s Annual Report on Form 10-K that was filed with the SEC on March 15, 2019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2019 and consolidated results of operations and cash flows for the three months ended March 31, 2019. Such adjustments are of a normal and recurring nature. The results of operations for the three months ended March 31, 2019 are not necessarily indicative of the results of operations that may be expected for the year ending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Management's Plan</w:t>
      </w:r>
    </w:p>
    <w:p>
      <w:pPr>
        <w:spacing w:after="0" w:line="154"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w:t>
      </w:r>
    </w:p>
    <w:p>
      <w:pPr>
        <w:spacing w:after="0" w:line="12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To date, the Company has financed its operations primarily through the initial public offering of its common stock, a private placement of its common stock, issuances of common and preferred stock, debt, research grants and research collaborations.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00"/>
          </w:cols>
          <w:pgMar w:left="220" w:top="685" w:right="279" w:bottom="1440" w:gutter="0" w:footer="0" w:header="0"/>
        </w:sectPr>
      </w:pPr>
    </w:p>
    <w:bookmarkStart w:id="9" w:name="page10"/>
    <w:bookmarkEnd w:id="9"/>
    <w:p>
      <w:pPr>
        <w:ind w:left="8" w:right="400"/>
        <w:spacing w:after="0" w:line="263" w:lineRule="auto"/>
        <w:rPr>
          <w:sz w:val="20"/>
          <w:szCs w:val="20"/>
          <w:color w:val="auto"/>
        </w:rPr>
      </w:pPr>
      <w:r>
        <w:rPr>
          <w:rFonts w:ascii="Arial" w:cs="Arial" w:eastAsia="Arial" w:hAnsi="Arial"/>
          <w:sz w:val="12"/>
          <w:szCs w:val="12"/>
          <w:color w:val="auto"/>
        </w:rPr>
        <w:t>The Company currently has no source of product revenue, and it does not expect to generate product revenue for the foreseeable future. All of its revenue to date has been collaboration and grant revenue. The Company has devoted substantially all of its financial resources and efforts to developing its ImmTOR technology,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23" w:lineRule="exact"/>
        <w:rPr>
          <w:sz w:val="20"/>
          <w:szCs w:val="20"/>
          <w:color w:val="auto"/>
        </w:rPr>
      </w:pPr>
    </w:p>
    <w:p>
      <w:pPr>
        <w:ind w:left="8" w:right="40"/>
        <w:spacing w:after="0" w:line="286" w:lineRule="auto"/>
        <w:rPr>
          <w:sz w:val="20"/>
          <w:szCs w:val="20"/>
          <w:color w:val="auto"/>
        </w:rPr>
      </w:pPr>
      <w:r>
        <w:rPr>
          <w:rFonts w:ascii="Arial" w:cs="Arial" w:eastAsia="Arial" w:hAnsi="Arial"/>
          <w:sz w:val="11"/>
          <w:szCs w:val="11"/>
          <w:color w:val="auto"/>
        </w:rPr>
        <w:t>As of March 31, 2019, the Company’s short-term deposits and investments were $16.2 million, and cash, cash equivalents and restricted cash were $32.5 million, of which $0.4 million was held by its Russian subsidiary designated solely for use in its operations. The Company has incurred losses and negative cash flows from operating activities since inception. As of March 31, 2019, and December 31, 2018, the Company had an accumulated deficit of $292.5 million and $280.4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its ability to continue as a going concern within one year after the date that the financial statements are issued.</w:t>
      </w:r>
    </w:p>
    <w:p>
      <w:pPr>
        <w:spacing w:after="0" w:line="111" w:lineRule="exact"/>
        <w:rPr>
          <w:sz w:val="20"/>
          <w:szCs w:val="20"/>
          <w:color w:val="auto"/>
        </w:rPr>
      </w:pPr>
    </w:p>
    <w:p>
      <w:pPr>
        <w:ind w:left="8"/>
        <w:spacing w:after="0" w:line="280" w:lineRule="auto"/>
        <w:rPr>
          <w:sz w:val="20"/>
          <w:szCs w:val="20"/>
          <w:color w:val="auto"/>
        </w:rPr>
      </w:pPr>
      <w:r>
        <w:rPr>
          <w:rFonts w:ascii="Arial" w:cs="Arial" w:eastAsia="Arial" w:hAnsi="Arial"/>
          <w:sz w:val="11"/>
          <w:szCs w:val="11"/>
          <w:color w:val="auto"/>
        </w:rPr>
        <w:t>Management is exploring various sources of funding such as strategic collaborations and the issuance of equity to fund its operations. If the Company raises additional funds through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current operating plan accounts for funding in preparation for the planned Phase 3 clinical program for SEL-212. The Company believes that it has the financial resources to complete the head-to-head Phase 2 trial against Krystexxa, but will require additional external sources of capital to conduct the planned Phase 3 clinical program. If the Company is unable to raise sufficient capital through the transactions discussed above,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capital resources at March 31, 2019, management has concluded that substantial doubt exists with respect to the Company's ability to continue as a going concern within one year after the date of the filing of this Quarterly Report on Form 10-Q.</w:t>
      </w:r>
    </w:p>
    <w:p>
      <w:pPr>
        <w:spacing w:after="0" w:line="116" w:lineRule="exact"/>
        <w:rPr>
          <w:sz w:val="20"/>
          <w:szCs w:val="20"/>
          <w:color w:val="auto"/>
        </w:rPr>
      </w:pPr>
    </w:p>
    <w:p>
      <w:pPr>
        <w:ind w:left="8" w:right="200"/>
        <w:spacing w:after="0" w:line="323" w:lineRule="auto"/>
        <w:rPr>
          <w:sz w:val="20"/>
          <w:szCs w:val="20"/>
          <w:color w:val="auto"/>
        </w:rPr>
      </w:pPr>
      <w:r>
        <w:rPr>
          <w:rFonts w:ascii="Arial" w:cs="Arial" w:eastAsia="Arial" w:hAnsi="Arial"/>
          <w:sz w:val="11"/>
          <w:szCs w:val="11"/>
          <w:color w:val="auto"/>
        </w:rPr>
        <w:t>All amounts due under the 2017 Term Loan (Note 10) have been classified as a current liability as of March 31, 2019 due to the considerations discussed above and the assessment that the material adverse change clause under the 2017 Term Loan is not within the Company's control. The Company has not been notified of an event of default by the Lender as of the date of the filing of this Quarterly Report on Form 10-Q.</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Guarantees and Indemnifications</w:t>
      </w:r>
    </w:p>
    <w:p>
      <w:pPr>
        <w:spacing w:after="0" w:line="154"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As permitted under Delaware law, the Company indemnifies its officers, directors, consultants and employees for certain events or occurrences that happen by reason of the relationship with, or position held at, the Company. Through March 31,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91" w:lineRule="exact"/>
        <w:rPr>
          <w:sz w:val="20"/>
          <w:szCs w:val="20"/>
          <w:color w:val="auto"/>
        </w:rPr>
      </w:pPr>
    </w:p>
    <w:p>
      <w:pPr>
        <w:ind w:left="8" w:right="9100" w:hanging="8"/>
        <w:spacing w:after="0" w:line="504" w:lineRule="auto"/>
        <w:tabs>
          <w:tab w:leader="none" w:pos="12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Principles of Consolidation</w:t>
      </w:r>
    </w:p>
    <w:p>
      <w:pPr>
        <w:spacing w:after="0" w:line="1"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Foreign Currency</w:t>
      </w:r>
    </w:p>
    <w:p>
      <w:pPr>
        <w:spacing w:after="0" w:line="154" w:lineRule="exact"/>
        <w:rPr>
          <w:sz w:val="20"/>
          <w:szCs w:val="20"/>
          <w:color w:val="auto"/>
        </w:rPr>
      </w:pPr>
    </w:p>
    <w:p>
      <w:pPr>
        <w:ind w:left="8" w:right="240"/>
        <w:spacing w:after="0" w:line="263" w:lineRule="auto"/>
        <w:rPr>
          <w:sz w:val="20"/>
          <w:szCs w:val="20"/>
          <w:color w:val="auto"/>
        </w:rPr>
      </w:pPr>
      <w:r>
        <w:rPr>
          <w:rFonts w:ascii="Arial" w:cs="Arial" w:eastAsia="Arial" w:hAnsi="Arial"/>
          <w:sz w:val="12"/>
          <w:szCs w:val="12"/>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Use of Estimates</w:t>
      </w: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8"/>
          </w:cols>
          <w:pgMar w:left="212" w:top="437" w:right="219" w:bottom="1440" w:gutter="0" w:footer="0" w:header="0"/>
        </w:sectPr>
      </w:pPr>
    </w:p>
    <w:bookmarkStart w:id="10" w:name="page11"/>
    <w:bookmarkEnd w:id="10"/>
    <w:p>
      <w:pPr>
        <w:ind w:right="180"/>
        <w:spacing w:after="0" w:line="286" w:lineRule="auto"/>
        <w:rPr>
          <w:sz w:val="20"/>
          <w:szCs w:val="20"/>
          <w:color w:val="auto"/>
        </w:rPr>
      </w:pPr>
      <w:r>
        <w:rPr>
          <w:rFonts w:ascii="Arial" w:cs="Arial" w:eastAsia="Arial" w:hAnsi="Arial"/>
          <w:sz w:val="11"/>
          <w:szCs w:val="11"/>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and estimating accrued research and development expenses. The Company assesses the above estimates on an ongoing basis; however, actual results could materially differ from those estimates.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154" w:lineRule="exact"/>
        <w:rPr>
          <w:sz w:val="20"/>
          <w:szCs w:val="20"/>
          <w:color w:val="auto"/>
        </w:rPr>
      </w:pPr>
    </w:p>
    <w:p>
      <w:pPr>
        <w:jc w:val="both"/>
        <w:ind w:right="200"/>
        <w:spacing w:after="0" w:line="263" w:lineRule="auto"/>
        <w:rPr>
          <w:sz w:val="20"/>
          <w:szCs w:val="20"/>
          <w:color w:val="auto"/>
        </w:rPr>
      </w:pPr>
      <w:r>
        <w:rPr>
          <w:rFonts w:ascii="Arial" w:cs="Arial" w:eastAsia="Arial" w:hAnsi="Arial"/>
          <w:sz w:val="12"/>
          <w:szCs w:val="12"/>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Equivalents, Short-term Investments and Restricted Cash</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4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As of March 31, 2019, the Company has restricted cash balances relating to a secured letter of credit in connection with its Headquarters Lease (as defined in Note 9). The following table provides a reconciliation of cash, cash equivalents, and restricted cash reported within the consolidated balance sheet that sum to the total of the same such amounts shown in the consolidated statement of cash flows: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3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9"/>
              </w:rPr>
              <w:t>Three Months Ended March 31,</w:t>
            </w:r>
          </w:p>
        </w:tc>
        <w:tc>
          <w:tcPr>
            <w:tcW w:w="860" w:type="dxa"/>
            <w:vAlign w:val="bottom"/>
            <w:tcBorders>
              <w:bottom w:val="single" w:sz="8" w:color="auto"/>
            </w:tcBorders>
          </w:tcPr>
          <w:p>
            <w:pPr>
              <w:spacing w:after="0"/>
              <w:rPr>
                <w:sz w:val="11"/>
                <w:szCs w:val="11"/>
                <w:color w:val="auto"/>
              </w:rPr>
            </w:pPr>
          </w:p>
        </w:tc>
      </w:tr>
      <w:tr>
        <w:trPr>
          <w:trHeight w:val="169"/>
        </w:trPr>
        <w:tc>
          <w:tcPr>
            <w:tcW w:w="83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w w:val="89"/>
              </w:rPr>
              <w:t>2018</w:t>
            </w:r>
          </w:p>
        </w:tc>
      </w:tr>
      <w:tr>
        <w:trPr>
          <w:trHeight w:val="173"/>
        </w:trPr>
        <w:tc>
          <w:tcPr>
            <w:tcW w:w="8360" w:type="dxa"/>
            <w:vAlign w:val="bottom"/>
            <w:shd w:val="clear" w:color="auto" w:fill="CCEEFF"/>
          </w:tcPr>
          <w:p>
            <w:pPr>
              <w:spacing w:after="0"/>
              <w:rPr>
                <w:sz w:val="20"/>
                <w:szCs w:val="20"/>
                <w:color w:val="auto"/>
              </w:rPr>
            </w:pPr>
            <w:r>
              <w:rPr>
                <w:rFonts w:ascii="Arial" w:cs="Arial" w:eastAsia="Arial" w:hAnsi="Arial"/>
                <w:sz w:val="10"/>
                <w:szCs w:val="10"/>
                <w:color w:val="auto"/>
              </w:rPr>
              <w:t>Cash and cash equivalents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32,173</w:t>
            </w: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58,228</w:t>
            </w:r>
          </w:p>
        </w:tc>
      </w:tr>
      <w:tr>
        <w:trPr>
          <w:trHeight w:val="176"/>
        </w:trPr>
        <w:tc>
          <w:tcPr>
            <w:tcW w:w="8360" w:type="dxa"/>
            <w:vAlign w:val="bottom"/>
          </w:tcPr>
          <w:p>
            <w:pPr>
              <w:spacing w:after="0"/>
              <w:rPr>
                <w:sz w:val="20"/>
                <w:szCs w:val="20"/>
                <w:color w:val="auto"/>
              </w:rPr>
            </w:pPr>
            <w:r>
              <w:rPr>
                <w:rFonts w:ascii="Arial" w:cs="Arial" w:eastAsia="Arial" w:hAnsi="Arial"/>
                <w:sz w:val="10"/>
                <w:szCs w:val="10"/>
                <w:color w:val="auto"/>
              </w:rPr>
              <w:t>Restricted cash</w:t>
            </w:r>
          </w:p>
        </w:tc>
        <w:tc>
          <w:tcPr>
            <w:tcW w:w="86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279</w:t>
            </w:r>
          </w:p>
        </w:tc>
        <w:tc>
          <w:tcPr>
            <w:tcW w:w="72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76</w:t>
            </w:r>
          </w:p>
        </w:tc>
      </w:tr>
      <w:tr>
        <w:trPr>
          <w:trHeight w:val="180"/>
        </w:trPr>
        <w:tc>
          <w:tcPr>
            <w:tcW w:w="8360" w:type="dxa"/>
            <w:vAlign w:val="bottom"/>
            <w:shd w:val="clear" w:color="auto" w:fill="CCEEFF"/>
          </w:tcPr>
          <w:p>
            <w:pPr>
              <w:spacing w:after="0"/>
              <w:rPr>
                <w:sz w:val="20"/>
                <w:szCs w:val="20"/>
                <w:color w:val="auto"/>
              </w:rPr>
            </w:pPr>
            <w:r>
              <w:rPr>
                <w:rFonts w:ascii="Arial" w:cs="Arial" w:eastAsia="Arial" w:hAnsi="Arial"/>
                <w:sz w:val="10"/>
                <w:szCs w:val="10"/>
                <w:color w:val="auto"/>
              </w:rPr>
              <w:t>Restricted cash included in other assets</w:t>
            </w:r>
          </w:p>
        </w:tc>
        <w:tc>
          <w:tcPr>
            <w:tcW w:w="8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329</w:t>
            </w:r>
          </w:p>
        </w:tc>
      </w:tr>
      <w:tr>
        <w:trPr>
          <w:trHeight w:val="180"/>
        </w:trPr>
        <w:tc>
          <w:tcPr>
            <w:tcW w:w="8360" w:type="dxa"/>
            <w:vAlign w:val="bottom"/>
          </w:tcPr>
          <w:p>
            <w:pPr>
              <w:spacing w:after="0"/>
              <w:rPr>
                <w:sz w:val="20"/>
                <w:szCs w:val="20"/>
                <w:color w:val="auto"/>
              </w:rPr>
            </w:pPr>
            <w:r>
              <w:rPr>
                <w:rFonts w:ascii="Arial" w:cs="Arial" w:eastAsia="Arial" w:hAnsi="Arial"/>
                <w:sz w:val="10"/>
                <w:szCs w:val="10"/>
                <w:color w:val="auto"/>
              </w:rPr>
              <w:t>Total cash, cash equivalents, and restricted cash shown in the consolidated statement of cash flows</w:t>
            </w: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32,452</w:t>
            </w:r>
          </w:p>
        </w:tc>
        <w:tc>
          <w:tcPr>
            <w:tcW w:w="7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58,633</w:t>
            </w:r>
          </w:p>
        </w:tc>
      </w:tr>
    </w:tbl>
    <w:p>
      <w:pPr>
        <w:spacing w:after="0" w:line="347"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color w:val="auto"/>
        </w:rPr>
        <w:t>Concentrations of Credit Risk and Off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Balance Sheet Risk</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March 31, 2019, the Company maintained approximately $0.4 million in Russian bank accounts, of which $0.4 million was held in U.S. dollars.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Company did not have any off-balance sheet arrangements as of March 31, 2019 and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Financial Instruments</w:t>
      </w:r>
    </w:p>
    <w:p>
      <w:pPr>
        <w:spacing w:after="0" w:line="154" w:lineRule="exact"/>
        <w:rPr>
          <w:sz w:val="20"/>
          <w:szCs w:val="20"/>
          <w:color w:val="auto"/>
        </w:rPr>
      </w:pPr>
    </w:p>
    <w:p>
      <w:pPr>
        <w:ind w:right="440"/>
        <w:spacing w:after="0" w:line="149" w:lineRule="exact"/>
        <w:rPr>
          <w:sz w:val="20"/>
          <w:szCs w:val="20"/>
          <w:color w:val="auto"/>
        </w:rPr>
      </w:pPr>
      <w:r>
        <w:rPr>
          <w:rFonts w:ascii="Arial" w:cs="Arial" w:eastAsia="Arial" w:hAnsi="Arial"/>
          <w:sz w:val="12"/>
          <w:szCs w:val="12"/>
          <w:color w:val="auto"/>
        </w:rPr>
        <w:t>The Company’s financial instruments consist mainly of cash equivalents, short</w:t>
      </w:r>
      <w:r>
        <w:rPr>
          <w:rFonts w:ascii="MS PGothic" w:cs="MS PGothic" w:eastAsia="MS PGothic" w:hAnsi="MS PGothic"/>
          <w:sz w:val="12"/>
          <w:szCs w:val="12"/>
          <w:color w:val="auto"/>
        </w:rPr>
        <w:t>‑</w:t>
      </w:r>
      <w:r>
        <w:rPr>
          <w:rFonts w:ascii="Arial" w:cs="Arial" w:eastAsia="Arial" w:hAnsi="Arial"/>
          <w:sz w:val="12"/>
          <w:szCs w:val="12"/>
          <w:color w:val="auto"/>
        </w:rPr>
        <w:t>term investments, restricted cash, accounts payable, loans payable, and common stock warrants. The carrying amounts of cash equivalents, short-term investments, restricted cash, accounts receivable, and accounts payable approximate their estimated fair value due to their short-term</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0"/>
          </w:cols>
          <w:pgMar w:left="220" w:top="509"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maturities. At March 31, 2019, the carrying amount of the Company's loan payable approximates its estimated fair value due to the short-term nature of the instrument.</w:t>
      </w:r>
    </w:p>
    <w:p>
      <w:pPr>
        <w:spacing w:after="0" w:line="150" w:lineRule="exact"/>
        <w:rPr>
          <w:sz w:val="20"/>
          <w:szCs w:val="20"/>
          <w:color w:val="auto"/>
        </w:rPr>
      </w:pPr>
    </w:p>
    <w:p>
      <w:pPr>
        <w:ind w:right="100"/>
        <w:spacing w:after="0" w:line="147" w:lineRule="exact"/>
        <w:rPr>
          <w:sz w:val="20"/>
          <w:szCs w:val="20"/>
          <w:color w:val="auto"/>
        </w:rPr>
      </w:pPr>
      <w:r>
        <w:rPr>
          <w:rFonts w:ascii="Arial" w:cs="Arial" w:eastAsia="Arial" w:hAnsi="Arial"/>
          <w:sz w:val="12"/>
          <w:szCs w:val="12"/>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2"/>
          <w:szCs w:val="12"/>
          <w:color w:val="auto"/>
        </w:rPr>
        <w:t>‑</w:t>
      </w:r>
      <w:r>
        <w:rPr>
          <w:rFonts w:ascii="Arial" w:cs="Arial" w:eastAsia="Arial" w:hAnsi="Arial"/>
          <w:sz w:val="12"/>
          <w:szCs w:val="12"/>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Level 1</w:t>
      </w:r>
      <w:r>
        <w:rPr>
          <w:rFonts w:ascii="Arial" w:cs="Arial" w:eastAsia="Arial" w:hAnsi="Arial"/>
          <w:sz w:val="12"/>
          <w:szCs w:val="12"/>
          <w:color w:val="auto"/>
        </w:rPr>
        <w:t>—Level 1 inputs are quoted prices in active markets for identical assets or liabilities that the reporting entity has the ability to access at the measurement date.</w:t>
      </w:r>
    </w:p>
    <w:p>
      <w:pPr>
        <w:spacing w:after="0" w:line="150"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i w:val="1"/>
          <w:iCs w:val="1"/>
          <w:color w:val="auto"/>
        </w:rPr>
        <w:t>Level 2</w:t>
      </w:r>
      <w:r>
        <w:rPr>
          <w:rFonts w:ascii="Arial" w:cs="Arial" w:eastAsia="Arial" w:hAnsi="Arial"/>
          <w:sz w:val="12"/>
          <w:szCs w:val="12"/>
          <w:color w:val="auto"/>
        </w:rPr>
        <w:t>—Level 2 inputs are inputs other than quoted prices included within Level 1 that are observable for the asset or liability, either directly or indirectly. If the asset or liability has a specified (contractual) term, a Level 2 input</w:t>
      </w:r>
      <w:r>
        <w:rPr>
          <w:rFonts w:ascii="Arial" w:cs="Arial" w:eastAsia="Arial" w:hAnsi="Arial"/>
          <w:sz w:val="12"/>
          <w:szCs w:val="12"/>
          <w:i w:val="1"/>
          <w:iCs w:val="1"/>
          <w:color w:val="auto"/>
        </w:rPr>
        <w:t xml:space="preserve"> </w:t>
      </w:r>
      <w:r>
        <w:rPr>
          <w:rFonts w:ascii="Arial" w:cs="Arial" w:eastAsia="Arial" w:hAnsi="Arial"/>
          <w:sz w:val="12"/>
          <w:szCs w:val="12"/>
          <w:color w:val="auto"/>
        </w:rPr>
        <w:t>must be observable for substantially the full term of the asset or liability.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Level 3</w:t>
      </w:r>
      <w:r>
        <w:rPr>
          <w:rFonts w:ascii="Arial" w:cs="Arial" w:eastAsia="Arial" w:hAnsi="Arial"/>
          <w:sz w:val="12"/>
          <w:szCs w:val="12"/>
          <w:color w:val="auto"/>
        </w:rPr>
        <w:t>—Level 3 inputs are unobservable inputs for the asset or liability in which there is little, if any, market activity for the asset or liability at the measurement date.</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2 inputs.</w:t>
      </w:r>
    </w:p>
    <w:p>
      <w:pPr>
        <w:spacing w:after="0" w:line="123" w:lineRule="exact"/>
        <w:rPr>
          <w:sz w:val="20"/>
          <w:szCs w:val="20"/>
          <w:color w:val="auto"/>
        </w:rPr>
      </w:pPr>
    </w:p>
    <w:p>
      <w:pPr>
        <w:ind w:right="40"/>
        <w:spacing w:after="0" w:line="147" w:lineRule="exact"/>
        <w:rPr>
          <w:sz w:val="20"/>
          <w:szCs w:val="20"/>
          <w:color w:val="auto"/>
        </w:rPr>
      </w:pPr>
      <w:r>
        <w:rPr>
          <w:rFonts w:ascii="Arial" w:cs="Arial" w:eastAsia="Arial" w:hAnsi="Arial"/>
          <w:sz w:val="12"/>
          <w:szCs w:val="12"/>
          <w:color w:val="auto"/>
        </w:rPr>
        <w:t>Fair value is a market</w:t>
      </w:r>
      <w:r>
        <w:rPr>
          <w:rFonts w:ascii="MS PGothic" w:cs="MS PGothic" w:eastAsia="MS PGothic" w:hAnsi="MS PGothic"/>
          <w:sz w:val="12"/>
          <w:szCs w:val="12"/>
          <w:color w:val="auto"/>
        </w:rPr>
        <w:t>‑</w:t>
      </w:r>
      <w:r>
        <w:rPr>
          <w:rFonts w:ascii="Arial" w:cs="Arial" w:eastAsia="Arial" w:hAnsi="Arial"/>
          <w:sz w:val="12"/>
          <w:szCs w:val="12"/>
          <w:color w:val="auto"/>
        </w:rPr>
        <w:t>based measure considered from the perspective of a market participant rather than an entity</w:t>
      </w:r>
      <w:r>
        <w:rPr>
          <w:rFonts w:ascii="MS PGothic" w:cs="MS PGothic" w:eastAsia="MS PGothic" w:hAnsi="MS PGothic"/>
          <w:sz w:val="12"/>
          <w:szCs w:val="12"/>
          <w:color w:val="auto"/>
        </w:rPr>
        <w:t>‑</w:t>
      </w:r>
      <w:r>
        <w:rPr>
          <w:rFonts w:ascii="Arial" w:cs="Arial" w:eastAsia="Arial" w:hAnsi="Arial"/>
          <w:sz w:val="12"/>
          <w:szCs w:val="12"/>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three months ended March 31, 2019 or the year ended December 31, 2018.</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154" w:lineRule="exact"/>
        <w:rPr>
          <w:sz w:val="20"/>
          <w:szCs w:val="20"/>
          <w:color w:val="auto"/>
        </w:rPr>
      </w:pPr>
    </w:p>
    <w:p>
      <w:pPr>
        <w:ind w:right="80"/>
        <w:spacing w:after="0" w:line="147" w:lineRule="exact"/>
        <w:rPr>
          <w:sz w:val="20"/>
          <w:szCs w:val="20"/>
          <w:color w:val="auto"/>
        </w:rPr>
      </w:pPr>
      <w:r>
        <w:rPr>
          <w:rFonts w:ascii="Arial" w:cs="Arial" w:eastAsia="Arial" w:hAnsi="Arial"/>
          <w:sz w:val="12"/>
          <w:szCs w:val="12"/>
          <w:color w:val="auto"/>
        </w:rPr>
        <w:t>Property and equipment are recorded at cost and depreciated using the straight</w:t>
      </w:r>
      <w:r>
        <w:rPr>
          <w:rFonts w:ascii="MS PGothic" w:cs="MS PGothic" w:eastAsia="MS PGothic" w:hAnsi="MS PGothic"/>
          <w:sz w:val="12"/>
          <w:szCs w:val="12"/>
          <w:color w:val="auto"/>
        </w:rPr>
        <w:t>‑</w:t>
      </w:r>
      <w:r>
        <w:rPr>
          <w:rFonts w:ascii="Arial" w:cs="Arial" w:eastAsia="Arial" w:hAnsi="Arial"/>
          <w:sz w:val="12"/>
          <w:szCs w:val="12"/>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32"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color w:val="auto"/>
        </w:rPr>
        <w:t>Impairment of 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Lived Assets</w:t>
      </w:r>
    </w:p>
    <w:p>
      <w:pPr>
        <w:spacing w:after="0" w:line="154" w:lineRule="exact"/>
        <w:rPr>
          <w:sz w:val="20"/>
          <w:szCs w:val="20"/>
          <w:color w:val="auto"/>
        </w:rPr>
      </w:pPr>
    </w:p>
    <w:p>
      <w:pPr>
        <w:ind w:right="40"/>
        <w:spacing w:after="0" w:line="147" w:lineRule="exact"/>
        <w:rPr>
          <w:sz w:val="20"/>
          <w:szCs w:val="20"/>
          <w:color w:val="auto"/>
        </w:rPr>
      </w:pPr>
      <w:r>
        <w:rPr>
          <w:rFonts w:ascii="Arial" w:cs="Arial" w:eastAsia="Arial" w:hAnsi="Arial"/>
          <w:sz w:val="10"/>
          <w:szCs w:val="10"/>
          <w:color w:val="auto"/>
        </w:rPr>
        <w:t>The Company reviews long</w:t>
      </w:r>
      <w:r>
        <w:rPr>
          <w:rFonts w:ascii="MS PGothic" w:cs="MS PGothic" w:eastAsia="MS PGothic" w:hAnsi="MS PGothic"/>
          <w:sz w:val="10"/>
          <w:szCs w:val="10"/>
          <w:color w:val="auto"/>
        </w:rPr>
        <w:t>‑</w:t>
      </w:r>
      <w:r>
        <w:rPr>
          <w:rFonts w:ascii="Arial" w:cs="Arial" w:eastAsia="Arial" w:hAnsi="Arial"/>
          <w:sz w:val="10"/>
          <w:szCs w:val="10"/>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three months ended March 31, 2019 and 2018.</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Issuance Costs</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Accumulated Other Comprehensive Income (Loss)</w:t>
      </w:r>
    </w:p>
    <w:p>
      <w:pPr>
        <w:spacing w:after="0" w:line="154" w:lineRule="exact"/>
        <w:rPr>
          <w:sz w:val="20"/>
          <w:szCs w:val="20"/>
          <w:color w:val="auto"/>
        </w:rPr>
      </w:pPr>
    </w:p>
    <w:p>
      <w:pPr>
        <w:ind w:right="40"/>
        <w:spacing w:after="0" w:line="149" w:lineRule="exact"/>
        <w:rPr>
          <w:sz w:val="20"/>
          <w:szCs w:val="20"/>
          <w:color w:val="auto"/>
        </w:rPr>
      </w:pPr>
      <w:r>
        <w:rPr>
          <w:rFonts w:ascii="Arial" w:cs="Arial" w:eastAsia="Arial" w:hAnsi="Arial"/>
          <w:sz w:val="12"/>
          <w:szCs w:val="12"/>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2"/>
          <w:szCs w:val="12"/>
          <w:color w:val="auto"/>
        </w:rPr>
        <w:t>‑</w:t>
      </w:r>
      <w:r>
        <w:rPr>
          <w:rFonts w:ascii="Arial" w:cs="Arial" w:eastAsia="Arial" w:hAnsi="Arial"/>
          <w:sz w:val="12"/>
          <w:szCs w:val="12"/>
          <w:color w:val="auto"/>
        </w:rPr>
        <w:t>owner sources. It includes all changes in equity during a period except those resulting from investments by owners and distributions to owners. Comprehensive income (loss) consists of: (i) all components of net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509" w:right="199" w:bottom="1440" w:gutter="0" w:footer="0" w:header="0"/>
        </w:sectPr>
      </w:pPr>
    </w:p>
    <w:bookmarkStart w:id="12" w:name="page13"/>
    <w:bookmarkEnd w:id="12"/>
    <w:p>
      <w:pPr>
        <w:ind w:left="8" w:right="300"/>
        <w:spacing w:after="0" w:line="276" w:lineRule="auto"/>
        <w:rPr>
          <w:sz w:val="20"/>
          <w:szCs w:val="20"/>
          <w:color w:val="auto"/>
        </w:rPr>
      </w:pPr>
      <w:r>
        <w:rPr>
          <w:rFonts w:ascii="Arial" w:cs="Arial" w:eastAsia="Arial" w:hAnsi="Arial"/>
          <w:sz w:val="12"/>
          <w:szCs w:val="12"/>
          <w:color w:val="auto"/>
        </w:rPr>
        <w:t>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accumulated other comprehensive income (loss), net of tax, were as follows (in thousands):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ind w:left="20"/>
              <w:spacing w:after="0"/>
              <w:rPr>
                <w:sz w:val="20"/>
                <w:szCs w:val="20"/>
                <w:color w:val="auto"/>
              </w:rPr>
            </w:pPr>
            <w:r>
              <w:rPr>
                <w:rFonts w:ascii="Arial" w:cs="Arial" w:eastAsia="Arial" w:hAnsi="Arial"/>
                <w:sz w:val="10"/>
                <w:szCs w:val="10"/>
                <w:b w:val="1"/>
                <w:bCs w:val="1"/>
                <w:color w:val="auto"/>
                <w:w w:val="93"/>
              </w:rPr>
              <w:t>Unrealized gains (losses) on available-</w:t>
            </w:r>
          </w:p>
        </w:tc>
        <w:tc>
          <w:tcPr>
            <w:tcW w:w="80" w:type="dxa"/>
            <w:vAlign w:val="bottom"/>
          </w:tcPr>
          <w:p>
            <w:pPr>
              <w:spacing w:after="0"/>
              <w:rPr>
                <w:sz w:val="10"/>
                <w:szCs w:val="10"/>
                <w:color w:val="auto"/>
              </w:rPr>
            </w:pPr>
          </w:p>
        </w:tc>
        <w:tc>
          <w:tcPr>
            <w:tcW w:w="1860" w:type="dxa"/>
            <w:vAlign w:val="bottom"/>
          </w:tcPr>
          <w:p>
            <w:pPr>
              <w:jc w:val="right"/>
              <w:ind w:right="52"/>
              <w:spacing w:after="0"/>
              <w:rPr>
                <w:sz w:val="20"/>
                <w:szCs w:val="20"/>
                <w:color w:val="auto"/>
              </w:rPr>
            </w:pPr>
            <w:r>
              <w:rPr>
                <w:rFonts w:ascii="Arial" w:cs="Arial" w:eastAsia="Arial" w:hAnsi="Arial"/>
                <w:sz w:val="10"/>
                <w:szCs w:val="10"/>
                <w:b w:val="1"/>
                <w:bCs w:val="1"/>
                <w:color w:val="auto"/>
                <w:w w:val="85"/>
              </w:rPr>
              <w:t>Accumulated other comprehensive income</w:t>
            </w:r>
          </w:p>
        </w:tc>
      </w:tr>
      <w:tr>
        <w:trPr>
          <w:trHeight w:val="128"/>
        </w:trPr>
        <w:tc>
          <w:tcPr>
            <w:tcW w:w="5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8"/>
              </w:rPr>
              <w:t>Foreign currency translation adjustment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for-sale securities</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b w:val="1"/>
                <w:bCs w:val="1"/>
                <w:color w:val="auto"/>
              </w:rPr>
              <w:t>(loss)</w:t>
            </w:r>
          </w:p>
        </w:tc>
      </w:tr>
      <w:tr>
        <w:trPr>
          <w:trHeight w:val="164"/>
        </w:trPr>
        <w:tc>
          <w:tcPr>
            <w:tcW w:w="5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(4,557)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(4,557)</w:t>
            </w:r>
          </w:p>
        </w:tc>
      </w:tr>
      <w:tr>
        <w:trPr>
          <w:trHeight w:val="17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 comprehensive income (loss) during the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w:t>
            </w:r>
          </w:p>
        </w:tc>
      </w:tr>
      <w:tr>
        <w:trPr>
          <w:trHeight w:val="16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March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(4,535)</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(4,533)</w:t>
            </w:r>
          </w:p>
        </w:tc>
      </w:tr>
    </w:tbl>
    <w:p>
      <w:pPr>
        <w:spacing w:after="0" w:line="200" w:lineRule="exact"/>
        <w:rPr>
          <w:sz w:val="20"/>
          <w:szCs w:val="20"/>
          <w:color w:val="auto"/>
        </w:rPr>
      </w:pPr>
    </w:p>
    <w:p>
      <w:pPr>
        <w:spacing w:after="0" w:line="3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8" w:right="120"/>
        <w:spacing w:after="0" w:line="306" w:lineRule="auto"/>
        <w:rPr>
          <w:sz w:val="20"/>
          <w:szCs w:val="20"/>
          <w:color w:val="auto"/>
        </w:rPr>
      </w:pPr>
      <w:r>
        <w:rPr>
          <w:rFonts w:ascii="Arial" w:cs="Arial" w:eastAsia="Arial" w:hAnsi="Arial"/>
          <w:sz w:val="10"/>
          <w:szCs w:val="10"/>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w:t>
      </w:r>
    </w:p>
    <w:p>
      <w:pPr>
        <w:spacing w:after="0" w:line="1" w:lineRule="exact"/>
        <w:rPr>
          <w:sz w:val="20"/>
          <w:szCs w:val="20"/>
          <w:color w:val="auto"/>
        </w:rPr>
      </w:pPr>
    </w:p>
    <w:p>
      <w:pPr>
        <w:ind w:left="8" w:right="40" w:hanging="8"/>
        <w:spacing w:after="0" w:line="252" w:lineRule="auto"/>
        <w:tabs>
          <w:tab w:leader="none" w:pos="178"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(see Note 13 to the Company's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Collaboration and Grant Revenue</w:t>
      </w:r>
    </w:p>
    <w:p>
      <w:pPr>
        <w:spacing w:after="0" w:line="150" w:lineRule="exact"/>
        <w:rPr>
          <w:sz w:val="20"/>
          <w:szCs w:val="20"/>
          <w:color w:val="auto"/>
        </w:rPr>
      </w:pPr>
    </w:p>
    <w:p>
      <w:pPr>
        <w:ind w:left="8" w:right="380"/>
        <w:spacing w:after="0" w:line="276" w:lineRule="auto"/>
        <w:rPr>
          <w:sz w:val="20"/>
          <w:szCs w:val="20"/>
          <w:color w:val="auto"/>
        </w:rPr>
      </w:pPr>
      <w:r>
        <w:rPr>
          <w:rFonts w:ascii="Arial" w:cs="Arial" w:eastAsia="Arial" w:hAnsi="Arial"/>
          <w:sz w:val="12"/>
          <w:szCs w:val="12"/>
          <w:color w:val="auto"/>
        </w:rPr>
        <w:t>The Company currently generates its revenue through grants, collaboration and license agreements with strategic collaborators for the development and commercialization of product candidates. The grants, collaboration and license agreements are within the scope of ASC 606.</w:t>
      </w:r>
    </w:p>
    <w:p>
      <w:pPr>
        <w:spacing w:after="0" w:line="115" w:lineRule="exact"/>
        <w:rPr>
          <w:sz w:val="20"/>
          <w:szCs w:val="20"/>
          <w:color w:val="auto"/>
        </w:rPr>
      </w:pPr>
    </w:p>
    <w:p>
      <w:pPr>
        <w:ind w:left="8" w:right="160"/>
        <w:spacing w:after="0" w:line="263" w:lineRule="auto"/>
        <w:rPr>
          <w:sz w:val="20"/>
          <w:szCs w:val="20"/>
          <w:color w:val="auto"/>
        </w:rPr>
      </w:pPr>
      <w:r>
        <w:rPr>
          <w:rFonts w:ascii="Arial" w:cs="Arial" w:eastAsia="Arial" w:hAnsi="Arial"/>
          <w:sz w:val="12"/>
          <w:szCs w:val="12"/>
          <w:color w:val="auto"/>
        </w:rPr>
        <w:t>In determining the appropriate amount of revenue to be recognized as it fulfills its obligations under the agreements,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23" w:lineRule="exact"/>
        <w:rPr>
          <w:sz w:val="20"/>
          <w:szCs w:val="20"/>
          <w:color w:val="auto"/>
        </w:rPr>
      </w:pPr>
    </w:p>
    <w:p>
      <w:pPr>
        <w:ind w:left="8" w:right="20"/>
        <w:spacing w:after="0" w:line="286" w:lineRule="auto"/>
        <w:rPr>
          <w:sz w:val="20"/>
          <w:szCs w:val="20"/>
          <w:color w:val="auto"/>
        </w:rPr>
      </w:pPr>
      <w:r>
        <w:rPr>
          <w:rFonts w:ascii="Arial" w:cs="Arial" w:eastAsia="Arial" w:hAnsi="Arial"/>
          <w:sz w:val="11"/>
          <w:szCs w:val="11"/>
          <w:i w:val="1"/>
          <w:iCs w:val="1"/>
          <w:color w:val="auto"/>
        </w:rPr>
        <w:t xml:space="preserve">Licenses of intellectual property: </w:t>
      </w:r>
      <w:r>
        <w:rPr>
          <w:rFonts w:ascii="Arial" w:cs="Arial" w:eastAsia="Arial" w:hAnsi="Arial"/>
          <w:sz w:val="11"/>
          <w:szCs w:val="11"/>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11"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i w:val="1"/>
          <w:iCs w:val="1"/>
          <w:color w:val="auto"/>
        </w:rPr>
        <w:t xml:space="preserve">Milestone Payments: </w:t>
      </w:r>
      <w:r>
        <w:rPr>
          <w:rFonts w:ascii="Arial" w:cs="Arial" w:eastAsia="Arial" w:hAnsi="Arial"/>
          <w:sz w:val="12"/>
          <w:szCs w:val="12"/>
          <w:color w:val="auto"/>
        </w:rPr>
        <w:t>At the inception of each arrangement that includes developmental and regulatory milestone payments, the Company evaluates whether the achievement of each milestone specifically relates to the Company’s efforts to</w:t>
      </w:r>
      <w:r>
        <w:rPr>
          <w:rFonts w:ascii="Arial" w:cs="Arial" w:eastAsia="Arial" w:hAnsi="Arial"/>
          <w:sz w:val="12"/>
          <w:szCs w:val="12"/>
          <w:i w:val="1"/>
          <w:iCs w:val="1"/>
          <w:color w:val="auto"/>
        </w:rPr>
        <w:t xml:space="preserve"> </w:t>
      </w:r>
      <w:r>
        <w:rPr>
          <w:rFonts w:ascii="Arial" w:cs="Arial" w:eastAsia="Arial" w:hAnsi="Arial"/>
          <w:sz w:val="12"/>
          <w:szCs w:val="12"/>
          <w:color w:val="auto"/>
        </w:rPr>
        <w:t>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w:t>
      </w: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09" w:right="199" w:bottom="1440" w:gutter="0" w:footer="0" w:header="0"/>
        </w:sectPr>
      </w:pPr>
    </w:p>
    <w:bookmarkStart w:id="13" w:name="page14"/>
    <w:bookmarkEnd w:id="13"/>
    <w:p>
      <w:pPr>
        <w:ind w:right="100"/>
        <w:spacing w:after="0" w:line="286" w:lineRule="auto"/>
        <w:rPr>
          <w:sz w:val="20"/>
          <w:szCs w:val="20"/>
          <w:color w:val="auto"/>
        </w:rPr>
      </w:pPr>
      <w:r>
        <w:rPr>
          <w:rFonts w:ascii="Arial" w:cs="Arial" w:eastAsia="Arial" w:hAnsi="Arial"/>
          <w:sz w:val="11"/>
          <w:szCs w:val="11"/>
          <w:color w:val="auto"/>
        </w:rPr>
        <w:t>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11" w:lineRule="exact"/>
        <w:rPr>
          <w:sz w:val="20"/>
          <w:szCs w:val="20"/>
          <w:color w:val="auto"/>
        </w:rPr>
      </w:pPr>
    </w:p>
    <w:p>
      <w:pPr>
        <w:ind w:right="40"/>
        <w:spacing w:after="0" w:line="380" w:lineRule="auto"/>
        <w:rPr>
          <w:sz w:val="20"/>
          <w:szCs w:val="20"/>
          <w:color w:val="auto"/>
        </w:rPr>
      </w:pPr>
      <w:r>
        <w:rPr>
          <w:rFonts w:ascii="Arial" w:cs="Arial" w:eastAsia="Arial" w:hAnsi="Arial"/>
          <w:sz w:val="10"/>
          <w:szCs w:val="10"/>
          <w:i w:val="1"/>
          <w:iCs w:val="1"/>
          <w:color w:val="auto"/>
        </w:rPr>
        <w:t xml:space="preserve">Manufacturing Supply Services: </w:t>
      </w:r>
      <w:r>
        <w:rPr>
          <w:rFonts w:ascii="Arial" w:cs="Arial" w:eastAsia="Arial" w:hAnsi="Arial"/>
          <w:sz w:val="10"/>
          <w:szCs w:val="10"/>
          <w:color w:val="auto"/>
        </w:rPr>
        <w:t>Arrangements that include a promise for future supply of drug substance or drug product for either clinical development or commercial supply at the customer’s discretion are evaluated to determine if they</w:t>
      </w:r>
      <w:r>
        <w:rPr>
          <w:rFonts w:ascii="Arial" w:cs="Arial" w:eastAsia="Arial" w:hAnsi="Arial"/>
          <w:sz w:val="10"/>
          <w:szCs w:val="10"/>
          <w:i w:val="1"/>
          <w:iCs w:val="1"/>
          <w:color w:val="auto"/>
        </w:rPr>
        <w:t xml:space="preserve"> </w:t>
      </w:r>
      <w:r>
        <w:rPr>
          <w:rFonts w:ascii="Arial" w:cs="Arial" w:eastAsia="Arial" w:hAnsi="Arial"/>
          <w:sz w:val="10"/>
          <w:szCs w:val="10"/>
          <w:color w:val="auto"/>
        </w:rPr>
        <w:t>are distinct and optional. For optional services that are distinct, the Company assesses if they are priced at a discount, and therefore, provide a material right to the licensee to be accounted for as separate performance obligations.</w:t>
      </w:r>
    </w:p>
    <w:p>
      <w:pPr>
        <w:spacing w:after="0" w:line="68" w:lineRule="exact"/>
        <w:rPr>
          <w:sz w:val="20"/>
          <w:szCs w:val="20"/>
          <w:color w:val="auto"/>
        </w:rPr>
      </w:pPr>
    </w:p>
    <w:p>
      <w:pPr>
        <w:jc w:val="both"/>
        <w:ind w:right="300"/>
        <w:spacing w:after="0" w:line="263" w:lineRule="auto"/>
        <w:rPr>
          <w:sz w:val="20"/>
          <w:szCs w:val="20"/>
          <w:color w:val="auto"/>
        </w:rPr>
      </w:pPr>
      <w:r>
        <w:rPr>
          <w:rFonts w:ascii="Arial" w:cs="Arial" w:eastAsia="Arial" w:hAnsi="Arial"/>
          <w:sz w:val="12"/>
          <w:szCs w:val="12"/>
          <w:i w:val="1"/>
          <w:iCs w:val="1"/>
          <w:color w:val="auto"/>
        </w:rPr>
        <w:t xml:space="preserve">Royalties: </w:t>
      </w:r>
      <w:r>
        <w:rPr>
          <w:rFonts w:ascii="Arial" w:cs="Arial" w:eastAsia="Arial" w:hAnsi="Arial"/>
          <w:sz w:val="12"/>
          <w:szCs w:val="12"/>
          <w:color w:val="auto"/>
        </w:rPr>
        <w:t>For arrangements that include sales-based royalties, including milestone payments based on the level of sales, and the license is deemed to be the predominant item to which the royalties relate, the Company will recognize</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154"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Trial Costs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ind w:right="300"/>
        <w:spacing w:after="0" w:line="380" w:lineRule="auto"/>
        <w:rPr>
          <w:sz w:val="20"/>
          <w:szCs w:val="20"/>
          <w:color w:val="auto"/>
        </w:rPr>
      </w:pPr>
      <w:r>
        <w:rPr>
          <w:rFonts w:ascii="Arial" w:cs="Arial" w:eastAsia="Arial" w:hAnsi="Arial"/>
          <w:sz w:val="10"/>
          <w:szCs w:val="10"/>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68" w:lineRule="exact"/>
        <w:rPr>
          <w:sz w:val="20"/>
          <w:szCs w:val="20"/>
          <w:color w:val="auto"/>
        </w:rPr>
      </w:pPr>
    </w:p>
    <w:p>
      <w:pPr>
        <w:ind w:right="340"/>
        <w:spacing w:after="0" w:line="147" w:lineRule="exact"/>
        <w:rPr>
          <w:sz w:val="20"/>
          <w:szCs w:val="20"/>
          <w:color w:val="auto"/>
        </w:rPr>
      </w:pPr>
      <w:r>
        <w:rPr>
          <w:rFonts w:ascii="Arial" w:cs="Arial" w:eastAsia="Arial" w:hAnsi="Arial"/>
          <w:sz w:val="10"/>
          <w:szCs w:val="10"/>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0"/>
          <w:szCs w:val="10"/>
          <w:color w:val="auto"/>
        </w:rPr>
        <w:t>‑</w:t>
      </w:r>
      <w:r>
        <w:rPr>
          <w:rFonts w:ascii="Arial" w:cs="Arial" w:eastAsia="Arial" w:hAnsi="Arial"/>
          <w:sz w:val="10"/>
          <w:szCs w:val="10"/>
          <w:color w:val="auto"/>
        </w:rPr>
        <w:t>likely</w:t>
      </w:r>
      <w:r>
        <w:rPr>
          <w:rFonts w:ascii="MS PGothic" w:cs="MS PGothic" w:eastAsia="MS PGothic" w:hAnsi="MS PGothic"/>
          <w:sz w:val="10"/>
          <w:szCs w:val="10"/>
          <w:color w:val="auto"/>
        </w:rPr>
        <w:t>‑</w:t>
      </w:r>
      <w:r>
        <w:rPr>
          <w:rFonts w:ascii="Arial" w:cs="Arial" w:eastAsia="Arial" w:hAnsi="Arial"/>
          <w:sz w:val="10"/>
          <w:szCs w:val="10"/>
          <w:color w:val="auto"/>
        </w:rPr>
        <w:t>than</w:t>
      </w:r>
      <w:r>
        <w:rPr>
          <w:rFonts w:ascii="MS PGothic" w:cs="MS PGothic" w:eastAsia="MS PGothic" w:hAnsi="MS PGothic"/>
          <w:sz w:val="10"/>
          <w:szCs w:val="10"/>
          <w:color w:val="auto"/>
        </w:rPr>
        <w:t>‑</w:t>
      </w:r>
      <w:r>
        <w:rPr>
          <w:rFonts w:ascii="Arial" w:cs="Arial" w:eastAsia="Arial" w:hAnsi="Arial"/>
          <w:sz w:val="10"/>
          <w:szCs w:val="10"/>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40"/>
          </w:cols>
          <w:pgMar w:left="220" w:top="509" w:right="239" w:bottom="1440" w:gutter="0" w:footer="0" w:header="0"/>
        </w:sectPr>
      </w:pPr>
    </w:p>
    <w:bookmarkStart w:id="14" w:name="page15"/>
    <w:bookmarkEnd w:id="14"/>
    <w:p>
      <w:pPr>
        <w:ind w:right="120"/>
        <w:spacing w:after="0" w:line="263" w:lineRule="auto"/>
        <w:rPr>
          <w:sz w:val="20"/>
          <w:szCs w:val="20"/>
          <w:color w:val="auto"/>
        </w:rPr>
      </w:pPr>
      <w:r>
        <w:rPr>
          <w:rFonts w:ascii="Arial" w:cs="Arial" w:eastAsia="Arial" w:hAnsi="Arial"/>
          <w:sz w:val="12"/>
          <w:szCs w:val="12"/>
          <w:i w:val="1"/>
          <w:iCs w:val="1"/>
          <w:color w:val="auto"/>
        </w:rPr>
        <w:t>Instruments with Characteristics of both Liabilities and Equity</w:t>
      </w:r>
      <w:r>
        <w:rPr>
          <w:rFonts w:ascii="Arial" w:cs="Arial" w:eastAsia="Arial" w:hAnsi="Arial"/>
          <w:sz w:val="12"/>
          <w:szCs w:val="12"/>
          <w:color w:val="auto"/>
        </w:rPr>
        <w:t>, and then in accordance with ASC 815-40,</w:t>
      </w:r>
      <w:r>
        <w:rPr>
          <w:rFonts w:ascii="Arial" w:cs="Arial" w:eastAsia="Arial" w:hAnsi="Arial"/>
          <w:sz w:val="12"/>
          <w:szCs w:val="12"/>
          <w:i w:val="1"/>
          <w:iCs w:val="1"/>
          <w:color w:val="auto"/>
        </w:rPr>
        <w:t xml:space="preserve"> Accounting for Derivative Financial Instruments Indexed to, and Potentially Settled in, a Company’s Own Stock</w:t>
      </w:r>
      <w:r>
        <w:rPr>
          <w:rFonts w:ascii="Arial" w:cs="Arial" w:eastAsia="Arial" w:hAnsi="Arial"/>
          <w:sz w:val="12"/>
          <w:szCs w:val="12"/>
          <w:color w:val="auto"/>
        </w:rPr>
        <w:t>. Under ASC 480,</w:t>
      </w:r>
      <w:r>
        <w:rPr>
          <w:rFonts w:ascii="Arial" w:cs="Arial" w:eastAsia="Arial" w:hAnsi="Arial"/>
          <w:sz w:val="12"/>
          <w:szCs w:val="12"/>
          <w:i w:val="1"/>
          <w:iCs w:val="1"/>
          <w:color w:val="auto"/>
        </w:rPr>
        <w:t xml:space="preserve"> </w:t>
      </w:r>
      <w:r>
        <w:rPr>
          <w:rFonts w:ascii="Arial" w:cs="Arial" w:eastAsia="Arial" w:hAnsi="Arial"/>
          <w:sz w:val="12"/>
          <w:szCs w:val="12"/>
          <w:color w:val="auto"/>
        </w:rPr>
        <w:t>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23"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94"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color w:val="auto"/>
        </w:rPr>
        <w:t>Stock</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Based Compensation</w:t>
      </w:r>
    </w:p>
    <w:p>
      <w:pPr>
        <w:spacing w:after="0" w:line="154" w:lineRule="exact"/>
        <w:rPr>
          <w:sz w:val="20"/>
          <w:szCs w:val="20"/>
          <w:color w:val="auto"/>
        </w:rPr>
      </w:pPr>
    </w:p>
    <w:p>
      <w:pPr>
        <w:jc w:val="both"/>
        <w:ind w:right="140"/>
        <w:spacing w:after="0" w:line="147" w:lineRule="exact"/>
        <w:rPr>
          <w:sz w:val="20"/>
          <w:szCs w:val="20"/>
          <w:color w:val="auto"/>
        </w:rPr>
      </w:pPr>
      <w:r>
        <w:rPr>
          <w:rFonts w:ascii="Arial" w:cs="Arial" w:eastAsia="Arial" w:hAnsi="Arial"/>
          <w:sz w:val="12"/>
          <w:szCs w:val="12"/>
          <w:color w:val="auto"/>
        </w:rPr>
        <w:t>The Company accounts for all stock</w:t>
      </w:r>
      <w:r>
        <w:rPr>
          <w:rFonts w:ascii="MS PGothic" w:cs="MS PGothic" w:eastAsia="MS PGothic" w:hAnsi="MS PGothic"/>
          <w:sz w:val="12"/>
          <w:szCs w:val="12"/>
          <w:color w:val="auto"/>
        </w:rPr>
        <w:t>‑</w:t>
      </w:r>
      <w:r>
        <w:rPr>
          <w:rFonts w:ascii="Arial" w:cs="Arial" w:eastAsia="Arial" w:hAnsi="Arial"/>
          <w:sz w:val="12"/>
          <w:szCs w:val="12"/>
          <w:color w:val="auto"/>
        </w:rPr>
        <w:t>based compensation granted to employees and non</w:t>
      </w:r>
      <w:r>
        <w:rPr>
          <w:rFonts w:ascii="MS PGothic" w:cs="MS PGothic" w:eastAsia="MS PGothic" w:hAnsi="MS PGothic"/>
          <w:sz w:val="12"/>
          <w:szCs w:val="12"/>
          <w:color w:val="auto"/>
        </w:rPr>
        <w:t>‑</w:t>
      </w:r>
      <w:r>
        <w:rPr>
          <w:rFonts w:ascii="Arial" w:cs="Arial" w:eastAsia="Arial" w:hAnsi="Arial"/>
          <w:sz w:val="12"/>
          <w:szCs w:val="12"/>
          <w:color w:val="auto"/>
        </w:rPr>
        <w:t>employees using a fair value method. Stock</w:t>
      </w:r>
      <w:r>
        <w:rPr>
          <w:rFonts w:ascii="MS PGothic" w:cs="MS PGothic" w:eastAsia="MS PGothic" w:hAnsi="MS PGothic"/>
          <w:sz w:val="12"/>
          <w:szCs w:val="12"/>
          <w:color w:val="auto"/>
        </w:rPr>
        <w:t>‑</w:t>
      </w:r>
      <w:r>
        <w:rPr>
          <w:rFonts w:ascii="Arial" w:cs="Arial" w:eastAsia="Arial" w:hAnsi="Arial"/>
          <w:sz w:val="12"/>
          <w:szCs w:val="12"/>
          <w:color w:val="auto"/>
        </w:rPr>
        <w:t>based compensation is measured at the grant date fair value and is recognized over the requisite service period of the awards, usually the vesting period, on a straight</w:t>
      </w:r>
      <w:r>
        <w:rPr>
          <w:rFonts w:ascii="MS PGothic" w:cs="MS PGothic" w:eastAsia="MS PGothic" w:hAnsi="MS PGothic"/>
          <w:sz w:val="12"/>
          <w:szCs w:val="12"/>
          <w:color w:val="auto"/>
        </w:rPr>
        <w:t>‑</w:t>
      </w:r>
      <w:r>
        <w:rPr>
          <w:rFonts w:ascii="Arial" w:cs="Arial" w:eastAsia="Arial" w:hAnsi="Arial"/>
          <w:sz w:val="12"/>
          <w:szCs w:val="12"/>
          <w:color w:val="auto"/>
        </w:rPr>
        <w:t>line basis, net of estimated forfeitures. The Company reduces recorded stock</w:t>
      </w:r>
      <w:r>
        <w:rPr>
          <w:rFonts w:ascii="MS PGothic" w:cs="MS PGothic" w:eastAsia="MS PGothic" w:hAnsi="MS PGothic"/>
          <w:sz w:val="12"/>
          <w:szCs w:val="12"/>
          <w:color w:val="auto"/>
        </w:rPr>
        <w:t>‑</w:t>
      </w:r>
      <w:r>
        <w:rPr>
          <w:rFonts w:ascii="Arial" w:cs="Arial" w:eastAsia="Arial" w:hAnsi="Arial"/>
          <w:sz w:val="12"/>
          <w:szCs w:val="12"/>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2"/>
          <w:szCs w:val="12"/>
          <w:color w:val="auto"/>
        </w:rPr>
        <w:t>‑</w:t>
      </w:r>
      <w:r>
        <w:rPr>
          <w:rFonts w:ascii="Arial" w:cs="Arial" w:eastAsia="Arial" w:hAnsi="Arial"/>
          <w:sz w:val="12"/>
          <w:szCs w:val="12"/>
          <w:color w:val="auto"/>
        </w:rPr>
        <w:t>based compensation expense recognized in the consolidated financial statements is based on awards that are ultimately expected to vest.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Per Share</w:t>
      </w:r>
    </w:p>
    <w:p>
      <w:pPr>
        <w:spacing w:after="0" w:line="154" w:lineRule="exact"/>
        <w:rPr>
          <w:sz w:val="20"/>
          <w:szCs w:val="20"/>
          <w:color w:val="auto"/>
        </w:rPr>
      </w:pPr>
    </w:p>
    <w:p>
      <w:pPr>
        <w:ind w:right="140"/>
        <w:spacing w:after="0" w:line="148" w:lineRule="exact"/>
        <w:rPr>
          <w:sz w:val="20"/>
          <w:szCs w:val="20"/>
          <w:color w:val="auto"/>
        </w:rPr>
      </w:pPr>
      <w:r>
        <w:rPr>
          <w:rFonts w:ascii="Arial" w:cs="Arial" w:eastAsia="Arial" w:hAnsi="Arial"/>
          <w:sz w:val="11"/>
          <w:szCs w:val="11"/>
          <w:color w:val="auto"/>
        </w:rPr>
        <w:t>The Company has reported losses since inception and has computed basic net loss per share by dividing net loss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1"/>
          <w:szCs w:val="11"/>
          <w:color w:val="auto"/>
        </w:rPr>
        <w:t>‑</w:t>
      </w:r>
      <w:r>
        <w:rPr>
          <w:rFonts w:ascii="Arial" w:cs="Arial" w:eastAsia="Arial" w:hAnsi="Arial"/>
          <w:sz w:val="11"/>
          <w:szCs w:val="11"/>
          <w:color w:val="auto"/>
        </w:rPr>
        <w:t>dilutive and basic and diluted loss per share have been the same.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 xml:space="preserve">The Company accounts for its contingent liabilities in accordance with ASC No. 450, </w:t>
      </w:r>
      <w:r>
        <w:rPr>
          <w:rFonts w:ascii="Arial" w:cs="Arial" w:eastAsia="Arial" w:hAnsi="Arial"/>
          <w:sz w:val="11"/>
          <w:szCs w:val="11"/>
          <w:i w:val="1"/>
          <w:iCs w:val="1"/>
          <w:color w:val="auto"/>
        </w:rPr>
        <w:t>Contingencies</w:t>
      </w:r>
      <w:r>
        <w:rPr>
          <w:rFonts w:ascii="Arial" w:cs="Arial" w:eastAsia="Arial" w:hAnsi="Arial"/>
          <w:sz w:val="11"/>
          <w:szCs w:val="11"/>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March 31, 2019 and December 31, 2018, the Company was not a party to any litigation that could have a material adverse effect on the Company’s business, financial position, results of operations or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right="60"/>
        <w:spacing w:after="0" w:line="327" w:lineRule="auto"/>
        <w:rPr>
          <w:sz w:val="20"/>
          <w:szCs w:val="20"/>
          <w:color w:val="auto"/>
        </w:rPr>
      </w:pPr>
      <w:r>
        <w:rPr>
          <w:rFonts w:ascii="Arial" w:cs="Arial" w:eastAsia="Arial" w:hAnsi="Arial"/>
          <w:sz w:val="10"/>
          <w:szCs w:val="10"/>
          <w:color w:val="auto"/>
        </w:rPr>
        <w:t>Under ASC 842 which was adopted January 1, 2019, the Company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our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accordance with the guidance in ASU 2016-02,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See Note 9 for details.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509" w:right="199" w:bottom="1440" w:gutter="0" w:footer="0" w:header="0"/>
        </w:sectPr>
      </w:pPr>
    </w:p>
    <w:bookmarkStart w:id="15" w:name="page16"/>
    <w:bookmarkEnd w:id="15"/>
    <w:p>
      <w:pPr>
        <w:ind w:right="160"/>
        <w:spacing w:after="0" w:line="149" w:lineRule="exact"/>
        <w:rPr>
          <w:sz w:val="20"/>
          <w:szCs w:val="20"/>
          <w:color w:val="auto"/>
        </w:rPr>
      </w:pPr>
      <w:r>
        <w:rPr>
          <w:rFonts w:ascii="Arial" w:cs="Arial" w:eastAsia="Arial" w:hAnsi="Arial"/>
          <w:sz w:val="12"/>
          <w:szCs w:val="12"/>
          <w:color w:val="auto"/>
        </w:rPr>
        <w:t>Under prior guidance ASC 840, rent expense and lease incentives from operating leases were recognized on a straight</w:t>
      </w:r>
      <w:r>
        <w:rPr>
          <w:rFonts w:ascii="MS PGothic" w:cs="MS PGothic" w:eastAsia="MS PGothic" w:hAnsi="MS PGothic"/>
          <w:sz w:val="12"/>
          <w:szCs w:val="12"/>
          <w:color w:val="auto"/>
        </w:rPr>
        <w:t>‑</w:t>
      </w:r>
      <w:r>
        <w:rPr>
          <w:rFonts w:ascii="Arial" w:cs="Arial" w:eastAsia="Arial" w:hAnsi="Arial"/>
          <w:sz w:val="12"/>
          <w:szCs w:val="12"/>
          <w:color w:val="auto"/>
        </w:rPr>
        <w:t>line basis over the lease term. The difference between rent expense recognized and rental payments was recorded as deferred rent in the accompanying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June 2016, the FASB issued Accounting Standards Update No. ("ASU") 2016-13, Financial Instruments-Credit Losses (Topic 326), Measurement of Credit Losses on Financial Instruments. Subsequently, in November 2018, the FASB issued ASU 2018-19, “Codification Improvements to Topic 326, Financial Instruments-Credit Losses”.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public entities for fiscal years beginning after December 15, 2019, with early adoption permitted. The Company is assessing the impact this standard will have on its consolidated financial statements and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In February 2016, the FASB issued Accounting Standards Update No. (“ASU”) 2016-02, “Leases (Topic 842).” ASU 2016-02 requires lessees to recognize most leases on their balance sheet as a right-of-use asset and a lease liability.</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Leases are classified as either operating or finance based on criteria similar to current lease accounting, with the classification affecting the pattern and classification of expense recognition in the statement of operations.</w:t>
      </w:r>
    </w:p>
    <w:p>
      <w:pPr>
        <w:spacing w:after="0" w:line="15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Subsequently, in July 2018, the FASB issued ASU No. 2018-11, Leases (Topic 842): Targeted Improvements (“ASU 2018-11”), which includes certain amendments to ASU 2016-02 intended to provide relief in implementing the new standard. Among these amendments is the option to not restate comparative periods presented in the financial statements. The Company has elected this transition approach, using a cumulative-effect adjustment on the effective date of the standard, with comparative periods presented in accordance with the existing guidance in ASC 840.</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Pursuant to the guidance under ASU 2016-02, the Company elected certain available expedients by electing the transition package of practical expedients permitted with ASU 2016-02, which allows the Company the option not to reassess previous accounting conclusions around, (i) whether expired or existing contracts contain leases, (ii) lease classification for any expired or existing leases, and (iii) the treatment of initial direct costs for any existing leases. The Company also made an accounting policy election to exclude leases with an initial term of 12 months or less from their balance sheet.</w:t>
      </w:r>
    </w:p>
    <w:p>
      <w:pPr>
        <w:spacing w:after="0" w:line="12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Company adopted the new standard as of the required effective date of January 1, 2019 resulting in the recognition of a net additional lease liability and right-of-use asset. The standard did not impact the Company's consolidated net loss or cash flows. See Note 9 for details.</w:t>
      </w:r>
    </w:p>
    <w:p>
      <w:pPr>
        <w:spacing w:after="0" w:line="115"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In August 2018, the FASB issued ASU No. 2018-13, "</w:t>
      </w:r>
      <w:r>
        <w:rPr>
          <w:rFonts w:ascii="Arial" w:cs="Arial" w:eastAsia="Arial" w:hAnsi="Arial"/>
          <w:sz w:val="12"/>
          <w:szCs w:val="12"/>
          <w:i w:val="1"/>
          <w:iCs w:val="1"/>
          <w:color w:val="auto"/>
        </w:rPr>
        <w:t>Fair Value Measurement (Topic 820): Changes to the Disclosure Requirements for Fair Value Measurement"</w:t>
      </w:r>
      <w:r>
        <w:rPr>
          <w:rFonts w:ascii="Arial" w:cs="Arial" w:eastAsia="Arial" w:hAnsi="Arial"/>
          <w:sz w:val="12"/>
          <w:szCs w:val="12"/>
          <w:color w:val="auto"/>
        </w:rPr>
        <w:t xml:space="preserve"> (ASU 2018-13) which changes the fair value measurement disclosure requirements of ASC 820. This ASU is effective for public entities for fiscal years beginning after December 15, 2019, with early adoption permitted. The Company is assessing the impact this standard will have on its consolidated financial statements and disclosures.</w:t>
      </w:r>
    </w:p>
    <w:p>
      <w:pPr>
        <w:spacing w:after="0" w:line="123"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In November 2018, the FASB issued ASU No. 2018-18, </w:t>
      </w:r>
      <w:r>
        <w:rPr>
          <w:rFonts w:ascii="Arial" w:cs="Arial" w:eastAsia="Arial" w:hAnsi="Arial"/>
          <w:sz w:val="12"/>
          <w:szCs w:val="12"/>
          <w:i w:val="1"/>
          <w:iCs w:val="1"/>
          <w:color w:val="auto"/>
        </w:rPr>
        <w:t>“Collaborative Arrangements (Topic 808): Clarifying the Interaction between Topic 808 and Topic 606”</w:t>
      </w:r>
      <w:r>
        <w:rPr>
          <w:rFonts w:ascii="Arial" w:cs="Arial" w:eastAsia="Arial" w:hAnsi="Arial"/>
          <w:sz w:val="12"/>
          <w:szCs w:val="12"/>
          <w:color w:val="auto"/>
        </w:rPr>
        <w:t xml:space="preserve"> (ASU 2018-18), which provides guidance on whether certain transactions between collaborative arrangement participants should be accounted for with revenue under Topic 606. This ASU is effective for public entities for fiscal years beginning after December 15, 2019, with early adoption permitted. The Company is assessing the impact this standard will have on its consolidated financial statements and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Available-for-Sale Marketable Securities</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As of March 31, 2019, the Company’s available-for-sale marketable securities consisted of U.S. government and agency securities, commercial paper and corporate bonds. As of December 31, 2018, the Company did not have available-for-sale marketable securities.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20"/>
          </w:cols>
          <w:pgMar w:left="220" w:top="509" w:right="25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The following tables summarize the Company’s available-for-sale marketable securities by major type of security as of March 31, 2019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5"/>
          </w:tcPr>
          <w:p>
            <w:pPr>
              <w:ind w:left="1000"/>
              <w:spacing w:after="0"/>
              <w:rPr>
                <w:sz w:val="20"/>
                <w:szCs w:val="20"/>
                <w:color w:val="auto"/>
              </w:rPr>
            </w:pPr>
            <w:r>
              <w:rPr>
                <w:rFonts w:ascii="Arial" w:cs="Arial" w:eastAsia="Arial" w:hAnsi="Arial"/>
                <w:sz w:val="10"/>
                <w:szCs w:val="10"/>
                <w:b w:val="1"/>
                <w:bCs w:val="1"/>
                <w:color w:val="auto"/>
              </w:rPr>
              <w:t>March 31, 2019</w:t>
            </w: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69"/>
        </w:trPr>
        <w:tc>
          <w:tcPr>
            <w:tcW w:w="5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Amortized Cost</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0"/>
              </w:rPr>
              <w:t>Gross Unrealized Gains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97"/>
              </w:rPr>
              <w:t>Gross Unrealized Losses</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Fair Value</w:t>
            </w:r>
          </w:p>
        </w:tc>
      </w:tr>
      <w:tr>
        <w:trPr>
          <w:trHeight w:val="164"/>
        </w:trPr>
        <w:tc>
          <w:tcPr>
            <w:tcW w:w="5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U.S. government and agency securities</w:t>
            </w: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9,935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9,936</w:t>
            </w:r>
          </w:p>
        </w:tc>
      </w:tr>
      <w:tr>
        <w:trPr>
          <w:trHeight w:val="14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Corporate bonds and commercial paper</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6,308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6,308</w:t>
            </w:r>
          </w:p>
        </w:tc>
      </w:tr>
      <w:tr>
        <w:trPr>
          <w:trHeight w:val="162"/>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available-for-sale marketable securities</w:t>
            </w: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16,243</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16,244</w:t>
            </w:r>
          </w:p>
        </w:tc>
      </w:tr>
    </w:tbl>
    <w:p>
      <w:pPr>
        <w:spacing w:after="0" w:line="200" w:lineRule="exact"/>
        <w:rPr>
          <w:sz w:val="20"/>
          <w:szCs w:val="20"/>
          <w:color w:val="auto"/>
        </w:rPr>
      </w:pPr>
    </w:p>
    <w:p>
      <w:pPr>
        <w:spacing w:after="0" w:line="259"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All available-for-sale marketable securities are classified in the Company’s consolidated balance sheets as short-term deposits and investments. The Company classifies its marketable debt securities based on their contractual maturity dates. The fair values and amortized cost of marketable debt securities by contractual maturity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6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 2019</w:t>
            </w: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2018</w:t>
            </w:r>
          </w:p>
        </w:tc>
        <w:tc>
          <w:tcPr>
            <w:tcW w:w="1020" w:type="dxa"/>
            <w:vAlign w:val="bottom"/>
            <w:tcBorders>
              <w:bottom w:val="single" w:sz="8" w:color="auto"/>
            </w:tcBorders>
          </w:tcPr>
          <w:p>
            <w:pPr>
              <w:spacing w:after="0"/>
              <w:rPr>
                <w:sz w:val="11"/>
                <w:szCs w:val="11"/>
                <w:color w:val="auto"/>
              </w:rPr>
            </w:pPr>
          </w:p>
        </w:tc>
      </w:tr>
      <w:tr>
        <w:trPr>
          <w:trHeight w:val="169"/>
        </w:trPr>
        <w:tc>
          <w:tcPr>
            <w:tcW w:w="5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w w:val="91"/>
              </w:rPr>
              <w:t>Amortized Cost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Amortized Cost</w:t>
            </w:r>
          </w:p>
        </w:tc>
      </w:tr>
      <w:tr>
        <w:trPr>
          <w:trHeight w:val="164"/>
        </w:trPr>
        <w:tc>
          <w:tcPr>
            <w:tcW w:w="5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than one year</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16,244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16,243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0"/>
                <w:szCs w:val="10"/>
                <w:color w:val="auto"/>
              </w:rPr>
              <w:t>—</w:t>
            </w:r>
          </w:p>
        </w:tc>
      </w:tr>
    </w:tbl>
    <w:p>
      <w:pPr>
        <w:spacing w:after="0" w:line="279"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As of March 31, 2019 the Company held a total of 15 positions, none of which had been in an unrealized loss position for 12 months or greater. Based on the Company’s review of these securities, the Company believes that the cost basis of its available-for-sale marketable securities is recoverable and that, therefore, it had no other-than-temporary impairments on these securities as of March 31, 2019. The Company does not intend to sell these debt securities and the Company believes it is not more likely than not that it will be required to sell these securities before the recovery of their amortized cost basis, which may be maturity.</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Net Loss Per Share</w:t>
      </w:r>
    </w:p>
    <w:p>
      <w:pPr>
        <w:spacing w:after="0" w:line="154" w:lineRule="exact"/>
        <w:rPr>
          <w:sz w:val="20"/>
          <w:szCs w:val="20"/>
          <w:color w:val="auto"/>
        </w:rPr>
      </w:pPr>
    </w:p>
    <w:p>
      <w:pPr>
        <w:ind w:right="200"/>
        <w:spacing w:after="0" w:line="149" w:lineRule="exact"/>
        <w:rPr>
          <w:sz w:val="20"/>
          <w:szCs w:val="20"/>
          <w:color w:val="auto"/>
        </w:rPr>
      </w:pPr>
      <w:r>
        <w:rPr>
          <w:rFonts w:ascii="Arial" w:cs="Arial" w:eastAsia="Arial" w:hAnsi="Arial"/>
          <w:sz w:val="12"/>
          <w:szCs w:val="12"/>
          <w:color w:val="auto"/>
        </w:rPr>
        <w:t>The Company has reported a net loss for the three months ended March 31, 2019, and 2018, and for this reason basic and diluted net loss per share are the same for all periods presented. The following table sets forth the computation of basic and diluted net loss per share (in thousands, except share and per</w:t>
      </w:r>
      <w:r>
        <w:rPr>
          <w:rFonts w:ascii="MS PGothic" w:cs="MS PGothic" w:eastAsia="MS PGothic" w:hAnsi="MS PGothic"/>
          <w:sz w:val="12"/>
          <w:szCs w:val="12"/>
          <w:color w:val="auto"/>
        </w:rPr>
        <w:t>‑</w:t>
      </w:r>
      <w:r>
        <w:rPr>
          <w:rFonts w:ascii="Arial" w:cs="Arial" w:eastAsia="Arial" w:hAnsi="Arial"/>
          <w:sz w:val="12"/>
          <w:szCs w:val="12"/>
          <w:color w:val="auto"/>
        </w:rPr>
        <w:t>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9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 March 31,</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jc w:val="right"/>
              <w:ind w:right="712"/>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712"/>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35"/>
        </w:trPr>
        <w:tc>
          <w:tcPr>
            <w:tcW w:w="79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7920" w:type="dxa"/>
            <w:vAlign w:val="bottom"/>
            <w:shd w:val="clear" w:color="auto" w:fill="CCEEFF"/>
          </w:tcPr>
          <w:p>
            <w:pPr>
              <w:ind w:left="20"/>
              <w:spacing w:after="0" w:line="107" w:lineRule="exact"/>
              <w:rPr>
                <w:sz w:val="20"/>
                <w:szCs w:val="20"/>
                <w:color w:val="auto"/>
              </w:rPr>
            </w:pPr>
            <w:r>
              <w:rPr>
                <w:rFonts w:ascii="Arial" w:cs="Arial" w:eastAsia="Arial" w:hAnsi="Arial"/>
                <w:sz w:val="10"/>
                <w:szCs w:val="10"/>
                <w:b w:val="1"/>
                <w:bCs w:val="1"/>
                <w:color w:val="auto"/>
              </w:rPr>
              <w:t>Numerator:</w:t>
            </w:r>
          </w:p>
        </w:tc>
        <w:tc>
          <w:tcPr>
            <w:tcW w:w="4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79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7920" w:type="dxa"/>
            <w:vAlign w:val="bottom"/>
          </w:tcPr>
          <w:p>
            <w:pPr>
              <w:ind w:left="20"/>
              <w:spacing w:after="0"/>
              <w:rPr>
                <w:sz w:val="20"/>
                <w:szCs w:val="20"/>
                <w:color w:val="auto"/>
              </w:rPr>
            </w:pPr>
            <w:r>
              <w:rPr>
                <w:rFonts w:ascii="Arial" w:cs="Arial" w:eastAsia="Arial" w:hAnsi="Arial"/>
                <w:sz w:val="10"/>
                <w:szCs w:val="10"/>
                <w:color w:val="auto"/>
              </w:rPr>
              <w:t>Net loss attributable to common stockholders</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32"/>
              <w:spacing w:after="0"/>
              <w:rPr>
                <w:sz w:val="20"/>
                <w:szCs w:val="20"/>
                <w:color w:val="auto"/>
              </w:rPr>
            </w:pPr>
            <w:r>
              <w:rPr>
                <w:rFonts w:ascii="Arial" w:cs="Arial" w:eastAsia="Arial" w:hAnsi="Arial"/>
                <w:sz w:val="10"/>
                <w:szCs w:val="10"/>
                <w:color w:val="auto"/>
              </w:rPr>
              <w:t>(12,074)</w:t>
            </w:r>
          </w:p>
        </w:tc>
        <w:tc>
          <w:tcPr>
            <w:tcW w:w="120" w:type="dxa"/>
            <w:vAlign w:val="bottom"/>
          </w:tcPr>
          <w:p>
            <w:pPr>
              <w:spacing w:after="0"/>
              <w:rPr>
                <w:sz w:val="11"/>
                <w:szCs w:val="11"/>
                <w:color w:val="auto"/>
              </w:rPr>
            </w:pPr>
          </w:p>
        </w:tc>
        <w:tc>
          <w:tcPr>
            <w:tcW w:w="680" w:type="dxa"/>
            <w:vAlign w:val="bottom"/>
          </w:tcPr>
          <w:p>
            <w:pPr>
              <w:jc w:val="right"/>
              <w:ind w:right="552"/>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(15,888)</w:t>
            </w:r>
          </w:p>
        </w:tc>
        <w:tc>
          <w:tcPr>
            <w:tcW w:w="0" w:type="dxa"/>
            <w:vAlign w:val="bottom"/>
          </w:tcPr>
          <w:p>
            <w:pPr>
              <w:spacing w:after="0"/>
              <w:rPr>
                <w:sz w:val="1"/>
                <w:szCs w:val="1"/>
                <w:color w:val="auto"/>
              </w:rPr>
            </w:pPr>
          </w:p>
        </w:tc>
      </w:tr>
      <w:tr>
        <w:trPr>
          <w:trHeight w:val="51"/>
        </w:trPr>
        <w:tc>
          <w:tcPr>
            <w:tcW w:w="79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792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b w:val="1"/>
                <w:bCs w:val="1"/>
                <w:color w:val="auto"/>
              </w:rPr>
              <w:t>Denominator:</w:t>
            </w:r>
          </w:p>
        </w:tc>
        <w:tc>
          <w:tcPr>
            <w:tcW w:w="4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79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7920" w:type="dxa"/>
            <w:vAlign w:val="bottom"/>
          </w:tcPr>
          <w:p>
            <w:pPr>
              <w:ind w:left="20"/>
              <w:spacing w:after="0" w:line="115" w:lineRule="exact"/>
              <w:rPr>
                <w:sz w:val="20"/>
                <w:szCs w:val="20"/>
                <w:color w:val="auto"/>
              </w:rPr>
            </w:pPr>
            <w:r>
              <w:rPr>
                <w:rFonts w:ascii="Arial" w:cs="Arial" w:eastAsia="Arial" w:hAnsi="Arial"/>
                <w:sz w:val="10"/>
                <w:szCs w:val="10"/>
                <w:color w:val="auto"/>
              </w:rPr>
              <w:t>Weighted</w:t>
            </w:r>
            <w:r>
              <w:rPr>
                <w:rFonts w:ascii="MS PGothic" w:cs="MS PGothic" w:eastAsia="MS PGothic" w:hAnsi="MS PGothic"/>
                <w:sz w:val="10"/>
                <w:szCs w:val="10"/>
                <w:color w:val="auto"/>
              </w:rPr>
              <w:t>‑</w:t>
            </w:r>
            <w:r>
              <w:rPr>
                <w:rFonts w:ascii="Arial" w:cs="Arial" w:eastAsia="Arial" w:hAnsi="Arial"/>
                <w:sz w:val="10"/>
                <w:szCs w:val="10"/>
                <w:color w:val="auto"/>
              </w:rPr>
              <w:t>average common shares outstanding—basic and diluted</w:t>
            </w:r>
          </w:p>
        </w:tc>
        <w:tc>
          <w:tcPr>
            <w:tcW w:w="420" w:type="dxa"/>
            <w:vAlign w:val="bottom"/>
          </w:tcPr>
          <w:p>
            <w:pPr>
              <w:spacing w:after="0"/>
              <w:rPr>
                <w:sz w:val="11"/>
                <w:szCs w:val="11"/>
                <w:color w:val="auto"/>
              </w:rPr>
            </w:pPr>
          </w:p>
        </w:tc>
        <w:tc>
          <w:tcPr>
            <w:tcW w:w="1300" w:type="dxa"/>
            <w:vAlign w:val="bottom"/>
            <w:vMerge w:val="restart"/>
          </w:tcPr>
          <w:p>
            <w:pPr>
              <w:jc w:val="right"/>
              <w:ind w:right="52"/>
              <w:spacing w:after="0"/>
              <w:rPr>
                <w:sz w:val="20"/>
                <w:szCs w:val="20"/>
                <w:color w:val="auto"/>
              </w:rPr>
            </w:pPr>
            <w:r>
              <w:rPr>
                <w:rFonts w:ascii="Arial" w:cs="Arial" w:eastAsia="Arial" w:hAnsi="Arial"/>
                <w:sz w:val="10"/>
                <w:szCs w:val="10"/>
                <w:color w:val="auto"/>
              </w:rPr>
              <w:t>38,447,319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0"/>
                <w:szCs w:val="10"/>
                <w:color w:val="auto"/>
              </w:rPr>
              <w:t>22,345,523</w:t>
            </w:r>
          </w:p>
        </w:tc>
        <w:tc>
          <w:tcPr>
            <w:tcW w:w="0" w:type="dxa"/>
            <w:vAlign w:val="bottom"/>
          </w:tcPr>
          <w:p>
            <w:pPr>
              <w:spacing w:after="0"/>
              <w:rPr>
                <w:sz w:val="1"/>
                <w:szCs w:val="1"/>
                <w:color w:val="auto"/>
              </w:rPr>
            </w:pPr>
          </w:p>
        </w:tc>
      </w:tr>
      <w:tr>
        <w:trPr>
          <w:trHeight w:val="49"/>
        </w:trPr>
        <w:tc>
          <w:tcPr>
            <w:tcW w:w="79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79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Net loss per share attributable to common stockholders —basic and diluted</w:t>
            </w:r>
          </w:p>
        </w:tc>
        <w:tc>
          <w:tcPr>
            <w:tcW w:w="420" w:type="dxa"/>
            <w:vAlign w:val="bottom"/>
            <w:vMerge w:val="restart"/>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rPr>
              <w:t>(0.31)</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552"/>
              <w:spacing w:after="0"/>
              <w:rPr>
                <w:sz w:val="20"/>
                <w:szCs w:val="20"/>
                <w:color w:val="auto"/>
              </w:rPr>
            </w:pPr>
            <w:r>
              <w:rPr>
                <w:rFonts w:ascii="Arial" w:cs="Arial" w:eastAsia="Arial" w:hAnsi="Arial"/>
                <w:sz w:val="10"/>
                <w:szCs w:val="10"/>
                <w:color w:val="auto"/>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rPr>
              <w:t>(0.71)</w:t>
            </w:r>
          </w:p>
        </w:tc>
        <w:tc>
          <w:tcPr>
            <w:tcW w:w="0" w:type="dxa"/>
            <w:vAlign w:val="bottom"/>
          </w:tcPr>
          <w:p>
            <w:pPr>
              <w:spacing w:after="0"/>
              <w:rPr>
                <w:sz w:val="1"/>
                <w:szCs w:val="1"/>
                <w:color w:val="auto"/>
              </w:rPr>
            </w:pPr>
          </w:p>
        </w:tc>
      </w:tr>
      <w:tr>
        <w:trPr>
          <w:trHeight w:val="51"/>
        </w:trPr>
        <w:tc>
          <w:tcPr>
            <w:tcW w:w="792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auto"/>
            </w:tcBorders>
            <w:vMerge w:val="continue"/>
            <w:shd w:val="clear" w:color="auto" w:fill="CCEEFF"/>
          </w:tcPr>
          <w:p>
            <w:pPr>
              <w:spacing w:after="0"/>
              <w:rPr>
                <w:sz w:val="4"/>
                <w:szCs w:val="4"/>
                <w:color w:val="auto"/>
              </w:rPr>
            </w:pPr>
          </w:p>
        </w:tc>
        <w:tc>
          <w:tcPr>
            <w:tcW w:w="130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auto"/>
            </w:tcBorders>
            <w:vMerge w:val="continue"/>
            <w:shd w:val="clear" w:color="auto" w:fill="CCEEFF"/>
          </w:tcPr>
          <w:p>
            <w:pPr>
              <w:spacing w:after="0"/>
              <w:rPr>
                <w:sz w:val="4"/>
                <w:szCs w:val="4"/>
                <w:color w:val="auto"/>
              </w:rPr>
            </w:pPr>
          </w:p>
        </w:tc>
        <w:tc>
          <w:tcPr>
            <w:tcW w:w="104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2140" w:type="dxa"/>
            <w:vAlign w:val="bottom"/>
            <w:tcBorders>
              <w:bottom w:val="single" w:sz="8" w:color="auto"/>
            </w:tcBorders>
            <w:gridSpan w:val="3"/>
          </w:tcPr>
          <w:p>
            <w:pPr>
              <w:ind w:left="1460"/>
              <w:spacing w:after="0"/>
              <w:rPr>
                <w:sz w:val="20"/>
                <w:szCs w:val="20"/>
                <w:color w:val="auto"/>
              </w:rPr>
            </w:pPr>
            <w:r>
              <w:rPr>
                <w:rFonts w:ascii="Arial" w:cs="Arial" w:eastAsia="Arial" w:hAnsi="Arial"/>
                <w:sz w:val="10"/>
                <w:szCs w:val="10"/>
                <w:b w:val="1"/>
                <w:bCs w:val="1"/>
                <w:color w:val="auto"/>
              </w:rPr>
              <w:t>March 31,</w:t>
            </w: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60" w:type="dxa"/>
            <w:vAlign w:val="bottom"/>
          </w:tcPr>
          <w:p>
            <w:pPr>
              <w:spacing w:after="0"/>
              <w:rPr>
                <w:sz w:val="12"/>
                <w:szCs w:val="12"/>
                <w:color w:val="auto"/>
              </w:rPr>
            </w:pPr>
          </w:p>
        </w:tc>
        <w:tc>
          <w:tcPr>
            <w:tcW w:w="1600" w:type="dxa"/>
            <w:vAlign w:val="bottom"/>
          </w:tcPr>
          <w:p>
            <w:pPr>
              <w:jc w:val="right"/>
              <w:ind w:right="652"/>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right"/>
              <w:ind w:right="652"/>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35"/>
        </w:trPr>
        <w:tc>
          <w:tcPr>
            <w:tcW w:w="81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8160" w:type="dxa"/>
            <w:vAlign w:val="bottom"/>
            <w:tcBorders>
              <w:bottom w:val="single" w:sz="8" w:color="CCEEFF"/>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Stock options to purchase common stock</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4,564,742</w:t>
            </w: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2,658,035</w:t>
            </w:r>
          </w:p>
        </w:tc>
        <w:tc>
          <w:tcPr>
            <w:tcW w:w="0" w:type="dxa"/>
            <w:vAlign w:val="bottom"/>
          </w:tcPr>
          <w:p>
            <w:pPr>
              <w:spacing w:after="0"/>
              <w:rPr>
                <w:sz w:val="1"/>
                <w:szCs w:val="1"/>
                <w:color w:val="auto"/>
              </w:rPr>
            </w:pPr>
          </w:p>
        </w:tc>
      </w:tr>
      <w:tr>
        <w:trPr>
          <w:trHeight w:val="127"/>
        </w:trPr>
        <w:tc>
          <w:tcPr>
            <w:tcW w:w="8160" w:type="dxa"/>
            <w:vAlign w:val="bottom"/>
          </w:tcPr>
          <w:p>
            <w:pPr>
              <w:ind w:left="20"/>
              <w:spacing w:after="0"/>
              <w:rPr>
                <w:sz w:val="20"/>
                <w:szCs w:val="20"/>
                <w:color w:val="auto"/>
              </w:rPr>
            </w:pPr>
            <w:r>
              <w:rPr>
                <w:rFonts w:ascii="Arial" w:cs="Arial" w:eastAsia="Arial" w:hAnsi="Arial"/>
                <w:sz w:val="10"/>
                <w:szCs w:val="10"/>
                <w:color w:val="auto"/>
              </w:rPr>
              <w:t>Unvested restricted stock units</w:t>
            </w:r>
          </w:p>
        </w:tc>
        <w:tc>
          <w:tcPr>
            <w:tcW w:w="1600" w:type="dxa"/>
            <w:vAlign w:val="bottom"/>
            <w:vMerge w:val="restart"/>
          </w:tcPr>
          <w:p>
            <w:pPr>
              <w:jc w:val="right"/>
              <w:ind w:right="72"/>
              <w:spacing w:after="0"/>
              <w:rPr>
                <w:sz w:val="20"/>
                <w:szCs w:val="20"/>
                <w:color w:val="auto"/>
              </w:rPr>
            </w:pPr>
            <w:r>
              <w:rPr>
                <w:rFonts w:ascii="Arial" w:cs="Arial" w:eastAsia="Arial" w:hAnsi="Arial"/>
                <w:sz w:val="10"/>
                <w:szCs w:val="10"/>
                <w:color w:val="auto"/>
              </w:rPr>
              <w:t>275,000</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9"/>
        </w:trPr>
        <w:tc>
          <w:tcPr>
            <w:tcW w:w="816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warrants to purchase common stock</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95,619</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176,432</w:t>
            </w:r>
          </w:p>
        </w:tc>
        <w:tc>
          <w:tcPr>
            <w:tcW w:w="0" w:type="dxa"/>
            <w:vAlign w:val="bottom"/>
          </w:tcPr>
          <w:p>
            <w:pPr>
              <w:spacing w:after="0"/>
              <w:rPr>
                <w:sz w:val="1"/>
                <w:szCs w:val="1"/>
                <w:color w:val="auto"/>
              </w:rPr>
            </w:pPr>
          </w:p>
        </w:tc>
      </w:tr>
      <w:tr>
        <w:trPr>
          <w:trHeight w:val="162"/>
        </w:trPr>
        <w:tc>
          <w:tcPr>
            <w:tcW w:w="8160" w:type="dxa"/>
            <w:vAlign w:val="bottom"/>
          </w:tcPr>
          <w:p>
            <w:pPr>
              <w:ind w:left="180"/>
              <w:spacing w:after="0"/>
              <w:rPr>
                <w:sz w:val="20"/>
                <w:szCs w:val="20"/>
                <w:color w:val="auto"/>
              </w:rPr>
            </w:pPr>
            <w:r>
              <w:rPr>
                <w:rFonts w:ascii="Arial" w:cs="Arial" w:eastAsia="Arial" w:hAnsi="Arial"/>
                <w:sz w:val="10"/>
                <w:szCs w:val="10"/>
                <w:color w:val="auto"/>
              </w:rPr>
              <w:t>Total</w:t>
            </w:r>
          </w:p>
        </w:tc>
        <w:tc>
          <w:tcPr>
            <w:tcW w:w="1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4,935,361</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2,834,467</w:t>
            </w: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Measurements</w:t>
      </w:r>
    </w:p>
    <w:p>
      <w:pPr>
        <w:spacing w:after="0" w:line="154"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The tables below present information about the Company’s financial assets that are measured and carried at fair value as of March 31, 2019 and December 31, 2018, and indicate the level within the fair value hierarchy where each measurement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509" w:right="19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auto"/>
        </w:rPr>
        <w:t>classified. Below is a summary of assets measured at fair value on a recurring basis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0"/>
                <w:szCs w:val="10"/>
                <w:b w:val="1"/>
                <w:bCs w:val="1"/>
                <w:color w:val="auto"/>
              </w:rPr>
              <w:t>March 31, 2019</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60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Total</w:t>
            </w: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equivalents:</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Money market funds</w:t>
            </w:r>
          </w:p>
        </w:tc>
        <w:tc>
          <w:tcPr>
            <w:tcW w:w="92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489</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489</w:t>
            </w:r>
          </w:p>
        </w:tc>
      </w:tr>
      <w:tr>
        <w:trPr>
          <w:trHeight w:val="175"/>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cash equivalents</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489</w:t>
            </w:r>
          </w:p>
        </w:tc>
      </w:tr>
      <w:tr>
        <w:trPr>
          <w:trHeight w:val="163"/>
        </w:trPr>
        <w:tc>
          <w:tcPr>
            <w:tcW w:w="6080" w:type="dxa"/>
            <w:vAlign w:val="bottom"/>
            <w:tcBorders>
              <w:top w:val="single" w:sz="8" w:color="CCEEFF"/>
            </w:tcBorders>
          </w:tcPr>
          <w:p>
            <w:pPr>
              <w:ind w:left="20"/>
              <w:spacing w:after="0"/>
              <w:rPr>
                <w:sz w:val="20"/>
                <w:szCs w:val="20"/>
                <w:color w:val="auto"/>
              </w:rPr>
            </w:pPr>
            <w:r>
              <w:rPr>
                <w:rFonts w:ascii="Arial" w:cs="Arial" w:eastAsia="Arial" w:hAnsi="Arial"/>
                <w:sz w:val="10"/>
                <w:szCs w:val="10"/>
                <w:color w:val="auto"/>
              </w:rPr>
              <w:t>Short-term investments:</w:t>
            </w:r>
          </w:p>
        </w:tc>
        <w:tc>
          <w:tcPr>
            <w:tcW w:w="9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84"/>
        </w:trPr>
        <w:tc>
          <w:tcPr>
            <w:tcW w:w="60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U.S. government and agency securities</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9,936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9,936</w:t>
            </w:r>
          </w:p>
        </w:tc>
      </w:tr>
      <w:tr>
        <w:trPr>
          <w:trHeight w:val="176"/>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Corporate bonds and commercial paper</w:t>
            </w: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6,308</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6,308</w:t>
            </w:r>
          </w:p>
        </w:tc>
      </w:tr>
      <w:tr>
        <w:trPr>
          <w:trHeight w:val="16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short-term investments</w:t>
            </w:r>
          </w:p>
        </w:tc>
        <w:tc>
          <w:tcPr>
            <w:tcW w:w="9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1"/>
              </w:rPr>
              <w:t>16,244</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16,244</w:t>
            </w: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0"/>
                <w:szCs w:val="10"/>
                <w:b w:val="1"/>
                <w:bCs w:val="1"/>
                <w:color w:val="auto"/>
              </w:rPr>
              <w:t>December 31, 2018</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0"/>
                <w:szCs w:val="10"/>
                <w:b w:val="1"/>
                <w:bCs w:val="1"/>
                <w:color w:val="auto"/>
              </w:rPr>
              <w:t>(Level 1)</w:t>
            </w:r>
          </w:p>
        </w:tc>
        <w:tc>
          <w:tcPr>
            <w:tcW w:w="2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0"/>
                <w:szCs w:val="10"/>
                <w:b w:val="1"/>
                <w:bCs w:val="1"/>
                <w:color w:val="auto"/>
              </w:rPr>
              <w:t>(Level 2)</w:t>
            </w:r>
          </w:p>
        </w:tc>
        <w:tc>
          <w:tcPr>
            <w:tcW w:w="920" w:type="dxa"/>
            <w:vAlign w:val="bottom"/>
          </w:tcPr>
          <w:p>
            <w:pPr>
              <w:jc w:val="right"/>
              <w:ind w:right="72"/>
              <w:spacing w:after="0"/>
              <w:rPr>
                <w:sz w:val="20"/>
                <w:szCs w:val="20"/>
                <w:color w:val="auto"/>
              </w:rPr>
            </w:pPr>
            <w:r>
              <w:rPr>
                <w:rFonts w:ascii="Arial" w:cs="Arial" w:eastAsia="Arial" w:hAnsi="Arial"/>
                <w:sz w:val="10"/>
                <w:szCs w:val="10"/>
                <w:b w:val="1"/>
                <w:bCs w:val="1"/>
                <w:color w:val="auto"/>
              </w:rPr>
              <w:t>(Level 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72"/>
              <w:spacing w:after="0"/>
              <w:rPr>
                <w:sz w:val="20"/>
                <w:szCs w:val="20"/>
                <w:color w:val="auto"/>
              </w:rPr>
            </w:pPr>
            <w:r>
              <w:rPr>
                <w:rFonts w:ascii="Arial" w:cs="Arial" w:eastAsia="Arial" w:hAnsi="Arial"/>
                <w:sz w:val="10"/>
                <w:szCs w:val="10"/>
                <w:b w:val="1"/>
                <w:bCs w:val="1"/>
                <w:color w:val="auto"/>
              </w:rPr>
              <w:t>Total</w:t>
            </w: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Cash equivalents:</w:t>
            </w: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76"/>
        </w:trPr>
        <w:tc>
          <w:tcPr>
            <w:tcW w:w="6080" w:type="dxa"/>
            <w:vAlign w:val="bottom"/>
          </w:tcPr>
          <w:p>
            <w:pPr>
              <w:ind w:left="140"/>
              <w:spacing w:after="0"/>
              <w:rPr>
                <w:sz w:val="20"/>
                <w:szCs w:val="20"/>
                <w:color w:val="auto"/>
              </w:rPr>
            </w:pPr>
            <w:r>
              <w:rPr>
                <w:rFonts w:ascii="Arial" w:cs="Arial" w:eastAsia="Arial" w:hAnsi="Arial"/>
                <w:sz w:val="10"/>
                <w:szCs w:val="10"/>
                <w:color w:val="auto"/>
              </w:rPr>
              <w:t>Money market funds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10,123</w:t>
            </w:r>
          </w:p>
        </w:tc>
        <w:tc>
          <w:tcPr>
            <w:tcW w:w="160" w:type="dxa"/>
            <w:vAlign w:val="bottom"/>
          </w:tcPr>
          <w:p>
            <w:pPr>
              <w:spacing w:after="0"/>
              <w:rPr>
                <w:sz w:val="15"/>
                <w:szCs w:val="15"/>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78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10,123</w:t>
            </w:r>
          </w:p>
        </w:tc>
      </w:tr>
      <w:tr>
        <w:trPr>
          <w:trHeight w:val="200"/>
        </w:trPr>
        <w:tc>
          <w:tcPr>
            <w:tcW w:w="60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160"/>
        </w:trPr>
        <w:tc>
          <w:tcPr>
            <w:tcW w:w="6080" w:type="dxa"/>
            <w:vAlign w:val="bottom"/>
          </w:tcPr>
          <w:p>
            <w:pPr>
              <w:ind w:left="20"/>
              <w:spacing w:after="0"/>
              <w:rPr>
                <w:sz w:val="20"/>
                <w:szCs w:val="20"/>
                <w:color w:val="auto"/>
              </w:rPr>
            </w:pPr>
            <w:r>
              <w:rPr>
                <w:rFonts w:ascii="Arial" w:cs="Arial" w:eastAsia="Arial" w:hAnsi="Arial"/>
                <w:sz w:val="10"/>
                <w:szCs w:val="10"/>
                <w:color w:val="auto"/>
              </w:rPr>
              <w:t>Total cash equivalents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10,123</w:t>
            </w:r>
          </w:p>
        </w:tc>
        <w:tc>
          <w:tcPr>
            <w:tcW w:w="160" w:type="dxa"/>
            <w:vAlign w:val="bottom"/>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10,123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At each of March 31, 2019 and December 31, 2018, cash and cash equivalent investments were held in money market funds maturing within 90 days from the date of purchase.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average maturity date for U.S. government and agency securities, included in investments at March 31, 2019 was 145 days. Fair value of U.S. government and agency securities approximated amortized value at each reporting date.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average maturity date for corporate bonds, included in investments at March 31, 2019 was 250 days. Fair value of corporate bonds approximated amortized value at March 31,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average maturity date for commercial paper, included in investments at March 31, 2019 was 139 days. Fair value of commercial paper approximated amortized value at March 31, 2019.</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Property and Equipment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Property and equipment consists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312"/>
              <w:spacing w:after="0"/>
              <w:rPr>
                <w:sz w:val="20"/>
                <w:szCs w:val="20"/>
                <w:color w:val="auto"/>
              </w:rPr>
            </w:pPr>
            <w:r>
              <w:rPr>
                <w:rFonts w:ascii="Arial" w:cs="Arial" w:eastAsia="Arial" w:hAnsi="Arial"/>
                <w:sz w:val="10"/>
                <w:szCs w:val="10"/>
                <w:b w:val="1"/>
                <w:bCs w:val="1"/>
                <w:color w:val="auto"/>
              </w:rPr>
              <w:t>December 31,</w:t>
            </w:r>
          </w:p>
        </w:tc>
      </w:tr>
      <w:tr>
        <w:trPr>
          <w:trHeight w:val="211"/>
        </w:trPr>
        <w:tc>
          <w:tcPr>
            <w:tcW w:w="88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2019</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2018</w:t>
            </w:r>
          </w:p>
        </w:tc>
      </w:tr>
      <w:tr>
        <w:trPr>
          <w:trHeight w:val="16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Laboratory equipment</w:t>
            </w: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95"/>
              </w:rPr>
              <w:t>4,932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5,379</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Computer equipment and software</w:t>
            </w:r>
          </w:p>
        </w:tc>
        <w:tc>
          <w:tcPr>
            <w:tcW w:w="880" w:type="dxa"/>
            <w:vAlign w:val="bottom"/>
          </w:tcPr>
          <w:p>
            <w:pPr>
              <w:spacing w:after="0"/>
              <w:rPr>
                <w:sz w:val="15"/>
                <w:szCs w:val="15"/>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481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561</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Leasehold improvements</w:t>
            </w: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Furniture and fixtures</w:t>
            </w:r>
          </w:p>
        </w:tc>
        <w:tc>
          <w:tcPr>
            <w:tcW w:w="880" w:type="dxa"/>
            <w:vAlign w:val="bottom"/>
          </w:tcPr>
          <w:p>
            <w:pPr>
              <w:spacing w:after="0"/>
              <w:rPr>
                <w:sz w:val="15"/>
                <w:szCs w:val="15"/>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235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247</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Office equipment</w:t>
            </w: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135</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Construction in process</w:t>
            </w:r>
          </w:p>
        </w:tc>
        <w:tc>
          <w:tcPr>
            <w:tcW w:w="880" w:type="dxa"/>
            <w:vAlign w:val="bottom"/>
          </w:tcPr>
          <w:p>
            <w:pPr>
              <w:spacing w:after="0"/>
              <w:rPr>
                <w:sz w:val="15"/>
                <w:szCs w:val="15"/>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79</w:t>
            </w:r>
          </w:p>
        </w:tc>
      </w:tr>
      <w:tr>
        <w:trPr>
          <w:trHeight w:val="137"/>
        </w:trPr>
        <w:tc>
          <w:tcPr>
            <w:tcW w:w="8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Total property and equipment</w:t>
            </w:r>
          </w:p>
        </w:tc>
        <w:tc>
          <w:tcPr>
            <w:tcW w:w="8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5"/>
              </w:rPr>
              <w:t>6,061</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6,679</w:t>
            </w:r>
          </w:p>
        </w:tc>
      </w:tr>
      <w:tr>
        <w:trPr>
          <w:trHeight w:val="17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Less accumulated depreciation</w:t>
            </w: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88"/>
              </w:rPr>
              <w:t>(4,262)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(4,552)</w:t>
            </w:r>
          </w:p>
        </w:tc>
      </w:tr>
      <w:tr>
        <w:trPr>
          <w:trHeight w:val="144"/>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Property and equipment, net</w:t>
            </w:r>
          </w:p>
        </w:tc>
        <w:tc>
          <w:tcPr>
            <w:tcW w:w="8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95"/>
              </w:rPr>
              <w:t>1,799</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2,127</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was $0.2 million and $0.2 million for the three months ended March 31, 2019 and 2018,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Accrued Expenses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509"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Accrued expenses consist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62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b w:val="1"/>
                <w:bCs w:val="1"/>
                <w:color w:val="auto"/>
              </w:rPr>
              <w:t>March 31,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352"/>
              <w:spacing w:after="0"/>
              <w:rPr>
                <w:sz w:val="20"/>
                <w:szCs w:val="20"/>
                <w:color w:val="auto"/>
              </w:rPr>
            </w:pPr>
            <w:r>
              <w:rPr>
                <w:rFonts w:ascii="Arial" w:cs="Arial" w:eastAsia="Arial" w:hAnsi="Arial"/>
                <w:sz w:val="10"/>
                <w:szCs w:val="10"/>
                <w:b w:val="1"/>
                <w:bCs w:val="1"/>
                <w:color w:val="auto"/>
              </w:rPr>
              <w:t>December 31,</w:t>
            </w:r>
          </w:p>
        </w:tc>
      </w:tr>
      <w:tr>
        <w:trPr>
          <w:trHeight w:val="184"/>
        </w:trPr>
        <w:tc>
          <w:tcPr>
            <w:tcW w:w="86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2018</w:t>
            </w: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Payroll and employee related expenses</w:t>
            </w: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1,875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2,497</w:t>
            </w:r>
          </w:p>
        </w:tc>
      </w:tr>
      <w:tr>
        <w:trPr>
          <w:trHeight w:val="176"/>
        </w:trPr>
        <w:tc>
          <w:tcPr>
            <w:tcW w:w="8620" w:type="dxa"/>
            <w:vAlign w:val="bottom"/>
          </w:tcPr>
          <w:p>
            <w:pPr>
              <w:ind w:left="20"/>
              <w:spacing w:after="0"/>
              <w:rPr>
                <w:sz w:val="20"/>
                <w:szCs w:val="20"/>
                <w:color w:val="auto"/>
              </w:rPr>
            </w:pPr>
            <w:r>
              <w:rPr>
                <w:rFonts w:ascii="Arial" w:cs="Arial" w:eastAsia="Arial" w:hAnsi="Arial"/>
                <w:sz w:val="10"/>
                <w:szCs w:val="10"/>
                <w:color w:val="auto"/>
              </w:rPr>
              <w:t>Current portion of deferred rent and lease incentive</w:t>
            </w:r>
          </w:p>
        </w:tc>
        <w:tc>
          <w:tcPr>
            <w:tcW w:w="98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117</w:t>
            </w: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Collaboration and licensing</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1,222</w:t>
            </w:r>
          </w:p>
        </w:tc>
      </w:tr>
      <w:tr>
        <w:trPr>
          <w:trHeight w:val="176"/>
        </w:trPr>
        <w:tc>
          <w:tcPr>
            <w:tcW w:w="8620" w:type="dxa"/>
            <w:vAlign w:val="bottom"/>
          </w:tcPr>
          <w:p>
            <w:pPr>
              <w:ind w:left="20"/>
              <w:spacing w:after="0"/>
              <w:rPr>
                <w:sz w:val="20"/>
                <w:szCs w:val="20"/>
                <w:color w:val="auto"/>
              </w:rPr>
            </w:pPr>
            <w:r>
              <w:rPr>
                <w:rFonts w:ascii="Arial" w:cs="Arial" w:eastAsia="Arial" w:hAnsi="Arial"/>
                <w:sz w:val="10"/>
                <w:szCs w:val="10"/>
                <w:color w:val="auto"/>
              </w:rPr>
              <w:t>Accrued patent fees</w:t>
            </w:r>
          </w:p>
        </w:tc>
        <w:tc>
          <w:tcPr>
            <w:tcW w:w="98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510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736</w:t>
            </w: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Accrued external research and development costs</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5,344</w:t>
            </w:r>
          </w:p>
        </w:tc>
      </w:tr>
      <w:tr>
        <w:trPr>
          <w:trHeight w:val="176"/>
        </w:trPr>
        <w:tc>
          <w:tcPr>
            <w:tcW w:w="8620" w:type="dxa"/>
            <w:vAlign w:val="bottom"/>
          </w:tcPr>
          <w:p>
            <w:pPr>
              <w:ind w:left="20"/>
              <w:spacing w:after="0"/>
              <w:rPr>
                <w:sz w:val="20"/>
                <w:szCs w:val="20"/>
                <w:color w:val="auto"/>
              </w:rPr>
            </w:pPr>
            <w:r>
              <w:rPr>
                <w:rFonts w:ascii="Arial" w:cs="Arial" w:eastAsia="Arial" w:hAnsi="Arial"/>
                <w:sz w:val="10"/>
                <w:szCs w:val="10"/>
                <w:color w:val="auto"/>
              </w:rPr>
              <w:t>Accrued professional and consulting services</w:t>
            </w:r>
          </w:p>
        </w:tc>
        <w:tc>
          <w:tcPr>
            <w:tcW w:w="98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920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994</w:t>
            </w: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Accrued grant refund</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175</w:t>
            </w:r>
          </w:p>
        </w:tc>
      </w:tr>
      <w:tr>
        <w:trPr>
          <w:trHeight w:val="176"/>
        </w:trPr>
        <w:tc>
          <w:tcPr>
            <w:tcW w:w="8620" w:type="dxa"/>
            <w:vAlign w:val="bottom"/>
          </w:tcPr>
          <w:p>
            <w:pPr>
              <w:ind w:left="20"/>
              <w:spacing w:after="0"/>
              <w:rPr>
                <w:sz w:val="20"/>
                <w:szCs w:val="20"/>
                <w:color w:val="auto"/>
              </w:rPr>
            </w:pPr>
            <w:r>
              <w:rPr>
                <w:rFonts w:ascii="Arial" w:cs="Arial" w:eastAsia="Arial" w:hAnsi="Arial"/>
                <w:sz w:val="10"/>
                <w:szCs w:val="10"/>
                <w:color w:val="auto"/>
              </w:rPr>
              <w:t>Accrued interest</w:t>
            </w:r>
          </w:p>
        </w:tc>
        <w:tc>
          <w:tcPr>
            <w:tcW w:w="98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109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106</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254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509</w:t>
            </w:r>
          </w:p>
        </w:tc>
      </w:tr>
      <w:tr>
        <w:trPr>
          <w:trHeight w:val="144"/>
        </w:trPr>
        <w:tc>
          <w:tcPr>
            <w:tcW w:w="8620" w:type="dxa"/>
            <w:vAlign w:val="bottom"/>
          </w:tcPr>
          <w:p>
            <w:pPr>
              <w:ind w:left="120"/>
              <w:spacing w:after="0"/>
              <w:rPr>
                <w:sz w:val="20"/>
                <w:szCs w:val="20"/>
                <w:color w:val="auto"/>
              </w:rPr>
            </w:pPr>
            <w:r>
              <w:rPr>
                <w:rFonts w:ascii="Arial" w:cs="Arial" w:eastAsia="Arial" w:hAnsi="Arial"/>
                <w:sz w:val="10"/>
                <w:szCs w:val="10"/>
                <w:color w:val="auto"/>
              </w:rPr>
              <w:t>Accrued expenses</w:t>
            </w:r>
          </w:p>
        </w:tc>
        <w:tc>
          <w:tcPr>
            <w:tcW w:w="9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8,500</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11,700</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Prepaid Expenses and Other Current Assets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current assets consist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312"/>
              <w:spacing w:after="0"/>
              <w:rPr>
                <w:sz w:val="20"/>
                <w:szCs w:val="20"/>
                <w:color w:val="auto"/>
              </w:rPr>
            </w:pPr>
            <w:r>
              <w:rPr>
                <w:rFonts w:ascii="Arial" w:cs="Arial" w:eastAsia="Arial" w:hAnsi="Arial"/>
                <w:sz w:val="10"/>
                <w:szCs w:val="10"/>
                <w:b w:val="1"/>
                <w:bCs w:val="1"/>
                <w:color w:val="auto"/>
              </w:rPr>
              <w:t>December 31,</w:t>
            </w:r>
          </w:p>
        </w:tc>
      </w:tr>
      <w:tr>
        <w:trPr>
          <w:trHeight w:val="211"/>
        </w:trPr>
        <w:tc>
          <w:tcPr>
            <w:tcW w:w="88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2019</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2018</w:t>
            </w:r>
          </w:p>
        </w:tc>
      </w:tr>
      <w:tr>
        <w:trPr>
          <w:trHeight w:val="16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Clinical operations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9,916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3,550</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Insurance</w:t>
            </w:r>
          </w:p>
        </w:tc>
        <w:tc>
          <w:tcPr>
            <w:tcW w:w="86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222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433</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Rent</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188</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Service agreements</w:t>
            </w:r>
          </w:p>
        </w:tc>
        <w:tc>
          <w:tcPr>
            <w:tcW w:w="86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426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422</w:t>
            </w:r>
          </w:p>
        </w:tc>
      </w:tr>
      <w:tr>
        <w:trPr>
          <w:trHeight w:val="180"/>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8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80</w:t>
            </w:r>
          </w:p>
        </w:tc>
      </w:tr>
      <w:tr>
        <w:trPr>
          <w:trHeight w:val="162"/>
        </w:trPr>
        <w:tc>
          <w:tcPr>
            <w:tcW w:w="8840" w:type="dxa"/>
            <w:vAlign w:val="bottom"/>
          </w:tcPr>
          <w:p>
            <w:pPr>
              <w:spacing w:after="0"/>
              <w:rPr>
                <w:sz w:val="14"/>
                <w:szCs w:val="14"/>
                <w:color w:val="auto"/>
              </w:rPr>
            </w:pP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84"/>
              </w:rPr>
              <w:t>10,832</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4,673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As of March 31, 2019 and December 31, 2018, the clinical operations prepaid expense related to the purchase of inventory to complete the head-to-head Phase 2 trial against Krystexxa was $6.2 million and zero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Leases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January 1, 2019, the Company adopted Topic 842 using the modified retrospective approach. The Company recorded operating lease assets (right-of-use assets) of $1.6 million and operating lease liabilities of $1.8 million and reversed lease liability of $0.2 million related to straight-line rent and incentives. There was no impact to accumulated deficit upon adoption of Topic 842. The underlying assets of the Company’s leases are primarily office space. The Company determines if an arrangement qualifies as a lease at its inception.</w:t>
      </w:r>
    </w:p>
    <w:p>
      <w:pPr>
        <w:spacing w:after="0" w:line="123" w:lineRule="exact"/>
        <w:rPr>
          <w:sz w:val="20"/>
          <w:szCs w:val="20"/>
          <w:color w:val="auto"/>
        </w:rPr>
      </w:pPr>
    </w:p>
    <w:p>
      <w:pPr>
        <w:jc w:val="both"/>
        <w:ind w:right="80"/>
        <w:spacing w:after="0" w:line="380" w:lineRule="auto"/>
        <w:rPr>
          <w:sz w:val="20"/>
          <w:szCs w:val="20"/>
          <w:color w:val="auto"/>
        </w:rPr>
      </w:pPr>
      <w:r>
        <w:rPr>
          <w:rFonts w:ascii="Arial" w:cs="Arial" w:eastAsia="Arial" w:hAnsi="Arial"/>
          <w:sz w:val="10"/>
          <w:szCs w:val="10"/>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w:t>
      </w:r>
    </w:p>
    <w:p>
      <w:pPr>
        <w:spacing w:after="0" w:line="68"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 On January 1, 2019, the discount rate used on existing operating leases at adoption, which had remaining lease terms of 15 months, was 10.0%. For new or renewed leases starting in 2020, the discount rate is determined based on the Company’s incremental borrowing rate adjusted for the lease term including any reasonably certain renewal periods.</w:t>
      </w:r>
    </w:p>
    <w:p>
      <w:pPr>
        <w:spacing w:after="0" w:line="33"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The Company enters into lease agreements with terms generally ranging from 2-5 years. Some of the Company’s lease agreements include Company options to either extend and/or early terminate the lease, the costs of which are included in our operating lease liabilities to the extent that such options are reasonably certain of being exercised. Leases with renewal options allow the Company to extend the lease term typically between 1 and 5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509"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option. Renewal and termination options were generally not included in the lease term for the Company’s existing operating leases.</w:t>
      </w:r>
    </w:p>
    <w:p>
      <w:pPr>
        <w:spacing w:after="0" w:line="78" w:lineRule="exact"/>
        <w:rPr>
          <w:sz w:val="20"/>
          <w:szCs w:val="20"/>
          <w:color w:val="auto"/>
        </w:rPr>
      </w:pPr>
    </w:p>
    <w:p>
      <w:pPr>
        <w:spacing w:after="0" w:line="149" w:lineRule="exact"/>
        <w:rPr>
          <w:sz w:val="20"/>
          <w:szCs w:val="20"/>
          <w:color w:val="auto"/>
        </w:rPr>
      </w:pPr>
      <w:r>
        <w:rPr>
          <w:rFonts w:ascii="Arial" w:cs="Arial" w:eastAsia="Arial" w:hAnsi="Arial"/>
          <w:sz w:val="11"/>
          <w:szCs w:val="11"/>
          <w:color w:val="auto"/>
        </w:rPr>
        <w:t>The Company has a non</w:t>
      </w:r>
      <w:r>
        <w:rPr>
          <w:rFonts w:ascii="MS PGothic" w:cs="MS PGothic" w:eastAsia="MS PGothic" w:hAnsi="MS PGothic"/>
          <w:sz w:val="11"/>
          <w:szCs w:val="11"/>
          <w:color w:val="auto"/>
        </w:rPr>
        <w:t>‑</w:t>
      </w:r>
      <w:r>
        <w:rPr>
          <w:rFonts w:ascii="Arial" w:cs="Arial" w:eastAsia="Arial" w:hAnsi="Arial"/>
          <w:sz w:val="11"/>
          <w:szCs w:val="11"/>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leasehold improvements are capitalized as a component of property and equipment.</w:t>
      </w:r>
    </w:p>
    <w:p>
      <w:pPr>
        <w:spacing w:after="0" w:line="136"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15"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In August 2016, the Company signed an amendment to the Headquarters Lease, which extends the term through March 31, 2020. Leases with an initial term of 12 months or less are not recorded on the balance sheet; we recognize lease expense for these leases on a straight-line basis over the lease term. For lease agreements entered into or reassessed after the adoption of Topic 842, lease and nonlease components are combined.</w:t>
      </w:r>
    </w:p>
    <w:p>
      <w:pPr>
        <w:spacing w:after="0" w:line="92"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 October 2017, the Company entered into a lease for approximately 5,100 square feet of additional office space located in Watertown, Massachusetts. On January 11, 2019, the Company decided to vacate certain office space in Watertown, MA and consolidated all employees at its corporate headquarters at 480 Arsenal Way, Watertown, MA. The lease term expires in March 2020. The ROU asset carrying amount of $0.2 million attributable to 75 North Beacon, Watertown, MA was written down to zero during the first quarter.</w:t>
      </w:r>
    </w:p>
    <w:p>
      <w:pPr>
        <w:sectPr>
          <w:pgSz w:w="11900" w:h="16838" w:orient="portrait"/>
          <w:cols w:equalWidth="0" w:num="1">
            <w:col w:w="11480"/>
          </w:cols>
          <w:pgMar w:left="220" w:top="437" w:right="199" w:bottom="1440" w:gutter="0" w:footer="0" w:header="0"/>
        </w:sectPr>
      </w:pPr>
    </w:p>
    <w:p>
      <w:pPr>
        <w:spacing w:after="0" w:line="123" w:lineRule="exact"/>
        <w:rPr>
          <w:sz w:val="20"/>
          <w:szCs w:val="20"/>
          <w:color w:val="auto"/>
        </w:rPr>
      </w:pPr>
    </w:p>
    <w:p>
      <w:pPr>
        <w:spacing w:after="0" w:line="115" w:lineRule="exact"/>
        <w:rPr>
          <w:sz w:val="20"/>
          <w:szCs w:val="20"/>
          <w:color w:val="auto"/>
        </w:rPr>
      </w:pPr>
      <w:r>
        <w:rPr>
          <w:rFonts w:ascii="Arial" w:cs="Arial" w:eastAsia="Arial" w:hAnsi="Arial"/>
          <w:sz w:val="10"/>
          <w:szCs w:val="10"/>
          <w:color w:val="auto"/>
        </w:rPr>
        <w:t>The Company has a month</w:t>
      </w:r>
      <w:r>
        <w:rPr>
          <w:rFonts w:ascii="MS PGothic" w:cs="MS PGothic" w:eastAsia="MS PGothic" w:hAnsi="MS PGothic"/>
          <w:sz w:val="10"/>
          <w:szCs w:val="10"/>
          <w:color w:val="auto"/>
        </w:rPr>
        <w:t>‑</w:t>
      </w:r>
      <w:r>
        <w:rPr>
          <w:rFonts w:ascii="Arial" w:cs="Arial" w:eastAsia="Arial" w:hAnsi="Arial"/>
          <w:sz w:val="10"/>
          <w:szCs w:val="10"/>
          <w:color w:val="auto"/>
        </w:rPr>
        <w:t>to</w:t>
      </w:r>
      <w:r>
        <w:rPr>
          <w:rFonts w:ascii="MS PGothic" w:cs="MS PGothic" w:eastAsia="MS PGothic" w:hAnsi="MS PGothic"/>
          <w:sz w:val="10"/>
          <w:szCs w:val="10"/>
          <w:color w:val="auto"/>
        </w:rPr>
        <w:t>‑</w:t>
      </w:r>
      <w:r>
        <w:rPr>
          <w:rFonts w:ascii="Arial" w:cs="Arial" w:eastAsia="Arial" w:hAnsi="Arial"/>
          <w:sz w:val="10"/>
          <w:szCs w:val="10"/>
          <w:color w:val="auto"/>
        </w:rPr>
        <w:t>month facility agreement for its Moscow, Russia facility. Rent expense is recognized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Rent expense for each of the three months ended March 31, 2019 and 2018 was $0.5 million.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months ended March 31, 2019, the components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292340" cy="9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0"/>
          <w:szCs w:val="10"/>
          <w:color w:val="auto"/>
        </w:rPr>
        <w:t>Operating lease expense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0"/>
          <w:szCs w:val="10"/>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9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Short-term lease expense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0"/>
          <w:szCs w:val="10"/>
          <w:color w:val="auto"/>
        </w:rPr>
        <w:t>Total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320" w:type="dxa"/>
            <w:vAlign w:val="bottom"/>
          </w:tcPr>
          <w:p>
            <w:pPr>
              <w:spacing w:after="0"/>
              <w:rPr>
                <w:sz w:val="10"/>
                <w:szCs w:val="10"/>
                <w:color w:val="auto"/>
              </w:rPr>
            </w:pPr>
          </w:p>
        </w:tc>
        <w:tc>
          <w:tcPr>
            <w:tcW w:w="1280" w:type="dxa"/>
            <w:vAlign w:val="bottom"/>
          </w:tcPr>
          <w:p>
            <w:pPr>
              <w:jc w:val="right"/>
              <w:ind w:right="552"/>
              <w:spacing w:after="0"/>
              <w:rPr>
                <w:sz w:val="20"/>
                <w:szCs w:val="20"/>
                <w:color w:val="auto"/>
              </w:rPr>
            </w:pPr>
            <w:r>
              <w:rPr>
                <w:rFonts w:ascii="Arial" w:cs="Arial" w:eastAsia="Arial" w:hAnsi="Arial"/>
                <w:sz w:val="10"/>
                <w:szCs w:val="10"/>
                <w:b w:val="1"/>
                <w:bCs w:val="1"/>
                <w:color w:val="auto"/>
              </w:rPr>
              <w:t>March 31,</w:t>
            </w:r>
          </w:p>
        </w:tc>
      </w:tr>
      <w:tr>
        <w:trPr>
          <w:trHeight w:val="135"/>
        </w:trPr>
        <w:tc>
          <w:tcPr>
            <w:tcW w:w="320" w:type="dxa"/>
            <w:vAlign w:val="bottom"/>
          </w:tcPr>
          <w:p>
            <w:pPr>
              <w:spacing w:after="0"/>
              <w:rPr>
                <w:sz w:val="11"/>
                <w:szCs w:val="11"/>
                <w:color w:val="auto"/>
              </w:rPr>
            </w:pPr>
          </w:p>
        </w:tc>
        <w:tc>
          <w:tcPr>
            <w:tcW w:w="1280" w:type="dxa"/>
            <w:vAlign w:val="bottom"/>
          </w:tcPr>
          <w:p>
            <w:pPr>
              <w:jc w:val="right"/>
              <w:ind w:right="652"/>
              <w:spacing w:after="0"/>
              <w:rPr>
                <w:sz w:val="20"/>
                <w:szCs w:val="20"/>
                <w:color w:val="auto"/>
              </w:rPr>
            </w:pPr>
            <w:r>
              <w:rPr>
                <w:rFonts w:ascii="Arial" w:cs="Arial" w:eastAsia="Arial" w:hAnsi="Arial"/>
                <w:sz w:val="10"/>
                <w:szCs w:val="10"/>
                <w:b w:val="1"/>
                <w:bCs w:val="1"/>
                <w:color w:val="auto"/>
              </w:rPr>
              <w:t>2019</w:t>
            </w:r>
          </w:p>
        </w:tc>
      </w:tr>
      <w:tr>
        <w:trPr>
          <w:trHeight w:val="53"/>
        </w:trPr>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25"/>
        </w:trPr>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341</w:t>
            </w:r>
          </w:p>
        </w:tc>
      </w:tr>
      <w:tr>
        <w:trPr>
          <w:trHeight w:val="144"/>
        </w:trPr>
        <w:tc>
          <w:tcPr>
            <w:tcW w:w="320" w:type="dxa"/>
            <w:vAlign w:val="bottom"/>
          </w:tcPr>
          <w:p>
            <w:pPr>
              <w:spacing w:after="0"/>
              <w:rPr>
                <w:sz w:val="12"/>
                <w:szCs w:val="12"/>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203</w:t>
            </w:r>
          </w:p>
        </w:tc>
      </w:tr>
      <w:tr>
        <w:trPr>
          <w:trHeight w:val="148"/>
        </w:trPr>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w:t>
            </w:r>
          </w:p>
        </w:tc>
      </w:tr>
      <w:tr>
        <w:trPr>
          <w:trHeight w:val="144"/>
        </w:trPr>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552</w:t>
            </w:r>
          </w:p>
        </w:tc>
      </w:tr>
    </w:tbl>
    <w:p>
      <w:pPr>
        <w:spacing w:after="0" w:line="200" w:lineRule="exact"/>
        <w:rPr>
          <w:sz w:val="20"/>
          <w:szCs w:val="20"/>
          <w:color w:val="auto"/>
        </w:rPr>
      </w:pPr>
    </w:p>
    <w:p>
      <w:pPr>
        <w:sectPr>
          <w:pgSz w:w="11900" w:h="16838" w:orient="portrait"/>
          <w:cols w:equalWidth="0" w:num="2">
            <w:col w:w="9160" w:space="720"/>
            <w:col w:w="1600"/>
          </w:cols>
          <w:pgMar w:left="220" w:top="437" w:right="19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maturity of the Company's operating lease liabilities as of March 31, 2019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980" w:type="dxa"/>
            <w:vAlign w:val="bottom"/>
          </w:tcPr>
          <w:p>
            <w:pPr>
              <w:spacing w:after="0"/>
              <w:rPr>
                <w:sz w:val="10"/>
                <w:szCs w:val="10"/>
                <w:color w:val="auto"/>
              </w:rPr>
            </w:pPr>
          </w:p>
        </w:tc>
        <w:tc>
          <w:tcPr>
            <w:tcW w:w="1500" w:type="dxa"/>
            <w:vAlign w:val="bottom"/>
          </w:tcPr>
          <w:p>
            <w:pPr>
              <w:jc w:val="right"/>
              <w:ind w:right="492"/>
              <w:spacing w:after="0"/>
              <w:rPr>
                <w:sz w:val="20"/>
                <w:szCs w:val="20"/>
                <w:color w:val="auto"/>
              </w:rPr>
            </w:pPr>
            <w:r>
              <w:rPr>
                <w:rFonts w:ascii="Arial" w:cs="Arial" w:eastAsia="Arial" w:hAnsi="Arial"/>
                <w:sz w:val="10"/>
                <w:szCs w:val="10"/>
                <w:b w:val="1"/>
                <w:bCs w:val="1"/>
                <w:color w:val="auto"/>
              </w:rPr>
              <w:t>March 31,</w:t>
            </w:r>
          </w:p>
        </w:tc>
      </w:tr>
      <w:tr>
        <w:trPr>
          <w:trHeight w:val="13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Operating leases:</w:t>
            </w: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2019</w:t>
            </w:r>
          </w:p>
        </w:tc>
      </w:tr>
      <w:tr>
        <w:trPr>
          <w:trHeight w:val="137"/>
        </w:trPr>
        <w:tc>
          <w:tcPr>
            <w:tcW w:w="9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2019 (Remainder)</w:t>
            </w: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1,119</w:t>
            </w:r>
          </w:p>
        </w:tc>
      </w:tr>
      <w:tr>
        <w:trPr>
          <w:trHeight w:val="14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2020</w:t>
            </w: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375</w:t>
            </w:r>
          </w:p>
        </w:tc>
      </w:tr>
      <w:tr>
        <w:trPr>
          <w:trHeight w:val="144"/>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future minimum lease payments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1,494</w:t>
            </w:r>
          </w:p>
        </w:tc>
      </w:tr>
      <w:tr>
        <w:trPr>
          <w:trHeight w:val="14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Less imputed interest</w:t>
            </w: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66</w:t>
            </w:r>
          </w:p>
        </w:tc>
      </w:tr>
      <w:tr>
        <w:trPr>
          <w:trHeight w:val="157"/>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operating lease liabilities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1,428</w:t>
            </w:r>
          </w:p>
        </w:tc>
      </w:tr>
      <w:tr>
        <w:trPr>
          <w:trHeight w:val="163"/>
        </w:trPr>
        <w:tc>
          <w:tcPr>
            <w:tcW w:w="9980" w:type="dxa"/>
            <w:vAlign w:val="bottom"/>
          </w:tcPr>
          <w:p>
            <w:pPr>
              <w:ind w:left="20"/>
              <w:spacing w:after="0"/>
              <w:rPr>
                <w:sz w:val="20"/>
                <w:szCs w:val="20"/>
                <w:color w:val="auto"/>
              </w:rPr>
            </w:pPr>
            <w:r>
              <w:rPr>
                <w:rFonts w:ascii="Arial" w:cs="Arial" w:eastAsia="Arial" w:hAnsi="Arial"/>
                <w:sz w:val="10"/>
                <w:szCs w:val="10"/>
                <w:b w:val="1"/>
                <w:bCs w:val="1"/>
                <w:color w:val="auto"/>
              </w:rPr>
              <w:t>Included in the condensed consolidated balance sheet:</w:t>
            </w:r>
          </w:p>
        </w:tc>
        <w:tc>
          <w:tcPr>
            <w:tcW w:w="1500" w:type="dxa"/>
            <w:vAlign w:val="bottom"/>
          </w:tcPr>
          <w:p>
            <w:pPr>
              <w:spacing w:after="0"/>
              <w:rPr>
                <w:sz w:val="14"/>
                <w:szCs w:val="14"/>
                <w:color w:val="auto"/>
              </w:rPr>
            </w:pPr>
          </w:p>
        </w:tc>
      </w:tr>
      <w:tr>
        <w:trPr>
          <w:trHeight w:val="155"/>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Current operating lease liabilities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1,428</w:t>
            </w:r>
          </w:p>
        </w:tc>
      </w:tr>
      <w:tr>
        <w:trPr>
          <w:trHeight w:val="14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Non-current operating lease liabilities</w:t>
            </w: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r>
        <w:trPr>
          <w:trHeight w:val="14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operating lease liabilities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1,428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information represents supplemental disclosure for the statement of cash flows related to operating leases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jc w:val="center"/>
              <w:ind w:right="252"/>
              <w:spacing w:after="0"/>
              <w:rPr>
                <w:sz w:val="20"/>
                <w:szCs w:val="20"/>
                <w:color w:val="auto"/>
              </w:rPr>
            </w:pPr>
            <w:r>
              <w:rPr>
                <w:rFonts w:ascii="Arial" w:cs="Arial" w:eastAsia="Arial" w:hAnsi="Arial"/>
                <w:sz w:val="10"/>
                <w:szCs w:val="10"/>
                <w:b w:val="1"/>
                <w:bCs w:val="1"/>
                <w:color w:val="auto"/>
                <w:w w:val="90"/>
              </w:rPr>
              <w:t>March 31,</w:t>
            </w:r>
          </w:p>
        </w:tc>
      </w:tr>
      <w:tr>
        <w:trPr>
          <w:trHeight w:val="135"/>
        </w:trPr>
        <w:tc>
          <w:tcPr>
            <w:tcW w:w="9980" w:type="dxa"/>
            <w:vAlign w:val="bottom"/>
          </w:tcPr>
          <w:p>
            <w:pPr>
              <w:ind w:left="20"/>
              <w:spacing w:after="0"/>
              <w:rPr>
                <w:sz w:val="20"/>
                <w:szCs w:val="20"/>
                <w:color w:val="auto"/>
              </w:rPr>
            </w:pPr>
            <w:r>
              <w:rPr>
                <w:rFonts w:ascii="Arial" w:cs="Arial" w:eastAsia="Arial" w:hAnsi="Arial"/>
                <w:sz w:val="10"/>
                <w:szCs w:val="10"/>
                <w:b w:val="1"/>
                <w:bCs w:val="1"/>
                <w:color w:val="auto"/>
              </w:rPr>
              <w:t>Operating leases:</w:t>
            </w: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2019</w:t>
            </w:r>
          </w:p>
        </w:tc>
      </w:tr>
      <w:tr>
        <w:trPr>
          <w:trHeight w:val="173"/>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Supplemental Cash Flows Information</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44"/>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Operating cash flows from operating leases</w:t>
            </w: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363</w:t>
            </w: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437" w:right="199" w:bottom="1440" w:gutter="0" w:footer="0" w:header="0"/>
          <w:type w:val="continuous"/>
        </w:sectPr>
      </w:pPr>
    </w:p>
    <w:bookmarkStart w:id="20" w:name="page21"/>
    <w:bookmarkEnd w:id="20"/>
    <w:p>
      <w:pPr>
        <w:ind w:right="80"/>
        <w:spacing w:after="0" w:line="276" w:lineRule="auto"/>
        <w:rPr>
          <w:sz w:val="20"/>
          <w:szCs w:val="20"/>
          <w:color w:val="auto"/>
        </w:rPr>
      </w:pPr>
      <w:r>
        <w:rPr>
          <w:rFonts w:ascii="Arial" w:cs="Arial" w:eastAsia="Arial" w:hAnsi="Arial"/>
          <w:sz w:val="12"/>
          <w:szCs w:val="12"/>
          <w:color w:val="auto"/>
        </w:rPr>
        <w:t>The changes in the Company’s right of use asset and lease liability for the months ended March 31, 2019 are reflected in the changes in prepaid expenses, deposits and other assets and accrued expenses and other liabilities, respectively, in the consolidated statements of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summarizes additional information related to operating leases: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9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0"/>
              </w:rPr>
              <w:t>March 31,</w:t>
            </w:r>
          </w:p>
        </w:tc>
      </w:tr>
      <w:tr>
        <w:trPr>
          <w:trHeight w:val="13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Operating leases:</w:t>
            </w: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2019</w:t>
            </w:r>
          </w:p>
        </w:tc>
      </w:tr>
      <w:tr>
        <w:trPr>
          <w:trHeight w:val="137"/>
        </w:trPr>
        <w:tc>
          <w:tcPr>
            <w:tcW w:w="9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Weighted-average remaining lease term (years)</w:t>
            </w: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 year</w:t>
            </w:r>
          </w:p>
        </w:tc>
      </w:tr>
      <w:tr>
        <w:trPr>
          <w:trHeight w:val="127"/>
        </w:trPr>
        <w:tc>
          <w:tcPr>
            <w:tcW w:w="9980" w:type="dxa"/>
            <w:vAlign w:val="bottom"/>
          </w:tcPr>
          <w:p>
            <w:pPr>
              <w:ind w:left="20"/>
              <w:spacing w:after="0"/>
              <w:rPr>
                <w:sz w:val="20"/>
                <w:szCs w:val="20"/>
                <w:color w:val="auto"/>
              </w:rPr>
            </w:pPr>
            <w:r>
              <w:rPr>
                <w:rFonts w:ascii="Arial" w:cs="Arial" w:eastAsia="Arial" w:hAnsi="Arial"/>
                <w:sz w:val="10"/>
                <w:szCs w:val="10"/>
                <w:color w:val="auto"/>
              </w:rPr>
              <w:t>Weighted-average discount rate</w:t>
            </w:r>
          </w:p>
        </w:tc>
        <w:tc>
          <w:tcPr>
            <w:tcW w:w="1500" w:type="dxa"/>
            <w:vAlign w:val="bottom"/>
          </w:tcPr>
          <w:p>
            <w:pPr>
              <w:jc w:val="right"/>
              <w:spacing w:after="0"/>
              <w:rPr>
                <w:sz w:val="20"/>
                <w:szCs w:val="20"/>
                <w:color w:val="auto"/>
              </w:rPr>
            </w:pPr>
            <w:r>
              <w:rPr>
                <w:rFonts w:ascii="Arial" w:cs="Arial" w:eastAsia="Arial" w:hAnsi="Arial"/>
                <w:sz w:val="10"/>
                <w:szCs w:val="10"/>
                <w:color w:val="auto"/>
              </w:rPr>
              <w:t>10%</w:t>
            </w:r>
          </w:p>
        </w:tc>
      </w:tr>
    </w:tbl>
    <w:p>
      <w:pPr>
        <w:spacing w:after="0" w:line="215"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As previously disclosed in our 2018 Annual Report on Form 10-K and under the previous lease accounting standard, ASC 840, Leases, the total commitment for non-cancelable operating leases was $1.9 million as of December 31, 2018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572"/>
              <w:spacing w:after="0"/>
              <w:rPr>
                <w:sz w:val="20"/>
                <w:szCs w:val="20"/>
                <w:color w:val="auto"/>
              </w:rPr>
            </w:pPr>
            <w:r>
              <w:rPr>
                <w:rFonts w:ascii="Arial" w:cs="Arial" w:eastAsia="Arial" w:hAnsi="Arial"/>
                <w:sz w:val="10"/>
                <w:szCs w:val="10"/>
                <w:b w:val="1"/>
                <w:bCs w:val="1"/>
                <w:color w:val="auto"/>
              </w:rPr>
              <w:t>Lease</w:t>
            </w:r>
          </w:p>
        </w:tc>
      </w:tr>
      <w:tr>
        <w:trPr>
          <w:trHeight w:val="184"/>
        </w:trPr>
        <w:tc>
          <w:tcPr>
            <w:tcW w:w="9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Commitments</w:t>
            </w:r>
          </w:p>
        </w:tc>
      </w:tr>
      <w:tr>
        <w:trPr>
          <w:trHeight w:val="137"/>
        </w:trPr>
        <w:tc>
          <w:tcPr>
            <w:tcW w:w="9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2019 (Remainder)</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1,482</w:t>
            </w:r>
          </w:p>
        </w:tc>
      </w:tr>
      <w:tr>
        <w:trPr>
          <w:trHeight w:val="14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2020</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375</w:t>
            </w:r>
          </w:p>
        </w:tc>
      </w:tr>
      <w:tr>
        <w:trPr>
          <w:trHeight w:val="14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1,857</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Debt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2017 Term Loan</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On September 12, 2017, the Company entered into a term loan facility of up to $21.0 million (the “2017 Term Loan”) with Silicon Valley Bank, a California corporation (“SVB”). The 2017 Term Loan is governed by a loan and security agreement, dated September 12, 2017, between the Company and SVB (the “Loan Agreement”). The 2017 Term Loan was funded in full on September 13, 2017 (the “Funding Date”).</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15"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 (ii) pays on the date of such prepayment for all outstanding principal plus accrued and unpaid interest, 2% if prepaid after the first anniversary but before the second anniversaries, and 1% if prepaid after the second anniversary.</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509" w:right="199" w:bottom="1440" w:gutter="0" w:footer="0" w:header="0"/>
        </w:sectPr>
      </w:pPr>
    </w:p>
    <w:bookmarkStart w:id="21" w:name="page22"/>
    <w:bookmarkEnd w:id="21"/>
    <w:p>
      <w:pPr>
        <w:ind w:left="8" w:right="340"/>
        <w:spacing w:after="0" w:line="276" w:lineRule="auto"/>
        <w:rPr>
          <w:sz w:val="20"/>
          <w:szCs w:val="20"/>
          <w:color w:val="auto"/>
        </w:rPr>
      </w:pPr>
      <w:r>
        <w:rPr>
          <w:rFonts w:ascii="Arial" w:cs="Arial" w:eastAsia="Arial" w:hAnsi="Arial"/>
          <w:sz w:val="12"/>
          <w:szCs w:val="12"/>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15"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25" w:lineRule="exact"/>
        <w:rPr>
          <w:sz w:val="20"/>
          <w:szCs w:val="20"/>
          <w:color w:val="auto"/>
        </w:rPr>
      </w:pPr>
    </w:p>
    <w:p>
      <w:pPr>
        <w:jc w:val="both"/>
        <w:ind w:left="8" w:right="40"/>
        <w:spacing w:after="0" w:line="298" w:lineRule="auto"/>
        <w:rPr>
          <w:sz w:val="20"/>
          <w:szCs w:val="20"/>
          <w:color w:val="auto"/>
        </w:rPr>
      </w:pPr>
      <w:r>
        <w:rPr>
          <w:rFonts w:ascii="Arial" w:cs="Arial" w:eastAsia="Arial" w:hAnsi="Arial"/>
          <w:sz w:val="11"/>
          <w:szCs w:val="11"/>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March 31, 2019 and December 31, 2018, the outstanding principal balance under the 2017 Term Loan was $21.0 million.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Future minimum principal and interest payments on the 2017 Term Loan as of March 31, 2019 are as follows (in thousands):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9980" w:type="dxa"/>
            <w:vAlign w:val="bottom"/>
          </w:tcPr>
          <w:p>
            <w:pPr>
              <w:ind w:left="20"/>
              <w:spacing w:after="0"/>
              <w:rPr>
                <w:sz w:val="20"/>
                <w:szCs w:val="20"/>
                <w:color w:val="auto"/>
              </w:rPr>
            </w:pPr>
            <w:r>
              <w:rPr>
                <w:rFonts w:ascii="Arial" w:cs="Arial" w:eastAsia="Arial" w:hAnsi="Arial"/>
                <w:sz w:val="10"/>
                <w:szCs w:val="10"/>
                <w:color w:val="auto"/>
              </w:rPr>
              <w:t>2019 (Remainder)</w:t>
            </w:r>
          </w:p>
        </w:tc>
        <w:tc>
          <w:tcPr>
            <w:tcW w:w="580" w:type="dxa"/>
            <w:vAlign w:val="bottom"/>
          </w:tcPr>
          <w:p>
            <w:pPr>
              <w:spacing w:after="0"/>
              <w:rPr>
                <w:sz w:val="11"/>
                <w:szCs w:val="11"/>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4,427</w:t>
            </w:r>
          </w:p>
        </w:tc>
      </w:tr>
      <w:tr>
        <w:trPr>
          <w:trHeight w:val="153"/>
        </w:trPr>
        <w:tc>
          <w:tcPr>
            <w:tcW w:w="9980" w:type="dxa"/>
            <w:vAlign w:val="bottom"/>
            <w:shd w:val="clear" w:color="auto" w:fill="CCEEFF"/>
          </w:tcPr>
          <w:p>
            <w:pPr>
              <w:jc w:val="right"/>
              <w:ind w:right="9732"/>
              <w:spacing w:after="0"/>
              <w:rPr>
                <w:sz w:val="20"/>
                <w:szCs w:val="20"/>
                <w:color w:val="auto"/>
              </w:rPr>
            </w:pPr>
            <w:r>
              <w:rPr>
                <w:rFonts w:ascii="Arial" w:cs="Arial" w:eastAsia="Arial" w:hAnsi="Arial"/>
                <w:sz w:val="10"/>
                <w:szCs w:val="10"/>
                <w:color w:val="auto"/>
                <w:w w:val="80"/>
              </w:rPr>
              <w:t>2020</w:t>
            </w: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9,232</w:t>
            </w:r>
          </w:p>
        </w:tc>
      </w:tr>
      <w:tr>
        <w:trPr>
          <w:trHeight w:val="136"/>
        </w:trPr>
        <w:tc>
          <w:tcPr>
            <w:tcW w:w="9980" w:type="dxa"/>
            <w:vAlign w:val="bottom"/>
          </w:tcPr>
          <w:p>
            <w:pPr>
              <w:jc w:val="right"/>
              <w:ind w:right="9732"/>
              <w:spacing w:after="0"/>
              <w:rPr>
                <w:sz w:val="20"/>
                <w:szCs w:val="20"/>
                <w:color w:val="auto"/>
              </w:rPr>
            </w:pPr>
            <w:r>
              <w:rPr>
                <w:rFonts w:ascii="Arial" w:cs="Arial" w:eastAsia="Arial" w:hAnsi="Arial"/>
                <w:sz w:val="10"/>
                <w:szCs w:val="10"/>
                <w:color w:val="auto"/>
                <w:w w:val="80"/>
              </w:rPr>
              <w:t>2021</w:t>
            </w:r>
          </w:p>
        </w:tc>
        <w:tc>
          <w:tcPr>
            <w:tcW w:w="580" w:type="dxa"/>
            <w:vAlign w:val="bottom"/>
          </w:tcPr>
          <w:p>
            <w:pPr>
              <w:spacing w:after="0"/>
              <w:rPr>
                <w:sz w:val="11"/>
                <w:szCs w:val="11"/>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8,718</w:t>
            </w:r>
          </w:p>
        </w:tc>
      </w:tr>
      <w:tr>
        <w:trPr>
          <w:trHeight w:val="153"/>
        </w:trPr>
        <w:tc>
          <w:tcPr>
            <w:tcW w:w="9980" w:type="dxa"/>
            <w:vAlign w:val="bottom"/>
            <w:tcBorders>
              <w:bottom w:val="single" w:sz="8" w:color="CCEEFF"/>
            </w:tcBorders>
            <w:shd w:val="clear" w:color="auto" w:fill="CCEEFF"/>
          </w:tcPr>
          <w:p>
            <w:pPr>
              <w:jc w:val="right"/>
              <w:ind w:right="9732"/>
              <w:spacing w:after="0"/>
              <w:rPr>
                <w:sz w:val="20"/>
                <w:szCs w:val="20"/>
                <w:color w:val="auto"/>
              </w:rPr>
            </w:pPr>
            <w:r>
              <w:rPr>
                <w:rFonts w:ascii="Arial" w:cs="Arial" w:eastAsia="Arial" w:hAnsi="Arial"/>
                <w:sz w:val="10"/>
                <w:szCs w:val="10"/>
                <w:color w:val="auto"/>
                <w:w w:val="80"/>
                <w:shd w:val="clear" w:color="auto" w:fill="CCEEFF"/>
              </w:rPr>
              <w:t>2022</w:t>
            </w:r>
          </w:p>
        </w:tc>
        <w:tc>
          <w:tcPr>
            <w:tcW w:w="5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1,754</w:t>
            </w:r>
          </w:p>
        </w:tc>
      </w:tr>
      <w:tr>
        <w:trPr>
          <w:trHeight w:val="125"/>
        </w:trPr>
        <w:tc>
          <w:tcPr>
            <w:tcW w:w="9980" w:type="dxa"/>
            <w:vAlign w:val="bottom"/>
          </w:tcPr>
          <w:p>
            <w:pPr>
              <w:ind w:left="20"/>
              <w:spacing w:after="0"/>
              <w:rPr>
                <w:sz w:val="20"/>
                <w:szCs w:val="20"/>
                <w:color w:val="auto"/>
              </w:rPr>
            </w:pPr>
            <w:r>
              <w:rPr>
                <w:rFonts w:ascii="Arial" w:cs="Arial" w:eastAsia="Arial" w:hAnsi="Arial"/>
                <w:sz w:val="10"/>
                <w:szCs w:val="10"/>
                <w:color w:val="auto"/>
              </w:rPr>
              <w:t>Total minimum debt payments</w:t>
            </w:r>
          </w:p>
        </w:tc>
        <w:tc>
          <w:tcPr>
            <w:tcW w:w="580" w:type="dxa"/>
            <w:vAlign w:val="bottom"/>
            <w:tcBorders>
              <w:top w:val="single" w:sz="8" w:color="auto"/>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24,131</w:t>
            </w:r>
          </w:p>
        </w:tc>
      </w:tr>
      <w:tr>
        <w:trPr>
          <w:trHeight w:val="144"/>
        </w:trPr>
        <w:tc>
          <w:tcPr>
            <w:tcW w:w="9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Amount representing interest</w:t>
            </w: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(2,081)</w:t>
            </w:r>
          </w:p>
        </w:tc>
      </w:tr>
      <w:tr>
        <w:trPr>
          <w:trHeight w:val="131"/>
        </w:trPr>
        <w:tc>
          <w:tcPr>
            <w:tcW w:w="9980" w:type="dxa"/>
            <w:vAlign w:val="bottom"/>
          </w:tcPr>
          <w:p>
            <w:pPr>
              <w:ind w:left="20"/>
              <w:spacing w:after="0"/>
              <w:rPr>
                <w:sz w:val="20"/>
                <w:szCs w:val="20"/>
                <w:color w:val="auto"/>
              </w:rPr>
            </w:pPr>
            <w:r>
              <w:rPr>
                <w:rFonts w:ascii="Arial" w:cs="Arial" w:eastAsia="Arial" w:hAnsi="Arial"/>
                <w:sz w:val="10"/>
                <w:szCs w:val="10"/>
                <w:color w:val="auto"/>
              </w:rPr>
              <w:t>Less: Debt discount and deferred charges</w:t>
            </w:r>
          </w:p>
        </w:tc>
        <w:tc>
          <w:tcPr>
            <w:tcW w:w="58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(584)</w:t>
            </w:r>
          </w:p>
        </w:tc>
      </w:tr>
      <w:tr>
        <w:trPr>
          <w:trHeight w:val="135"/>
        </w:trPr>
        <w:tc>
          <w:tcPr>
            <w:tcW w:w="998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Current portion of loan payable</w:t>
            </w:r>
          </w:p>
        </w:tc>
        <w:tc>
          <w:tcPr>
            <w:tcW w:w="5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(21,466)</w:t>
            </w:r>
          </w:p>
        </w:tc>
      </w:tr>
      <w:tr>
        <w:trPr>
          <w:trHeight w:val="144"/>
        </w:trPr>
        <w:tc>
          <w:tcPr>
            <w:tcW w:w="9980" w:type="dxa"/>
            <w:vAlign w:val="bottom"/>
          </w:tcPr>
          <w:p>
            <w:pPr>
              <w:ind w:left="20"/>
              <w:spacing w:after="0"/>
              <w:rPr>
                <w:sz w:val="20"/>
                <w:szCs w:val="20"/>
                <w:color w:val="auto"/>
              </w:rPr>
            </w:pPr>
            <w:r>
              <w:rPr>
                <w:rFonts w:ascii="Arial" w:cs="Arial" w:eastAsia="Arial" w:hAnsi="Arial"/>
                <w:sz w:val="10"/>
                <w:szCs w:val="10"/>
                <w:color w:val="auto"/>
              </w:rPr>
              <w:t>Loan payable, net of current portion</w:t>
            </w:r>
          </w:p>
        </w:tc>
        <w:tc>
          <w:tcPr>
            <w:tcW w:w="5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bl>
    <w:p>
      <w:pPr>
        <w:spacing w:after="0" w:line="279"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All amounts due under the 2017 Term Loan have been classified as a current liability as of March 31, 2019 due to the considerations discussed in Note 1 and the assessment that the material adverse change clause under the 2017 Term Loan is not within the Company's control. The Company has not been notified of an event of default by SVB as of the date of the filing of this Quarterly Report on Form 10-Q.</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three months ended March 31, 2019 and 2018, the Company recognized $0.4 million and $0.3 million respectively, of interest expense related to the 2017 Term Loan.</w:t>
      </w:r>
    </w:p>
    <w:p>
      <w:pPr>
        <w:spacing w:after="0" w:line="290" w:lineRule="exact"/>
        <w:rPr>
          <w:sz w:val="20"/>
          <w:szCs w:val="20"/>
          <w:color w:val="auto"/>
        </w:rPr>
      </w:pPr>
    </w:p>
    <w:p>
      <w:pPr>
        <w:ind w:left="8" w:right="10240" w:hanging="8"/>
        <w:spacing w:after="0" w:line="605" w:lineRule="auto"/>
        <w:tabs>
          <w:tab w:leader="none" w:pos="182" w:val="left"/>
        </w:tabs>
        <w:numPr>
          <w:ilvl w:val="0"/>
          <w:numId w:val="6"/>
        </w:numPr>
        <w:rPr>
          <w:rFonts w:ascii="Arial" w:cs="Arial" w:eastAsia="Arial" w:hAnsi="Arial"/>
          <w:sz w:val="10"/>
          <w:szCs w:val="10"/>
          <w:b w:val="1"/>
          <w:bCs w:val="1"/>
          <w:color w:val="auto"/>
        </w:rPr>
      </w:pPr>
      <w:r>
        <w:rPr>
          <w:rFonts w:ascii="Arial" w:cs="Arial" w:eastAsia="Arial" w:hAnsi="Arial"/>
          <w:sz w:val="10"/>
          <w:szCs w:val="10"/>
          <w:b w:val="1"/>
          <w:bCs w:val="1"/>
          <w:color w:val="auto"/>
        </w:rPr>
        <w:t>Stockholders' Equity 2019 Public Offering</w:t>
      </w:r>
    </w:p>
    <w:p>
      <w:pPr>
        <w:spacing w:after="0" w:line="1"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On January 25, 2019, the Company completed a public offering of 20,000,000 shares of its common stock at a public offering price of $1.50 per share. On January 29, 2019, an additional 2,188,706 shares were sold at a public offering price of $1.50 per share. The total net proceeds from the offering were $30.9 million, after deducting underwriting discounts, transaction costs and commissions.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2017 Shelf Registration Statement</w:t>
      </w:r>
    </w:p>
    <w:p>
      <w:pPr>
        <w:spacing w:after="0" w:line="154" w:lineRule="exact"/>
        <w:rPr>
          <w:sz w:val="20"/>
          <w:szCs w:val="20"/>
          <w:color w:val="auto"/>
        </w:rPr>
      </w:pPr>
    </w:p>
    <w:p>
      <w:pPr>
        <w:ind w:left="8" w:right="140"/>
        <w:spacing w:after="0" w:line="263" w:lineRule="auto"/>
        <w:rPr>
          <w:sz w:val="20"/>
          <w:szCs w:val="20"/>
          <w:color w:val="auto"/>
        </w:rPr>
      </w:pPr>
      <w:r>
        <w:rPr>
          <w:rFonts w:ascii="Arial" w:cs="Arial" w:eastAsia="Arial" w:hAnsi="Arial"/>
          <w:sz w:val="12"/>
          <w:szCs w:val="12"/>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March 31, 2019, no securities have been issued from this shelf registration statement.</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PIPE Financing</w:t>
      </w:r>
    </w:p>
    <w:p>
      <w:pPr>
        <w:spacing w:after="0" w:line="154"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On June 26, 2017, the Company entered into a securities purchase agreement (the "Institutional Purchase Agreement") with a select group of institutional investors (the “Institutional Investors”) and a securities purchase agreement with Timothy Springer,</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8"/>
          </w:cols>
          <w:pgMar w:left="212" w:top="509"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auto"/>
        </w:rPr>
        <w:t>Ph.D., a member of the board of directors (the "Springer Purchase Agreement") for a private placement of the Company's securities (the "2017 PIPE"). The closing of the 2017 PIPE occurred on June 27, 2017.</w:t>
      </w:r>
    </w:p>
    <w:p>
      <w:pPr>
        <w:spacing w:after="0" w:line="150"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11"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Initial Public Offering</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1"/>
          <w:szCs w:val="11"/>
          <w:color w:val="auto"/>
        </w:rPr>
        <w:t>On June 21, 2016, the Company completed its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Company's IPO on June 27, 2016, all outstanding shares of its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54"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As of March 31, 2019, the Company had 200,000,000 shares of common stock authorized for issuance, $0.0001 par value per share, with 44,788,025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common stockholders are entitled to one vote for each share of common stock held with respect to all matters voted on by the stockholders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common stockholders are entitled to receive dividends, if and when declared by the Board of Directors. Through March 31, 2019, no dividends have been declared or paid on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0"/>
          </w:cols>
          <w:pgMar w:left="220" w:top="509" w:right="219" w:bottom="1440" w:gutter="0" w:footer="0" w:header="0"/>
        </w:sectPr>
      </w:pPr>
    </w:p>
    <w:bookmarkStart w:id="23" w:name="page24"/>
    <w:bookmarkEnd w:id="23"/>
    <w:p>
      <w:pPr>
        <w:ind w:left="8"/>
        <w:spacing w:after="0"/>
        <w:rPr>
          <w:sz w:val="20"/>
          <w:szCs w:val="20"/>
          <w:color w:val="auto"/>
        </w:rPr>
      </w:pPr>
      <w:r>
        <w:rPr>
          <w:rFonts w:ascii="Arial" w:cs="Arial" w:eastAsia="Arial" w:hAnsi="Arial"/>
          <w:sz w:val="12"/>
          <w:szCs w:val="12"/>
          <w:b w:val="1"/>
          <w:bCs w:val="1"/>
          <w:color w:val="auto"/>
        </w:rPr>
        <w:t>Reserved Shares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has authorized shares of common stock for future issuance as follows: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9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Period ending</w:t>
            </w:r>
          </w:p>
        </w:tc>
        <w:tc>
          <w:tcPr>
            <w:tcW w:w="1360" w:type="dxa"/>
            <w:vAlign w:val="bottom"/>
            <w:tcBorders>
              <w:bottom w:val="single" w:sz="8" w:color="auto"/>
            </w:tcBorders>
          </w:tcPr>
          <w:p>
            <w:pPr>
              <w:spacing w:after="0"/>
              <w:rPr>
                <w:sz w:val="11"/>
                <w:szCs w:val="11"/>
                <w:color w:val="auto"/>
              </w:rPr>
            </w:pPr>
          </w:p>
        </w:tc>
      </w:tr>
      <w:tr>
        <w:trPr>
          <w:trHeight w:val="169"/>
        </w:trPr>
        <w:tc>
          <w:tcPr>
            <w:tcW w:w="79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w w:val="89"/>
              </w:rPr>
              <w:t>March 31, 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w w:val="95"/>
              </w:rPr>
              <w:t>December 31, 2018</w:t>
            </w:r>
          </w:p>
        </w:tc>
      </w:tr>
      <w:tr>
        <w:trPr>
          <w:trHeight w:val="164"/>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common warrants</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95,619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95,619</w:t>
            </w:r>
          </w:p>
        </w:tc>
      </w:tr>
      <w:tr>
        <w:trPr>
          <w:trHeight w:val="176"/>
        </w:trPr>
        <w:tc>
          <w:tcPr>
            <w:tcW w:w="9120" w:type="dxa"/>
            <w:vAlign w:val="bottom"/>
            <w:gridSpan w:val="2"/>
          </w:tcPr>
          <w:p>
            <w:pPr>
              <w:ind w:left="20"/>
              <w:spacing w:after="0"/>
              <w:rPr>
                <w:sz w:val="20"/>
                <w:szCs w:val="20"/>
                <w:color w:val="auto"/>
              </w:rPr>
            </w:pPr>
            <w:r>
              <w:rPr>
                <w:rFonts w:ascii="Arial" w:cs="Arial" w:eastAsia="Arial" w:hAnsi="Arial"/>
                <w:sz w:val="10"/>
                <w:szCs w:val="10"/>
                <w:color w:val="auto"/>
              </w:rPr>
              <w:t>Shares available for future stock incentive awards</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w w:val="89"/>
              </w:rPr>
              <w:t>4,012,207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1,586,925</w:t>
            </w:r>
          </w:p>
        </w:tc>
      </w:tr>
      <w:tr>
        <w:trPr>
          <w:trHeight w:val="176"/>
        </w:trPr>
        <w:tc>
          <w:tcPr>
            <w:tcW w:w="7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RSUs reserved for issuance</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50,000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88"/>
        </w:trPr>
        <w:tc>
          <w:tcPr>
            <w:tcW w:w="7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Unvested restricted stock units</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225,000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175,000</w:t>
            </w:r>
          </w:p>
        </w:tc>
      </w:tr>
      <w:tr>
        <w:trPr>
          <w:trHeight w:val="17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Outstanding common stock options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89"/>
              </w:rPr>
              <w:t>4,564,742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4,093,979</w:t>
            </w:r>
          </w:p>
        </w:tc>
      </w:tr>
      <w:tr>
        <w:trPr>
          <w:trHeight w:val="144"/>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w:t>
            </w:r>
          </w:p>
        </w:tc>
        <w:tc>
          <w:tcPr>
            <w:tcW w:w="1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89"/>
              </w:rPr>
              <w:t>8,947,568</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5,951,523</w:t>
            </w:r>
          </w:p>
        </w:tc>
      </w:tr>
    </w:tbl>
    <w:p>
      <w:pPr>
        <w:spacing w:after="0" w:line="275" w:lineRule="exact"/>
        <w:rPr>
          <w:sz w:val="20"/>
          <w:szCs w:val="20"/>
          <w:color w:val="auto"/>
        </w:rPr>
      </w:pPr>
    </w:p>
    <w:p>
      <w:pPr>
        <w:ind w:left="8" w:right="10200" w:hanging="8"/>
        <w:spacing w:after="0" w:line="504" w:lineRule="auto"/>
        <w:tabs>
          <w:tab w:leader="none" w:pos="18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Stock Incentive Plans Stock Options</w:t>
      </w:r>
    </w:p>
    <w:p>
      <w:pPr>
        <w:spacing w:after="0" w:line="1" w:lineRule="exact"/>
        <w:rPr>
          <w:sz w:val="20"/>
          <w:szCs w:val="20"/>
          <w:color w:val="auto"/>
        </w:rPr>
      </w:pPr>
    </w:p>
    <w:p>
      <w:pPr>
        <w:ind w:left="8" w:right="80"/>
        <w:spacing w:after="0" w:line="146" w:lineRule="exact"/>
        <w:rPr>
          <w:sz w:val="20"/>
          <w:szCs w:val="20"/>
          <w:color w:val="auto"/>
        </w:rPr>
      </w:pPr>
      <w:r>
        <w:rPr>
          <w:rFonts w:ascii="Arial" w:cs="Arial" w:eastAsia="Arial" w:hAnsi="Arial"/>
          <w:sz w:val="12"/>
          <w:szCs w:val="12"/>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2"/>
          <w:szCs w:val="12"/>
          <w:color w:val="auto"/>
        </w:rPr>
        <w:t>‑</w:t>
      </w:r>
      <w:r>
        <w:rPr>
          <w:rFonts w:ascii="Arial" w:cs="Arial" w:eastAsia="Arial" w:hAnsi="Arial"/>
          <w:sz w:val="12"/>
          <w:szCs w:val="12"/>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137" w:lineRule="exact"/>
        <w:rPr>
          <w:sz w:val="20"/>
          <w:szCs w:val="20"/>
          <w:color w:val="auto"/>
        </w:rPr>
      </w:pPr>
    </w:p>
    <w:p>
      <w:pPr>
        <w:jc w:val="both"/>
        <w:ind w:left="8" w:right="260"/>
        <w:spacing w:after="0" w:line="263" w:lineRule="auto"/>
        <w:rPr>
          <w:sz w:val="20"/>
          <w:szCs w:val="20"/>
          <w:color w:val="auto"/>
        </w:rPr>
      </w:pPr>
      <w:r>
        <w:rPr>
          <w:rFonts w:ascii="Arial" w:cs="Arial" w:eastAsia="Arial" w:hAnsi="Arial"/>
          <w:sz w:val="12"/>
          <w:szCs w:val="12"/>
          <w:color w:val="auto"/>
        </w:rPr>
        <w:t>The 2008 Plan provided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vest over periods as determined by the Board, which are generally four years and, for options, with terms that generally expire ten years from the grant date.</w:t>
      </w:r>
    </w:p>
    <w:p>
      <w:pPr>
        <w:spacing w:after="0" w:line="123" w:lineRule="exact"/>
        <w:rPr>
          <w:sz w:val="20"/>
          <w:szCs w:val="20"/>
          <w:color w:val="auto"/>
        </w:rPr>
      </w:pPr>
    </w:p>
    <w:p>
      <w:pPr>
        <w:ind w:left="8" w:right="120"/>
        <w:spacing w:after="0" w:line="146" w:lineRule="exact"/>
        <w:rPr>
          <w:sz w:val="20"/>
          <w:szCs w:val="20"/>
          <w:color w:val="auto"/>
        </w:rPr>
      </w:pPr>
      <w:r>
        <w:rPr>
          <w:rFonts w:ascii="Arial" w:cs="Arial" w:eastAsia="Arial" w:hAnsi="Arial"/>
          <w:sz w:val="11"/>
          <w:szCs w:val="11"/>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1"/>
          <w:szCs w:val="11"/>
          <w:color w:val="auto"/>
        </w:rPr>
        <w:t>‑</w:t>
      </w:r>
      <w:r>
        <w:rPr>
          <w:rFonts w:ascii="Arial" w:cs="Arial" w:eastAsia="Arial" w:hAnsi="Arial"/>
          <w:sz w:val="11"/>
          <w:szCs w:val="11"/>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three months ended March 31, 2019 and 2018, the number of shares of common stock that may be issued under the 2016 Plan was increased by 898,871 shares and 893,730 shares, respectively. As of March 31, 2019, 1,759,539 shares remain available for future issuance under the 2016 Plan.</w:t>
      </w:r>
    </w:p>
    <w:p>
      <w:pPr>
        <w:spacing w:after="0" w:line="136" w:lineRule="exact"/>
        <w:rPr>
          <w:sz w:val="20"/>
          <w:szCs w:val="20"/>
          <w:color w:val="auto"/>
        </w:rPr>
      </w:pPr>
    </w:p>
    <w:p>
      <w:pPr>
        <w:jc w:val="both"/>
        <w:ind w:left="8" w:right="280"/>
        <w:spacing w:after="0" w:line="263" w:lineRule="auto"/>
        <w:rPr>
          <w:sz w:val="20"/>
          <w:szCs w:val="20"/>
          <w:color w:val="auto"/>
        </w:rPr>
      </w:pPr>
      <w:r>
        <w:rPr>
          <w:rFonts w:ascii="Arial" w:cs="Arial" w:eastAsia="Arial" w:hAnsi="Arial"/>
          <w:sz w:val="12"/>
          <w:szCs w:val="12"/>
          <w:color w:val="auto"/>
        </w:rPr>
        <w:t>The 2016 Plan provides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2016 Plan vest over periods as determined by the Board, which are generally four years and, for options, with terms that generally expire ten years from the grant date.</w:t>
      </w:r>
    </w:p>
    <w:p>
      <w:pPr>
        <w:spacing w:after="0" w:line="123" w:lineRule="exact"/>
        <w:rPr>
          <w:sz w:val="20"/>
          <w:szCs w:val="20"/>
          <w:color w:val="auto"/>
        </w:rPr>
      </w:pPr>
    </w:p>
    <w:p>
      <w:pPr>
        <w:ind w:left="8" w:right="80"/>
        <w:spacing w:after="0" w:line="259" w:lineRule="auto"/>
        <w:rPr>
          <w:sz w:val="20"/>
          <w:szCs w:val="20"/>
          <w:color w:val="auto"/>
        </w:rPr>
      </w:pPr>
      <w:r>
        <w:rPr>
          <w:rFonts w:ascii="Arial" w:cs="Arial" w:eastAsia="Arial" w:hAnsi="Arial"/>
          <w:sz w:val="12"/>
          <w:szCs w:val="12"/>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w:t>
      </w: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8"/>
          </w:cols>
          <w:pgMar w:left="212" w:top="1370" w:right="199" w:bottom="1440" w:gutter="0" w:footer="0" w:header="0"/>
        </w:sectPr>
      </w:pPr>
    </w:p>
    <w:bookmarkStart w:id="24" w:name="page25"/>
    <w:bookmarkEnd w:id="24"/>
    <w:p>
      <w:pPr>
        <w:ind w:right="140"/>
        <w:spacing w:after="0" w:line="380" w:lineRule="auto"/>
        <w:rPr>
          <w:sz w:val="20"/>
          <w:szCs w:val="20"/>
          <w:color w:val="auto"/>
        </w:rPr>
      </w:pPr>
      <w:r>
        <w:rPr>
          <w:rFonts w:ascii="Arial" w:cs="Arial" w:eastAsia="Arial" w:hAnsi="Arial"/>
          <w:sz w:val="10"/>
          <w:szCs w:val="10"/>
          <w:color w:val="auto"/>
        </w:rPr>
        <w:t>period of non-employment by the Company, as a material inducement to the employee’s entering into employment with the Company. The Company reserved 1,175,000 shares of its common stock for issuance under the Inducement Incentive Award Plan. On March 25, 2019, the Board approved the amendment and restatement of the Inducement Incentive Award Plan to reserve an additional 2,000,000 shares of the Company’s common stock for issuance thereunder.</w:t>
      </w:r>
    </w:p>
    <w:p>
      <w:pPr>
        <w:spacing w:after="0" w:line="6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On March 25, 2019, pursuant to an employment agreement entered into with Elona Kogan, the Company granted Ms. Kogan equity awards under the Inducement Incentive Award Plan consisting of an option to purchase 400,000 shares of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2019, there are 1,500,000 shares available for future grant under the Inducement Incentive Award Plan.</w:t>
      </w:r>
    </w:p>
    <w:p>
      <w:pPr>
        <w:spacing w:after="0" w:line="150" w:lineRule="exact"/>
        <w:rPr>
          <w:sz w:val="20"/>
          <w:szCs w:val="20"/>
          <w:color w:val="auto"/>
        </w:rPr>
      </w:pPr>
    </w:p>
    <w:p>
      <w:pPr>
        <w:ind w:right="100"/>
        <w:spacing w:after="0" w:line="146" w:lineRule="exact"/>
        <w:rPr>
          <w:sz w:val="20"/>
          <w:szCs w:val="20"/>
          <w:color w:val="auto"/>
        </w:rPr>
      </w:pPr>
      <w:r>
        <w:rPr>
          <w:rFonts w:ascii="Arial" w:cs="Arial" w:eastAsia="Arial" w:hAnsi="Arial"/>
          <w:sz w:val="12"/>
          <w:szCs w:val="12"/>
          <w:color w:val="auto"/>
        </w:rPr>
        <w:t>The fair value of each option award was estimated on the grant date using the Black</w:t>
      </w:r>
      <w:r>
        <w:rPr>
          <w:rFonts w:ascii="MS PGothic" w:cs="MS PGothic" w:eastAsia="MS PGothic" w:hAnsi="MS PGothic"/>
          <w:sz w:val="12"/>
          <w:szCs w:val="12"/>
          <w:color w:val="auto"/>
        </w:rPr>
        <w:t>‑</w:t>
      </w:r>
      <w:r>
        <w:rPr>
          <w:rFonts w:ascii="Arial" w:cs="Arial" w:eastAsia="Arial" w:hAnsi="Arial"/>
          <w:sz w:val="12"/>
          <w:szCs w:val="12"/>
          <w:color w:val="auto"/>
        </w:rPr>
        <w:t>Scholes option pricing model.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2"/>
          <w:szCs w:val="12"/>
          <w:color w:val="auto"/>
        </w:rPr>
        <w:t>‑</w:t>
      </w:r>
      <w:r>
        <w:rPr>
          <w:rFonts w:ascii="Arial" w:cs="Arial" w:eastAsia="Arial" w:hAnsi="Arial"/>
          <w:sz w:val="12"/>
          <w:szCs w:val="12"/>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2"/>
          <w:szCs w:val="12"/>
          <w:color w:val="auto"/>
        </w:rPr>
        <w:t>‑</w:t>
      </w:r>
      <w:r>
        <w:rPr>
          <w:rFonts w:ascii="Arial" w:cs="Arial" w:eastAsia="Arial" w:hAnsi="Arial"/>
          <w:sz w:val="12"/>
          <w:szCs w:val="12"/>
          <w:color w:val="auto"/>
        </w:rPr>
        <w:t>based compensation expense only on awards that are expected to vest.</w:t>
      </w:r>
    </w:p>
    <w:p>
      <w:pPr>
        <w:spacing w:after="0" w:line="137"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Effective March 31, 2019, the Company entered into a transition agreement and release with an executive officer under which if he remains continuously employed by the Company through the Effective Date or the Company terminates his employment on or prior to the Effective Date without “cause”, then, subject to his continued compliance with certain restrictive covenants and execution of a general release of claims, he will be entitled to receive immediate vesting of his outstanding unvested stock options (60,001 shares) that would have vested based solely on his continued service if he had continued providing services to the Company until December 31, 2019 and extension of the right to exercise any vested stock options (137,918 shares) (after giving effect to the foregoing accelerated vesting) until March 31, 2020. The subsequent stock based compensation amount was not material.</w:t>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estimated grant date fair values of employee stock option awards granted under the 2008 Plan, 2016 Plan and the Inducement Incentive Award Plan were calculated using the Black-Scholes option pricing model, based on the following weighted-average assumptions: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w w:val="97"/>
              </w:rPr>
              <w:t>Three Months Ended March 31,</w:t>
            </w:r>
          </w:p>
        </w:tc>
        <w:tc>
          <w:tcPr>
            <w:tcW w:w="1200" w:type="dxa"/>
            <w:vAlign w:val="bottom"/>
            <w:tcBorders>
              <w:bottom w:val="single" w:sz="8" w:color="auto"/>
            </w:tcBorders>
          </w:tcPr>
          <w:p>
            <w:pPr>
              <w:spacing w:after="0"/>
              <w:rPr>
                <w:sz w:val="11"/>
                <w:szCs w:val="11"/>
                <w:color w:val="auto"/>
              </w:rPr>
            </w:pPr>
          </w:p>
        </w:tc>
      </w:tr>
      <w:tr>
        <w:trPr>
          <w:trHeight w:val="169"/>
        </w:trPr>
        <w:tc>
          <w:tcPr>
            <w:tcW w:w="74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2019</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b w:val="1"/>
                <w:bCs w:val="1"/>
                <w:color w:val="auto"/>
              </w:rPr>
              <w:t>2018</w:t>
            </w:r>
          </w:p>
        </w:tc>
      </w:tr>
      <w:tr>
        <w:trPr>
          <w:trHeight w:val="164"/>
        </w:trPr>
        <w:tc>
          <w:tcPr>
            <w:tcW w:w="7460" w:type="dxa"/>
            <w:vAlign w:val="bottom"/>
            <w:shd w:val="clear" w:color="auto" w:fill="CCEEFF"/>
          </w:tcPr>
          <w:p>
            <w:pPr>
              <w:ind w:left="20"/>
              <w:spacing w:after="0"/>
              <w:rPr>
                <w:sz w:val="20"/>
                <w:szCs w:val="20"/>
                <w:color w:val="auto"/>
              </w:rPr>
            </w:pPr>
            <w:r>
              <w:rPr>
                <w:rFonts w:ascii="Arial" w:cs="Arial" w:eastAsia="Arial" w:hAnsi="Arial"/>
                <w:sz w:val="10"/>
                <w:szCs w:val="10"/>
                <w:color w:val="auto"/>
              </w:rPr>
              <w:t>Risk-free interest rate</w:t>
            </w: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w:t>
            </w:r>
          </w:p>
        </w:tc>
      </w:tr>
      <w:tr>
        <w:trPr>
          <w:trHeight w:val="176"/>
        </w:trPr>
        <w:tc>
          <w:tcPr>
            <w:tcW w:w="7460" w:type="dxa"/>
            <w:vAlign w:val="bottom"/>
          </w:tcPr>
          <w:p>
            <w:pPr>
              <w:ind w:left="20"/>
              <w:spacing w:after="0"/>
              <w:rPr>
                <w:sz w:val="20"/>
                <w:szCs w:val="20"/>
                <w:color w:val="auto"/>
              </w:rPr>
            </w:pPr>
            <w:r>
              <w:rPr>
                <w:rFonts w:ascii="Arial" w:cs="Arial" w:eastAsia="Arial" w:hAnsi="Arial"/>
                <w:sz w:val="10"/>
                <w:szCs w:val="10"/>
                <w:color w:val="auto"/>
              </w:rPr>
              <w:t>Dividend yield</w:t>
            </w:r>
          </w:p>
        </w:tc>
        <w:tc>
          <w:tcPr>
            <w:tcW w:w="12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5"/>
                <w:szCs w:val="15"/>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74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Expected term</w:t>
            </w:r>
          </w:p>
        </w:tc>
        <w:tc>
          <w:tcPr>
            <w:tcW w:w="1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6.64</w:t>
            </w:r>
          </w:p>
        </w:tc>
      </w:tr>
      <w:tr>
        <w:trPr>
          <w:trHeight w:val="176"/>
        </w:trPr>
        <w:tc>
          <w:tcPr>
            <w:tcW w:w="7460" w:type="dxa"/>
            <w:vAlign w:val="bottom"/>
          </w:tcPr>
          <w:p>
            <w:pPr>
              <w:ind w:left="20"/>
              <w:spacing w:after="0"/>
              <w:rPr>
                <w:sz w:val="20"/>
                <w:szCs w:val="20"/>
                <w:color w:val="auto"/>
              </w:rPr>
            </w:pPr>
            <w:r>
              <w:rPr>
                <w:rFonts w:ascii="Arial" w:cs="Arial" w:eastAsia="Arial" w:hAnsi="Arial"/>
                <w:sz w:val="10"/>
                <w:szCs w:val="10"/>
                <w:color w:val="auto"/>
              </w:rPr>
              <w:t>Expected volatility</w:t>
            </w: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87.35%</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84.81%</w:t>
            </w:r>
          </w:p>
        </w:tc>
      </w:tr>
      <w:tr>
        <w:trPr>
          <w:trHeight w:val="184"/>
        </w:trPr>
        <w:tc>
          <w:tcPr>
            <w:tcW w:w="74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Weighted-average fair value of common stock</w:t>
            </w:r>
          </w:p>
        </w:tc>
        <w:tc>
          <w:tcPr>
            <w:tcW w:w="1220" w:type="dxa"/>
            <w:vAlign w:val="bottom"/>
            <w:shd w:val="clear" w:color="auto" w:fill="CCEEFF"/>
          </w:tcPr>
          <w:p>
            <w:pPr>
              <w:jc w:val="right"/>
              <w:ind w:right="1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2.41</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9.53</w:t>
            </w:r>
          </w:p>
        </w:tc>
      </w:tr>
    </w:tbl>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weighted average grant date fair value of stock options granted to employees during the three months ended March 31, 2019 and 2018 was $1.77 and $7.07, respectively. The aggregate intrinsic value of stock options exercised during the three months ended March 31, 2019 was $0.1 million. There were no employee stock option exercises during the three months ended March 31, 2018.</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2019, total unrecognized compensation expense related to unvested employee stock options was $10.3 million, which is expected to be recognized over a weighted average period of 3.1 years.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No stock option awards were granted to non-employees during the three months ended March 31, 2019 and 2018.</w:t>
      </w:r>
    </w:p>
    <w:p>
      <w:pPr>
        <w:spacing w:after="0" w:line="150"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As of March 31, 2019, total unrecognized compensation expense related to unvested non</w:t>
      </w:r>
      <w:r>
        <w:rPr>
          <w:rFonts w:ascii="MS PGothic" w:cs="MS PGothic" w:eastAsia="MS PGothic" w:hAnsi="MS PGothic"/>
          <w:sz w:val="12"/>
          <w:szCs w:val="12"/>
          <w:color w:val="auto"/>
        </w:rPr>
        <w:t>‑</w:t>
      </w:r>
      <w:r>
        <w:rPr>
          <w:rFonts w:ascii="Arial" w:cs="Arial" w:eastAsia="Arial" w:hAnsi="Arial"/>
          <w:sz w:val="12"/>
          <w:szCs w:val="12"/>
          <w:color w:val="auto"/>
        </w:rPr>
        <w:t>employee stock options was $1.0 million, which is expected to be recognized over a weighted average period of 2.0 years.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509"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The following table summarizes the activity under the 2008 Plan, 2016 Plan, and Inducement Incentive Award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ind w:left="252"/>
              <w:spacing w:after="0" w:line="115" w:lineRule="exact"/>
              <w:rPr>
                <w:sz w:val="20"/>
                <w:szCs w:val="20"/>
                <w:color w:val="auto"/>
              </w:rPr>
            </w:pPr>
            <w:r>
              <w:rPr>
                <w:rFonts w:ascii="Arial" w:cs="Arial" w:eastAsia="Arial" w:hAnsi="Arial"/>
                <w:sz w:val="10"/>
                <w:szCs w:val="10"/>
                <w:b w:val="1"/>
                <w:bCs w:val="1"/>
                <w:color w:val="auto"/>
                <w:w w:val="86"/>
              </w:rPr>
              <w:t>Weighted</w:t>
            </w:r>
            <w:r>
              <w:rPr>
                <w:rFonts w:ascii="MS PGothic" w:cs="MS PGothic" w:eastAsia="MS PGothic" w:hAnsi="MS PGothic"/>
                <w:sz w:val="10"/>
                <w:szCs w:val="10"/>
                <w:b w:val="1"/>
                <w:bCs w:val="1"/>
                <w:color w:val="auto"/>
                <w:w w:val="86"/>
              </w:rPr>
              <w:t>‑</w:t>
            </w:r>
            <w:r>
              <w:rPr>
                <w:rFonts w:ascii="Arial" w:cs="Arial" w:eastAsia="Arial" w:hAnsi="Arial"/>
                <w:sz w:val="10"/>
                <w:szCs w:val="10"/>
                <w:b w:val="1"/>
                <w:bCs w:val="1"/>
                <w:color w:val="auto"/>
                <w:w w:val="86"/>
              </w:rPr>
              <w:t>average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80"/>
        </w:trPr>
        <w:tc>
          <w:tcPr>
            <w:tcW w:w="4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2"/>
              <w:spacing w:after="0"/>
              <w:rPr>
                <w:sz w:val="20"/>
                <w:szCs w:val="20"/>
                <w:color w:val="auto"/>
              </w:rPr>
            </w:pPr>
            <w:r>
              <w:rPr>
                <w:rFonts w:ascii="Arial" w:cs="Arial" w:eastAsia="Arial" w:hAnsi="Arial"/>
                <w:sz w:val="10"/>
                <w:szCs w:val="10"/>
                <w:b w:val="1"/>
                <w:bCs w:val="1"/>
                <w:color w:val="auto"/>
                <w:w w:val="87"/>
              </w:rPr>
              <w:t>remaining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552"/>
              <w:spacing w:after="0"/>
              <w:rPr>
                <w:sz w:val="20"/>
                <w:szCs w:val="20"/>
                <w:color w:val="auto"/>
              </w:rPr>
            </w:pPr>
            <w:r>
              <w:rPr>
                <w:rFonts w:ascii="Arial" w:cs="Arial" w:eastAsia="Arial" w:hAnsi="Arial"/>
                <w:sz w:val="10"/>
                <w:szCs w:val="10"/>
                <w:b w:val="1"/>
                <w:bCs w:val="1"/>
                <w:color w:val="auto"/>
              </w:rPr>
              <w:t>Aggregate</w:t>
            </w:r>
          </w:p>
        </w:tc>
      </w:tr>
      <w:tr>
        <w:trPr>
          <w:trHeight w:val="180"/>
        </w:trPr>
        <w:tc>
          <w:tcPr>
            <w:tcW w:w="4700" w:type="dxa"/>
            <w:vAlign w:val="bottom"/>
          </w:tcPr>
          <w:p>
            <w:pPr>
              <w:spacing w:after="0"/>
              <w:rPr>
                <w:sz w:val="15"/>
                <w:szCs w:val="15"/>
                <w:color w:val="auto"/>
              </w:rPr>
            </w:pPr>
          </w:p>
        </w:tc>
        <w:tc>
          <w:tcPr>
            <w:tcW w:w="1080" w:type="dxa"/>
            <w:vAlign w:val="bottom"/>
          </w:tcPr>
          <w:p>
            <w:pPr>
              <w:jc w:val="center"/>
              <w:ind w:left="492"/>
              <w:spacing w:after="0"/>
              <w:rPr>
                <w:sz w:val="20"/>
                <w:szCs w:val="20"/>
                <w:color w:val="auto"/>
              </w:rPr>
            </w:pPr>
            <w:r>
              <w:rPr>
                <w:rFonts w:ascii="Arial" w:cs="Arial" w:eastAsia="Arial" w:hAnsi="Arial"/>
                <w:sz w:val="10"/>
                <w:szCs w:val="10"/>
                <w:b w:val="1"/>
                <w:bCs w:val="1"/>
                <w:color w:val="auto"/>
                <w:w w:val="91"/>
              </w:rPr>
              <w:t>Number of</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Weighted-average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2"/>
              <w:spacing w:after="0"/>
              <w:rPr>
                <w:sz w:val="20"/>
                <w:szCs w:val="20"/>
                <w:color w:val="auto"/>
              </w:rPr>
            </w:pPr>
            <w:r>
              <w:rPr>
                <w:rFonts w:ascii="Arial" w:cs="Arial" w:eastAsia="Arial" w:hAnsi="Arial"/>
                <w:sz w:val="10"/>
                <w:szCs w:val="10"/>
                <w:b w:val="1"/>
                <w:bCs w:val="1"/>
                <w:color w:val="auto"/>
                <w:w w:val="89"/>
              </w:rPr>
              <w:t>contractual term</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452"/>
              <w:spacing w:after="0"/>
              <w:rPr>
                <w:sz w:val="20"/>
                <w:szCs w:val="20"/>
                <w:color w:val="auto"/>
              </w:rPr>
            </w:pPr>
            <w:r>
              <w:rPr>
                <w:rFonts w:ascii="Arial" w:cs="Arial" w:eastAsia="Arial" w:hAnsi="Arial"/>
                <w:sz w:val="10"/>
                <w:szCs w:val="10"/>
                <w:b w:val="1"/>
                <w:bCs w:val="1"/>
                <w:color w:val="auto"/>
              </w:rPr>
              <w:t>intrinsic value</w:t>
            </w:r>
          </w:p>
        </w:tc>
      </w:tr>
      <w:tr>
        <w:trPr>
          <w:trHeight w:val="184"/>
        </w:trPr>
        <w:tc>
          <w:tcPr>
            <w:tcW w:w="4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492"/>
              <w:spacing w:after="0"/>
              <w:rPr>
                <w:sz w:val="20"/>
                <w:szCs w:val="20"/>
                <w:color w:val="auto"/>
              </w:rPr>
            </w:pPr>
            <w:r>
              <w:rPr>
                <w:rFonts w:ascii="Arial" w:cs="Arial" w:eastAsia="Arial" w:hAnsi="Arial"/>
                <w:sz w:val="10"/>
                <w:szCs w:val="10"/>
                <w:b w:val="1"/>
                <w:bCs w:val="1"/>
                <w:color w:val="auto"/>
                <w:w w:val="82"/>
              </w:rPr>
              <w:t>options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exercise price ($)</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85"/>
              </w:rPr>
              <w:t>(in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(in thousands)</w:t>
            </w:r>
          </w:p>
        </w:tc>
      </w:tr>
      <w:tr>
        <w:trPr>
          <w:trHeight w:val="164"/>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Employee Awards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0"/>
                <w:szCs w:val="10"/>
                <w:color w:val="auto"/>
              </w:rPr>
              <w:t>Outstanding at December 31, 2018</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w w:val="89"/>
              </w:rPr>
              <w:t>3,681,575</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9.49</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7.77</w:t>
            </w:r>
          </w:p>
        </w:tc>
        <w:tc>
          <w:tcPr>
            <w:tcW w:w="10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300</w:t>
            </w:r>
          </w:p>
        </w:tc>
      </w:tr>
      <w:tr>
        <w:trPr>
          <w:trHeight w:val="184"/>
        </w:trPr>
        <w:tc>
          <w:tcPr>
            <w:tcW w:w="57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Granted</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9"/>
              </w:rPr>
              <w:t>1,319,500</w:t>
            </w:r>
          </w:p>
        </w:tc>
        <w:tc>
          <w:tcPr>
            <w:tcW w:w="1340" w:type="dxa"/>
            <w:vAlign w:val="bottom"/>
            <w:gridSpan w:val="2"/>
            <w:shd w:val="clear" w:color="auto" w:fill="CCEEFF"/>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2.41</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76"/>
        </w:trPr>
        <w:tc>
          <w:tcPr>
            <w:tcW w:w="5780" w:type="dxa"/>
            <w:vAlign w:val="bottom"/>
            <w:gridSpan w:val="2"/>
          </w:tcPr>
          <w:p>
            <w:pPr>
              <w:ind w:left="180"/>
              <w:spacing w:after="0"/>
              <w:rPr>
                <w:sz w:val="20"/>
                <w:szCs w:val="20"/>
                <w:color w:val="auto"/>
              </w:rPr>
            </w:pPr>
            <w:r>
              <w:rPr>
                <w:rFonts w:ascii="Arial" w:cs="Arial" w:eastAsia="Arial" w:hAnsi="Arial"/>
                <w:sz w:val="10"/>
                <w:szCs w:val="10"/>
                <w:color w:val="auto"/>
              </w:rPr>
              <w:t>Exercised</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w w:val="98"/>
              </w:rPr>
              <w:t>(115,600)</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1.26</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7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Forfeited</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98"/>
              </w:rPr>
              <w:t>(733,137)</w:t>
            </w:r>
          </w:p>
        </w:tc>
        <w:tc>
          <w:tcPr>
            <w:tcW w:w="1340" w:type="dxa"/>
            <w:vAlign w:val="bottom"/>
            <w:gridSpan w:val="2"/>
            <w:shd w:val="clear" w:color="auto" w:fill="CCEEFF"/>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10.51</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2"/>
        </w:trPr>
        <w:tc>
          <w:tcPr>
            <w:tcW w:w="5780" w:type="dxa"/>
            <w:vAlign w:val="bottom"/>
            <w:gridSpan w:val="2"/>
          </w:tcPr>
          <w:p>
            <w:pPr>
              <w:ind w:left="20"/>
              <w:spacing w:after="0"/>
              <w:rPr>
                <w:sz w:val="20"/>
                <w:szCs w:val="20"/>
                <w:color w:val="auto"/>
              </w:rPr>
            </w:pPr>
            <w:r>
              <w:rPr>
                <w:rFonts w:ascii="Arial" w:cs="Arial" w:eastAsia="Arial" w:hAnsi="Arial"/>
                <w:sz w:val="10"/>
                <w:szCs w:val="10"/>
                <w:color w:val="auto"/>
              </w:rPr>
              <w:t>Outstanding at March 31, 2019</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w w:val="89"/>
              </w:rPr>
              <w:t>4,152,338</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7.29</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8.53</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195</w:t>
            </w:r>
          </w:p>
        </w:tc>
      </w:tr>
      <w:tr>
        <w:trPr>
          <w:trHeight w:val="117"/>
        </w:trPr>
        <w:tc>
          <w:tcPr>
            <w:tcW w:w="47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0"/>
                <w:szCs w:val="10"/>
                <w:color w:val="auto"/>
              </w:rPr>
              <w:t>Vested at March 31, 2019</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w w:val="89"/>
              </w:rPr>
              <w:t>1,071,591</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10.06</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5.98</w:t>
            </w:r>
          </w:p>
        </w:tc>
        <w:tc>
          <w:tcPr>
            <w:tcW w:w="10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107</w:t>
            </w:r>
          </w:p>
        </w:tc>
      </w:tr>
      <w:tr>
        <w:trPr>
          <w:trHeight w:val="184"/>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Vested and expected to vest at March 31, 2019</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9"/>
              </w:rPr>
              <w:t>3,893,328</w:t>
            </w:r>
          </w:p>
        </w:tc>
        <w:tc>
          <w:tcPr>
            <w:tcW w:w="1340" w:type="dxa"/>
            <w:vAlign w:val="bottom"/>
            <w:gridSpan w:val="2"/>
            <w:shd w:val="clear" w:color="auto" w:fill="CCEEFF"/>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7.39</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189</w:t>
            </w:r>
          </w:p>
        </w:tc>
      </w:tr>
      <w:tr>
        <w:trPr>
          <w:trHeight w:val="189"/>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0"/>
        </w:trPr>
        <w:tc>
          <w:tcPr>
            <w:tcW w:w="57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0"/>
                <w:szCs w:val="10"/>
                <w:b w:val="1"/>
                <w:bCs w:val="1"/>
                <w:color w:val="auto"/>
              </w:rPr>
              <w:t>Non</w:t>
            </w:r>
            <w:r>
              <w:rPr>
                <w:rFonts w:ascii="MS PGothic" w:cs="MS PGothic" w:eastAsia="MS PGothic" w:hAnsi="MS PGothic"/>
                <w:sz w:val="10"/>
                <w:szCs w:val="10"/>
                <w:b w:val="1"/>
                <w:bCs w:val="1"/>
                <w:color w:val="auto"/>
              </w:rPr>
              <w:t>‑</w:t>
            </w:r>
            <w:r>
              <w:rPr>
                <w:rFonts w:ascii="Arial" w:cs="Arial" w:eastAsia="Arial" w:hAnsi="Arial"/>
                <w:sz w:val="10"/>
                <w:szCs w:val="10"/>
                <w:b w:val="1"/>
                <w:bCs w:val="1"/>
                <w:color w:val="auto"/>
              </w:rPr>
              <w:t>Employee Awards</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0"/>
                <w:szCs w:val="10"/>
                <w:color w:val="auto"/>
              </w:rPr>
              <w:t>Outstanding at December 31, 2018</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412,404</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6.44</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6.42</w:t>
            </w:r>
          </w:p>
        </w:tc>
        <w:tc>
          <w:tcPr>
            <w:tcW w:w="10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28</w:t>
            </w:r>
          </w:p>
        </w:tc>
      </w:tr>
      <w:tr>
        <w:trPr>
          <w:trHeight w:val="184"/>
        </w:trPr>
        <w:tc>
          <w:tcPr>
            <w:tcW w:w="57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Granted</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gridSpan w:val="2"/>
            <w:shd w:val="clear" w:color="auto" w:fill="CCEEFF"/>
          </w:tcPr>
          <w:p>
            <w:pPr>
              <w:jc w:val="right"/>
              <w:ind w:right="1112"/>
              <w:spacing w:after="0"/>
              <w:rPr>
                <w:sz w:val="20"/>
                <w:szCs w:val="20"/>
                <w:color w:val="auto"/>
              </w:rPr>
            </w:pPr>
            <w:r>
              <w:rPr>
                <w:rFonts w:ascii="Arial" w:cs="Arial" w:eastAsia="Arial" w:hAnsi="Arial"/>
                <w:sz w:val="10"/>
                <w:szCs w:val="10"/>
                <w:color w:val="auto"/>
              </w:rPr>
              <w:t>$</w:t>
            </w:r>
          </w:p>
        </w:tc>
        <w:tc>
          <w:tcPr>
            <w:tcW w:w="1800" w:type="dxa"/>
            <w:vAlign w:val="bottom"/>
            <w:gridSpan w:val="3"/>
            <w:shd w:val="clear" w:color="auto" w:fill="CCEEFF"/>
          </w:tcPr>
          <w:p>
            <w:pPr>
              <w:jc w:val="right"/>
              <w:ind w:right="1472"/>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76"/>
        </w:trPr>
        <w:tc>
          <w:tcPr>
            <w:tcW w:w="5780" w:type="dxa"/>
            <w:vAlign w:val="bottom"/>
            <w:gridSpan w:val="2"/>
          </w:tcPr>
          <w:p>
            <w:pPr>
              <w:ind w:left="180"/>
              <w:spacing w:after="0"/>
              <w:rPr>
                <w:sz w:val="20"/>
                <w:szCs w:val="20"/>
                <w:color w:val="auto"/>
              </w:rPr>
            </w:pPr>
            <w:r>
              <w:rPr>
                <w:rFonts w:ascii="Arial" w:cs="Arial" w:eastAsia="Arial" w:hAnsi="Arial"/>
                <w:sz w:val="10"/>
                <w:szCs w:val="10"/>
                <w:color w:val="auto"/>
              </w:rPr>
              <w:t>Exercised</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1800" w:type="dxa"/>
            <w:vAlign w:val="bottom"/>
            <w:gridSpan w:val="3"/>
          </w:tcPr>
          <w:p>
            <w:pPr>
              <w:jc w:val="right"/>
              <w:ind w:right="1472"/>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7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Forfeited</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gridSpan w:val="2"/>
            <w:shd w:val="clear" w:color="auto" w:fill="CCEEFF"/>
          </w:tcPr>
          <w:p>
            <w:pPr>
              <w:jc w:val="right"/>
              <w:ind w:right="1112"/>
              <w:spacing w:after="0"/>
              <w:rPr>
                <w:sz w:val="20"/>
                <w:szCs w:val="20"/>
                <w:color w:val="auto"/>
              </w:rPr>
            </w:pPr>
            <w:r>
              <w:rPr>
                <w:rFonts w:ascii="Arial" w:cs="Arial" w:eastAsia="Arial" w:hAnsi="Arial"/>
                <w:sz w:val="10"/>
                <w:szCs w:val="10"/>
                <w:color w:val="auto"/>
              </w:rPr>
              <w:t>$</w:t>
            </w:r>
          </w:p>
        </w:tc>
        <w:tc>
          <w:tcPr>
            <w:tcW w:w="1800" w:type="dxa"/>
            <w:vAlign w:val="bottom"/>
            <w:gridSpan w:val="3"/>
            <w:shd w:val="clear" w:color="auto" w:fill="CCEEFF"/>
          </w:tcPr>
          <w:p>
            <w:pPr>
              <w:jc w:val="right"/>
              <w:ind w:right="1472"/>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2"/>
        </w:trPr>
        <w:tc>
          <w:tcPr>
            <w:tcW w:w="5780" w:type="dxa"/>
            <w:vAlign w:val="bottom"/>
            <w:gridSpan w:val="2"/>
          </w:tcPr>
          <w:p>
            <w:pPr>
              <w:ind w:left="20"/>
              <w:spacing w:after="0"/>
              <w:rPr>
                <w:sz w:val="20"/>
                <w:szCs w:val="20"/>
                <w:color w:val="auto"/>
              </w:rPr>
            </w:pPr>
            <w:r>
              <w:rPr>
                <w:rFonts w:ascii="Arial" w:cs="Arial" w:eastAsia="Arial" w:hAnsi="Arial"/>
                <w:sz w:val="10"/>
                <w:szCs w:val="10"/>
                <w:color w:val="auto"/>
              </w:rPr>
              <w:t>Outstanding at March 31, 2019</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412,404</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6.44</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6.18</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24</w:t>
            </w:r>
          </w:p>
        </w:tc>
      </w:tr>
      <w:tr>
        <w:trPr>
          <w:trHeight w:val="117"/>
        </w:trPr>
        <w:tc>
          <w:tcPr>
            <w:tcW w:w="47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0"/>
                <w:szCs w:val="10"/>
                <w:color w:val="auto"/>
              </w:rPr>
              <w:t>Vested at March 31, 2019</w:t>
            </w: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227,986</w:t>
            </w:r>
          </w:p>
        </w:tc>
        <w:tc>
          <w:tcPr>
            <w:tcW w:w="1340" w:type="dxa"/>
            <w:vAlign w:val="bottom"/>
            <w:gridSpan w:val="2"/>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4.21</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3.73</w:t>
            </w:r>
          </w:p>
        </w:tc>
        <w:tc>
          <w:tcPr>
            <w:tcW w:w="10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24</w:t>
            </w:r>
          </w:p>
        </w:tc>
      </w:tr>
      <w:tr>
        <w:trPr>
          <w:trHeight w:val="184"/>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Vested and expected to vest at March 31, 2019</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412,404</w:t>
            </w:r>
          </w:p>
        </w:tc>
        <w:tc>
          <w:tcPr>
            <w:tcW w:w="1340" w:type="dxa"/>
            <w:vAlign w:val="bottom"/>
            <w:gridSpan w:val="2"/>
            <w:shd w:val="clear" w:color="auto" w:fill="CCEEFF"/>
          </w:tcPr>
          <w:p>
            <w:pPr>
              <w:jc w:val="right"/>
              <w:ind w:right="1112"/>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6.44</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Units</w:t>
      </w:r>
    </w:p>
    <w:p>
      <w:pPr>
        <w:spacing w:after="0" w:line="154"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During the fourth quarter of 2018, the Company awarded 175,000 restricted stock units under the Inducement Incentive Award Plan. The restricted stock units granted had a weighted average fair value of $6.03 per share based on the closing price of the Company’s common stock on the date of grant. These restricted stock units were valued at approximately $1.1 million.</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During the first quarter of 2019, the Company awarded 100,000 restricted stock units under the Inducement Incentive Award Plan, of which 50,000 were determined to be granted as of the award date consistent with ASC 718. The remaining 50,000 restricted stock units do not have a defined performance metric as of the award date, resulting in the restricted stock units being reserved for future issuance as of March 31, 2019. These restricted stock units will vest in two equal installments on the dates an applicable performance condition is achieved, on or prior to December 31, 2020. If the performance conditions are not satisfied on or prior to December 31, 2020, the restricted stock units will be forfeited for no consideration. The restricted stock units granted had a weighted average fair value of $2.29 per share based on the closing price of the Company’s common stock on the date of grant. The restricted stock units were valued at approximately $0.1 million on their grant date.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Unrecognized compensation expense is $1.1 million as of March 31, 2019, which is expected to be recognized over a weighted average period of 3.4 years.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status of the Company’s restricted stock units: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Weighted Average Fair Value</w:t>
            </w:r>
          </w:p>
        </w:tc>
      </w:tr>
      <w:tr>
        <w:trPr>
          <w:trHeight w:val="128"/>
        </w:trPr>
        <w:tc>
          <w:tcPr>
            <w:tcW w:w="884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Number of Shares (#)</w:t>
            </w:r>
          </w:p>
        </w:tc>
        <w:tc>
          <w:tcPr>
            <w:tcW w:w="320" w:type="dxa"/>
            <w:vAlign w:val="bottom"/>
          </w:tcPr>
          <w:p>
            <w:pPr>
              <w:spacing w:after="0"/>
              <w:rPr>
                <w:sz w:val="11"/>
                <w:szCs w:val="11"/>
                <w:color w:val="auto"/>
              </w:rPr>
            </w:pPr>
          </w:p>
        </w:tc>
        <w:tc>
          <w:tcPr>
            <w:tcW w:w="940" w:type="dxa"/>
            <w:vAlign w:val="bottom"/>
          </w:tcPr>
          <w:p>
            <w:pPr>
              <w:jc w:val="right"/>
              <w:ind w:right="532"/>
              <w:spacing w:after="0"/>
              <w:rPr>
                <w:sz w:val="20"/>
                <w:szCs w:val="20"/>
                <w:color w:val="auto"/>
              </w:rPr>
            </w:pPr>
            <w:r>
              <w:rPr>
                <w:rFonts w:ascii="Arial" w:cs="Arial" w:eastAsia="Arial" w:hAnsi="Arial"/>
                <w:sz w:val="10"/>
                <w:szCs w:val="10"/>
                <w:b w:val="1"/>
                <w:bCs w:val="1"/>
                <w:color w:val="auto"/>
              </w:rPr>
              <w:t>($)</w:t>
            </w:r>
          </w:p>
        </w:tc>
      </w:tr>
      <w:tr>
        <w:trPr>
          <w:trHeight w:val="164"/>
        </w:trPr>
        <w:tc>
          <w:tcPr>
            <w:tcW w:w="8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Unvested at December 31, 2018</w:t>
            </w:r>
          </w:p>
        </w:tc>
        <w:tc>
          <w:tcPr>
            <w:tcW w:w="1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175,000</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6.03</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Granted</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50,000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2.29</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Vested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8840" w:type="dxa"/>
            <w:vAlign w:val="bottom"/>
          </w:tcPr>
          <w:p>
            <w:pPr>
              <w:ind w:left="20"/>
              <w:spacing w:after="0"/>
              <w:rPr>
                <w:sz w:val="20"/>
                <w:szCs w:val="20"/>
                <w:color w:val="auto"/>
              </w:rPr>
            </w:pPr>
            <w:r>
              <w:rPr>
                <w:rFonts w:ascii="Arial" w:cs="Arial" w:eastAsia="Arial" w:hAnsi="Arial"/>
                <w:sz w:val="10"/>
                <w:szCs w:val="10"/>
                <w:color w:val="auto"/>
              </w:rPr>
              <w:t>Reserved for issuance</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50,000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Forfeited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2"/>
        </w:trPr>
        <w:tc>
          <w:tcPr>
            <w:tcW w:w="8840" w:type="dxa"/>
            <w:vAlign w:val="bottom"/>
          </w:tcPr>
          <w:p>
            <w:pPr>
              <w:ind w:left="20"/>
              <w:spacing w:after="0"/>
              <w:rPr>
                <w:sz w:val="20"/>
                <w:szCs w:val="20"/>
                <w:color w:val="auto"/>
              </w:rPr>
            </w:pPr>
            <w:r>
              <w:rPr>
                <w:rFonts w:ascii="Arial" w:cs="Arial" w:eastAsia="Arial" w:hAnsi="Arial"/>
                <w:sz w:val="10"/>
                <w:szCs w:val="10"/>
                <w:color w:val="auto"/>
              </w:rPr>
              <w:t>Unvested at March 31, 2019</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275,000</w:t>
            </w:r>
          </w:p>
        </w:tc>
        <w:tc>
          <w:tcPr>
            <w:tcW w:w="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5.20</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Purchase Plan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509" w:right="199" w:bottom="1440" w:gutter="0" w:footer="0" w:header="0"/>
        </w:sectPr>
      </w:pPr>
    </w:p>
    <w:bookmarkStart w:id="26" w:name="page27"/>
    <w:bookmarkEnd w:id="26"/>
    <w:p>
      <w:pPr>
        <w:ind w:left="8" w:right="140"/>
        <w:spacing w:after="0" w:line="323" w:lineRule="auto"/>
        <w:rPr>
          <w:sz w:val="20"/>
          <w:szCs w:val="20"/>
          <w:color w:val="auto"/>
        </w:rPr>
      </w:pPr>
      <w:r>
        <w:rPr>
          <w:rFonts w:ascii="Arial" w:cs="Arial" w:eastAsia="Arial" w:hAnsi="Arial"/>
          <w:sz w:val="11"/>
          <w:szCs w:val="11"/>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92" w:lineRule="exact"/>
        <w:rPr>
          <w:sz w:val="20"/>
          <w:szCs w:val="20"/>
          <w:color w:val="auto"/>
        </w:rPr>
      </w:pPr>
    </w:p>
    <w:p>
      <w:pPr>
        <w:jc w:val="both"/>
        <w:ind w:left="8" w:right="100"/>
        <w:spacing w:after="0" w:line="252" w:lineRule="auto"/>
        <w:rPr>
          <w:sz w:val="20"/>
          <w:szCs w:val="20"/>
          <w:color w:val="auto"/>
        </w:rPr>
      </w:pPr>
      <w:r>
        <w:rPr>
          <w:rFonts w:ascii="Arial" w:cs="Arial" w:eastAsia="Arial" w:hAnsi="Arial"/>
          <w:sz w:val="11"/>
          <w:szCs w:val="11"/>
          <w:color w:val="auto"/>
        </w:rPr>
        <w:t>Under the ESPP, the Company has set two six-month offering periods during each calendar year, one beginning March 1</w:t>
      </w:r>
      <w:r>
        <w:rPr>
          <w:rFonts w:ascii="Arial" w:cs="Arial" w:eastAsia="Arial" w:hAnsi="Arial"/>
          <w:sz w:val="15"/>
          <w:szCs w:val="15"/>
          <w:color w:val="auto"/>
          <w:vertAlign w:val="superscript"/>
        </w:rPr>
        <w:t>st</w:t>
      </w:r>
      <w:r>
        <w:rPr>
          <w:rFonts w:ascii="Arial" w:cs="Arial" w:eastAsia="Arial" w:hAnsi="Arial"/>
          <w:sz w:val="11"/>
          <w:szCs w:val="11"/>
          <w:color w:val="auto"/>
        </w:rPr>
        <w:t xml:space="preserve"> and the other beginning September 1</w:t>
      </w:r>
      <w:r>
        <w:rPr>
          <w:rFonts w:ascii="Arial" w:cs="Arial" w:eastAsia="Arial" w:hAnsi="Arial"/>
          <w:sz w:val="15"/>
          <w:szCs w:val="15"/>
          <w:color w:val="auto"/>
          <w:vertAlign w:val="superscript"/>
        </w:rPr>
        <w:t>st</w:t>
      </w:r>
      <w:r>
        <w:rPr>
          <w:rFonts w:ascii="Arial" w:cs="Arial" w:eastAsia="Arial" w:hAnsi="Arial"/>
          <w:sz w:val="11"/>
          <w:szCs w:val="11"/>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 The first ESPP offering period began on March 1, 2017.</w:t>
      </w:r>
    </w:p>
    <w:p>
      <w:pPr>
        <w:spacing w:after="0" w:line="130"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three months ended March 31, 2019 and 2018, the number of shares of common stock that may be issued under the ESPP was increased by 224,717 shares and 223,432 shares, respectively. During the three months ended March 31, 2019, the Company issued 11,943 shares of common stock under the ESPP. As of March 31, 2019, 752,668 shares remain available for future issuance under the ESPP.</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each of the three months ended March 31, 2019 and 2018, the Company recognized less than $0.1 million of stock-based compensation expense under the ESPP.</w:t>
      </w:r>
    </w:p>
    <w:p>
      <w:pPr>
        <w:spacing w:after="0" w:line="150"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73"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90"/>
              </w:rPr>
              <w:t>Three Months Ended March 31,</w:t>
            </w:r>
          </w:p>
        </w:tc>
        <w:tc>
          <w:tcPr>
            <w:tcW w:w="940" w:type="dxa"/>
            <w:vAlign w:val="bottom"/>
            <w:tcBorders>
              <w:bottom w:val="single" w:sz="8" w:color="auto"/>
            </w:tcBorders>
          </w:tcPr>
          <w:p>
            <w:pPr>
              <w:spacing w:after="0"/>
              <w:rPr>
                <w:sz w:val="11"/>
                <w:szCs w:val="11"/>
                <w:color w:val="auto"/>
              </w:rPr>
            </w:pPr>
          </w:p>
        </w:tc>
      </w:tr>
      <w:tr>
        <w:trPr>
          <w:trHeight w:val="169"/>
        </w:trPr>
        <w:tc>
          <w:tcPr>
            <w:tcW w:w="8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auto"/>
                <w:w w:val="98"/>
              </w:rPr>
              <w:t>2018</w:t>
            </w:r>
          </w:p>
        </w:tc>
      </w:tr>
      <w:tr>
        <w:trPr>
          <w:trHeight w:val="164"/>
        </w:trPr>
        <w:tc>
          <w:tcPr>
            <w:tcW w:w="8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Research and development</w:t>
            </w: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511</w:t>
            </w:r>
          </w:p>
        </w:tc>
      </w:tr>
      <w:tr>
        <w:trPr>
          <w:trHeight w:val="17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General and administrative</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661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642</w:t>
            </w:r>
          </w:p>
        </w:tc>
      </w:tr>
      <w:tr>
        <w:trPr>
          <w:trHeight w:val="162"/>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stock-based compensation expense</w:t>
            </w:r>
          </w:p>
        </w:tc>
        <w:tc>
          <w:tcPr>
            <w:tcW w:w="9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1,180</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1,153</w:t>
            </w:r>
          </w:p>
        </w:tc>
      </w:tr>
    </w:tbl>
    <w:p>
      <w:pPr>
        <w:spacing w:after="0" w:line="200" w:lineRule="exact"/>
        <w:rPr>
          <w:sz w:val="20"/>
          <w:szCs w:val="20"/>
          <w:color w:val="auto"/>
        </w:rPr>
      </w:pPr>
    </w:p>
    <w:p>
      <w:pPr>
        <w:spacing w:after="0" w:line="364" w:lineRule="exact"/>
        <w:rPr>
          <w:sz w:val="20"/>
          <w:szCs w:val="20"/>
          <w:color w:val="auto"/>
        </w:rPr>
      </w:pPr>
    </w:p>
    <w:p>
      <w:pPr>
        <w:ind w:left="8" w:right="10100" w:hanging="8"/>
        <w:spacing w:after="0" w:line="605" w:lineRule="auto"/>
        <w:tabs>
          <w:tab w:leader="none" w:pos="188" w:val="left"/>
        </w:tabs>
        <w:numPr>
          <w:ilvl w:val="0"/>
          <w:numId w:val="8"/>
        </w:numPr>
        <w:rPr>
          <w:rFonts w:ascii="Arial" w:cs="Arial" w:eastAsia="Arial" w:hAnsi="Arial"/>
          <w:sz w:val="10"/>
          <w:szCs w:val="10"/>
          <w:b w:val="1"/>
          <w:bCs w:val="1"/>
          <w:color w:val="auto"/>
        </w:rPr>
      </w:pPr>
      <w:r>
        <w:rPr>
          <w:rFonts w:ascii="Arial" w:cs="Arial" w:eastAsia="Arial" w:hAnsi="Arial"/>
          <w:sz w:val="10"/>
          <w:szCs w:val="10"/>
          <w:b w:val="1"/>
          <w:bCs w:val="1"/>
          <w:color w:val="auto"/>
        </w:rPr>
        <w:t>Revenue Arrangements Spark Therapeutics, Inc.</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Spark License Agreement</w:t>
      </w:r>
    </w:p>
    <w:p>
      <w:pPr>
        <w:spacing w:after="0" w:line="150"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23" w:lineRule="exact"/>
        <w:rPr>
          <w:sz w:val="20"/>
          <w:szCs w:val="20"/>
          <w:color w:val="auto"/>
        </w:rPr>
      </w:pPr>
    </w:p>
    <w:p>
      <w:pPr>
        <w:jc w:val="both"/>
        <w:ind w:left="8" w:right="80"/>
        <w:spacing w:after="0" w:line="327" w:lineRule="auto"/>
        <w:rPr>
          <w:sz w:val="20"/>
          <w:szCs w:val="20"/>
          <w:color w:val="auto"/>
        </w:rPr>
      </w:pPr>
      <w:r>
        <w:rPr>
          <w:rFonts w:ascii="Arial" w:cs="Arial" w:eastAsia="Arial" w:hAnsi="Arial"/>
          <w:sz w:val="10"/>
          <w:szCs w:val="10"/>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94"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w:t>
      </w: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8"/>
          </w:cols>
          <w:pgMar w:left="212" w:top="509" w:right="19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patents covering the jointly invented field specific improvements, or (iii) the expiration of regulatory exclusivity in the applicable country for the licensed product.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Beyond the Initial Closing, the Spark Purchase Agreement contemplated potential future sales of shares by the Company to Spark as follows:</w:t>
      </w:r>
    </w:p>
    <w:p>
      <w:pPr>
        <w:spacing w:after="0" w:line="150" w:lineRule="exact"/>
        <w:rPr>
          <w:sz w:val="20"/>
          <w:szCs w:val="20"/>
          <w:color w:val="auto"/>
        </w:rPr>
      </w:pPr>
    </w:p>
    <w:p>
      <w:pPr>
        <w:ind w:left="420" w:right="80" w:hanging="212"/>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14" w:lineRule="exact"/>
        <w:rPr>
          <w:rFonts w:ascii="Arial" w:cs="Arial" w:eastAsia="Arial" w:hAnsi="Arial"/>
          <w:sz w:val="12"/>
          <w:szCs w:val="12"/>
          <w:color w:val="auto"/>
        </w:rPr>
      </w:pPr>
    </w:p>
    <w:p>
      <w:pPr>
        <w:ind w:left="420" w:right="40" w:hanging="212"/>
        <w:spacing w:after="0" w:line="340"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8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1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 connection with the Spark License Agreement and Spark Purchase Agreement, the Company has made contractual payments defined in the MIT license agreement (Note 15) totaling $2.2 million for the MIT sub-license provided to Spark, and $0.4 million relative to the calculated premium paid by Spark for the equity investments made under the Spark Purchase Agreement.</w:t>
      </w:r>
    </w:p>
    <w:p>
      <w:pPr>
        <w:spacing w:after="0" w:line="115" w:lineRule="exact"/>
        <w:rPr>
          <w:sz w:val="20"/>
          <w:szCs w:val="20"/>
          <w:color w:val="auto"/>
        </w:rPr>
      </w:pPr>
    </w:p>
    <w:p>
      <w:pPr>
        <w:ind w:right="120"/>
        <w:spacing w:after="0" w:line="316" w:lineRule="auto"/>
        <w:rPr>
          <w:sz w:val="20"/>
          <w:szCs w:val="20"/>
          <w:color w:val="auto"/>
        </w:rPr>
      </w:pPr>
      <w:r>
        <w:rPr>
          <w:rFonts w:ascii="Arial" w:cs="Arial" w:eastAsia="Arial" w:hAnsi="Arial"/>
          <w:sz w:val="10"/>
          <w:szCs w:val="10"/>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Company identified the following promises at the inception of the agreement: (1) certain exclusive, worldwide, royalty bearing licenses to the Company’s intellectual property and a license to conduct certain research activities under the collaboration, or the License Obligation, (2) options to research, develop and commercialize gene therapies utilizing the ImmTOR technology for up to four additional target therapy options, or the Option Obligation, (3) manufactured supply of preclinical and clinical SVP, or the Supply Obligation at a discount, and (4) option to purchase manufactured supply of commercial SVP, 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509"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milestones. The Company will also be eligible to receive tiered royalty payments that reach low double-digits based on future net sales for the duration of the royalty term.</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 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 not at an incremental discount. Therefore, the Company determined that the Spark agreement contains five distinct performance obligations: the Combined License and Supply Obligation, and the four separate Option Obligations.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March 31, 2019, all milestones were constrained. The Company will re-evaluate the transaction price in each reporting period, as uncertain events are resolved, or as other changes in circumstances occur.</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126"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109" w:lineRule="exact"/>
        <w:rPr>
          <w:sz w:val="20"/>
          <w:szCs w:val="20"/>
          <w:color w:val="auto"/>
        </w:rPr>
      </w:pPr>
    </w:p>
    <w:p>
      <w:pPr>
        <w:jc w:val="both"/>
        <w:spacing w:after="0" w:line="306" w:lineRule="auto"/>
        <w:rPr>
          <w:sz w:val="20"/>
          <w:szCs w:val="20"/>
          <w:color w:val="auto"/>
        </w:rPr>
      </w:pPr>
      <w:r>
        <w:rPr>
          <w:rFonts w:ascii="Arial" w:cs="Arial" w:eastAsia="Arial" w:hAnsi="Arial"/>
          <w:sz w:val="10"/>
          <w:szCs w:val="10"/>
          <w:color w:val="auto"/>
        </w:rPr>
        <w:t>The Company recognized other assets of $2.6 million related to the incremental costs relating to the payments to MIT that would not have been incurred if the contract with Spark had not been obtained. Under the Company existing license agreement with MIT (See Note 15), in the event the Company sublicenses the MIT patents to a third party, it will be required to remit to MIT a percentage (ranging from 10% to 30%) of sublicense income. The Company concluded that the payments made to MIT were analogous to sales commissions and represented the cost to obtain a contract, which were evaluated under ASC 340-40-25-1. Such amounts were capitalized as they were both incremental and recoverable.</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2"/>
          <w:szCs w:val="12"/>
          <w:color w:val="auto"/>
        </w:rPr>
        <w:t>However, upon further review, the Company noted that the amounts paid to MIT represent the cost to fulfill a contract rather than a cost to obtain a contract as they represent the costs that were incurred in order to fulfill their supply obligations under the Spark License Agreement. Therefore, the incremental payments to MIT represent part of the cost to fulfill the contract. When determining the appropriate accounting guidance for the costs to fulfill a customer contract, ASC 340-40-25-6 indicates that any other applicable literature should be considered first. Since the intellectual property is being used exclusively for research and development, the accounting for the MIT costs were previously accounted for under ASC 730-10. Since all of the payments to MIT related to the underlying intellectual property, that does not have alternative future use, such amounts should not have been capitalized, and instead remained recorded as research and development expense.</w:t>
      </w:r>
    </w:p>
    <w:p>
      <w:pPr>
        <w:spacing w:after="0" w:line="12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Company evaluated the impact of the error on previously issued financial statements included in the Form 10-Q for the quarters ended March 31, 2018, June 30, 2018 and September 30, 2018, noting that the impact was not material to the balance sheet, statement of operations or cash flows. However, correcting the error would be material to the quarterly trends in the statement of operations to expense the amount in the fourth quarter. Therefore, such amounts were corrected by reducing current and long-term assets by $0.2 million and $2.4 million, respectively and increasing accumulated deficit by $2.6 million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509" w:right="199" w:bottom="1440" w:gutter="0" w:footer="0" w:header="0"/>
        </w:sectPr>
      </w:pPr>
    </w:p>
    <w:bookmarkStart w:id="29" w:name="page30"/>
    <w:bookmarkEnd w:id="29"/>
    <w:p>
      <w:pPr>
        <w:ind w:right="20"/>
        <w:spacing w:after="0" w:line="276" w:lineRule="auto"/>
        <w:rPr>
          <w:sz w:val="20"/>
          <w:szCs w:val="20"/>
          <w:color w:val="auto"/>
        </w:rPr>
      </w:pPr>
      <w:r>
        <w:rPr>
          <w:rFonts w:ascii="Arial" w:cs="Arial" w:eastAsia="Arial" w:hAnsi="Arial"/>
          <w:sz w:val="12"/>
          <w:szCs w:val="12"/>
          <w:color w:val="auto"/>
        </w:rPr>
        <w:t>as of January 1, 2018 by reversing the amounts initially recorded in transition as is shown in the first quarter 2018 Stockholders' Equity (Deficit) statement. There was no impact to the consolidated statements of operations or cash flows for any of the quarters previously filed and no impact to any of the previously issued annual financial statements.</w:t>
      </w:r>
    </w:p>
    <w:p>
      <w:pPr>
        <w:spacing w:after="0" w:line="11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During the three months ended March 31, 2019, there was one delivery resulting in less than $0.1 million of revenue recognized. No revenue related to the Spark License Agreement was recognized during the twelve months ended December 31, 2018.</w:t>
      </w:r>
    </w:p>
    <w:p>
      <w:pPr>
        <w:spacing w:after="0" w:line="115"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As of March 31, 2019, there was a contract liability of $14.7 million representing deferred revenue associated with this agreement. A total of $1.0 million is presented as current and $13.7 million is presented as noncurrent in the accompanying consolidated balance sheet. As of December 31, 2018, there was $14.7 million of deferred revenue related to this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Spark Letter Agreement</w:t>
      </w:r>
    </w:p>
    <w:p>
      <w:pPr>
        <w:spacing w:after="0" w:line="150"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 of $2.5 million.</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9"/>
          <w:szCs w:val="9"/>
          <w:b w:val="1"/>
          <w:bCs w:val="1"/>
          <w:color w:val="auto"/>
        </w:rPr>
        <w:t>’</w:t>
      </w:r>
      <w:r>
        <w:rPr>
          <w:rFonts w:ascii="Arial" w:cs="Arial" w:eastAsia="Arial" w:hAnsi="Arial"/>
          <w:sz w:val="11"/>
          <w:szCs w:val="11"/>
          <w:color w:val="auto"/>
        </w:rPr>
        <w:t xml:space="preserve"> equity.</w:t>
      </w:r>
    </w:p>
    <w:p>
      <w:pPr>
        <w:spacing w:after="0" w:line="10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are made, the underlying liability will be reduced. To the extent that an amount is expected to be applied towards the clinical supply obligation, the analysis of variable consideration will be updated accordingly.</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Skolkovo Foundation</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The Company receives grant funding from the Russia-based Development Fund of New Technologies Development and Commercialization Center ("Skolkovo"). On November 28, 2014, the Company executed a grant awarded by Skolkovo for the development of a therapeutic vaccine using nanoparticles to treat chronic infection caused by human papillomavirus (HPV) and diseases associated with this infection. The grant covered the period from August 1, 2014 through July 21, 2017. The grant provided for up to $2.7 million that covers 48.5% of the estimated total cost of the research plan with the remaining 51.5% of estimated costs to be contributed by the Company. From grant inception through March 31, 2019, the Company received $2.0 million from Skolkovo.</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in accordance with ASC 605, the Company determined that the grant funding was not fixed or determinable and the entire amount received through December 31, 2017 was recorded as deferred revenue in the consolidated balance sheet until the completion of the Skolkovo audit or the expiration of the audit term, which is expected April 2021.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509" w:right="199" w:bottom="1440" w:gutter="0" w:footer="0" w:header="0"/>
        </w:sectPr>
      </w:pPr>
    </w:p>
    <w:bookmarkStart w:id="30" w:name="page31"/>
    <w:bookmarkEnd w:id="30"/>
    <w:p>
      <w:pPr>
        <w:ind w:left="8" w:right="100"/>
        <w:spacing w:after="0" w:line="257" w:lineRule="auto"/>
        <w:rPr>
          <w:sz w:val="20"/>
          <w:szCs w:val="20"/>
          <w:color w:val="auto"/>
        </w:rPr>
      </w:pPr>
      <w:r>
        <w:rPr>
          <w:rFonts w:ascii="Arial" w:cs="Arial" w:eastAsia="Arial" w:hAnsi="Arial"/>
          <w:sz w:val="12"/>
          <w:szCs w:val="12"/>
          <w:color w:val="auto"/>
        </w:rPr>
        <w:t>In accordance with ASC 606, the contract counterparty, Skolkovo, is a customer. Furthermore, the agreement with Skolkovo has commercial substance, and that the grant should be accounted for as revenue. The Company identified the research and development services being provided to Skolkovo as the only performance obligation in the agreement. 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126" w:lineRule="exact"/>
        <w:rPr>
          <w:sz w:val="20"/>
          <w:szCs w:val="20"/>
          <w:color w:val="auto"/>
        </w:rPr>
      </w:pPr>
    </w:p>
    <w:p>
      <w:pPr>
        <w:ind w:left="8" w:right="20"/>
        <w:spacing w:after="0" w:line="380" w:lineRule="auto"/>
        <w:rPr>
          <w:sz w:val="20"/>
          <w:szCs w:val="20"/>
          <w:color w:val="auto"/>
        </w:rPr>
      </w:pPr>
      <w:r>
        <w:rPr>
          <w:rFonts w:ascii="Arial" w:cs="Arial" w:eastAsia="Arial" w:hAnsi="Arial"/>
          <w:sz w:val="10"/>
          <w:szCs w:val="10"/>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68"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As of March 31, 2019, a contract liability of $0.1 million remains on the balance sheet and will not be recognized as revenue until the expiration of the three-year audit period, or sooner, if resolution is reached with Skolkovo or there is a change in the estimate.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National Institutes of Health</w:t>
      </w:r>
    </w:p>
    <w:p>
      <w:pPr>
        <w:spacing w:after="0" w:line="154"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On May 14, 2014, the National Institute on Drug Abuse (“NIDA”), part of the National Institutes of Health ("NIH"), provided the Company with a Notice of Award (“NoA”), for a grant relating to the preclinical development and clinical proof of concept for a synthetic nanoparticle (the “Project”). The grant will help advance the Company’s development of the nanoparticle from a preclinical through early clinical stage and will provide support for one or more clinical trials. Under the terms of the grant, NIDA agreed to provide up to $8.1 million in funding to be used to offset the qualifying expenses incurred by the Company. The grant was to be funded over the course of three years, according to budget forecasts prepared by the Company.</w:t>
      </w:r>
    </w:p>
    <w:p>
      <w:pPr>
        <w:spacing w:after="0" w:line="125" w:lineRule="exact"/>
        <w:rPr>
          <w:sz w:val="20"/>
          <w:szCs w:val="20"/>
          <w:color w:val="auto"/>
        </w:rPr>
      </w:pPr>
    </w:p>
    <w:p>
      <w:pPr>
        <w:ind w:left="8" w:right="200"/>
        <w:spacing w:after="0" w:line="263" w:lineRule="auto"/>
        <w:rPr>
          <w:sz w:val="20"/>
          <w:szCs w:val="20"/>
          <w:color w:val="auto"/>
        </w:rPr>
      </w:pPr>
      <w:r>
        <w:rPr>
          <w:rFonts w:ascii="Arial" w:cs="Arial" w:eastAsia="Arial" w:hAnsi="Arial"/>
          <w:sz w:val="12"/>
          <w:szCs w:val="12"/>
          <w:color w:val="auto"/>
        </w:rPr>
        <w:t>According to ASC 606, the contract counterparty, NIDA, is a customer. Furthermore, the agreement with NIDA has commercial substance, and the grant should be accounted for as revenue. The Company identified the research and development services being provided to NIDA as the only performance obligation in the agreement. Through December 31, 2017, the Company recognized $7.2 million of grant revenue. During the fourth quarter of 2018, the Company recognized $0.9 million of grant revenue from NIDA.</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Transaction Price Allocated to Future Performance Obligations</w:t>
      </w:r>
    </w:p>
    <w:p>
      <w:pPr>
        <w:spacing w:after="0" w:line="154" w:lineRule="exact"/>
        <w:rPr>
          <w:sz w:val="20"/>
          <w:szCs w:val="20"/>
          <w:color w:val="auto"/>
        </w:rPr>
      </w:pPr>
    </w:p>
    <w:p>
      <w:pPr>
        <w:jc w:val="both"/>
        <w:ind w:left="8" w:right="280"/>
        <w:spacing w:after="0" w:line="380" w:lineRule="auto"/>
        <w:rPr>
          <w:sz w:val="20"/>
          <w:szCs w:val="20"/>
          <w:color w:val="auto"/>
        </w:rPr>
      </w:pPr>
      <w:r>
        <w:rPr>
          <w:rFonts w:ascii="Arial" w:cs="Arial" w:eastAsia="Arial" w:hAnsi="Arial"/>
          <w:sz w:val="10"/>
          <w:szCs w:val="10"/>
          <w:color w:val="auto"/>
        </w:rPr>
        <w:t>Remaining performance obligations represent the transaction price of contracts for which work has not been performed (or has been partially performed) and excludes unexercised contract options. As of March 31, 2019, the aggregate amount of the transaction price allocated to remaining performance obligations was $8.6 million. The Company expects to recognize revenue on approximately 8.9% of the remaining performance obligations over the next 12 months.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 Balances from Contracts with Customers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changes in the Company’s contract liabilities during the three months ended March 31, 2019 (in thousands):</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3340" w:type="dxa"/>
            <w:vAlign w:val="bottom"/>
          </w:tcPr>
          <w:p>
            <w:pPr>
              <w:spacing w:after="0"/>
              <w:rPr>
                <w:sz w:val="10"/>
                <w:szCs w:val="10"/>
                <w:color w:val="auto"/>
              </w:rPr>
            </w:pPr>
          </w:p>
        </w:tc>
        <w:tc>
          <w:tcPr>
            <w:tcW w:w="1480" w:type="dxa"/>
            <w:vAlign w:val="bottom"/>
          </w:tcPr>
          <w:p>
            <w:pPr>
              <w:jc w:val="right"/>
              <w:ind w:right="232"/>
              <w:spacing w:after="0"/>
              <w:rPr>
                <w:sz w:val="20"/>
                <w:szCs w:val="20"/>
                <w:color w:val="auto"/>
              </w:rPr>
            </w:pPr>
            <w:r>
              <w:rPr>
                <w:rFonts w:ascii="Arial" w:cs="Arial" w:eastAsia="Arial" w:hAnsi="Arial"/>
                <w:sz w:val="10"/>
                <w:szCs w:val="10"/>
                <w:b w:val="1"/>
                <w:bCs w:val="1"/>
                <w:color w:val="auto"/>
              </w:rPr>
              <w:t>Balance at</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tcPr>
          <w:p>
            <w:pPr>
              <w:jc w:val="right"/>
              <w:ind w:right="712"/>
              <w:spacing w:after="0"/>
              <w:rPr>
                <w:sz w:val="20"/>
                <w:szCs w:val="20"/>
                <w:color w:val="auto"/>
              </w:rPr>
            </w:pPr>
            <w:r>
              <w:rPr>
                <w:rFonts w:ascii="Arial" w:cs="Arial" w:eastAsia="Arial" w:hAnsi="Arial"/>
                <w:sz w:val="10"/>
                <w:szCs w:val="10"/>
                <w:b w:val="1"/>
                <w:bCs w:val="1"/>
                <w:color w:val="auto"/>
              </w:rPr>
              <w:t>Balance at</w:t>
            </w:r>
          </w:p>
        </w:tc>
      </w:tr>
      <w:tr>
        <w:trPr>
          <w:trHeight w:val="184"/>
        </w:trPr>
        <w:tc>
          <w:tcPr>
            <w:tcW w:w="3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Beginning of Period</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Additions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Deductions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End of Period</w:t>
            </w:r>
          </w:p>
        </w:tc>
      </w:tr>
      <w:tr>
        <w:trPr>
          <w:trHeight w:val="173"/>
        </w:trPr>
        <w:tc>
          <w:tcPr>
            <w:tcW w:w="33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Three Months Ended March 31, 2019</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76"/>
        </w:trPr>
        <w:tc>
          <w:tcPr>
            <w:tcW w:w="3340" w:type="dxa"/>
            <w:vAlign w:val="bottom"/>
          </w:tcPr>
          <w:p>
            <w:pPr>
              <w:ind w:left="20"/>
              <w:spacing w:after="0"/>
              <w:rPr>
                <w:sz w:val="20"/>
                <w:szCs w:val="20"/>
                <w:color w:val="auto"/>
              </w:rPr>
            </w:pPr>
            <w:r>
              <w:rPr>
                <w:rFonts w:ascii="Arial" w:cs="Arial" w:eastAsia="Arial" w:hAnsi="Arial"/>
                <w:sz w:val="10"/>
                <w:szCs w:val="10"/>
                <w:color w:val="auto"/>
              </w:rPr>
              <w:t>Contract liabilities:</w:t>
            </w:r>
          </w:p>
        </w:tc>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4"/>
        </w:trPr>
        <w:tc>
          <w:tcPr>
            <w:tcW w:w="3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Deferred revenue</w:t>
            </w:r>
          </w:p>
        </w:tc>
        <w:tc>
          <w:tcPr>
            <w:tcW w:w="1480" w:type="dxa"/>
            <w:vAlign w:val="bottom"/>
            <w:shd w:val="clear" w:color="auto" w:fill="CCEEFF"/>
          </w:tcPr>
          <w:p>
            <w:pPr>
              <w:jc w:val="right"/>
              <w:ind w:right="137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14,777</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3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31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14,775</w:t>
            </w:r>
          </w:p>
        </w:tc>
      </w:tr>
      <w:tr>
        <w:trPr>
          <w:trHeight w:val="176"/>
        </w:trPr>
        <w:tc>
          <w:tcPr>
            <w:tcW w:w="3340" w:type="dxa"/>
            <w:vAlign w:val="bottom"/>
          </w:tcPr>
          <w:p>
            <w:pPr>
              <w:ind w:left="140"/>
              <w:spacing w:after="0"/>
              <w:rPr>
                <w:sz w:val="20"/>
                <w:szCs w:val="20"/>
                <w:color w:val="auto"/>
              </w:rPr>
            </w:pPr>
            <w:r>
              <w:rPr>
                <w:rFonts w:ascii="Arial" w:cs="Arial" w:eastAsia="Arial" w:hAnsi="Arial"/>
                <w:sz w:val="10"/>
                <w:szCs w:val="10"/>
                <w:color w:val="auto"/>
              </w:rPr>
              <w:t>Other liabilities (i)</w:t>
            </w:r>
          </w:p>
        </w:tc>
        <w:tc>
          <w:tcPr>
            <w:tcW w:w="14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2,126</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2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0"/>
                <w:szCs w:val="10"/>
                <w:color w:val="auto"/>
              </w:rPr>
              <w:t>(493)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72"/>
              <w:spacing w:after="0"/>
              <w:rPr>
                <w:sz w:val="20"/>
                <w:szCs w:val="20"/>
                <w:color w:val="auto"/>
              </w:rPr>
            </w:pPr>
            <w:r>
              <w:rPr>
                <w:rFonts w:ascii="Arial" w:cs="Arial" w:eastAsia="Arial" w:hAnsi="Arial"/>
                <w:sz w:val="10"/>
                <w:szCs w:val="10"/>
                <w:color w:val="auto"/>
              </w:rPr>
              <w:t>1,633</w:t>
            </w:r>
          </w:p>
        </w:tc>
      </w:tr>
      <w:tr>
        <w:trPr>
          <w:trHeight w:val="162"/>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contract liabilities</w:t>
            </w:r>
          </w:p>
        </w:tc>
        <w:tc>
          <w:tcPr>
            <w:tcW w:w="1480" w:type="dxa"/>
            <w:vAlign w:val="bottom"/>
            <w:tcBorders>
              <w:top w:val="single" w:sz="8" w:color="auto"/>
              <w:bottom w:val="single" w:sz="8" w:color="auto"/>
            </w:tcBorders>
            <w:shd w:val="clear" w:color="auto" w:fill="CCEEFF"/>
          </w:tcPr>
          <w:p>
            <w:pPr>
              <w:jc w:val="right"/>
              <w:ind w:right="137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16,903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ind w:right="135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ind w:right="131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(503)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16,408</w:t>
            </w:r>
          </w:p>
        </w:tc>
      </w:tr>
    </w:tbl>
    <w:p>
      <w:pPr>
        <w:spacing w:after="0" w:line="132" w:lineRule="exact"/>
        <w:rPr>
          <w:sz w:val="20"/>
          <w:szCs w:val="20"/>
          <w:color w:val="auto"/>
        </w:rPr>
      </w:pPr>
    </w:p>
    <w:p>
      <w:pPr>
        <w:ind w:left="8" w:right="80" w:hanging="8"/>
        <w:spacing w:after="0" w:line="239" w:lineRule="auto"/>
        <w:tabs>
          <w:tab w:leader="none" w:pos="123" w:val="left"/>
        </w:tabs>
        <w:numPr>
          <w:ilvl w:val="0"/>
          <w:numId w:val="10"/>
        </w:numPr>
        <w:rPr>
          <w:rFonts w:ascii="Arial" w:cs="Arial" w:eastAsia="Arial" w:hAnsi="Arial"/>
          <w:sz w:val="10"/>
          <w:szCs w:val="10"/>
          <w:color w:val="auto"/>
        </w:rPr>
      </w:pPr>
      <w:r>
        <w:rPr>
          <w:rFonts w:ascii="Arial" w:cs="Arial" w:eastAsia="Arial" w:hAnsi="Arial"/>
          <w:sz w:val="10"/>
          <w:szCs w:val="10"/>
          <w:color w:val="auto"/>
        </w:rPr>
        <w:t>As of March 31, 2019, the current portion of other liabilities in the amount of $0.8 million is presented in the accrued expenses line of the consolidated balance sheet. The non-current portion of other liabilities in the amount of $0.8 million is presented in the other long-term liabilities line of the consolidated balance sheet.</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Deferred revenue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three months ended March 31, 2019, the Company recognized less than $0.1 million of revenue for a shipment to Spark.</w:t>
      </w:r>
    </w:p>
    <w:p>
      <w:pPr>
        <w:spacing w:after="0" w:line="150"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During the year ended December 31, 2018, the Company made a decision to cease work relating to the Skolkovo grant. As a result, Skolkovo performed a formal review of project expenses incurred by the Company. Skolkovo concluded that the</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8"/>
          </w:cols>
          <w:pgMar w:left="212" w:top="509"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color w:val="auto"/>
        </w:rPr>
        <w:t>Company should return unused grant funds to Skolkovo, which resulted in a reduction to deferred revenue of less than $0.1 million.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liabilities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connection with its cost reimbursement arrangement with Spark, the Company received and paid reimbursement invoices during the three months ended March 31, 2019 amounting to approximately $0.5 million, which reduced the other liability balance to $1.6 million as of March 31, 2019.</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timing of revenue recognition and cash collections results in contract liabilities on the consolidated balance sheets.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products or services is transferred to the customer and all revenue recognition criteria have been met.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60"/>
          </w:cols>
          <w:pgMar w:left="220" w:top="509" w:right="219" w:bottom="1440" w:gutter="0" w:footer="0" w:header="0"/>
        </w:sectPr>
      </w:pPr>
    </w:p>
    <w:bookmarkStart w:id="32" w:name="page33"/>
    <w:bookmarkEnd w:id="32"/>
    <w:p>
      <w:pPr>
        <w:ind w:left="8"/>
        <w:spacing w:after="0" w:line="138" w:lineRule="exact"/>
        <w:rPr>
          <w:sz w:val="20"/>
          <w:szCs w:val="20"/>
          <w:color w:val="auto"/>
        </w:rPr>
      </w:pPr>
      <w:r>
        <w:rPr>
          <w:rFonts w:ascii="Arial" w:cs="Arial" w:eastAsia="Arial" w:hAnsi="Arial"/>
          <w:sz w:val="12"/>
          <w:szCs w:val="12"/>
          <w:b w:val="1"/>
          <w:bCs w:val="1"/>
          <w:color w:val="auto"/>
        </w:rPr>
        <w:t>14. Related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Party Transactions</w:t>
      </w:r>
    </w:p>
    <w:p>
      <w:pPr>
        <w:spacing w:after="0" w:line="154"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auto"/>
        </w:rPr>
        <w:t>In January 2019, the Company completed a registered public offering pursuant to which we issued and sold an aggregate of 22,188,706 shares of our common stock (including 2,188,706 shares sold pursuant to the underwriters’ full exercise of their option to purchase additional shares) at a public offering price of $1.50 for aggregate gross proceeds to us of approximately $33.3 million. The following table sets forth the number of shares of common stock purchased in our registered public offering by directors (and related parties thereto) and holders of more than 5% of our common stock:</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3600" w:type="dxa"/>
            <w:vAlign w:val="bottom"/>
          </w:tcPr>
          <w:p>
            <w:pPr>
              <w:jc w:val="center"/>
              <w:ind w:left="2452"/>
              <w:spacing w:after="0"/>
              <w:rPr>
                <w:sz w:val="20"/>
                <w:szCs w:val="20"/>
                <w:color w:val="auto"/>
              </w:rPr>
            </w:pPr>
            <w:r>
              <w:rPr>
                <w:rFonts w:ascii="Arial" w:cs="Arial" w:eastAsia="Arial" w:hAnsi="Arial"/>
                <w:sz w:val="10"/>
                <w:szCs w:val="10"/>
                <w:b w:val="1"/>
                <w:bCs w:val="1"/>
                <w:color w:val="auto"/>
                <w:w w:val="85"/>
              </w:rPr>
              <w:t>Shares of Common</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20" w:type="dxa"/>
            <w:vAlign w:val="bottom"/>
          </w:tcPr>
          <w:p>
            <w:pPr>
              <w:jc w:val="right"/>
              <w:ind w:right="1052"/>
              <w:spacing w:after="0"/>
              <w:rPr>
                <w:sz w:val="20"/>
                <w:szCs w:val="20"/>
                <w:color w:val="auto"/>
              </w:rPr>
            </w:pPr>
            <w:r>
              <w:rPr>
                <w:rFonts w:ascii="Arial" w:cs="Arial" w:eastAsia="Arial" w:hAnsi="Arial"/>
                <w:sz w:val="10"/>
                <w:szCs w:val="10"/>
                <w:b w:val="1"/>
                <w:bCs w:val="1"/>
                <w:color w:val="auto"/>
              </w:rPr>
              <w:t>Total</w:t>
            </w:r>
          </w:p>
        </w:tc>
      </w:tr>
      <w:tr>
        <w:trPr>
          <w:trHeight w:val="128"/>
        </w:trPr>
        <w:tc>
          <w:tcPr>
            <w:tcW w:w="4700" w:type="dxa"/>
            <w:vAlign w:val="bottom"/>
          </w:tcPr>
          <w:p>
            <w:pPr>
              <w:ind w:left="20"/>
              <w:spacing w:after="0"/>
              <w:rPr>
                <w:sz w:val="20"/>
                <w:szCs w:val="20"/>
                <w:color w:val="auto"/>
              </w:rPr>
            </w:pPr>
            <w:r>
              <w:rPr>
                <w:rFonts w:ascii="Arial" w:cs="Arial" w:eastAsia="Arial" w:hAnsi="Arial"/>
                <w:sz w:val="10"/>
                <w:szCs w:val="10"/>
                <w:b w:val="1"/>
                <w:bCs w:val="1"/>
                <w:color w:val="auto"/>
              </w:rPr>
              <w:t>Name</w:t>
            </w:r>
          </w:p>
        </w:tc>
        <w:tc>
          <w:tcPr>
            <w:tcW w:w="3600" w:type="dxa"/>
            <w:vAlign w:val="bottom"/>
          </w:tcPr>
          <w:p>
            <w:pPr>
              <w:jc w:val="center"/>
              <w:ind w:left="2452"/>
              <w:spacing w:after="0"/>
              <w:rPr>
                <w:sz w:val="20"/>
                <w:szCs w:val="20"/>
                <w:color w:val="auto"/>
              </w:rPr>
            </w:pPr>
            <w:r>
              <w:rPr>
                <w:rFonts w:ascii="Arial" w:cs="Arial" w:eastAsia="Arial" w:hAnsi="Arial"/>
                <w:sz w:val="10"/>
                <w:szCs w:val="10"/>
                <w:b w:val="1"/>
                <w:bCs w:val="1"/>
                <w:color w:val="auto"/>
                <w:w w:val="86"/>
              </w:rPr>
              <w:t>Stock Purchased</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tcPr>
          <w:p>
            <w:pPr>
              <w:jc w:val="right"/>
              <w:ind w:right="852"/>
              <w:spacing w:after="0"/>
              <w:rPr>
                <w:sz w:val="20"/>
                <w:szCs w:val="20"/>
                <w:color w:val="auto"/>
              </w:rPr>
            </w:pPr>
            <w:r>
              <w:rPr>
                <w:rFonts w:ascii="Arial" w:cs="Arial" w:eastAsia="Arial" w:hAnsi="Arial"/>
                <w:sz w:val="10"/>
                <w:szCs w:val="10"/>
                <w:b w:val="1"/>
                <w:bCs w:val="1"/>
                <w:color w:val="auto"/>
              </w:rPr>
              <w:t>Purchase Price</w:t>
            </w: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Timothy A. Springer, Ph.D.</w:t>
            </w:r>
          </w:p>
        </w:tc>
        <w:tc>
          <w:tcPr>
            <w:tcW w:w="36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4,000,000</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6,000,000.00</w:t>
            </w:r>
          </w:p>
        </w:tc>
      </w:tr>
      <w:tr>
        <w:trPr>
          <w:trHeight w:val="176"/>
        </w:trPr>
        <w:tc>
          <w:tcPr>
            <w:tcW w:w="4700" w:type="dxa"/>
            <w:vAlign w:val="bottom"/>
          </w:tcPr>
          <w:p>
            <w:pPr>
              <w:ind w:left="20"/>
              <w:spacing w:after="0"/>
              <w:rPr>
                <w:sz w:val="20"/>
                <w:szCs w:val="20"/>
                <w:color w:val="auto"/>
              </w:rPr>
            </w:pPr>
            <w:r>
              <w:rPr>
                <w:rFonts w:ascii="Arial" w:cs="Arial" w:eastAsia="Arial" w:hAnsi="Arial"/>
                <w:sz w:val="10"/>
                <w:szCs w:val="10"/>
                <w:color w:val="auto"/>
              </w:rPr>
              <w:t>Entities affiliated with NanoDimension</w:t>
            </w:r>
          </w:p>
        </w:tc>
        <w:tc>
          <w:tcPr>
            <w:tcW w:w="360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0"/>
                <w:szCs w:val="10"/>
                <w:color w:val="auto"/>
              </w:rPr>
              <w:t>1,666,666</w:t>
            </w:r>
          </w:p>
        </w:tc>
        <w:tc>
          <w:tcPr>
            <w:tcW w:w="5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tcPr>
          <w:p>
            <w:pPr>
              <w:jc w:val="right"/>
              <w:ind w:right="72"/>
              <w:spacing w:after="0"/>
              <w:rPr>
                <w:sz w:val="20"/>
                <w:szCs w:val="20"/>
                <w:color w:val="auto"/>
              </w:rPr>
            </w:pPr>
            <w:r>
              <w:rPr>
                <w:rFonts w:ascii="Arial" w:cs="Arial" w:eastAsia="Arial" w:hAnsi="Arial"/>
                <w:sz w:val="10"/>
                <w:szCs w:val="10"/>
                <w:color w:val="auto"/>
              </w:rPr>
              <w:t>2,499,999.00</w:t>
            </w: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Entities affiliated with OrbiMed Advisors</w:t>
            </w:r>
          </w:p>
        </w:tc>
        <w:tc>
          <w:tcPr>
            <w:tcW w:w="36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1,333,333</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1,999,999.50</w:t>
            </w:r>
          </w:p>
        </w:tc>
      </w:tr>
      <w:tr>
        <w:trPr>
          <w:trHeight w:val="176"/>
        </w:trPr>
        <w:tc>
          <w:tcPr>
            <w:tcW w:w="4700" w:type="dxa"/>
            <w:vAlign w:val="bottom"/>
          </w:tcPr>
          <w:p>
            <w:pPr>
              <w:ind w:left="20"/>
              <w:spacing w:after="0"/>
              <w:rPr>
                <w:sz w:val="20"/>
                <w:szCs w:val="20"/>
                <w:color w:val="auto"/>
              </w:rPr>
            </w:pPr>
            <w:r>
              <w:rPr>
                <w:rFonts w:ascii="Arial" w:cs="Arial" w:eastAsia="Arial" w:hAnsi="Arial"/>
                <w:sz w:val="10"/>
                <w:szCs w:val="10"/>
                <w:color w:val="auto"/>
              </w:rPr>
              <w:t>Entities affiliated with Polaris</w:t>
            </w:r>
          </w:p>
        </w:tc>
        <w:tc>
          <w:tcPr>
            <w:tcW w:w="360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0"/>
                <w:szCs w:val="10"/>
                <w:color w:val="auto"/>
              </w:rPr>
              <w:t>666,666</w:t>
            </w:r>
          </w:p>
        </w:tc>
        <w:tc>
          <w:tcPr>
            <w:tcW w:w="5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tcPr>
          <w:p>
            <w:pPr>
              <w:jc w:val="right"/>
              <w:ind w:right="72"/>
              <w:spacing w:after="0"/>
              <w:rPr>
                <w:sz w:val="20"/>
                <w:szCs w:val="20"/>
                <w:color w:val="auto"/>
              </w:rPr>
            </w:pPr>
            <w:r>
              <w:rPr>
                <w:rFonts w:ascii="Arial" w:cs="Arial" w:eastAsia="Arial" w:hAnsi="Arial"/>
                <w:sz w:val="10"/>
                <w:szCs w:val="10"/>
                <w:color w:val="auto"/>
              </w:rPr>
              <w:t>999,999.00</w:t>
            </w: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SAF-BND Trust (affiliate of Omid Farokhzad, M.D.)</w:t>
            </w:r>
          </w:p>
        </w:tc>
        <w:tc>
          <w:tcPr>
            <w:tcW w:w="36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83,333</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124,999.50</w:t>
            </w:r>
          </w:p>
        </w:tc>
      </w:tr>
      <w:tr>
        <w:trPr>
          <w:trHeight w:val="176"/>
        </w:trPr>
        <w:tc>
          <w:tcPr>
            <w:tcW w:w="4700" w:type="dxa"/>
            <w:vAlign w:val="bottom"/>
          </w:tcPr>
          <w:p>
            <w:pPr>
              <w:ind w:left="20"/>
              <w:spacing w:after="0"/>
              <w:rPr>
                <w:sz w:val="20"/>
                <w:szCs w:val="20"/>
                <w:color w:val="auto"/>
              </w:rPr>
            </w:pPr>
            <w:r>
              <w:rPr>
                <w:rFonts w:ascii="Arial" w:cs="Arial" w:eastAsia="Arial" w:hAnsi="Arial"/>
                <w:sz w:val="10"/>
                <w:szCs w:val="10"/>
                <w:color w:val="auto"/>
              </w:rPr>
              <w:t>Chafen Lu (Timothy Springer’s wife)</w:t>
            </w:r>
          </w:p>
        </w:tc>
        <w:tc>
          <w:tcPr>
            <w:tcW w:w="360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0"/>
                <w:szCs w:val="10"/>
                <w:color w:val="auto"/>
              </w:rPr>
              <w:t>66,666</w:t>
            </w:r>
          </w:p>
        </w:tc>
        <w:tc>
          <w:tcPr>
            <w:tcW w:w="580" w:type="dxa"/>
            <w:vAlign w:val="bottom"/>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tcPr>
          <w:p>
            <w:pPr>
              <w:jc w:val="right"/>
              <w:ind w:right="72"/>
              <w:spacing w:after="0"/>
              <w:rPr>
                <w:sz w:val="20"/>
                <w:szCs w:val="20"/>
                <w:color w:val="auto"/>
              </w:rPr>
            </w:pPr>
            <w:r>
              <w:rPr>
                <w:rFonts w:ascii="Arial" w:cs="Arial" w:eastAsia="Arial" w:hAnsi="Arial"/>
                <w:sz w:val="10"/>
                <w:szCs w:val="10"/>
                <w:color w:val="auto"/>
              </w:rPr>
              <w:t>99,999.00</w:t>
            </w: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Jed Springer (Timothy Springer’s brother)</w:t>
            </w:r>
          </w:p>
        </w:tc>
        <w:tc>
          <w:tcPr>
            <w:tcW w:w="36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1,000</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rPr>
              <w:t>$</w:t>
            </w:r>
          </w:p>
        </w:tc>
        <w:tc>
          <w:tcPr>
            <w:tcW w:w="1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1,500.00</w:t>
            </w:r>
          </w:p>
        </w:tc>
      </w:tr>
    </w:tbl>
    <w:p>
      <w:pPr>
        <w:spacing w:after="0" w:line="207" w:lineRule="exact"/>
        <w:rPr>
          <w:sz w:val="20"/>
          <w:szCs w:val="20"/>
          <w:color w:val="auto"/>
        </w:rPr>
      </w:pPr>
    </w:p>
    <w:p>
      <w:pPr>
        <w:ind w:left="8" w:right="100"/>
        <w:spacing w:after="0" w:line="259" w:lineRule="auto"/>
        <w:rPr>
          <w:sz w:val="20"/>
          <w:szCs w:val="20"/>
          <w:color w:val="auto"/>
        </w:rPr>
      </w:pPr>
      <w:r>
        <w:rPr>
          <w:rFonts w:ascii="Arial" w:cs="Arial" w:eastAsia="Arial" w:hAnsi="Arial"/>
          <w:sz w:val="12"/>
          <w:szCs w:val="12"/>
          <w:color w:val="auto"/>
        </w:rPr>
        <w:t>During the fourth quarter of 2018, the Company entered into an amended consulting agreement with Dr. Omid Farokhzad, a member of its Board of Directors. The term of the amendment to the Consulting Agreement is April 1, 2018 to December 31, 2019, which extends the original consulting term for an additional nine months from March 31, 2019. Compensation for the Amendment includes a $85,000 payment for the period beginning January 1, 2019 and ending December 31, 2019. The $85,000 will be paid quarterly across the contract term in arrears beginning March 31, 2019. Included within this agreement, a stock option award of 75,000 shares was granted, with a weighted average grant date fair value of $4.35.</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incurred expenses for consulting services provided by its founders totaling $0.1 million, and less than $0.1 million during the three months ended March 31, 2019, and 2018, respectively.</w:t>
      </w:r>
    </w:p>
    <w:p>
      <w:pPr>
        <w:spacing w:after="0" w:line="146" w:lineRule="exact"/>
        <w:rPr>
          <w:sz w:val="20"/>
          <w:szCs w:val="20"/>
          <w:color w:val="auto"/>
        </w:rPr>
      </w:pPr>
    </w:p>
    <w:p>
      <w:pPr>
        <w:ind w:left="8" w:right="9540" w:hanging="8"/>
        <w:spacing w:after="0" w:line="605" w:lineRule="auto"/>
        <w:tabs>
          <w:tab w:leader="none" w:pos="188" w:val="left"/>
        </w:tabs>
        <w:numPr>
          <w:ilvl w:val="0"/>
          <w:numId w:val="11"/>
        </w:numPr>
        <w:rPr>
          <w:rFonts w:ascii="Arial" w:cs="Arial" w:eastAsia="Arial" w:hAnsi="Arial"/>
          <w:sz w:val="10"/>
          <w:szCs w:val="10"/>
          <w:b w:val="1"/>
          <w:bCs w:val="1"/>
          <w:color w:val="auto"/>
        </w:rPr>
      </w:pPr>
      <w:r>
        <w:rPr>
          <w:rFonts w:ascii="Arial" w:cs="Arial" w:eastAsia="Arial" w:hAnsi="Arial"/>
          <w:sz w:val="10"/>
          <w:szCs w:val="10"/>
          <w:b w:val="1"/>
          <w:bCs w:val="1"/>
          <w:color w:val="auto"/>
        </w:rPr>
        <w:t>Technology License Agreements Massachusetts Institute of Technology</w:t>
      </w:r>
    </w:p>
    <w:p>
      <w:pPr>
        <w:spacing w:after="0" w:line="1" w:lineRule="exact"/>
        <w:rPr>
          <w:sz w:val="20"/>
          <w:szCs w:val="20"/>
          <w:color w:val="auto"/>
        </w:rPr>
      </w:pPr>
    </w:p>
    <w:p>
      <w:pPr>
        <w:ind w:left="8" w:right="20"/>
        <w:spacing w:after="0" w:line="146" w:lineRule="exact"/>
        <w:rPr>
          <w:sz w:val="20"/>
          <w:szCs w:val="20"/>
          <w:color w:val="auto"/>
        </w:rPr>
      </w:pPr>
      <w:r>
        <w:rPr>
          <w:rFonts w:ascii="Arial" w:cs="Arial" w:eastAsia="Arial" w:hAnsi="Arial"/>
          <w:sz w:val="11"/>
          <w:szCs w:val="11"/>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1"/>
          <w:szCs w:val="11"/>
          <w:color w:val="auto"/>
        </w:rPr>
        <w:t>‑</w:t>
      </w:r>
      <w:r>
        <w:rPr>
          <w:rFonts w:ascii="Arial" w:cs="Arial" w:eastAsia="Arial" w:hAnsi="Arial"/>
          <w:sz w:val="11"/>
          <w:szCs w:val="11"/>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1"/>
          <w:szCs w:val="11"/>
          <w:color w:val="auto"/>
        </w:rPr>
        <w:t>‑</w:t>
      </w:r>
      <w:r>
        <w:rPr>
          <w:rFonts w:ascii="Arial" w:cs="Arial" w:eastAsia="Arial" w:hAnsi="Arial"/>
          <w:sz w:val="11"/>
          <w:szCs w:val="11"/>
          <w:color w:val="auto"/>
        </w:rPr>
        <w:t>cross</w:t>
      </w:r>
      <w:r>
        <w:rPr>
          <w:rFonts w:ascii="MS PGothic" w:cs="MS PGothic" w:eastAsia="MS PGothic" w:hAnsi="MS PGothic"/>
          <w:sz w:val="11"/>
          <w:szCs w:val="11"/>
          <w:color w:val="auto"/>
        </w:rPr>
        <w:t>‑</w:t>
      </w:r>
      <w:r>
        <w:rPr>
          <w:rFonts w:ascii="Arial" w:cs="Arial" w:eastAsia="Arial" w:hAnsi="Arial"/>
          <w:sz w:val="11"/>
          <w:szCs w:val="11"/>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1"/>
          <w:szCs w:val="11"/>
          <w:color w:val="auto"/>
        </w:rPr>
        <w:t>‑</w:t>
      </w:r>
      <w:r>
        <w:rPr>
          <w:rFonts w:ascii="Arial" w:cs="Arial" w:eastAsia="Arial" w:hAnsi="Arial"/>
          <w:sz w:val="11"/>
          <w:szCs w:val="11"/>
          <w:color w:val="auto"/>
        </w:rPr>
        <w:t>time expense in 2008.</w:t>
      </w:r>
    </w:p>
    <w:p>
      <w:pPr>
        <w:spacing w:after="0" w:line="137" w:lineRule="exact"/>
        <w:rPr>
          <w:sz w:val="20"/>
          <w:szCs w:val="20"/>
          <w:color w:val="auto"/>
        </w:rPr>
      </w:pPr>
    </w:p>
    <w:p>
      <w:pPr>
        <w:ind w:left="8" w:right="60"/>
        <w:spacing w:after="0" w:line="380" w:lineRule="auto"/>
        <w:rPr>
          <w:sz w:val="20"/>
          <w:szCs w:val="20"/>
          <w:color w:val="auto"/>
        </w:rPr>
      </w:pPr>
      <w:r>
        <w:rPr>
          <w:rFonts w:ascii="Arial" w:cs="Arial" w:eastAsia="Arial" w:hAnsi="Arial"/>
          <w:sz w:val="10"/>
          <w:szCs w:val="10"/>
          <w:color w:val="auto"/>
        </w:rPr>
        <w:t>As of March 31, 2019,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three months ended March 31, 2019.</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Shenyang Sunshine Pharmaceutical Co., Ltd</w:t>
      </w:r>
    </w:p>
    <w:p>
      <w:pPr>
        <w:spacing w:after="0" w:line="154" w:lineRule="exact"/>
        <w:rPr>
          <w:sz w:val="20"/>
          <w:szCs w:val="20"/>
          <w:color w:val="auto"/>
        </w:rPr>
      </w:pPr>
    </w:p>
    <w:p>
      <w:pPr>
        <w:ind w:left="8" w:right="40"/>
        <w:spacing w:after="0" w:line="145" w:lineRule="exact"/>
        <w:rPr>
          <w:sz w:val="20"/>
          <w:szCs w:val="20"/>
          <w:color w:val="auto"/>
        </w:rPr>
      </w:pPr>
      <w:r>
        <w:rPr>
          <w:rFonts w:ascii="Arial" w:cs="Arial" w:eastAsia="Arial" w:hAnsi="Arial"/>
          <w:sz w:val="11"/>
          <w:szCs w:val="11"/>
          <w:color w:val="auto"/>
        </w:rPr>
        <w:t>In May 2014, the Company entered into a license agreement with Shenyang Sunshine Pharmaceutical Co., Ltd. (“3SBio”), which is referred to as the 3SBio License. Pursuant to the 3SBio License, which was amended and restated in May 2017, the Company was granted an exclusive license to certain pegadricase (formerly pegsiticase)</w:t>
      </w:r>
      <w:r>
        <w:rPr>
          <w:rFonts w:ascii="MS PGothic" w:cs="MS PGothic" w:eastAsia="MS PGothic" w:hAnsi="MS PGothic"/>
          <w:sz w:val="11"/>
          <w:szCs w:val="11"/>
          <w:color w:val="auto"/>
        </w:rPr>
        <w:t>‑</w:t>
      </w:r>
      <w:r>
        <w:rPr>
          <w:rFonts w:ascii="Arial" w:cs="Arial" w:eastAsia="Arial" w:hAnsi="Arial"/>
          <w:sz w:val="11"/>
          <w:szCs w:val="11"/>
          <w:color w:val="auto"/>
        </w:rPr>
        <w:t>related patents and related “know</w:t>
      </w:r>
      <w:r>
        <w:rPr>
          <w:rFonts w:ascii="MS PGothic" w:cs="MS PGothic" w:eastAsia="MS PGothic" w:hAnsi="MS PGothic"/>
          <w:sz w:val="11"/>
          <w:szCs w:val="11"/>
          <w:color w:val="auto"/>
        </w:rPr>
        <w:t>‑</w:t>
      </w:r>
      <w:r>
        <w:rPr>
          <w:rFonts w:ascii="Arial" w:cs="Arial" w:eastAsia="Arial" w:hAnsi="Arial"/>
          <w:sz w:val="11"/>
          <w:szCs w:val="11"/>
          <w:color w:val="auto"/>
        </w:rPr>
        <w:t>how” owned or in</w:t>
      </w:r>
      <w:r>
        <w:rPr>
          <w:rFonts w:ascii="MS PGothic" w:cs="MS PGothic" w:eastAsia="MS PGothic" w:hAnsi="MS PGothic"/>
          <w:sz w:val="11"/>
          <w:szCs w:val="11"/>
          <w:color w:val="auto"/>
        </w:rPr>
        <w:t>‑</w:t>
      </w:r>
      <w:r>
        <w:rPr>
          <w:rFonts w:ascii="Arial" w:cs="Arial" w:eastAsia="Arial" w:hAnsi="Arial"/>
          <w:sz w:val="11"/>
          <w:szCs w:val="11"/>
          <w:color w:val="auto"/>
        </w:rPr>
        <w:t>licensed by 3SBio for the worldwide (except for Greater China and Japan) development and commercialization of products based thereupon for human therapeutic, diagnostic and prophylactic use. Pegadricase is the new United States Adopted Name (USAN) for pegsiticase. The Company was also granted a worldwide (except for Greater China) exclusive license to develop, commercialize and manufacture or have manufactured products combining the Company’s proprietary ImmTOR technology with pegadricase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1"/>
          <w:szCs w:val="11"/>
          <w:color w:val="auto"/>
        </w:rPr>
        <w:t>‑</w:t>
      </w:r>
      <w:r>
        <w:rPr>
          <w:rFonts w:ascii="Arial" w:cs="Arial" w:eastAsia="Arial" w:hAnsi="Arial"/>
          <w:sz w:val="11"/>
          <w:szCs w:val="11"/>
          <w:color w:val="auto"/>
        </w:rPr>
        <w:t>exclusive license to manufacture and have manufactured pegadricase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8"/>
          </w:cols>
          <w:pgMar w:left="212" w:top="505" w:right="199" w:bottom="1440" w:gutter="0" w:footer="0" w:header="0"/>
        </w:sectPr>
      </w:pPr>
    </w:p>
    <w:bookmarkStart w:id="33" w:name="page34"/>
    <w:bookmarkEnd w:id="33"/>
    <w:p>
      <w:pPr>
        <w:spacing w:after="0"/>
        <w:rPr>
          <w:sz w:val="20"/>
          <w:szCs w:val="20"/>
          <w:color w:val="auto"/>
        </w:rPr>
      </w:pPr>
      <w:r>
        <w:rPr>
          <w:rFonts w:ascii="Arial" w:cs="Arial" w:eastAsia="Arial" w:hAnsi="Arial"/>
          <w:sz w:val="11"/>
          <w:szCs w:val="11"/>
          <w:color w:val="auto"/>
        </w:rPr>
        <w:t>Pursuant to the 3SBio License, the Company is required to use commercially reasonable efforts to develop and commercialize a product containing pegadricase or a related compound. If the Company does not commercialize any such</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product in a particular country in Asia, Africa or South America within 48 months after approval of any such product in the United States or a major European country, then 3SBio will have the right to do so, but only until the Company</w:t>
      </w:r>
    </w:p>
    <w:p>
      <w:pPr>
        <w:spacing w:after="0" w:line="18" w:lineRule="exact"/>
        <w:rPr>
          <w:sz w:val="20"/>
          <w:szCs w:val="20"/>
          <w:color w:val="auto"/>
        </w:rPr>
      </w:pPr>
    </w:p>
    <w:p>
      <w:pPr>
        <w:spacing w:after="0" w:line="115" w:lineRule="exact"/>
        <w:rPr>
          <w:sz w:val="20"/>
          <w:szCs w:val="20"/>
          <w:color w:val="auto"/>
        </w:rPr>
      </w:pPr>
      <w:r>
        <w:rPr>
          <w:rFonts w:ascii="Arial" w:cs="Arial" w:eastAsia="Arial" w:hAnsi="Arial"/>
          <w:sz w:val="10"/>
          <w:szCs w:val="10"/>
          <w:color w:val="auto"/>
        </w:rPr>
        <w:t>commercializes a product combining the Company’s ImmTOR technology with any such compound in such country. The Company has paid to 3SBio an aggregate of $3.0 million in upfront and milestone</w:t>
      </w:r>
      <w:r>
        <w:rPr>
          <w:rFonts w:ascii="MS PGothic" w:cs="MS PGothic" w:eastAsia="MS PGothic" w:hAnsi="MS PGothic"/>
          <w:sz w:val="10"/>
          <w:szCs w:val="10"/>
          <w:color w:val="auto"/>
        </w:rPr>
        <w:t>‑</w:t>
      </w:r>
      <w:r>
        <w:rPr>
          <w:rFonts w:ascii="Arial" w:cs="Arial" w:eastAsia="Arial" w:hAnsi="Arial"/>
          <w:sz w:val="10"/>
          <w:szCs w:val="10"/>
          <w:color w:val="auto"/>
        </w:rPr>
        <w:t>based payments under the 3SBio</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License. The Company is required to make future payments to 3SBio contingent upon the occurrence of events related to the achievement of clinical and regulatory approval milestones of up to an aggregate of $21.0 million for products</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containing the Company’s ImmTOR technology, and up to an aggregate of $41.5 million for products without the Company’s ImmTOR technology. The Company is also required to pay 3SBio tiered royalties on annual worldwide net sales</w:t>
      </w:r>
    </w:p>
    <w:p>
      <w:pPr>
        <w:spacing w:after="0" w:line="29"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(on a country</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country and product</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product basis) related to the pegadricase component of products at percentages ranging from the low</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mid single digits for products containing the Company’s ImmTOR technology, and a range</w:t>
      </w:r>
    </w:p>
    <w:p>
      <w:pPr>
        <w:spacing w:after="0" w:line="18"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of no more than ten percent points from the mid</w:t>
      </w:r>
      <w:r>
        <w:rPr>
          <w:rFonts w:ascii="MS PGothic" w:cs="MS PGothic" w:eastAsia="MS PGothic" w:hAnsi="MS PGothic"/>
          <w:sz w:val="11"/>
          <w:szCs w:val="11"/>
          <w:color w:val="auto"/>
        </w:rPr>
        <w:t>‑</w:t>
      </w:r>
      <w:r>
        <w:rPr>
          <w:rFonts w:ascii="Arial" w:cs="Arial" w:eastAsia="Arial" w:hAnsi="Arial"/>
          <w:sz w:val="11"/>
          <w:szCs w:val="11"/>
          <w:color w:val="auto"/>
        </w:rPr>
        <w:t>single digits to low double</w:t>
      </w:r>
      <w:r>
        <w:rPr>
          <w:rFonts w:ascii="MS PGothic" w:cs="MS PGothic" w:eastAsia="MS PGothic" w:hAnsi="MS PGothic"/>
          <w:sz w:val="11"/>
          <w:szCs w:val="11"/>
          <w:color w:val="auto"/>
        </w:rPr>
        <w:t>‑</w:t>
      </w:r>
      <w:r>
        <w:rPr>
          <w:rFonts w:ascii="Arial" w:cs="Arial" w:eastAsia="Arial" w:hAnsi="Arial"/>
          <w:sz w:val="11"/>
          <w:szCs w:val="11"/>
          <w:color w:val="auto"/>
        </w:rPr>
        <w:t>digits for products without the Company’s ImmTOR technology. The Company will pay these royalties to 3SBio, subject to specified reductions, on a</w:t>
      </w:r>
    </w:p>
    <w:p>
      <w:pPr>
        <w:spacing w:after="0" w:line="18"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country</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country and product</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product basis until the later of (i) the date that all of the patent rights for that product have expired in that country, or (ii) a specified number of years from the first commercial sale of such product in such</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country.</w:t>
      </w:r>
    </w:p>
    <w:p>
      <w:pPr>
        <w:spacing w:after="0" w:line="141" w:lineRule="exact"/>
        <w:rPr>
          <w:sz w:val="20"/>
          <w:szCs w:val="20"/>
          <w:color w:val="auto"/>
        </w:rPr>
      </w:pPr>
    </w:p>
    <w:p>
      <w:pPr>
        <w:ind w:right="60"/>
        <w:spacing w:after="0" w:line="148" w:lineRule="exact"/>
        <w:rPr>
          <w:sz w:val="20"/>
          <w:szCs w:val="20"/>
          <w:color w:val="auto"/>
        </w:rPr>
      </w:pPr>
      <w:r>
        <w:rPr>
          <w:rFonts w:ascii="Arial" w:cs="Arial" w:eastAsia="Arial" w:hAnsi="Arial"/>
          <w:sz w:val="11"/>
          <w:szCs w:val="11"/>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country or product</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product basis in certain circumstances. The Company may also terminate the 3SBio License on a country</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country or product</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product basis for any reason effective upon 60 days’ prior written notice to 3SBio or, with respect to a given product, immediately upon written notice to 3SBio if the Company identifies a safety or efficacy concern related to such product.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Massachusetts Eye and Ear Infirmary and The Schepens Eye Research Institute, Inc.</w:t>
      </w:r>
    </w:p>
    <w:p>
      <w:pPr>
        <w:spacing w:after="0" w:line="154" w:lineRule="exact"/>
        <w:rPr>
          <w:sz w:val="20"/>
          <w:szCs w:val="20"/>
          <w:color w:val="auto"/>
        </w:rPr>
      </w:pPr>
    </w:p>
    <w:p>
      <w:pPr>
        <w:ind w:right="180"/>
        <w:spacing w:after="0" w:line="147" w:lineRule="exact"/>
        <w:rPr>
          <w:sz w:val="20"/>
          <w:szCs w:val="20"/>
          <w:color w:val="auto"/>
        </w:rPr>
      </w:pPr>
      <w:r>
        <w:rPr>
          <w:rFonts w:ascii="Arial" w:cs="Arial" w:eastAsia="Arial" w:hAnsi="Arial"/>
          <w:sz w:val="10"/>
          <w:szCs w:val="10"/>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0"/>
          <w:szCs w:val="10"/>
          <w:color w:val="auto"/>
        </w:rPr>
        <w:t>‑</w:t>
      </w:r>
      <w:r>
        <w:rPr>
          <w:rFonts w:ascii="Arial" w:cs="Arial" w:eastAsia="Arial" w:hAnsi="Arial"/>
          <w:sz w:val="10"/>
          <w:szCs w:val="10"/>
          <w:color w:val="auto"/>
        </w:rPr>
        <w:t>how owned or controlled by MEE, for use of Anc80 gene therapy vectors for gene augmentation therapies expressing certain target sequences.</w:t>
      </w:r>
    </w:p>
    <w:p>
      <w:pPr>
        <w:spacing w:after="0" w:line="137"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23"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23" w:lineRule="exact"/>
        <w:rPr>
          <w:sz w:val="20"/>
          <w:szCs w:val="20"/>
          <w:color w:val="auto"/>
        </w:rPr>
      </w:pPr>
    </w:p>
    <w:p>
      <w:pPr>
        <w:ind w:right="40"/>
        <w:spacing w:after="0" w:line="146" w:lineRule="exact"/>
        <w:rPr>
          <w:sz w:val="20"/>
          <w:szCs w:val="20"/>
          <w:color w:val="auto"/>
        </w:rPr>
      </w:pPr>
      <w:r>
        <w:rPr>
          <w:rFonts w:ascii="Arial" w:cs="Arial" w:eastAsia="Arial" w:hAnsi="Arial"/>
          <w:sz w:val="10"/>
          <w:szCs w:val="10"/>
          <w:color w:val="auto"/>
        </w:rPr>
        <w:t>Pursuant to the MEE License, the Company agreed to pay MEE a license fee in the low six figures, annual license maintenance fees ranging from the mid</w:t>
      </w:r>
      <w:r>
        <w:rPr>
          <w:rFonts w:ascii="MS PGothic" w:cs="MS PGothic" w:eastAsia="MS PGothic" w:hAnsi="MS PGothic"/>
          <w:sz w:val="10"/>
          <w:szCs w:val="10"/>
          <w:color w:val="auto"/>
        </w:rPr>
        <w:t>‑</w:t>
      </w:r>
      <w:r>
        <w:rPr>
          <w:rFonts w:ascii="Arial" w:cs="Arial" w:eastAsia="Arial" w:hAnsi="Arial"/>
          <w:sz w:val="10"/>
          <w:szCs w:val="10"/>
          <w:color w:val="auto"/>
        </w:rPr>
        <w:t>twenty thousands to mid</w:t>
      </w:r>
      <w:r>
        <w:rPr>
          <w:rFonts w:ascii="MS PGothic" w:cs="MS PGothic" w:eastAsia="MS PGothic" w:hAnsi="MS PGothic"/>
          <w:sz w:val="10"/>
          <w:szCs w:val="10"/>
          <w:color w:val="auto"/>
        </w:rPr>
        <w:t>‑</w:t>
      </w:r>
      <w:r>
        <w:rPr>
          <w:rFonts w:ascii="Arial" w:cs="Arial" w:eastAsia="Arial" w:hAnsi="Arial"/>
          <w:sz w:val="10"/>
          <w:szCs w:val="10"/>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0"/>
          <w:szCs w:val="10"/>
          <w:color w:val="auto"/>
        </w:rPr>
        <w:t>‑</w:t>
      </w:r>
      <w:r>
        <w:rPr>
          <w:rFonts w:ascii="Arial" w:cs="Arial" w:eastAsia="Arial" w:hAnsi="Arial"/>
          <w:sz w:val="10"/>
          <w:szCs w:val="10"/>
          <w:color w:val="auto"/>
        </w:rPr>
        <w:t>by</w:t>
      </w:r>
      <w:r>
        <w:rPr>
          <w:rFonts w:ascii="MS PGothic" w:cs="MS PGothic" w:eastAsia="MS PGothic" w:hAnsi="MS PGothic"/>
          <w:sz w:val="10"/>
          <w:szCs w:val="10"/>
          <w:color w:val="auto"/>
        </w:rPr>
        <w:t>‑</w:t>
      </w:r>
      <w:r>
        <w:rPr>
          <w:rFonts w:ascii="Arial" w:cs="Arial" w:eastAsia="Arial" w:hAnsi="Arial"/>
          <w:sz w:val="10"/>
          <w:szCs w:val="10"/>
          <w:color w:val="auto"/>
        </w:rPr>
        <w:t>licensed product basis, totaling up to an aggregate of between $4.2 million to $37.0 million and sales milestones on a licensed product</w:t>
      </w:r>
      <w:r>
        <w:rPr>
          <w:rFonts w:ascii="MS PGothic" w:cs="MS PGothic" w:eastAsia="MS PGothic" w:hAnsi="MS PGothic"/>
          <w:sz w:val="10"/>
          <w:szCs w:val="10"/>
          <w:color w:val="auto"/>
        </w:rPr>
        <w:t>‑</w:t>
      </w:r>
      <w:r>
        <w:rPr>
          <w:rFonts w:ascii="Arial" w:cs="Arial" w:eastAsia="Arial" w:hAnsi="Arial"/>
          <w:sz w:val="10"/>
          <w:szCs w:val="10"/>
          <w:color w:val="auto"/>
        </w:rPr>
        <w:t>by</w:t>
      </w:r>
      <w:r>
        <w:rPr>
          <w:rFonts w:ascii="MS PGothic" w:cs="MS PGothic" w:eastAsia="MS PGothic" w:hAnsi="MS PGothic"/>
          <w:sz w:val="10"/>
          <w:szCs w:val="10"/>
          <w:color w:val="auto"/>
        </w:rPr>
        <w:t>‑</w:t>
      </w:r>
      <w:r>
        <w:rPr>
          <w:rFonts w:ascii="Arial" w:cs="Arial" w:eastAsia="Arial" w:hAnsi="Arial"/>
          <w:sz w:val="10"/>
          <w:szCs w:val="10"/>
          <w:color w:val="auto"/>
        </w:rPr>
        <w:t>licensed product basis, totaling up to an aggregate of between $50.0 million to $70.0 million; tiered royalties on a licensed product</w:t>
      </w:r>
      <w:r>
        <w:rPr>
          <w:rFonts w:ascii="MS PGothic" w:cs="MS PGothic" w:eastAsia="MS PGothic" w:hAnsi="MS PGothic"/>
          <w:sz w:val="10"/>
          <w:szCs w:val="10"/>
          <w:color w:val="auto"/>
        </w:rPr>
        <w:t>‑</w:t>
      </w:r>
      <w:r>
        <w:rPr>
          <w:rFonts w:ascii="Arial" w:cs="Arial" w:eastAsia="Arial" w:hAnsi="Arial"/>
          <w:sz w:val="10"/>
          <w:szCs w:val="10"/>
          <w:color w:val="auto"/>
        </w:rPr>
        <w:t>by</w:t>
      </w:r>
      <w:r>
        <w:rPr>
          <w:rFonts w:ascii="MS PGothic" w:cs="MS PGothic" w:eastAsia="MS PGothic" w:hAnsi="MS PGothic"/>
          <w:sz w:val="10"/>
          <w:szCs w:val="10"/>
          <w:color w:val="auto"/>
        </w:rPr>
        <w:t>‑</w:t>
      </w:r>
      <w:r>
        <w:rPr>
          <w:rFonts w:ascii="Arial" w:cs="Arial" w:eastAsia="Arial" w:hAnsi="Arial"/>
          <w:sz w:val="10"/>
          <w:szCs w:val="10"/>
          <w:color w:val="auto"/>
        </w:rPr>
        <w:t>licensed product and country</w:t>
      </w:r>
      <w:r>
        <w:rPr>
          <w:rFonts w:ascii="MS PGothic" w:cs="MS PGothic" w:eastAsia="MS PGothic" w:hAnsi="MS PGothic"/>
          <w:sz w:val="10"/>
          <w:szCs w:val="10"/>
          <w:color w:val="auto"/>
        </w:rPr>
        <w:t>‑</w:t>
      </w:r>
      <w:r>
        <w:rPr>
          <w:rFonts w:ascii="Arial" w:cs="Arial" w:eastAsia="Arial" w:hAnsi="Arial"/>
          <w:sz w:val="10"/>
          <w:szCs w:val="10"/>
          <w:color w:val="auto"/>
        </w:rPr>
        <w:t>by</w:t>
      </w:r>
      <w:r>
        <w:rPr>
          <w:rFonts w:ascii="MS PGothic" w:cs="MS PGothic" w:eastAsia="MS PGothic" w:hAnsi="MS PGothic"/>
          <w:sz w:val="10"/>
          <w:szCs w:val="10"/>
          <w:color w:val="auto"/>
        </w:rPr>
        <w:t>‑</w:t>
      </w:r>
      <w:r>
        <w:rPr>
          <w:rFonts w:ascii="Arial" w:cs="Arial" w:eastAsia="Arial" w:hAnsi="Arial"/>
          <w:sz w:val="10"/>
          <w:szCs w:val="10"/>
          <w:color w:val="auto"/>
        </w:rPr>
        <w:t>country basis equal to a percentage of net sales ranging from mid</w:t>
      </w:r>
      <w:r>
        <w:rPr>
          <w:rFonts w:ascii="MS PGothic" w:cs="MS PGothic" w:eastAsia="MS PGothic" w:hAnsi="MS PGothic"/>
          <w:sz w:val="10"/>
          <w:szCs w:val="10"/>
          <w:color w:val="auto"/>
        </w:rPr>
        <w:t>‑</w:t>
      </w:r>
      <w:r>
        <w:rPr>
          <w:rFonts w:ascii="Arial" w:cs="Arial" w:eastAsia="Arial" w:hAnsi="Arial"/>
          <w:sz w:val="10"/>
          <w:szCs w:val="10"/>
          <w:color w:val="auto"/>
        </w:rPr>
        <w:t>single digits to mid</w:t>
      </w:r>
      <w:r>
        <w:rPr>
          <w:rFonts w:ascii="MS PGothic" w:cs="MS PGothic" w:eastAsia="MS PGothic" w:hAnsi="MS PGothic"/>
          <w:sz w:val="10"/>
          <w:szCs w:val="10"/>
          <w:color w:val="auto"/>
        </w:rPr>
        <w:t>‑</w:t>
      </w:r>
      <w:r>
        <w:rPr>
          <w:rFonts w:ascii="Arial" w:cs="Arial" w:eastAsia="Arial" w:hAnsi="Arial"/>
          <w:sz w:val="10"/>
          <w:szCs w:val="10"/>
          <w:color w:val="auto"/>
        </w:rPr>
        <w:t>teens, subject to the prevalence of the targeted disease and certain reductions; and a percentage, in a range expected to be in the mid</w:t>
      </w:r>
      <w:r>
        <w:rPr>
          <w:rFonts w:ascii="MS PGothic" w:cs="MS PGothic" w:eastAsia="MS PGothic" w:hAnsi="MS PGothic"/>
          <w:sz w:val="10"/>
          <w:szCs w:val="10"/>
          <w:color w:val="auto"/>
        </w:rPr>
        <w:t>‑</w:t>
      </w:r>
      <w:r>
        <w:rPr>
          <w:rFonts w:ascii="Arial" w:cs="Arial" w:eastAsia="Arial" w:hAnsi="Arial"/>
          <w:sz w:val="10"/>
          <w:szCs w:val="10"/>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0"/>
          <w:szCs w:val="10"/>
          <w:color w:val="auto"/>
        </w:rPr>
        <w:t>‑</w:t>
      </w:r>
      <w:r>
        <w:rPr>
          <w:rFonts w:ascii="Arial" w:cs="Arial" w:eastAsia="Arial" w:hAnsi="Arial"/>
          <w:sz w:val="10"/>
          <w:szCs w:val="10"/>
          <w:color w:val="auto"/>
        </w:rPr>
        <w:t>six figures to mid</w:t>
      </w:r>
      <w:r>
        <w:rPr>
          <w:rFonts w:ascii="MS PGothic" w:cs="MS PGothic" w:eastAsia="MS PGothic" w:hAnsi="MS PGothic"/>
          <w:sz w:val="10"/>
          <w:szCs w:val="10"/>
          <w:color w:val="auto"/>
        </w:rPr>
        <w:t>‑</w:t>
      </w:r>
      <w:r>
        <w:rPr>
          <w:rFonts w:ascii="Arial" w:cs="Arial" w:eastAsia="Arial" w:hAnsi="Arial"/>
          <w:sz w:val="10"/>
          <w:szCs w:val="10"/>
          <w:color w:val="auto"/>
        </w:rPr>
        <w:t>six figures, depending on the prevalence of the targeted disease.</w:t>
      </w:r>
    </w:p>
    <w:p>
      <w:pPr>
        <w:spacing w:after="0" w:line="138" w:lineRule="exact"/>
        <w:rPr>
          <w:sz w:val="20"/>
          <w:szCs w:val="20"/>
          <w:color w:val="auto"/>
        </w:rPr>
      </w:pPr>
    </w:p>
    <w:p>
      <w:pPr>
        <w:spacing w:after="0" w:line="147" w:lineRule="exact"/>
        <w:rPr>
          <w:sz w:val="20"/>
          <w:szCs w:val="20"/>
          <w:color w:val="auto"/>
        </w:rPr>
      </w:pPr>
      <w:r>
        <w:rPr>
          <w:rFonts w:ascii="Arial" w:cs="Arial" w:eastAsia="Arial" w:hAnsi="Arial"/>
          <w:sz w:val="12"/>
          <w:szCs w:val="12"/>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2"/>
          <w:szCs w:val="12"/>
          <w:color w:val="auto"/>
        </w:rPr>
        <w:t>‑</w:t>
      </w:r>
      <w:r>
        <w:rPr>
          <w:rFonts w:ascii="Arial" w:cs="Arial" w:eastAsia="Arial" w:hAnsi="Arial"/>
          <w:sz w:val="12"/>
          <w:szCs w:val="12"/>
          <w:color w:val="auto"/>
        </w:rPr>
        <w:t>by</w:t>
      </w:r>
      <w:r>
        <w:rPr>
          <w:rFonts w:ascii="MS PGothic" w:cs="MS PGothic" w:eastAsia="MS PGothic" w:hAnsi="MS PGothic"/>
          <w:sz w:val="12"/>
          <w:szCs w:val="12"/>
          <w:color w:val="auto"/>
        </w:rPr>
        <w:t>‑</w:t>
      </w:r>
      <w:r>
        <w:rPr>
          <w:rFonts w:ascii="Arial" w:cs="Arial" w:eastAsia="Arial" w:hAnsi="Arial"/>
          <w:sz w:val="12"/>
          <w:szCs w:val="12"/>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509" w:right="199" w:bottom="1440" w:gutter="0" w:footer="0" w:header="0"/>
        </w:sectPr>
      </w:pPr>
    </w:p>
    <w:bookmarkStart w:id="34" w:name="page35"/>
    <w:bookmarkEnd w:id="34"/>
    <w:p>
      <w:pPr>
        <w:ind w:right="200"/>
        <w:spacing w:after="0" w:line="276" w:lineRule="auto"/>
        <w:rPr>
          <w:sz w:val="20"/>
          <w:szCs w:val="20"/>
          <w:color w:val="auto"/>
        </w:rPr>
      </w:pPr>
      <w:r>
        <w:rPr>
          <w:rFonts w:ascii="Arial" w:cs="Arial" w:eastAsia="Arial" w:hAnsi="Arial"/>
          <w:sz w:val="12"/>
          <w:szCs w:val="12"/>
          <w:color w:val="auto"/>
        </w:rPr>
        <w:t>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Through March 31, 2019, the Company paid a total of $0.4 million in license fees due under the MEE License. No license fees are accrued under the MEE License as of March 31, 2019.</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Income Taxes</w:t>
      </w:r>
    </w:p>
    <w:p>
      <w:pPr>
        <w:spacing w:after="0" w:line="154"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For the three months ended March 31, 2019 and 2018, the Company did not record a current or deferred income tax expense or benefit.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provided a full valuation allowance against its net deferred tax assets, as the Company believes that it is more likely than not that the deferred tax assets will not be realized.</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In January 2019, the Company completed an equity offering that it believes will result in an ownership change under Section 382 of the Internal Revenue Code. Based upon estimates, the Company believes that deferred tax assets of $49.5 million, related to federal and Massachusetts net operating losses and credits, will no longer be available going forward. Such amounts are offset by a full valuation allowance at December 31, 2018. The Company will finalize this calculation in 2019.</w:t>
      </w:r>
    </w:p>
    <w:p>
      <w:pPr>
        <w:spacing w:after="0" w:line="12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Company applies ASC 740 to uncertain tax positions. As of the adoption date of January 1, 2010 and through March 31, 2019, the Company had no unrecognized tax benefits or related interest and penalties accrued. Interest and penalty charges, if any, related to unrecognized tax benefits would be classified as income tax expense in the accompanying statement of operations.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25" w:lineRule="exact"/>
        <w:rPr>
          <w:sz w:val="20"/>
          <w:szCs w:val="20"/>
          <w:color w:val="auto"/>
        </w:rPr>
      </w:pPr>
    </w:p>
    <w:p>
      <w:pPr>
        <w:jc w:val="both"/>
        <w:ind w:right="220"/>
        <w:spacing w:after="0" w:line="276" w:lineRule="auto"/>
        <w:rPr>
          <w:sz w:val="20"/>
          <w:szCs w:val="20"/>
          <w:color w:val="auto"/>
        </w:rPr>
      </w:pPr>
      <w:r>
        <w:rPr>
          <w:rFonts w:ascii="Arial" w:cs="Arial" w:eastAsia="Arial" w:hAnsi="Arial"/>
          <w:sz w:val="12"/>
          <w:szCs w:val="12"/>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1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Upon adoption of ASC 842, a deferred tax liability was recorded for the right-of-use asset. The deferred tax asset for the lease liability and the deferred tax asset for the lease incentives was reversed, with no impact to the valuation allowance or deferred tax expense.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Defined Contribution Plan</w:t>
      </w:r>
    </w:p>
    <w:p>
      <w:pPr>
        <w:spacing w:after="0" w:line="154" w:lineRule="exact"/>
        <w:rPr>
          <w:sz w:val="20"/>
          <w:szCs w:val="20"/>
          <w:color w:val="auto"/>
        </w:rPr>
      </w:pPr>
    </w:p>
    <w:p>
      <w:pPr>
        <w:jc w:val="both"/>
        <w:ind w:right="240"/>
        <w:spacing w:after="0" w:line="340" w:lineRule="auto"/>
        <w:rPr>
          <w:sz w:val="20"/>
          <w:szCs w:val="20"/>
          <w:color w:val="auto"/>
        </w:rPr>
      </w:pPr>
      <w:r>
        <w:rPr>
          <w:rFonts w:ascii="Arial" w:cs="Arial" w:eastAsia="Arial" w:hAnsi="Arial"/>
          <w:sz w:val="10"/>
          <w:szCs w:val="10"/>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March 31, 2019 and 2018,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As of March 31, 2019, the Company had operating lease agreements for offices in Watertown, MA, see Note 9 to the condensed consolidated financial statements for additional information regarding the Company's leases.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40"/>
          </w:cols>
          <w:pgMar w:left="220" w:top="509" w:right="239" w:bottom="1440" w:gutter="0" w:footer="0" w:header="0"/>
        </w:sectPr>
      </w:pPr>
    </w:p>
    <w:bookmarkStart w:id="35" w:name="page36"/>
    <w:bookmarkEnd w:id="35"/>
    <w:p>
      <w:pPr>
        <w:ind w:right="20"/>
        <w:spacing w:after="0" w:line="146" w:lineRule="exact"/>
        <w:rPr>
          <w:sz w:val="20"/>
          <w:szCs w:val="20"/>
          <w:color w:val="auto"/>
        </w:rPr>
      </w:pPr>
      <w:r>
        <w:rPr>
          <w:rFonts w:ascii="Arial" w:cs="Arial" w:eastAsia="Arial" w:hAnsi="Arial"/>
          <w:sz w:val="12"/>
          <w:szCs w:val="12"/>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2"/>
          <w:szCs w:val="12"/>
          <w:color w:val="auto"/>
        </w:rPr>
        <w:t>‑</w:t>
      </w:r>
      <w:r>
        <w:rPr>
          <w:rFonts w:ascii="Arial" w:cs="Arial" w:eastAsia="Arial" w:hAnsi="Arial"/>
          <w:sz w:val="12"/>
          <w:szCs w:val="12"/>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36"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We are a clinical-stage biopharmaceutical company using our ImmTOR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1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Our proprietary tolerogenic ImmTOR technology encapsulates an immunomodulator in biodegradable nanoparticles to mitigate the formation of anti-drug antibodies, or ADAs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Our lead product candidate, SEL-212, is a combination of a therapeutic uricase enzyme and our ImmTOR technology that is designed to be the first biologic treatment that durably controls uric acid while also dissolving harmful deposits of uric acid in patients with chronic refractory gout, a debilitating rare disease with an unmet medical need. We have submitted to the FDA two investigational new drug, or IND, applications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we believe that SEL-212 has the potential to control serum uric acid levels and mitigate the formation of ADAs in response to the therapeutic enzyme.</w:t>
      </w:r>
    </w:p>
    <w:p>
      <w:pPr>
        <w:spacing w:after="0" w:line="109"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In March 2019, we initiated a head-to-head clinical trial of SEL-212 (COMPARE) compared to the current FDA-approved uricase therapy, Krystexxa. The COMPARE trial is expected to enroll 150 patients and is designed to compare the efficacy and safety of SEL-212 to Krystexxa in adult patients with chronic refractory gout. The primary endpoint is the maintenance of serum uric acid (sUA) levels of &lt;6mg/dL at six months. An interim six-month data readout is projected in the fourth quarter of 2019 with a full statistical superiority data analysis readout expected in the first quarter of 2020. The interim results and learnings of the COMPARE trial are expected to inform the design of the planned Phase 3 clinical trial of SEL-212, which we plan to initiate in the fourth quarter of 2019, assuming we are able to raise the additional capital necessary to conduct the trial.</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SEL-212 is designed as a monthly treatment for chronic refractory gout consisting of ImmTOR co-administered with pegadricase, our proprietary pegylated uricase. Our preclinical data indicate that ImmTOR, when co-administered with pegadricase, may induce antigen-specific immune tolerance to pegadricase and substantially reduce the formation of associated ADAs. Our Phase 1 data shows that ImmTOR mitigated the formation of ADAs against pegadricase after a single dose of SEL-212. We believe that SEL-212 has the potential to offer a uniquely effective treatment for patients with chronic refractory gout, while also demonstrating the clinical effectiveness of our ImmTOR technology. We expect our clinical and marketing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509" w:right="199" w:bottom="1440" w:gutter="0" w:footer="0" w:header="0"/>
        </w:sectPr>
      </w:pPr>
    </w:p>
    <w:bookmarkStart w:id="36" w:name="page37"/>
    <w:bookmarkEnd w:id="36"/>
    <w:p>
      <w:pPr>
        <w:ind w:left="8"/>
        <w:spacing w:after="0"/>
        <w:rPr>
          <w:sz w:val="20"/>
          <w:szCs w:val="20"/>
          <w:color w:val="auto"/>
        </w:rPr>
      </w:pPr>
      <w:r>
        <w:rPr>
          <w:rFonts w:ascii="Arial" w:cs="Arial" w:eastAsia="Arial" w:hAnsi="Arial"/>
          <w:sz w:val="12"/>
          <w:szCs w:val="12"/>
          <w:color w:val="auto"/>
        </w:rPr>
        <w:t>strategy for SEL-212 to initially focus on the estimated 160,000 patients in the United States with chronic refractory gout that are being treated by rheumatologists.</w:t>
      </w:r>
    </w:p>
    <w:p>
      <w:pPr>
        <w:spacing w:after="0" w:line="150"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We are also developing two gene therapy product candidates in preclinical development for rare inborn errors of metabolism. SEL-302, our lead gene therapy product candidate, is a potential treatment for methylmalonic acidemia, which can cause severe developmental defects and premature death as a result of an accumulation of toxic metabolites. Our second gene therapy product candidate, SEL-313, is being developed to treat ornithine transcarbamylase deficiency. Our collaboration announced in September 2018 with CureCN, a European consortium, for the use of our ImmTOR technology in combination with an AAV gene therapy in Crigler-Najjar syndrome, a rare genetic disorder characterized by an inability to properly convert and clear bilirubin from the body continues to make progress.</w:t>
      </w:r>
    </w:p>
    <w:p>
      <w:pPr>
        <w:spacing w:after="0" w:line="125" w:lineRule="exact"/>
        <w:rPr>
          <w:sz w:val="20"/>
          <w:szCs w:val="20"/>
          <w:color w:val="auto"/>
        </w:rPr>
      </w:pPr>
    </w:p>
    <w:p>
      <w:pPr>
        <w:ind w:left="8" w:right="120"/>
        <w:spacing w:after="0" w:line="290" w:lineRule="auto"/>
        <w:rPr>
          <w:sz w:val="20"/>
          <w:szCs w:val="20"/>
          <w:color w:val="auto"/>
        </w:rPr>
      </w:pPr>
      <w:r>
        <w:rPr>
          <w:rFonts w:ascii="Arial" w:cs="Arial" w:eastAsia="Arial" w:hAnsi="Arial"/>
          <w:sz w:val="11"/>
          <w:szCs w:val="11"/>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09"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Since inception, we have incurred significant operating losses. We incurred net losses of $12.1 million and $15.9 million for the three months ended March 31, 2019 and 2018, respectively. As of March 31, 2019, we had an accumulated deficit of $292.5 million. We expect to continue incurring significant expenses and operating losses for at least the next several years as we:</w:t>
      </w:r>
    </w:p>
    <w:p>
      <w:pPr>
        <w:spacing w:after="0" w:line="115" w:lineRule="exact"/>
        <w:rPr>
          <w:sz w:val="20"/>
          <w:szCs w:val="20"/>
          <w:color w:val="auto"/>
        </w:rPr>
      </w:pPr>
    </w:p>
    <w:p>
      <w:pPr>
        <w:ind w:left="168" w:hanging="168"/>
        <w:spacing w:after="0" w:line="138" w:lineRule="exact"/>
        <w:tabs>
          <w:tab w:leader="none" w:pos="1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conduct additional clinical trials for SEL</w:t>
      </w:r>
      <w:r>
        <w:rPr>
          <w:rFonts w:ascii="MS PGothic" w:cs="MS PGothic" w:eastAsia="MS PGothic" w:hAnsi="MS PGothic"/>
          <w:sz w:val="12"/>
          <w:szCs w:val="12"/>
          <w:color w:val="auto"/>
        </w:rPr>
        <w:t>‑</w:t>
      </w:r>
      <w:r>
        <w:rPr>
          <w:rFonts w:ascii="Arial" w:cs="Arial" w:eastAsia="Arial" w:hAnsi="Arial"/>
          <w:sz w:val="12"/>
          <w:szCs w:val="12"/>
          <w:color w:val="auto"/>
        </w:rPr>
        <w:t>212;</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continue the research and development of our other product candidates;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seek to enhance our ImmTOR technology and discover and develop additional product candidates;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seek regulatory approvals for any product candidates that successfully complete clinical trials;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potentially establish a sales, marketing and distribution infrastructure and scale</w:t>
      </w:r>
      <w:r>
        <w:rPr>
          <w:rFonts w:ascii="MS PGothic" w:cs="MS PGothic" w:eastAsia="MS PGothic" w:hAnsi="MS PGothic"/>
          <w:sz w:val="12"/>
          <w:szCs w:val="12"/>
          <w:color w:val="auto"/>
        </w:rPr>
        <w:t>‑</w:t>
      </w:r>
      <w:r>
        <w:rPr>
          <w:rFonts w:ascii="Arial" w:cs="Arial" w:eastAsia="Arial" w:hAnsi="Arial"/>
          <w:sz w:val="12"/>
          <w:szCs w:val="12"/>
          <w:color w:val="auto"/>
        </w:rPr>
        <w:t>up external manufacturing capabilities to commercialize any products for which we may obtain regulatory approval;</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 including through licensing arrangements; and</w:t>
      </w:r>
    </w:p>
    <w:p>
      <w:pPr>
        <w:spacing w:after="0" w:line="150"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15" w:lineRule="exact"/>
        <w:rPr>
          <w:sz w:val="20"/>
          <w:szCs w:val="20"/>
          <w:color w:val="auto"/>
        </w:rPr>
      </w:pPr>
    </w:p>
    <w:p>
      <w:pPr>
        <w:ind w:left="8" w:right="220"/>
        <w:spacing w:after="0" w:line="263" w:lineRule="auto"/>
        <w:rPr>
          <w:sz w:val="20"/>
          <w:szCs w:val="20"/>
          <w:color w:val="auto"/>
        </w:rPr>
      </w:pPr>
      <w:r>
        <w:rPr>
          <w:rFonts w:ascii="Arial" w:cs="Arial" w:eastAsia="Arial" w:hAnsi="Arial"/>
          <w:sz w:val="12"/>
          <w:szCs w:val="12"/>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23" w:lineRule="exact"/>
        <w:rPr>
          <w:sz w:val="20"/>
          <w:szCs w:val="20"/>
          <w:color w:val="auto"/>
        </w:rPr>
      </w:pPr>
    </w:p>
    <w:p>
      <w:pPr>
        <w:ind w:left="8" w:right="60"/>
        <w:spacing w:after="0" w:line="290" w:lineRule="auto"/>
        <w:rPr>
          <w:sz w:val="20"/>
          <w:szCs w:val="20"/>
          <w:color w:val="auto"/>
        </w:rPr>
      </w:pPr>
      <w:r>
        <w:rPr>
          <w:rFonts w:ascii="Arial" w:cs="Arial" w:eastAsia="Arial" w:hAnsi="Arial"/>
          <w:sz w:val="11"/>
          <w:szCs w:val="11"/>
          <w:color w:val="auto"/>
        </w:rPr>
        <w:t>The current operating plan accounts for funding in preparation for the planned Phase 3 clinical program for SEL-212, which we plan to initiate in the fourth quarter of 2019. We believe that we have the financial resources to complete the head-to-head Phase 2 COMPARE trial against Krystexxa, but will require an additional equity offering or other external sources of capital to conduct the planned Phase 3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 For additional information, see “Liquidity and Capital Resources.”</w:t>
      </w:r>
    </w:p>
    <w:p>
      <w:pPr>
        <w:spacing w:after="0" w:line="109" w:lineRule="exact"/>
        <w:rPr>
          <w:sz w:val="20"/>
          <w:szCs w:val="20"/>
          <w:color w:val="auto"/>
        </w:rPr>
      </w:pPr>
    </w:p>
    <w:p>
      <w:pPr>
        <w:ind w:left="8" w:right="520"/>
        <w:spacing w:after="0" w:line="276" w:lineRule="auto"/>
        <w:rPr>
          <w:sz w:val="20"/>
          <w:szCs w:val="20"/>
          <w:color w:val="auto"/>
        </w:rPr>
      </w:pPr>
      <w:r>
        <w:rPr>
          <w:rFonts w:ascii="Arial" w:cs="Arial" w:eastAsia="Arial" w:hAnsi="Arial"/>
          <w:sz w:val="12"/>
          <w:szCs w:val="12"/>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OPERATIONS OVERVIEW</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Grant and collaboration revenue</w:t>
      </w:r>
    </w:p>
    <w:p>
      <w:pPr>
        <w:spacing w:after="0" w:line="154" w:lineRule="exact"/>
        <w:rPr>
          <w:sz w:val="20"/>
          <w:szCs w:val="20"/>
          <w:color w:val="auto"/>
        </w:rPr>
      </w:pPr>
    </w:p>
    <w:p>
      <w:pPr>
        <w:ind w:left="8" w:right="380"/>
        <w:spacing w:after="0" w:line="276" w:lineRule="auto"/>
        <w:rPr>
          <w:sz w:val="20"/>
          <w:szCs w:val="20"/>
          <w:color w:val="auto"/>
        </w:rPr>
      </w:pPr>
      <w:r>
        <w:rPr>
          <w:rFonts w:ascii="Arial" w:cs="Arial" w:eastAsia="Arial" w:hAnsi="Arial"/>
          <w:sz w:val="12"/>
          <w:szCs w:val="12"/>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8"/>
          </w:cols>
          <w:pgMar w:left="212" w:top="509" w:right="219" w:bottom="1440" w:gutter="0" w:footer="0" w:header="0"/>
        </w:sectPr>
      </w:pPr>
    </w:p>
    <w:bookmarkStart w:id="37" w:name="page38"/>
    <w:bookmarkEnd w:id="37"/>
    <w:p>
      <w:pPr>
        <w:ind w:right="200"/>
        <w:spacing w:after="0" w:line="146" w:lineRule="exact"/>
        <w:rPr>
          <w:sz w:val="20"/>
          <w:szCs w:val="20"/>
          <w:color w:val="auto"/>
        </w:rPr>
      </w:pPr>
      <w:r>
        <w:rPr>
          <w:rFonts w:ascii="Arial" w:cs="Arial" w:eastAsia="Arial" w:hAnsi="Arial"/>
          <w:sz w:val="11"/>
          <w:szCs w:val="11"/>
          <w:color w:val="auto"/>
        </w:rPr>
        <w:t>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1"/>
          <w:szCs w:val="11"/>
          <w:color w:val="auto"/>
        </w:rPr>
        <w:t>‑</w:t>
      </w:r>
      <w:r>
        <w:rPr>
          <w:rFonts w:ascii="Arial" w:cs="Arial" w:eastAsia="Arial" w:hAnsi="Arial"/>
          <w:sz w:val="11"/>
          <w:szCs w:val="11"/>
          <w:color w:val="auto"/>
        </w:rPr>
        <w:t>based revenue, see Notes 2 and 13 to our consolidated financial statements included elsewhere in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ind w:right="40"/>
        <w:spacing w:after="0" w:line="148" w:lineRule="exact"/>
        <w:rPr>
          <w:sz w:val="20"/>
          <w:szCs w:val="20"/>
          <w:color w:val="auto"/>
        </w:rPr>
      </w:pPr>
      <w:r>
        <w:rPr>
          <w:rFonts w:ascii="Arial" w:cs="Arial" w:eastAsia="Arial" w:hAnsi="Arial"/>
          <w:sz w:val="11"/>
          <w:szCs w:val="11"/>
          <w:color w:val="auto"/>
        </w:rPr>
        <w:t>Our research and development expenses consist of external research and development costs, which we track on a program</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135" w:lineRule="exact"/>
        <w:rPr>
          <w:sz w:val="20"/>
          <w:szCs w:val="20"/>
          <w:color w:val="auto"/>
        </w:rPr>
      </w:pPr>
    </w:p>
    <w:p>
      <w:pPr>
        <w:ind w:right="40"/>
        <w:spacing w:after="0" w:line="149" w:lineRule="exact"/>
        <w:rPr>
          <w:sz w:val="20"/>
          <w:szCs w:val="20"/>
          <w:color w:val="auto"/>
        </w:rPr>
      </w:pPr>
      <w:r>
        <w:rPr>
          <w:rFonts w:ascii="Arial" w:cs="Arial" w:eastAsia="Arial" w:hAnsi="Arial"/>
          <w:sz w:val="12"/>
          <w:szCs w:val="12"/>
          <w:color w:val="auto"/>
        </w:rPr>
        <w:t>We have incurred a total of $205.4 million in research and development expenses from inception through March 31, 2019, with a majority of the expenses being spent on the development of SEL</w:t>
      </w:r>
      <w:r>
        <w:rPr>
          <w:rFonts w:ascii="MS PGothic" w:cs="MS PGothic" w:eastAsia="MS PGothic" w:hAnsi="MS PGothic"/>
          <w:sz w:val="12"/>
          <w:szCs w:val="12"/>
          <w:color w:val="auto"/>
        </w:rPr>
        <w:t>‑</w:t>
      </w:r>
      <w:r>
        <w:rPr>
          <w:rFonts w:ascii="Arial" w:cs="Arial" w:eastAsia="Arial" w:hAnsi="Arial"/>
          <w:sz w:val="12"/>
          <w:szCs w:val="12"/>
          <w:color w:val="auto"/>
        </w:rPr>
        <w:t>212 and a prior nicotine vaccine candidate, and the remainder being spent on our various discovery and preclinical stage product candidate programs and the general expansion of our technology.</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connection with our intention to focus on advancing our ImmTOR platform, as stated in January 2019, we completed ongoing work on our immune stimulation programs SELA-070 and SEL-701, and currently do not have plans to move these programs forward or to perform any additional work on either of these programs.</w:t>
      </w:r>
    </w:p>
    <w:p>
      <w:pPr>
        <w:spacing w:after="0" w:line="4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As we expand the clinical development of SEL</w:t>
      </w:r>
      <w:r>
        <w:rPr>
          <w:rFonts w:ascii="MS PGothic" w:cs="MS PGothic" w:eastAsia="MS PGothic" w:hAnsi="MS PGothic"/>
          <w:sz w:val="12"/>
          <w:szCs w:val="12"/>
          <w:color w:val="auto"/>
        </w:rPr>
        <w:t>‑</w:t>
      </w:r>
      <w:r>
        <w:rPr>
          <w:rFonts w:ascii="Arial" w:cs="Arial" w:eastAsia="Arial" w:hAnsi="Arial"/>
          <w:sz w:val="12"/>
          <w:szCs w:val="12"/>
          <w:color w:val="auto"/>
        </w:rPr>
        <w:t>212 and our gene therapy programs, we expect our research and development expenses to increase.</w:t>
      </w:r>
    </w:p>
    <w:p>
      <w:pPr>
        <w:spacing w:after="0" w:line="150" w:lineRule="exact"/>
        <w:rPr>
          <w:sz w:val="20"/>
          <w:szCs w:val="20"/>
          <w:color w:val="auto"/>
        </w:rPr>
      </w:pPr>
    </w:p>
    <w:p>
      <w:pPr>
        <w:ind w:right="20"/>
        <w:spacing w:after="0" w:line="145" w:lineRule="exact"/>
        <w:rPr>
          <w:sz w:val="20"/>
          <w:szCs w:val="20"/>
          <w:color w:val="auto"/>
        </w:rPr>
      </w:pPr>
      <w:r>
        <w:rPr>
          <w:rFonts w:ascii="Arial" w:cs="Arial" w:eastAsia="Arial" w:hAnsi="Arial"/>
          <w:sz w:val="11"/>
          <w:szCs w:val="11"/>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We plan to increase our research and development expenses for the foreseeable future as we seek to complete development of SEL</w:t>
      </w:r>
      <w:r>
        <w:rPr>
          <w:rFonts w:ascii="MS PGothic" w:cs="MS PGothic" w:eastAsia="MS PGothic" w:hAnsi="MS PGothic"/>
          <w:sz w:val="11"/>
          <w:szCs w:val="11"/>
          <w:color w:val="auto"/>
        </w:rPr>
        <w:t>‑</w:t>
      </w:r>
      <w:r>
        <w:rPr>
          <w:rFonts w:ascii="Arial" w:cs="Arial" w:eastAsia="Arial" w:hAnsi="Arial"/>
          <w:sz w:val="11"/>
          <w:szCs w:val="11"/>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1"/>
          <w:szCs w:val="11"/>
          <w:color w:val="auto"/>
        </w:rPr>
        <w:t>‑</w:t>
      </w:r>
      <w:r>
        <w:rPr>
          <w:rFonts w:ascii="Arial" w:cs="Arial" w:eastAsia="Arial" w:hAnsi="Arial"/>
          <w:sz w:val="11"/>
          <w:szCs w:val="11"/>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components of our research and development expenses during the periods indicated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Three Months Ended March 31,</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73"/>
        </w:trPr>
        <w:tc>
          <w:tcPr>
            <w:tcW w:w="7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Research and development expenses (key projects and initiatives):</w:t>
            </w: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7700" w:type="dxa"/>
            <w:vAlign w:val="bottom"/>
          </w:tcPr>
          <w:p>
            <w:pPr>
              <w:ind w:left="180"/>
              <w:spacing w:after="0"/>
              <w:rPr>
                <w:sz w:val="20"/>
                <w:szCs w:val="20"/>
                <w:color w:val="auto"/>
              </w:rPr>
            </w:pPr>
            <w:r>
              <w:rPr>
                <w:rFonts w:ascii="Arial" w:cs="Arial" w:eastAsia="Arial" w:hAnsi="Arial"/>
                <w:sz w:val="10"/>
                <w:szCs w:val="10"/>
                <w:color w:val="auto"/>
              </w:rPr>
              <w:t>SEL-212</w:t>
            </w:r>
          </w:p>
        </w:tc>
        <w:tc>
          <w:tcPr>
            <w:tcW w:w="440" w:type="dxa"/>
            <w:vAlign w:val="bottom"/>
            <w:vMerge w:val="restart"/>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vMerge w:val="restart"/>
          </w:tcPr>
          <w:p>
            <w:pPr>
              <w:jc w:val="right"/>
              <w:ind w:right="72"/>
              <w:spacing w:after="0"/>
              <w:rPr>
                <w:sz w:val="20"/>
                <w:szCs w:val="20"/>
                <w:color w:val="auto"/>
              </w:rPr>
            </w:pPr>
            <w:r>
              <w:rPr>
                <w:rFonts w:ascii="Arial" w:cs="Arial" w:eastAsia="Arial" w:hAnsi="Arial"/>
                <w:sz w:val="10"/>
                <w:szCs w:val="10"/>
                <w:color w:val="auto"/>
              </w:rPr>
              <w:t>2,861</w:t>
            </w:r>
          </w:p>
        </w:tc>
        <w:tc>
          <w:tcPr>
            <w:tcW w:w="120" w:type="dxa"/>
            <w:vAlign w:val="bottom"/>
          </w:tcPr>
          <w:p>
            <w:pPr>
              <w:spacing w:after="0"/>
              <w:rPr>
                <w:sz w:val="11"/>
                <w:szCs w:val="11"/>
                <w:color w:val="auto"/>
              </w:rPr>
            </w:pPr>
          </w:p>
        </w:tc>
        <w:tc>
          <w:tcPr>
            <w:tcW w:w="700" w:type="dxa"/>
            <w:vAlign w:val="bottom"/>
            <w:vMerge w:val="restart"/>
          </w:tcPr>
          <w:p>
            <w:pPr>
              <w:jc w:val="right"/>
              <w:ind w:right="592"/>
              <w:spacing w:after="0"/>
              <w:rPr>
                <w:sz w:val="20"/>
                <w:szCs w:val="20"/>
                <w:color w:val="auto"/>
              </w:rPr>
            </w:pPr>
            <w:r>
              <w:rPr>
                <w:rFonts w:ascii="Arial" w:cs="Arial" w:eastAsia="Arial" w:hAnsi="Arial"/>
                <w:sz w:val="10"/>
                <w:szCs w:val="10"/>
                <w:color w:val="auto"/>
                <w:w w:val="71"/>
              </w:rPr>
              <w:t>$</w:t>
            </w:r>
          </w:p>
        </w:tc>
        <w:tc>
          <w:tcPr>
            <w:tcW w:w="1120" w:type="dxa"/>
            <w:vAlign w:val="bottom"/>
            <w:vMerge w:val="restart"/>
          </w:tcPr>
          <w:p>
            <w:pPr>
              <w:jc w:val="right"/>
              <w:ind w:right="72"/>
              <w:spacing w:after="0"/>
              <w:rPr>
                <w:sz w:val="20"/>
                <w:szCs w:val="20"/>
                <w:color w:val="auto"/>
              </w:rPr>
            </w:pPr>
            <w:r>
              <w:rPr>
                <w:rFonts w:ascii="Arial" w:cs="Arial" w:eastAsia="Arial" w:hAnsi="Arial"/>
                <w:sz w:val="10"/>
                <w:szCs w:val="10"/>
                <w:color w:val="auto"/>
              </w:rPr>
              <w:t>4,802</w:t>
            </w:r>
          </w:p>
        </w:tc>
        <w:tc>
          <w:tcPr>
            <w:tcW w:w="0" w:type="dxa"/>
            <w:vAlign w:val="bottom"/>
          </w:tcPr>
          <w:p>
            <w:pPr>
              <w:spacing w:after="0"/>
              <w:rPr>
                <w:sz w:val="1"/>
                <w:szCs w:val="1"/>
                <w:color w:val="auto"/>
              </w:rPr>
            </w:pPr>
          </w:p>
        </w:tc>
      </w:tr>
      <w:tr>
        <w:trPr>
          <w:trHeight w:val="49"/>
        </w:trPr>
        <w:tc>
          <w:tcPr>
            <w:tcW w:w="77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SELA-070</w:t>
            </w:r>
          </w:p>
        </w:tc>
        <w:tc>
          <w:tcPr>
            <w:tcW w:w="4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53</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27"/>
        </w:trPr>
        <w:tc>
          <w:tcPr>
            <w:tcW w:w="7700" w:type="dxa"/>
            <w:vAlign w:val="bottom"/>
          </w:tcPr>
          <w:p>
            <w:pPr>
              <w:ind w:left="180"/>
              <w:spacing w:after="0"/>
              <w:rPr>
                <w:sz w:val="20"/>
                <w:szCs w:val="20"/>
                <w:color w:val="auto"/>
              </w:rPr>
            </w:pPr>
            <w:r>
              <w:rPr>
                <w:rFonts w:ascii="Arial" w:cs="Arial" w:eastAsia="Arial" w:hAnsi="Arial"/>
                <w:sz w:val="10"/>
                <w:szCs w:val="10"/>
                <w:color w:val="auto"/>
              </w:rPr>
              <w:t>Discovery and preclinical stage product candidate programs, collectively</w:t>
            </w:r>
          </w:p>
        </w:tc>
        <w:tc>
          <w:tcPr>
            <w:tcW w:w="440" w:type="dxa"/>
            <w:vAlign w:val="bottom"/>
          </w:tcPr>
          <w:p>
            <w:pPr>
              <w:spacing w:after="0"/>
              <w:rPr>
                <w:sz w:val="11"/>
                <w:szCs w:val="11"/>
                <w:color w:val="auto"/>
              </w:rPr>
            </w:pPr>
          </w:p>
        </w:tc>
        <w:tc>
          <w:tcPr>
            <w:tcW w:w="1400" w:type="dxa"/>
            <w:vAlign w:val="bottom"/>
            <w:vMerge w:val="restart"/>
          </w:tcPr>
          <w:p>
            <w:pPr>
              <w:jc w:val="right"/>
              <w:ind w:right="72"/>
              <w:spacing w:after="0"/>
              <w:rPr>
                <w:sz w:val="20"/>
                <w:szCs w:val="20"/>
                <w:color w:val="auto"/>
              </w:rPr>
            </w:pPr>
            <w:r>
              <w:rPr>
                <w:rFonts w:ascii="Arial" w:cs="Arial" w:eastAsia="Arial" w:hAnsi="Arial"/>
                <w:sz w:val="10"/>
                <w:szCs w:val="10"/>
                <w:color w:val="auto"/>
              </w:rPr>
              <w:t>289</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49"/>
        </w:trPr>
        <w:tc>
          <w:tcPr>
            <w:tcW w:w="7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internal research and development expenses</w:t>
            </w:r>
          </w:p>
        </w:tc>
        <w:tc>
          <w:tcPr>
            <w:tcW w:w="4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4,150</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5,956</w:t>
            </w:r>
          </w:p>
        </w:tc>
        <w:tc>
          <w:tcPr>
            <w:tcW w:w="0" w:type="dxa"/>
            <w:vAlign w:val="bottom"/>
          </w:tcPr>
          <w:p>
            <w:pPr>
              <w:spacing w:after="0"/>
              <w:rPr>
                <w:sz w:val="1"/>
                <w:szCs w:val="1"/>
                <w:color w:val="auto"/>
              </w:rPr>
            </w:pPr>
          </w:p>
        </w:tc>
      </w:tr>
      <w:tr>
        <w:trPr>
          <w:trHeight w:val="116"/>
        </w:trPr>
        <w:tc>
          <w:tcPr>
            <w:tcW w:w="7700" w:type="dxa"/>
            <w:vAlign w:val="bottom"/>
          </w:tcPr>
          <w:p>
            <w:pPr>
              <w:ind w:left="120"/>
              <w:spacing w:after="0" w:line="107" w:lineRule="exact"/>
              <w:rPr>
                <w:sz w:val="20"/>
                <w:szCs w:val="20"/>
                <w:color w:val="auto"/>
              </w:rPr>
            </w:pPr>
            <w:r>
              <w:rPr>
                <w:rFonts w:ascii="Arial" w:cs="Arial" w:eastAsia="Arial" w:hAnsi="Arial"/>
                <w:sz w:val="10"/>
                <w:szCs w:val="10"/>
                <w:color w:val="auto"/>
              </w:rPr>
              <w:t>Total research and development expenses</w:t>
            </w:r>
          </w:p>
        </w:tc>
        <w:tc>
          <w:tcPr>
            <w:tcW w:w="440" w:type="dxa"/>
            <w:vAlign w:val="bottom"/>
            <w:tcBorders>
              <w:top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7,353</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11,139</w:t>
            </w:r>
          </w:p>
        </w:tc>
        <w:tc>
          <w:tcPr>
            <w:tcW w:w="0" w:type="dxa"/>
            <w:vAlign w:val="bottom"/>
          </w:tcPr>
          <w:p>
            <w:pPr>
              <w:spacing w:after="0"/>
              <w:rPr>
                <w:sz w:val="1"/>
                <w:szCs w:val="1"/>
                <w:color w:val="auto"/>
              </w:rPr>
            </w:pPr>
          </w:p>
        </w:tc>
      </w:tr>
      <w:tr>
        <w:trPr>
          <w:trHeight w:val="42"/>
        </w:trPr>
        <w:tc>
          <w:tcPr>
            <w:tcW w:w="77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54"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509"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Investment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Investment income consists primarily of interest income earned on our cash and cash equivalents and short-term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consists of interest expense on amounts borrowed under our credit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Other income (expense) for each of the three months ended March 31, 2019 and 2018 was de minimis.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transaction gain (loss)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March 31, 2019 and December 31, 2018, we maintained cash of $0.4 million and $0.4 million, respectively, in Russian banks, of which $0.4 million and $0.4 million was denominated in U.S. dollars for the three months ended March 31, 2019 and the year ended December 31, 2018, respectively. The amounts denominated in U.S. dollars and used in transacting the day-to-day operations of our Russian subsidiary are subject to transaction gains and losses, which are reported as incurred.</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Months Ended March 31, 2019 and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comparison of revenue for the three months ended March 31, 2019 and 2018 (in thousands, except percentages):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00" w:type="dxa"/>
            <w:vAlign w:val="bottom"/>
            <w:gridSpan w:val="3"/>
          </w:tcPr>
          <w:p>
            <w:pPr>
              <w:spacing w:after="0"/>
              <w:rPr>
                <w:sz w:val="20"/>
                <w:szCs w:val="20"/>
                <w:color w:val="auto"/>
              </w:rPr>
            </w:pPr>
            <w:r>
              <w:rPr>
                <w:rFonts w:ascii="Arial" w:cs="Arial" w:eastAsia="Arial" w:hAnsi="Arial"/>
                <w:sz w:val="10"/>
                <w:szCs w:val="10"/>
                <w:b w:val="1"/>
                <w:bCs w:val="1"/>
                <w:color w:val="auto"/>
              </w:rPr>
              <w:t>Three Months Ended March 31,</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40" w:type="dxa"/>
            <w:vAlign w:val="bottom"/>
            <w:gridSpan w:val="3"/>
            <w:vMerge w:val="restart"/>
          </w:tcPr>
          <w:p>
            <w:pPr>
              <w:jc w:val="center"/>
              <w:ind w:right="1172"/>
              <w:spacing w:after="0"/>
              <w:rPr>
                <w:sz w:val="20"/>
                <w:szCs w:val="20"/>
                <w:color w:val="auto"/>
              </w:rPr>
            </w:pPr>
            <w:r>
              <w:rPr>
                <w:rFonts w:ascii="Arial" w:cs="Arial" w:eastAsia="Arial" w:hAnsi="Arial"/>
                <w:sz w:val="10"/>
                <w:szCs w:val="10"/>
                <w:b w:val="1"/>
                <w:bCs w:val="1"/>
                <w:color w:val="auto"/>
                <w:w w:val="83"/>
              </w:rPr>
              <w:t>Increase</w:t>
            </w:r>
          </w:p>
        </w:tc>
        <w:tc>
          <w:tcPr>
            <w:tcW w:w="0" w:type="dxa"/>
            <w:vAlign w:val="bottom"/>
          </w:tcPr>
          <w:p>
            <w:pPr>
              <w:spacing w:after="0"/>
              <w:rPr>
                <w:sz w:val="1"/>
                <w:szCs w:val="1"/>
                <w:color w:val="auto"/>
              </w:rPr>
            </w:pPr>
          </w:p>
        </w:tc>
      </w:tr>
      <w:tr>
        <w:trPr>
          <w:trHeight w:val="49"/>
        </w:trPr>
        <w:tc>
          <w:tcPr>
            <w:tcW w:w="55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2018</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72"/>
              <w:spacing w:after="0"/>
              <w:rPr>
                <w:sz w:val="20"/>
                <w:szCs w:val="20"/>
                <w:color w:val="auto"/>
              </w:rPr>
            </w:pPr>
            <w:r>
              <w:rPr>
                <w:rFonts w:ascii="Arial" w:cs="Arial" w:eastAsia="Arial" w:hAnsi="Arial"/>
                <w:sz w:val="10"/>
                <w:szCs w:val="10"/>
                <w:b w:val="1"/>
                <w:bCs w:val="1"/>
                <w:color w:val="auto"/>
                <w:w w:val="83"/>
              </w:rPr>
              <w:t>(decrease)</w:t>
            </w:r>
          </w:p>
        </w:tc>
        <w:tc>
          <w:tcPr>
            <w:tcW w:w="0" w:type="dxa"/>
            <w:vAlign w:val="bottom"/>
          </w:tcPr>
          <w:p>
            <w:pPr>
              <w:spacing w:after="0"/>
              <w:rPr>
                <w:sz w:val="1"/>
                <w:szCs w:val="1"/>
                <w:color w:val="auto"/>
              </w:rPr>
            </w:pPr>
          </w:p>
        </w:tc>
      </w:tr>
      <w:tr>
        <w:trPr>
          <w:trHeight w:val="137"/>
        </w:trPr>
        <w:tc>
          <w:tcPr>
            <w:tcW w:w="5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Grant revenue</w:t>
            </w: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ind w:left="540"/>
              <w:spacing w:after="0"/>
              <w:rPr>
                <w:sz w:val="20"/>
                <w:szCs w:val="20"/>
                <w:color w:val="auto"/>
              </w:rPr>
            </w:pPr>
            <w:r>
              <w:rPr>
                <w:rFonts w:ascii="Arial" w:cs="Arial" w:eastAsia="Arial" w:hAnsi="Arial"/>
                <w:sz w:val="10"/>
                <w:szCs w:val="10"/>
                <w:color w:val="auto"/>
                <w:w w:val="79"/>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ind w:left="1180"/>
              <w:spacing w:after="0"/>
              <w:rPr>
                <w:sz w:val="20"/>
                <w:szCs w:val="20"/>
                <w:color w:val="auto"/>
              </w:rPr>
            </w:pPr>
            <w:r>
              <w:rPr>
                <w:rFonts w:ascii="Arial" w:cs="Arial" w:eastAsia="Arial" w:hAnsi="Arial"/>
                <w:sz w:val="10"/>
                <w:szCs w:val="10"/>
                <w:color w:val="auto"/>
                <w:w w:val="95"/>
              </w:rPr>
              <w:t>—%</w:t>
            </w:r>
          </w:p>
        </w:tc>
        <w:tc>
          <w:tcPr>
            <w:tcW w:w="0" w:type="dxa"/>
            <w:vAlign w:val="bottom"/>
          </w:tcPr>
          <w:p>
            <w:pPr>
              <w:spacing w:after="0"/>
              <w:rPr>
                <w:sz w:val="1"/>
                <w:szCs w:val="1"/>
                <w:color w:val="auto"/>
              </w:rPr>
            </w:pPr>
          </w:p>
        </w:tc>
      </w:tr>
      <w:tr>
        <w:trPr>
          <w:trHeight w:val="17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Collaboration revenue</w:t>
            </w:r>
          </w:p>
        </w:tc>
        <w:tc>
          <w:tcPr>
            <w:tcW w:w="7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0"/>
                <w:szCs w:val="10"/>
                <w:color w:val="auto"/>
              </w:rPr>
              <w:t>10</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540"/>
              <w:spacing w:after="0"/>
              <w:rPr>
                <w:sz w:val="20"/>
                <w:szCs w:val="20"/>
                <w:color w:val="auto"/>
              </w:rPr>
            </w:pPr>
            <w:r>
              <w:rPr>
                <w:rFonts w:ascii="Arial" w:cs="Arial" w:eastAsia="Arial" w:hAnsi="Arial"/>
                <w:sz w:val="10"/>
                <w:szCs w:val="10"/>
                <w:color w:val="auto"/>
                <w:w w:val="71"/>
              </w:rPr>
              <w:t>10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0"/>
                <w:szCs w:val="10"/>
                <w:color w:val="auto"/>
                <w:w w:val="95"/>
              </w:rPr>
              <w:t>—%</w:t>
            </w:r>
          </w:p>
        </w:tc>
        <w:tc>
          <w:tcPr>
            <w:tcW w:w="0" w:type="dxa"/>
            <w:vAlign w:val="bottom"/>
          </w:tcPr>
          <w:p>
            <w:pPr>
              <w:spacing w:after="0"/>
              <w:rPr>
                <w:sz w:val="1"/>
                <w:szCs w:val="1"/>
                <w:color w:val="auto"/>
              </w:rPr>
            </w:pPr>
          </w:p>
        </w:tc>
      </w:tr>
      <w:tr>
        <w:trPr>
          <w:trHeight w:val="162"/>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revenue</w:t>
            </w:r>
          </w:p>
        </w:tc>
        <w:tc>
          <w:tcPr>
            <w:tcW w:w="7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0"/>
                <w:szCs w:val="10"/>
                <w:color w:val="auto"/>
              </w:rPr>
              <w:t>10</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0"/>
                <w:szCs w:val="10"/>
                <w:color w:val="auto"/>
                <w:w w:val="71"/>
              </w:rPr>
              <w:t>10</w:t>
            </w: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0"/>
                <w:szCs w:val="10"/>
                <w:color w:val="auto"/>
                <w:w w:val="95"/>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March 31, 2019, the Company recognized less than $0.1 million of revenue for a shipment under our collaboration agreement with Spark.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comparison of research and development expenses for the three months ended March 31, 2019 and 2018 (in thousands, except percentages):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b w:val="1"/>
                <w:bCs w:val="1"/>
                <w:color w:val="auto"/>
                <w:w w:val="87"/>
              </w:rPr>
              <w:t>Three Months Ended March 31,</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0" w:type="dxa"/>
            <w:vAlign w:val="bottom"/>
            <w:vMerge w:val="restart"/>
          </w:tcPr>
          <w:p>
            <w:pPr>
              <w:jc w:val="center"/>
              <w:ind w:left="172"/>
              <w:spacing w:after="0"/>
              <w:rPr>
                <w:sz w:val="20"/>
                <w:szCs w:val="20"/>
                <w:color w:val="auto"/>
              </w:rPr>
            </w:pPr>
            <w:r>
              <w:rPr>
                <w:rFonts w:ascii="Arial" w:cs="Arial" w:eastAsia="Arial" w:hAnsi="Arial"/>
                <w:sz w:val="10"/>
                <w:szCs w:val="10"/>
                <w:b w:val="1"/>
                <w:bCs w:val="1"/>
                <w:color w:val="auto"/>
                <w:w w:val="83"/>
              </w:rPr>
              <w:t>Increase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5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w w:val="71"/>
              </w:rPr>
              <w:t>2018</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83"/>
              </w:rPr>
              <w:t>(decrease)</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Research and development</w:t>
            </w:r>
          </w:p>
        </w:tc>
        <w:tc>
          <w:tcPr>
            <w:tcW w:w="80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7,353</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11,139</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(3,786)</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During the three months ended March 31, 2019</w:t>
      </w:r>
      <w:r>
        <w:rPr>
          <w:rFonts w:ascii="Arial" w:cs="Arial" w:eastAsia="Arial" w:hAnsi="Arial"/>
          <w:sz w:val="12"/>
          <w:szCs w:val="12"/>
          <w:color w:val="2C2C2C"/>
        </w:rPr>
        <w:t>, our research and development expenses decreased by</w:t>
      </w:r>
      <w:r>
        <w:rPr>
          <w:rFonts w:ascii="Arial" w:cs="Arial" w:eastAsia="Arial" w:hAnsi="Arial"/>
          <w:sz w:val="12"/>
          <w:szCs w:val="12"/>
          <w:color w:val="auto"/>
        </w:rPr>
        <w:t xml:space="preserve"> $3.8 million</w:t>
      </w:r>
      <w:r>
        <w:rPr>
          <w:rFonts w:ascii="Arial" w:cs="Arial" w:eastAsia="Arial" w:hAnsi="Arial"/>
          <w:sz w:val="12"/>
          <w:szCs w:val="12"/>
          <w:color w:val="2C2C2C"/>
        </w:rPr>
        <w:t>, or</w:t>
      </w:r>
      <w:r>
        <w:rPr>
          <w:rFonts w:ascii="Arial" w:cs="Arial" w:eastAsia="Arial" w:hAnsi="Arial"/>
          <w:sz w:val="12"/>
          <w:szCs w:val="12"/>
          <w:color w:val="auto"/>
        </w:rPr>
        <w:t xml:space="preserve"> 34%</w:t>
      </w:r>
      <w:r>
        <w:rPr>
          <w:rFonts w:ascii="Arial" w:cs="Arial" w:eastAsia="Arial" w:hAnsi="Arial"/>
          <w:sz w:val="12"/>
          <w:szCs w:val="12"/>
          <w:color w:val="2C2C2C"/>
        </w:rPr>
        <w:t>, as com</w:t>
      </w:r>
      <w:r>
        <w:rPr>
          <w:rFonts w:ascii="Arial" w:cs="Arial" w:eastAsia="Arial" w:hAnsi="Arial"/>
          <w:sz w:val="12"/>
          <w:szCs w:val="12"/>
          <w:color w:val="auto"/>
        </w:rPr>
        <w:t>pared to 2018. The reduction in expense was driven by reduced salaries and benefits as a result of our headcount reduction at the beginning of the quarter combined with expenses incurred for both our Phase 2 and Phase 3 clinical programs for SEL-212.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comparison of general and administrative expenses for the three months ended March 31, 2019 and 2018 (in thousands, except percentages):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560" w:type="dxa"/>
            <w:vAlign w:val="bottom"/>
          </w:tcPr>
          <w:p>
            <w:pPr>
              <w:spacing w:after="0"/>
              <w:rPr>
                <w:sz w:val="10"/>
                <w:szCs w:val="10"/>
                <w:color w:val="auto"/>
              </w:rPr>
            </w:pPr>
          </w:p>
        </w:tc>
        <w:tc>
          <w:tcPr>
            <w:tcW w:w="2440" w:type="dxa"/>
            <w:vAlign w:val="bottom"/>
            <w:gridSpan w:val="4"/>
          </w:tcPr>
          <w:p>
            <w:pPr>
              <w:jc w:val="right"/>
              <w:ind w:right="212"/>
              <w:spacing w:after="0"/>
              <w:rPr>
                <w:sz w:val="20"/>
                <w:szCs w:val="20"/>
                <w:color w:val="auto"/>
              </w:rPr>
            </w:pPr>
            <w:r>
              <w:rPr>
                <w:rFonts w:ascii="Arial" w:cs="Arial" w:eastAsia="Arial" w:hAnsi="Arial"/>
                <w:sz w:val="10"/>
                <w:szCs w:val="10"/>
                <w:b w:val="1"/>
                <w:bCs w:val="1"/>
                <w:color w:val="auto"/>
              </w:rPr>
              <w:t>Three Months Ended December 31,</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80" w:type="dxa"/>
            <w:vAlign w:val="bottom"/>
            <w:vMerge w:val="restart"/>
          </w:tcPr>
          <w:p>
            <w:pPr>
              <w:jc w:val="center"/>
              <w:ind w:left="112"/>
              <w:spacing w:after="0"/>
              <w:rPr>
                <w:sz w:val="20"/>
                <w:szCs w:val="20"/>
                <w:color w:val="auto"/>
              </w:rPr>
            </w:pPr>
            <w:r>
              <w:rPr>
                <w:rFonts w:ascii="Arial" w:cs="Arial" w:eastAsia="Arial" w:hAnsi="Arial"/>
                <w:sz w:val="10"/>
                <w:szCs w:val="10"/>
                <w:b w:val="1"/>
                <w:bCs w:val="1"/>
                <w:color w:val="auto"/>
                <w:w w:val="83"/>
              </w:rPr>
              <w:t>Increase</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5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left="112"/>
              <w:spacing w:after="0"/>
              <w:rPr>
                <w:sz w:val="20"/>
                <w:szCs w:val="20"/>
                <w:color w:val="auto"/>
              </w:rPr>
            </w:pPr>
            <w:r>
              <w:rPr>
                <w:rFonts w:ascii="Arial" w:cs="Arial" w:eastAsia="Arial" w:hAnsi="Arial"/>
                <w:sz w:val="10"/>
                <w:szCs w:val="10"/>
                <w:b w:val="1"/>
                <w:bCs w:val="1"/>
                <w:color w:val="auto"/>
                <w:w w:val="83"/>
              </w:rPr>
              <w:t>(decrease)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General and administrative</w:t>
            </w: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4,513</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4,674</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rPr>
              <w:t>(161)</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During the three months ended March 31, 2019, our general and administrative expenses decreased by $0.2 million, or 3%, as compared to 2018. The reduction in costs was primarily the result of reduced consulting fees.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505"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Investment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Investment income remained relatively unchanged during the three months ended March 31, 2019 as compared to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transaction gain (loss)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recognized foreign currency losses of less than $0.1 million during the three months ended March 31, 2019 and 2018, respectively, reflecting little fluctuation of the U.S. dollar to the Russian ruble from the beginning to the end of each period.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was $0.4 million for both the three months ended March 31, 2019 and 2018, representing interest expense and amortization of the carrying costs of our credit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Other income (expense) was de minimis for the three months ended March 31, 2019 and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Net loss for the three months ended March 31, 2019 was $12.1 million compared to $15.9 million for the three months ended March 31, 2018.</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right="440"/>
        <w:spacing w:after="0" w:line="147" w:lineRule="exact"/>
        <w:rPr>
          <w:sz w:val="20"/>
          <w:szCs w:val="20"/>
          <w:color w:val="auto"/>
        </w:rPr>
      </w:pPr>
      <w:r>
        <w:rPr>
          <w:rFonts w:ascii="Arial" w:cs="Arial" w:eastAsia="Arial" w:hAnsi="Arial"/>
          <w:sz w:val="12"/>
          <w:szCs w:val="12"/>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2"/>
          <w:szCs w:val="12"/>
          <w:color w:val="auto"/>
        </w:rPr>
        <w:t>‑</w:t>
      </w:r>
      <w:r>
        <w:rPr>
          <w:rFonts w:ascii="Arial" w:cs="Arial" w:eastAsia="Arial" w:hAnsi="Arial"/>
          <w:sz w:val="12"/>
          <w:szCs w:val="12"/>
          <w:color w:val="auto"/>
        </w:rPr>
        <w:t>party funding and other collaborations and strategic alliances.</w:t>
      </w:r>
    </w:p>
    <w:p>
      <w:pPr>
        <w:spacing w:after="0" w:line="137"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From our inception through March 31, 2019, we have raised an aggregate of $341.7 million to fund our operations, of which $118.5 million was from the sale of preferred stock, $11.1 million was from government grants, $25.3 million was from borrowings under our credit facility, $44.3 million was through our collaborations and license agreements, $64.5 million in combined net proceeds was raised from our initial public offering in June 2016 and the underwriters' exercise in part of their option to purchase additional shares of our common stock in July 2016, $47.1 million in combined net proceeds was raised from our private placement of common stock in June 2017, or the 2017 PIPE, and $30.9 million from a common stock public offering in January 2019.</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On August 10, 2017, we entered into an open market sale agreement with Jefferies LLC, as sales agent, or the Sales Agreement, pursuant to which we may, from time to time, issue and sell common stock with an aggregate value of up to $50.0 million in an "at-the market offering". To date, there have been no sales of common stock pursuant to the Sales Agreement.</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January 25, 2019, we completed a public offering of 20,000,000 shares of our common stock at a public offering price of $1.50 per share. On January 29, 2019, an additional 2,188,706 shares were sold at a public offering price of $1.50 per share. The total net proceeds from the offering were $30.9 million, after deducting underwriting discounts and commissions.</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As of March 31, 2019, our cash, cash equivalents, restricted cash and short-term investments were $48.7 million, of which $0.4 million was held by our Russian subsidiary designated solely for use in its operations. Our Russian subsidiary cash is consolidated for financial reporting purposes.</w:t>
      </w:r>
    </w:p>
    <w:p>
      <w:pPr>
        <w:spacing w:after="0" w:line="115"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In addition to our existing cash equivalents, we receive research and development funding pursuant to our research grants and collaboration agreements. Currently, funding from research grants and payments under our collaboration agreements represent our only source of committed external funds.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Indebtedness</w:t>
      </w:r>
    </w:p>
    <w:p>
      <w:pPr>
        <w:spacing w:after="0" w:line="154" w:lineRule="exact"/>
        <w:rPr>
          <w:sz w:val="20"/>
          <w:szCs w:val="20"/>
          <w:color w:val="auto"/>
        </w:rPr>
      </w:pPr>
    </w:p>
    <w:p>
      <w:pPr>
        <w:ind w:right="120"/>
        <w:spacing w:after="0" w:line="290" w:lineRule="auto"/>
        <w:rPr>
          <w:sz w:val="20"/>
          <w:szCs w:val="20"/>
          <w:color w:val="auto"/>
        </w:rPr>
      </w:pPr>
      <w:r>
        <w:rPr>
          <w:rFonts w:ascii="Arial" w:cs="Arial" w:eastAsia="Arial" w:hAnsi="Arial"/>
          <w:sz w:val="11"/>
          <w:szCs w:val="11"/>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60"/>
          </w:cols>
          <w:pgMar w:left="220" w:top="505" w:right="219" w:bottom="1440" w:gutter="0" w:footer="0" w:header="0"/>
        </w:sectPr>
      </w:pPr>
    </w:p>
    <w:bookmarkStart w:id="40" w:name="page41"/>
    <w:bookmarkEnd w:id="40"/>
    <w:p>
      <w:pPr>
        <w:ind w:left="8" w:right="60"/>
        <w:spacing w:after="0" w:line="263" w:lineRule="auto"/>
        <w:rPr>
          <w:sz w:val="20"/>
          <w:szCs w:val="20"/>
          <w:color w:val="auto"/>
        </w:rPr>
      </w:pPr>
      <w:r>
        <w:rPr>
          <w:rFonts w:ascii="Arial" w:cs="Arial" w:eastAsia="Arial" w:hAnsi="Arial"/>
          <w:sz w:val="12"/>
          <w:szCs w:val="12"/>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23"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Plan of operations and future funding requirements</w:t>
      </w:r>
    </w:p>
    <w:p>
      <w:pPr>
        <w:spacing w:after="0" w:line="154" w:lineRule="exact"/>
        <w:rPr>
          <w:sz w:val="20"/>
          <w:szCs w:val="20"/>
          <w:color w:val="auto"/>
        </w:rPr>
      </w:pPr>
    </w:p>
    <w:p>
      <w:pPr>
        <w:ind w:left="8" w:right="20"/>
        <w:spacing w:after="0" w:line="320" w:lineRule="auto"/>
        <w:rPr>
          <w:sz w:val="20"/>
          <w:szCs w:val="20"/>
          <w:color w:val="auto"/>
        </w:rPr>
      </w:pPr>
      <w:r>
        <w:rPr>
          <w:rFonts w:ascii="Arial" w:cs="Arial" w:eastAsia="Arial" w:hAnsi="Arial"/>
          <w:sz w:val="10"/>
          <w:szCs w:val="10"/>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98" w:lineRule="exact"/>
        <w:rPr>
          <w:sz w:val="20"/>
          <w:szCs w:val="20"/>
          <w:color w:val="auto"/>
        </w:rPr>
      </w:pPr>
    </w:p>
    <w:p>
      <w:pPr>
        <w:jc w:val="both"/>
        <w:ind w:left="8"/>
        <w:spacing w:after="0" w:line="340" w:lineRule="auto"/>
        <w:rPr>
          <w:sz w:val="20"/>
          <w:szCs w:val="20"/>
          <w:color w:val="auto"/>
        </w:rPr>
      </w:pPr>
      <w:r>
        <w:rPr>
          <w:rFonts w:ascii="Arial" w:cs="Arial" w:eastAsia="Arial" w:hAnsi="Arial"/>
          <w:sz w:val="10"/>
          <w:szCs w:val="10"/>
          <w:color w:val="auto"/>
        </w:rPr>
        <w:t>As of March 31, 2019 and December 31, 2018, we had an accumulated deficit of $292.5 million and $280.4 million, respectively. We anticipate operating losses to continue for the foreseeable future due to, among other things, costs related to research, development of its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that the financial statements are issued.</w:t>
      </w:r>
    </w:p>
    <w:p>
      <w:pPr>
        <w:spacing w:after="0" w:line="88" w:lineRule="exact"/>
        <w:rPr>
          <w:sz w:val="20"/>
          <w:szCs w:val="20"/>
          <w:color w:val="auto"/>
        </w:rPr>
      </w:pPr>
    </w:p>
    <w:p>
      <w:pPr>
        <w:ind w:left="8" w:right="60"/>
        <w:spacing w:after="0" w:line="254" w:lineRule="auto"/>
        <w:rPr>
          <w:sz w:val="20"/>
          <w:szCs w:val="20"/>
          <w:color w:val="auto"/>
        </w:rPr>
      </w:pPr>
      <w:r>
        <w:rPr>
          <w:rFonts w:ascii="Arial" w:cs="Arial" w:eastAsia="Arial" w:hAnsi="Arial"/>
          <w:sz w:val="12"/>
          <w:szCs w:val="12"/>
          <w:color w:val="auto"/>
        </w:rPr>
        <w:t>Management is exploring various sources of funding such as strategic collaborations and the issuance of equity to fund its operations. If we raise additional funds through strategic collaborations and alliances, which may include existing collaboration partners, we may have to relinquish valuable rights to its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The Company believes that it has the financial resources to complete the head-to-head Phase 2 trial against Krystexxa, but will require additional external sources of capital to conduct the planned Phase 3 clinical program.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Because of the uncertainty in securing additional capital and the insufficient amount of cash and short-term investments at March 31, 2019, management has concluded that substantial doubt exists with respect to our ability to continue as a going concern within one year after the date of the filing of this Quarterly Report on Form 10-Q.</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capital requirements will depend on many factors, including:</w:t>
      </w:r>
    </w:p>
    <w:p>
      <w:pPr>
        <w:spacing w:after="0" w:line="150" w:lineRule="exact"/>
        <w:rPr>
          <w:sz w:val="20"/>
          <w:szCs w:val="20"/>
          <w:color w:val="auto"/>
        </w:rPr>
      </w:pPr>
    </w:p>
    <w:p>
      <w:pPr>
        <w:ind w:left="168" w:hanging="168"/>
        <w:spacing w:after="0"/>
        <w:tabs>
          <w:tab w:leader="none" w:pos="1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scope, progress, results and costs of our clinical trials of SEL-212;</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number of product candidates that we pursue;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collaboration agreements remaining in effect, our entering into additional collaboration agreements and our ability to achieve milestones under these agreements;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manufacturing clinical supplies of our product candidates;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headcount growth and associated costs;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development, laboratory testing and clinical trials for our other product candidates;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8"/>
          </w:cols>
          <w:pgMar w:left="212" w:top="509" w:right="199" w:bottom="1440" w:gutter="0" w:footer="0" w:header="0"/>
        </w:sectPr>
      </w:pPr>
    </w:p>
    <w:bookmarkStart w:id="41" w:name="page42"/>
    <w:bookmarkEnd w:id="41"/>
    <w:p>
      <w:pPr>
        <w:ind w:left="168" w:hanging="168"/>
        <w:spacing w:after="0"/>
        <w:tabs>
          <w:tab w:leader="none" w:pos="16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product candidates;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and timing of future commercialization activities, including manufacturing, marketing, sales and distribution, for any of our product candidates for which we receive marketing approval;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product candidates for which we receive marketing approval;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property-related claims;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Summary of Cash Flows</w:t>
      </w:r>
    </w:p>
    <w:p>
      <w:pPr>
        <w:spacing w:after="0" w:line="257"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6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0"/>
                <w:szCs w:val="10"/>
                <w:b w:val="1"/>
                <w:bCs w:val="1"/>
                <w:color w:val="auto"/>
              </w:rPr>
              <w:t>Three Months Ended March 31,</w:t>
            </w:r>
          </w:p>
        </w:tc>
      </w:tr>
      <w:tr>
        <w:trPr>
          <w:trHeight w:val="165"/>
        </w:trPr>
        <w:tc>
          <w:tcPr>
            <w:tcW w:w="862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2018</w:t>
            </w:r>
          </w:p>
        </w:tc>
      </w:tr>
      <w:tr>
        <w:trPr>
          <w:trHeight w:val="173"/>
        </w:trPr>
        <w:tc>
          <w:tcPr>
            <w:tcW w:w="8620" w:type="dxa"/>
            <w:vAlign w:val="bottom"/>
          </w:tcPr>
          <w:p>
            <w:pPr>
              <w:ind w:left="20"/>
              <w:spacing w:after="0"/>
              <w:rPr>
                <w:sz w:val="20"/>
                <w:szCs w:val="20"/>
                <w:color w:val="auto"/>
              </w:rPr>
            </w:pPr>
            <w:r>
              <w:rPr>
                <w:rFonts w:ascii="Arial" w:cs="Arial" w:eastAsia="Arial" w:hAnsi="Arial"/>
                <w:sz w:val="10"/>
                <w:szCs w:val="10"/>
                <w:color w:val="auto"/>
              </w:rPr>
              <w:t>Cash provided by (used in):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86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activities</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(20,240)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(13,409)</w:t>
            </w:r>
          </w:p>
        </w:tc>
      </w:tr>
      <w:tr>
        <w:trPr>
          <w:trHeight w:val="176"/>
        </w:trPr>
        <w:tc>
          <w:tcPr>
            <w:tcW w:w="8620" w:type="dxa"/>
            <w:vAlign w:val="bottom"/>
          </w:tcPr>
          <w:p>
            <w:pPr>
              <w:ind w:left="180"/>
              <w:spacing w:after="0"/>
              <w:rPr>
                <w:sz w:val="20"/>
                <w:szCs w:val="20"/>
                <w:color w:val="auto"/>
              </w:rPr>
            </w:pPr>
            <w:r>
              <w:rPr>
                <w:rFonts w:ascii="Arial" w:cs="Arial" w:eastAsia="Arial" w:hAnsi="Arial"/>
                <w:sz w:val="10"/>
                <w:szCs w:val="10"/>
                <w:color w:val="auto"/>
              </w:rPr>
              <w:t>Investing activities</w:t>
            </w:r>
          </w:p>
        </w:tc>
        <w:tc>
          <w:tcPr>
            <w:tcW w:w="32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(16,119)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945</w:t>
            </w:r>
          </w:p>
        </w:tc>
      </w:tr>
      <w:tr>
        <w:trPr>
          <w:trHeight w:val="184"/>
        </w:trPr>
        <w:tc>
          <w:tcPr>
            <w:tcW w:w="86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Financing activities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31,107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w:t>
            </w:r>
          </w:p>
        </w:tc>
      </w:tr>
      <w:tr>
        <w:trPr>
          <w:trHeight w:val="176"/>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Effect of exchange rate changes on cash</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w:t>
            </w:r>
          </w:p>
        </w:tc>
      </w:tr>
      <w:tr>
        <w:trPr>
          <w:trHeight w:val="162"/>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change in cash, cash equivalents, and restricted cash</w:t>
            </w: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(5,230)</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(12,394)</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Operating activities</w:t>
      </w:r>
    </w:p>
    <w:p>
      <w:pPr>
        <w:spacing w:after="0" w:line="150" w:lineRule="exact"/>
        <w:rPr>
          <w:sz w:val="20"/>
          <w:szCs w:val="20"/>
          <w:color w:val="auto"/>
        </w:rPr>
      </w:pPr>
    </w:p>
    <w:p>
      <w:pPr>
        <w:jc w:val="both"/>
        <w:ind w:left="8" w:right="40"/>
        <w:spacing w:after="0" w:line="298" w:lineRule="auto"/>
        <w:rPr>
          <w:sz w:val="20"/>
          <w:szCs w:val="20"/>
          <w:color w:val="auto"/>
        </w:rPr>
      </w:pPr>
      <w:r>
        <w:rPr>
          <w:rFonts w:ascii="Arial" w:cs="Arial" w:eastAsia="Arial" w:hAnsi="Arial"/>
          <w:sz w:val="11"/>
          <w:szCs w:val="11"/>
          <w:color w:val="auto"/>
        </w:rPr>
        <w:t>Net cash used in operating activities for the three months ended March 31, 2019 was $20.2 million compared to $13.4 million in the same period in 2018, an increase of $6.8 million. The increase in net cash used in operating activities was primarily due to an increase of $6.1 million to prepaid expenses related to the purchase of inventory to complete the head-to-head Phase 2 trial against Krystexxa and an increase in accrued expenses, liabilities and accounts payable of $4.6 million. This was offset by a decrease in the reported net loss of $3.8 million for the three months ended March 31, 2019 compared to the comparable prior year period.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Investing activities</w:t>
      </w:r>
    </w:p>
    <w:p>
      <w:pPr>
        <w:spacing w:after="0" w:line="150" w:lineRule="exact"/>
        <w:rPr>
          <w:sz w:val="20"/>
          <w:szCs w:val="20"/>
          <w:color w:val="auto"/>
        </w:rPr>
      </w:pPr>
    </w:p>
    <w:p>
      <w:pPr>
        <w:ind w:left="8" w:right="260"/>
        <w:spacing w:after="0" w:line="263" w:lineRule="auto"/>
        <w:rPr>
          <w:sz w:val="20"/>
          <w:szCs w:val="20"/>
          <w:color w:val="auto"/>
        </w:rPr>
      </w:pPr>
      <w:r>
        <w:rPr>
          <w:rFonts w:ascii="Arial" w:cs="Arial" w:eastAsia="Arial" w:hAnsi="Arial"/>
          <w:sz w:val="12"/>
          <w:szCs w:val="12"/>
          <w:color w:val="auto"/>
        </w:rPr>
        <w:t>Net cash used by investing activities for the three months ended March 31, 2019 was $16.1 million compared to net cash provided from investing activities of $0.9 million in the same period in 2018. The increase in net cash used by investing activities in 2019 was the result of purchases of short-term investments of $18.2 million to purchase short-term investments, offset by $2.0 million in sales of short-term investments. During the first quarter of 2018, investing activities provided cash from maturities of short term investments of $15.1 million offset by purchases of short-term investments of $13.9 million.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Financing activities</w:t>
      </w:r>
    </w:p>
    <w:p>
      <w:pPr>
        <w:spacing w:after="0" w:line="150" w:lineRule="exact"/>
        <w:rPr>
          <w:sz w:val="20"/>
          <w:szCs w:val="20"/>
          <w:color w:val="auto"/>
        </w:rPr>
      </w:pPr>
    </w:p>
    <w:p>
      <w:pPr>
        <w:ind w:left="8" w:right="140"/>
        <w:spacing w:after="0" w:line="323" w:lineRule="auto"/>
        <w:rPr>
          <w:sz w:val="20"/>
          <w:szCs w:val="20"/>
          <w:color w:val="auto"/>
        </w:rPr>
      </w:pPr>
      <w:r>
        <w:rPr>
          <w:rFonts w:ascii="Arial" w:cs="Arial" w:eastAsia="Arial" w:hAnsi="Arial"/>
          <w:sz w:val="11"/>
          <w:szCs w:val="11"/>
          <w:color w:val="auto"/>
        </w:rPr>
        <w:t>Net cash provided by financing activities for the three months ended March 31, 2019 was $31.1 million compared to net cash provided by financing activities of less than $0.1 million in the same period in 2018. The net cash provided by financing activities in 2019 was due to $30.9 million net proceeds from the issuance of common stock under the January 2019 Public Offering and $0.1 million from the exercise of employee stock options.</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March 31, 2019, we did not have any off-balance sheet arrangements as defined in the rules and regulations of the Securities and Exchange Commission.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a discussion of recently adopted or issued accounting pronouncements please refer to Note 2 to our consolidated financial statements included elsewhere in this Quarterly Report on Form 10-Q.</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USE OF ESTIMATES</w:t>
      </w:r>
    </w:p>
    <w:p>
      <w:pPr>
        <w:spacing w:after="0" w:line="154"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8"/>
          </w:cols>
          <w:pgMar w:left="212" w:top="509" w:right="199" w:bottom="1440" w:gutter="0" w:footer="0" w:header="0"/>
        </w:sectPr>
      </w:pPr>
    </w:p>
    <w:bookmarkStart w:id="42" w:name="page43"/>
    <w:bookmarkEnd w:id="42"/>
    <w:p>
      <w:pPr>
        <w:ind w:right="80"/>
        <w:spacing w:after="0" w:line="290" w:lineRule="auto"/>
        <w:rPr>
          <w:sz w:val="20"/>
          <w:szCs w:val="20"/>
          <w:color w:val="auto"/>
        </w:rPr>
      </w:pPr>
      <w:r>
        <w:rPr>
          <w:rFonts w:ascii="Arial" w:cs="Arial" w:eastAsia="Arial" w:hAnsi="Arial"/>
          <w:sz w:val="11"/>
          <w:szCs w:val="11"/>
          <w:color w:val="auto"/>
        </w:rPr>
        <w:t>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Trial Costs</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right="80"/>
        <w:spacing w:after="0" w:line="312" w:lineRule="auto"/>
        <w:rPr>
          <w:sz w:val="20"/>
          <w:szCs w:val="20"/>
          <w:color w:val="auto"/>
        </w:rPr>
      </w:pPr>
      <w:r>
        <w:rPr>
          <w:rFonts w:ascii="Arial" w:cs="Arial" w:eastAsia="Arial" w:hAnsi="Arial"/>
          <w:sz w:val="10"/>
          <w:szCs w:val="10"/>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13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Collaboration and Grant Revenue</w:t>
      </w:r>
    </w:p>
    <w:p>
      <w:pPr>
        <w:spacing w:after="0" w:line="16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currently generate our revenue through grants, collaboration and license agreements with strategic collaborators for the development and commercialization of product candidates. The grants, collaboration and license agreements are within the scope of ASC 606.</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determining the appropriate amount of revenue to be recognized as it fulfills its obligations under the agreements,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We capitalize the incremental costs of obtaining a contract with a customer if we expect to recover those costs. Such incremental costs would not have been incurred if the contract with a customer had not been obtained.</w:t>
      </w:r>
    </w:p>
    <w:p>
      <w:pPr>
        <w:spacing w:after="0" w:line="162"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i w:val="1"/>
          <w:iCs w:val="1"/>
          <w:color w:val="auto"/>
        </w:rPr>
        <w:t xml:space="preserve">Licenses of intellectual property: </w:t>
      </w:r>
      <w:r>
        <w:rPr>
          <w:rFonts w:ascii="Arial" w:cs="Arial" w:eastAsia="Arial" w:hAnsi="Arial"/>
          <w:sz w:val="12"/>
          <w:szCs w:val="12"/>
          <w:color w:val="auto"/>
        </w:rPr>
        <w:t>If the license to our intellectual property is determined to be distinct from the other performance obligations identified in the arrangement, we recognize revenues from non-refundable, up-front fees</w:t>
      </w:r>
      <w:r>
        <w:rPr>
          <w:rFonts w:ascii="Arial" w:cs="Arial" w:eastAsia="Arial" w:hAnsi="Arial"/>
          <w:sz w:val="12"/>
          <w:szCs w:val="12"/>
          <w:i w:val="1"/>
          <w:iCs w:val="1"/>
          <w:color w:val="auto"/>
        </w:rPr>
        <w:t xml:space="preserve"> </w:t>
      </w:r>
      <w:r>
        <w:rPr>
          <w:rFonts w:ascii="Arial" w:cs="Arial" w:eastAsia="Arial" w:hAnsi="Arial"/>
          <w:sz w:val="12"/>
          <w:szCs w:val="12"/>
          <w:color w:val="auto"/>
        </w:rPr>
        <w:t>allocated to the license when the license is transferred to the customer and the customer is able to use and benefit from the license. If not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509" w:right="19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2"/>
          <w:szCs w:val="12"/>
          <w:color w:val="auto"/>
        </w:rPr>
        <w:t>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25"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i w:val="1"/>
          <w:iCs w:val="1"/>
          <w:color w:val="auto"/>
        </w:rPr>
        <w:t xml:space="preserve">Milestone Payments: </w:t>
      </w:r>
      <w:r>
        <w:rPr>
          <w:rFonts w:ascii="Arial" w:cs="Arial" w:eastAsia="Arial" w:hAnsi="Arial"/>
          <w:sz w:val="11"/>
          <w:szCs w:val="11"/>
          <w:color w:val="auto"/>
        </w:rPr>
        <w:t>At the inception of each arrangement that includes developmental and regulatory milestone payments, we evaluate whether the achievement of each milestone specifically relates to our efforts to satisfy a performance</w:t>
      </w:r>
      <w:r>
        <w:rPr>
          <w:rFonts w:ascii="Arial" w:cs="Arial" w:eastAsia="Arial" w:hAnsi="Arial"/>
          <w:sz w:val="11"/>
          <w:szCs w:val="11"/>
          <w:i w:val="1"/>
          <w:iCs w:val="1"/>
          <w:color w:val="auto"/>
        </w:rPr>
        <w:t xml:space="preserve"> </w:t>
      </w:r>
      <w:r>
        <w:rPr>
          <w:rFonts w:ascii="Arial" w:cs="Arial" w:eastAsia="Arial" w:hAnsi="Arial"/>
          <w:sz w:val="11"/>
          <w:szCs w:val="11"/>
          <w:color w:val="auto"/>
        </w:rPr>
        <w:t>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16"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i w:val="1"/>
          <w:iCs w:val="1"/>
          <w:color w:val="auto"/>
        </w:rPr>
        <w:t xml:space="preserve">Manufacturing Supply Services: </w:t>
      </w:r>
      <w:r>
        <w:rPr>
          <w:rFonts w:ascii="Arial" w:cs="Arial" w:eastAsia="Arial" w:hAnsi="Arial"/>
          <w:sz w:val="11"/>
          <w:szCs w:val="11"/>
          <w:color w:val="auto"/>
        </w:rPr>
        <w:t>Arrangements that include a promise for future supply of drug substance or drug product for either clinical development or commercial supply at the customer’s discretion are evaluated to determine if they</w:t>
      </w:r>
      <w:r>
        <w:rPr>
          <w:rFonts w:ascii="Arial" w:cs="Arial" w:eastAsia="Arial" w:hAnsi="Arial"/>
          <w:sz w:val="11"/>
          <w:szCs w:val="11"/>
          <w:i w:val="1"/>
          <w:iCs w:val="1"/>
          <w:color w:val="auto"/>
        </w:rPr>
        <w:t xml:space="preserve"> </w:t>
      </w:r>
      <w:r>
        <w:rPr>
          <w:rFonts w:ascii="Arial" w:cs="Arial" w:eastAsia="Arial" w:hAnsi="Arial"/>
          <w:sz w:val="11"/>
          <w:szCs w:val="11"/>
          <w:color w:val="auto"/>
        </w:rPr>
        <w:t>are distinct and optional. For optional services that are distinct, we assess if they are priced at a discount, and therefore, provide a material right to the licensee to be accounted for as separate performance obligations.</w:t>
      </w:r>
    </w:p>
    <w:p>
      <w:pPr>
        <w:spacing w:after="0" w:line="92"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i w:val="1"/>
          <w:iCs w:val="1"/>
          <w:color w:val="auto"/>
        </w:rPr>
        <w:t xml:space="preserve">Royalties: </w:t>
      </w:r>
      <w:r>
        <w:rPr>
          <w:rFonts w:ascii="Arial" w:cs="Arial" w:eastAsia="Arial" w:hAnsi="Arial"/>
          <w:sz w:val="11"/>
          <w:szCs w:val="11"/>
          <w:color w:val="auto"/>
        </w:rPr>
        <w:t>For arrangements that include sales-based royalties, including milestone payments based on the level of sales, and the license is deemed to be the predominant item to which the royalties relate, we will recognize revenue at the</w:t>
      </w:r>
      <w:r>
        <w:rPr>
          <w:rFonts w:ascii="Arial" w:cs="Arial" w:eastAsia="Arial" w:hAnsi="Arial"/>
          <w:sz w:val="11"/>
          <w:szCs w:val="11"/>
          <w:i w:val="1"/>
          <w:iCs w:val="1"/>
          <w:color w:val="auto"/>
        </w:rPr>
        <w:t xml:space="preserve"> </w:t>
      </w:r>
      <w:r>
        <w:rPr>
          <w:rFonts w:ascii="Arial" w:cs="Arial" w:eastAsia="Arial" w:hAnsi="Arial"/>
          <w:sz w:val="11"/>
          <w:szCs w:val="11"/>
          <w:color w:val="auto"/>
        </w:rPr>
        <w:t>later of (i) when the related sales occur, or (ii) when the performance obligation to which some or all of the royalty has been allocated has been satisfied (or partially satisfied) in accordance with the royalty recognition constraint.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Emerging Growth Company Status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Smaller Reporting Company</w:t>
      </w:r>
    </w:p>
    <w:p>
      <w:pPr>
        <w:spacing w:after="0" w:line="7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For example, we are not required to provide a contractual obligations table in Part II, Item 7 of our Quarterly Report on Form 10-Q and we are permitted to include only two years of consolidated financial statements.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spacing w:after="0" w:line="147" w:lineRule="exact"/>
        <w:rPr>
          <w:sz w:val="20"/>
          <w:szCs w:val="20"/>
          <w:color w:val="auto"/>
        </w:rPr>
      </w:pPr>
      <w:r>
        <w:rPr>
          <w:rFonts w:ascii="Arial" w:cs="Arial" w:eastAsia="Arial" w:hAnsi="Arial"/>
          <w:sz w:val="12"/>
          <w:szCs w:val="12"/>
          <w:color w:val="auto"/>
        </w:rPr>
        <w:t>The market risk inherent in our financial instruments and in our financial position represents the potential loss arising from adverse changes in interest rates. As of March 31, 2019 and December 31, 2018, we had cash, cash equivalents and short-term deposits and investments of $48.7 million and $37.4 million, respectively, consisting of non</w:t>
      </w:r>
      <w:r>
        <w:rPr>
          <w:rFonts w:ascii="MS PGothic" w:cs="MS PGothic" w:eastAsia="MS PGothic" w:hAnsi="MS PGothic"/>
          <w:sz w:val="12"/>
          <w:szCs w:val="12"/>
          <w:color w:val="auto"/>
        </w:rPr>
        <w:t>‑</w:t>
      </w:r>
      <w:r>
        <w:rPr>
          <w:rFonts w:ascii="Arial" w:cs="Arial" w:eastAsia="Arial" w:hAnsi="Arial"/>
          <w:sz w:val="12"/>
          <w:szCs w:val="12"/>
          <w:color w:val="auto"/>
        </w:rPr>
        <w:t>interest and interest</w:t>
      </w:r>
      <w:r>
        <w:rPr>
          <w:rFonts w:ascii="MS PGothic" w:cs="MS PGothic" w:eastAsia="MS PGothic" w:hAnsi="MS PGothic"/>
          <w:sz w:val="12"/>
          <w:szCs w:val="12"/>
          <w:color w:val="auto"/>
        </w:rPr>
        <w:t>‑</w:t>
      </w:r>
      <w:r>
        <w:rPr>
          <w:rFonts w:ascii="Arial" w:cs="Arial" w:eastAsia="Arial" w:hAnsi="Arial"/>
          <w:sz w:val="12"/>
          <w:szCs w:val="12"/>
          <w:color w:val="auto"/>
        </w:rPr>
        <w:t>bearing money market accounts. Our primary exposure to market risk is interest rate sensitivity, which is affected by changes in the general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509" w:right="219" w:bottom="1440" w:gutter="0" w:footer="0" w:header="0"/>
        </w:sectPr>
      </w:pPr>
    </w:p>
    <w:bookmarkStart w:id="44" w:name="page45"/>
    <w:bookmarkEnd w:id="44"/>
    <w:p>
      <w:pPr>
        <w:spacing w:after="0" w:line="149" w:lineRule="exact"/>
        <w:rPr>
          <w:sz w:val="20"/>
          <w:szCs w:val="20"/>
          <w:color w:val="auto"/>
        </w:rPr>
      </w:pPr>
      <w:r>
        <w:rPr>
          <w:rFonts w:ascii="Arial" w:cs="Arial" w:eastAsia="Arial" w:hAnsi="Arial"/>
          <w:sz w:val="12"/>
          <w:szCs w:val="12"/>
          <w:color w:val="auto"/>
        </w:rPr>
        <w:t>level of U.S. interest rates. Due to the short</w:t>
      </w:r>
      <w:r>
        <w:rPr>
          <w:rFonts w:ascii="MS PGothic" w:cs="MS PGothic" w:eastAsia="MS PGothic" w:hAnsi="MS PGothic"/>
          <w:sz w:val="12"/>
          <w:szCs w:val="12"/>
          <w:color w:val="auto"/>
        </w:rPr>
        <w:t>‑</w:t>
      </w:r>
      <w:r>
        <w:rPr>
          <w:rFonts w:ascii="Arial" w:cs="Arial" w:eastAsia="Arial" w:hAnsi="Arial"/>
          <w:sz w:val="12"/>
          <w:szCs w:val="12"/>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March 31, 2019, we held $0.4 million of total cash in Russian banks to support our Russian subsidiary, which includes $0.4 million of cash and cash equivalents and no restricted cash, of which $0.4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effectiveness of controls and procedures</w:t>
      </w: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Our management, with the participation of our Chief Executive Officer and Controller,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Controller concluded that our disclosure controls and procedures were effective at the reasonable assurance level as of March 31, 2019.</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There were no changes in our internal control over financial reporting (as defined in Rules 13a-15(f) and 15d-15(f) under the Exchange Act) during the three months ended March 31, 2019 that have materially affected, or are reasonably likely to materially affect, our internal control over financial reporting.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40"/>
          </w:cols>
          <w:pgMar w:left="220" w:top="437" w:right="239" w:bottom="1440" w:gutter="0" w:footer="0" w:header="0"/>
        </w:sectPr>
      </w:pPr>
    </w:p>
    <w:bookmarkStart w:id="45" w:name="page46"/>
    <w:bookmarkEnd w:id="45"/>
    <w:p>
      <w:pPr>
        <w:jc w:val="center"/>
        <w:ind w:right="-7"/>
        <w:spacing w:after="0"/>
        <w:rPr>
          <w:sz w:val="20"/>
          <w:szCs w:val="20"/>
          <w:color w:val="auto"/>
        </w:rPr>
      </w:pPr>
      <w:r>
        <w:rPr>
          <w:rFonts w:ascii="Arial" w:cs="Arial" w:eastAsia="Arial" w:hAnsi="Arial"/>
          <w:sz w:val="12"/>
          <w:szCs w:val="12"/>
          <w:b w:val="1"/>
          <w:bCs w:val="1"/>
          <w:color w:val="auto"/>
        </w:rPr>
        <w:t>PART II-OTHER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 Legal Proceedings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are not party to any material legal proceedings.</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left="8" w:right="100"/>
        <w:spacing w:after="0" w:line="298" w:lineRule="auto"/>
        <w:rPr>
          <w:sz w:val="20"/>
          <w:szCs w:val="20"/>
          <w:color w:val="auto"/>
        </w:rPr>
      </w:pPr>
      <w:r>
        <w:rPr>
          <w:rFonts w:ascii="Arial" w:cs="Arial" w:eastAsia="Arial" w:hAnsi="Arial"/>
          <w:sz w:val="11"/>
          <w:szCs w:val="11"/>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FINANCIAL POSITION AND NEED FOR ADDITIONAL CAPITAL</w:t>
      </w:r>
    </w:p>
    <w:p>
      <w:pPr>
        <w:spacing w:after="0" w:line="154" w:lineRule="exact"/>
        <w:rPr>
          <w:sz w:val="20"/>
          <w:szCs w:val="20"/>
          <w:color w:val="auto"/>
        </w:rPr>
      </w:pPr>
    </w:p>
    <w:p>
      <w:pPr>
        <w:ind w:left="8"/>
        <w:spacing w:after="0" w:line="138" w:lineRule="exact"/>
        <w:rPr>
          <w:sz w:val="20"/>
          <w:szCs w:val="20"/>
          <w:color w:val="auto"/>
        </w:rPr>
      </w:pPr>
      <w:r>
        <w:rPr>
          <w:rFonts w:ascii="Arial" w:cs="Arial" w:eastAsia="Arial" w:hAnsi="Arial"/>
          <w:sz w:val="12"/>
          <w:szCs w:val="12"/>
          <w:b w:val="1"/>
          <w:bCs w:val="1"/>
          <w:i w:val="1"/>
          <w:iCs w:val="1"/>
          <w:color w:val="auto"/>
        </w:rPr>
        <w:t>We are a development</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stage company and have incurred significant losses since our inception. We expect to incur losses for the foreseeable future and may never achieve or maintain profitability.</w:t>
      </w:r>
    </w:p>
    <w:p>
      <w:pPr>
        <w:spacing w:after="0" w:line="150" w:lineRule="exact"/>
        <w:rPr>
          <w:sz w:val="20"/>
          <w:szCs w:val="20"/>
          <w:color w:val="auto"/>
        </w:rPr>
      </w:pPr>
    </w:p>
    <w:p>
      <w:pPr>
        <w:ind w:left="8" w:right="20"/>
        <w:spacing w:after="0" w:line="255" w:lineRule="auto"/>
        <w:rPr>
          <w:sz w:val="20"/>
          <w:szCs w:val="20"/>
          <w:color w:val="auto"/>
        </w:rPr>
      </w:pPr>
      <w:r>
        <w:rPr>
          <w:rFonts w:ascii="Arial" w:cs="Arial" w:eastAsia="Arial" w:hAnsi="Arial"/>
          <w:sz w:val="12"/>
          <w:szCs w:val="12"/>
          <w:color w:val="auto"/>
        </w:rPr>
        <w:t>Since inception, we have incurred significant operating losses in every year. Our net loss was $12.1 million for the three months ended March 31, 2019 and $65.3 million for each of the years ended December 31,2018 and 2017, respectively. As of March 31, 2019, we had an accumulated deficit of $292.5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technology, identifying potential product candidates and conducting preclinical studies and our clinical trials. We are in the early stages of development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29" w:lineRule="exact"/>
        <w:rPr>
          <w:sz w:val="20"/>
          <w:szCs w:val="20"/>
          <w:color w:val="auto"/>
        </w:rPr>
      </w:pPr>
    </w:p>
    <w:p>
      <w:pPr>
        <w:ind w:left="168" w:hanging="168"/>
        <w:spacing w:after="0" w:line="138" w:lineRule="exact"/>
        <w:tabs>
          <w:tab w:leader="none" w:pos="1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conduct additional clinical trials of SEL</w:t>
      </w:r>
      <w:r>
        <w:rPr>
          <w:rFonts w:ascii="MS PGothic" w:cs="MS PGothic" w:eastAsia="MS PGothic" w:hAnsi="MS PGothic"/>
          <w:sz w:val="12"/>
          <w:szCs w:val="12"/>
          <w:color w:val="auto"/>
        </w:rPr>
        <w:t>‑</w:t>
      </w:r>
      <w:r>
        <w:rPr>
          <w:rFonts w:ascii="Arial" w:cs="Arial" w:eastAsia="Arial" w:hAnsi="Arial"/>
          <w:sz w:val="12"/>
          <w:szCs w:val="12"/>
          <w:color w:val="auto"/>
        </w:rPr>
        <w:t>212, our lead product candidate;</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continue the research and development of our other product candidates;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seek to enhance our ImmTOR technology and discover and develop additional product candidates;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seek regulatory approvals for any product candidates that successfully complete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potentially establish a sales, marketing and distribution infrastructure and scale up external manufacturing capabilities to commercialize any products for which we may obtain regulatory approval;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 including through licensing arrangements;</w:t>
      </w:r>
    </w:p>
    <w:p>
      <w:pPr>
        <w:spacing w:after="0" w:line="150"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5" w:lineRule="exact"/>
        <w:rPr>
          <w:sz w:val="20"/>
          <w:szCs w:val="20"/>
          <w:color w:val="auto"/>
        </w:rPr>
      </w:pPr>
    </w:p>
    <w:p>
      <w:pPr>
        <w:ind w:left="208" w:hanging="154"/>
        <w:spacing w:after="0"/>
        <w:tabs>
          <w:tab w:leader="none" w:pos="2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experience any delays or encounter any issues with any of the above, including, but not limited to, failed studies, complex results, safety issues or other regulatory, manufacturing or scale-up challenges.</w:t>
      </w:r>
    </w:p>
    <w:p>
      <w:pPr>
        <w:spacing w:after="0" w:line="150" w:lineRule="exact"/>
        <w:rPr>
          <w:sz w:val="20"/>
          <w:szCs w:val="20"/>
          <w:color w:val="auto"/>
        </w:rPr>
      </w:pPr>
    </w:p>
    <w:p>
      <w:pPr>
        <w:ind w:left="8" w:right="120"/>
        <w:spacing w:after="0" w:line="290" w:lineRule="auto"/>
        <w:rPr>
          <w:sz w:val="20"/>
          <w:szCs w:val="20"/>
          <w:color w:val="auto"/>
        </w:rPr>
      </w:pPr>
      <w:r>
        <w:rPr>
          <w:rFonts w:ascii="Arial" w:cs="Arial" w:eastAsia="Arial" w:hAnsi="Arial"/>
          <w:sz w:val="11"/>
          <w:szCs w:val="11"/>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09"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2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8"/>
          </w:cols>
          <w:pgMar w:left="212" w:top="505" w:right="219" w:bottom="1440" w:gutter="0" w:footer="0" w:header="0"/>
        </w:sectPr>
      </w:pPr>
    </w:p>
    <w:bookmarkStart w:id="46" w:name="page47"/>
    <w:bookmarkEnd w:id="46"/>
    <w:p>
      <w:pPr>
        <w:ind w:left="8" w:right="200"/>
        <w:spacing w:after="0" w:line="276" w:lineRule="auto"/>
        <w:rPr>
          <w:sz w:val="20"/>
          <w:szCs w:val="20"/>
          <w:color w:val="auto"/>
        </w:rPr>
      </w:pPr>
      <w:r>
        <w:rPr>
          <w:rFonts w:ascii="Arial" w:cs="Arial" w:eastAsia="Arial" w:hAnsi="Arial"/>
          <w:sz w:val="12"/>
          <w:szCs w:val="12"/>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2"/>
          <w:szCs w:val="12"/>
          <w:b w:val="1"/>
          <w:bCs w:val="1"/>
          <w:color w:val="auto"/>
        </w:rPr>
        <w:t>.</w:t>
      </w:r>
    </w:p>
    <w:p>
      <w:pPr>
        <w:spacing w:after="0" w:line="115" w:lineRule="exact"/>
        <w:rPr>
          <w:sz w:val="20"/>
          <w:szCs w:val="20"/>
          <w:color w:val="auto"/>
        </w:rPr>
      </w:pPr>
    </w:p>
    <w:p>
      <w:pPr>
        <w:ind w:left="8" w:right="60"/>
        <w:spacing w:after="0" w:line="147" w:lineRule="exact"/>
        <w:rPr>
          <w:sz w:val="20"/>
          <w:szCs w:val="20"/>
          <w:color w:val="auto"/>
        </w:rPr>
      </w:pPr>
      <w:r>
        <w:rPr>
          <w:rFonts w:ascii="Arial" w:cs="Arial" w:eastAsia="Arial" w:hAnsi="Arial"/>
          <w:sz w:val="12"/>
          <w:szCs w:val="12"/>
          <w:color w:val="auto"/>
        </w:rPr>
        <w:t>We expect our expenses to increase in connection with our ongoing activities, particularly as we conduct our clinical trials of SEL</w:t>
      </w:r>
      <w:r>
        <w:rPr>
          <w:rFonts w:ascii="MS PGothic" w:cs="MS PGothic" w:eastAsia="MS PGothic" w:hAnsi="MS PGothic"/>
          <w:sz w:val="12"/>
          <w:szCs w:val="12"/>
          <w:color w:val="auto"/>
        </w:rPr>
        <w:t>‑</w:t>
      </w:r>
      <w:r>
        <w:rPr>
          <w:rFonts w:ascii="Arial" w:cs="Arial" w:eastAsia="Arial" w:hAnsi="Arial"/>
          <w:sz w:val="12"/>
          <w:szCs w:val="12"/>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136"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We believe that our existing cash, cash equivalents and investments, and restricted cash as of March 31, 2019 will enable us to fund our operating expenses and capital expenditure requirements into the first quarter of 2020. The current operating plan accounts for funding in preparation for the planned Phase 3 clinical program for SEL-212, which we plan to initiate in the fourth quarter of 2019. We believe that we have the financial resources to complete the head-to-head Phase 2 trial against Krystexxa, but will require an additional equity offering or other external sources of capital to conduct the planned Phase 3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capital requirements will depend on many factors, including:</w:t>
      </w:r>
    </w:p>
    <w:p>
      <w:pPr>
        <w:spacing w:after="0" w:line="150" w:lineRule="exact"/>
        <w:rPr>
          <w:sz w:val="20"/>
          <w:szCs w:val="20"/>
          <w:color w:val="auto"/>
        </w:rPr>
      </w:pPr>
    </w:p>
    <w:p>
      <w:pPr>
        <w:ind w:left="168" w:hanging="168"/>
        <w:spacing w:after="0" w:line="138" w:lineRule="exact"/>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scope, progress, results and costs of our clinical trials of SEL</w:t>
      </w:r>
      <w:r>
        <w:rPr>
          <w:rFonts w:ascii="MS PGothic" w:cs="MS PGothic" w:eastAsia="MS PGothic" w:hAnsi="MS PGothic"/>
          <w:sz w:val="12"/>
          <w:szCs w:val="12"/>
          <w:color w:val="auto"/>
        </w:rPr>
        <w:t>‑</w:t>
      </w:r>
      <w:r>
        <w:rPr>
          <w:rFonts w:ascii="Arial" w:cs="Arial" w:eastAsia="Arial" w:hAnsi="Arial"/>
          <w:sz w:val="12"/>
          <w:szCs w:val="12"/>
          <w:color w:val="auto"/>
        </w:rPr>
        <w:t>212;</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number of product candidates that we pursue;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collaboration agreements remaining in effect, our entering into additional collaboration agreements and our ability to achieve milestones under these agreements;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 of manufacturing clinical supplies of our product candidates;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headcount growth and associated costs;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development, laboratory testing and clinical trials for our other product candidates;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product candidates;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costs and timing of future commercialization activities, including manufacturing, marketing, sales and distribution, for any of our product candidates for which we receive marketing approval;</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product candidates for which we receive marketing approval;</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2"/>
          <w:szCs w:val="12"/>
          <w:color w:val="auto"/>
        </w:rPr>
        <w:t>‑</w:t>
      </w:r>
      <w:r>
        <w:rPr>
          <w:rFonts w:ascii="Arial" w:cs="Arial" w:eastAsia="Arial" w:hAnsi="Arial"/>
          <w:sz w:val="12"/>
          <w:szCs w:val="12"/>
          <w:color w:val="auto"/>
        </w:rPr>
        <w:t>related claims;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including entering into licensing or collaboration arrangements for product candidates.</w:t>
      </w:r>
    </w:p>
    <w:p>
      <w:pPr>
        <w:spacing w:after="0" w:line="150" w:lineRule="exact"/>
        <w:rPr>
          <w:sz w:val="20"/>
          <w:szCs w:val="20"/>
          <w:color w:val="auto"/>
        </w:rPr>
      </w:pPr>
    </w:p>
    <w:p>
      <w:pPr>
        <w:ind w:left="8"/>
        <w:spacing w:after="0" w:line="146" w:lineRule="exact"/>
        <w:rPr>
          <w:sz w:val="20"/>
          <w:szCs w:val="20"/>
          <w:color w:val="auto"/>
        </w:rPr>
      </w:pPr>
      <w:r>
        <w:rPr>
          <w:rFonts w:ascii="Arial" w:cs="Arial" w:eastAsia="Arial" w:hAnsi="Arial"/>
          <w:sz w:val="12"/>
          <w:szCs w:val="12"/>
          <w:color w:val="auto"/>
        </w:rPr>
        <w:t>Any additional fundraising efforts may divert our management from their day</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w:t>
      </w:r>
    </w:p>
    <w:p>
      <w:pPr>
        <w:spacing w:after="0" w:line="22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48"/>
          </w:cols>
          <w:pgMar w:left="212" w:top="509" w:right="23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some of our technologies or product candidates or otherwise agree to terms unfavorable to us, any of which may have a material adverse effect on our business, operating results and prospects.</w:t>
      </w:r>
    </w:p>
    <w:p>
      <w:pPr>
        <w:spacing w:after="0" w:line="150"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recurring losses from operations and negative cash flows from operations raise substantial doubt regarding our ability to continue as a going concern.</w:t>
      </w:r>
    </w:p>
    <w:p>
      <w:pPr>
        <w:spacing w:after="0" w:line="150"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As of March 31, 2019 and December 31, 2018, we had an accumulated deficit of $292.5 million and $280.4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Quarterly Report on Form 10-Q.</w:t>
      </w:r>
    </w:p>
    <w:p>
      <w:pPr>
        <w:spacing w:after="0" w:line="125"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We believe that we have the financial resources to complete the head-to-head Phase 2 trial against Krystexxa, but will require an additional equity offering or other external sources of capital to conduct the planned Phase 3 program for SEL-212.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limited operating history may make it difficult for you to evaluate the success of our business to date and to assess our future viability.</w:t>
      </w:r>
    </w:p>
    <w:p>
      <w:pPr>
        <w:spacing w:after="0" w:line="150" w:lineRule="exact"/>
        <w:rPr>
          <w:sz w:val="20"/>
          <w:szCs w:val="20"/>
          <w:color w:val="auto"/>
        </w:rPr>
      </w:pPr>
    </w:p>
    <w:p>
      <w:pPr>
        <w:ind w:right="40"/>
        <w:spacing w:after="0" w:line="146" w:lineRule="exact"/>
        <w:rPr>
          <w:sz w:val="20"/>
          <w:szCs w:val="20"/>
          <w:color w:val="auto"/>
        </w:rPr>
      </w:pPr>
      <w:r>
        <w:rPr>
          <w:rFonts w:ascii="Arial" w:cs="Arial" w:eastAsia="Arial" w:hAnsi="Arial"/>
          <w:sz w:val="11"/>
          <w:szCs w:val="11"/>
          <w:color w:val="auto"/>
        </w:rPr>
        <w:t>We commenced active operations in 2007, and our operations to date have been limited to developing and researching our ImmTOR technology and related products and programs, building our intellectual property portfolio, developing our supply chain, planning our business, raising capital and providing general and administrative support for these operations. Other than SEL-212, our lead product candidate, our other product candidates are still in preclinical development. While we have completed our Phase 1 clinical trial for SEL</w:t>
      </w:r>
      <w:r>
        <w:rPr>
          <w:rFonts w:ascii="MS PGothic" w:cs="MS PGothic" w:eastAsia="MS PGothic" w:hAnsi="MS PGothic"/>
          <w:sz w:val="11"/>
          <w:szCs w:val="11"/>
          <w:color w:val="auto"/>
        </w:rPr>
        <w:t>‑</w:t>
      </w:r>
      <w:r>
        <w:rPr>
          <w:rFonts w:ascii="Arial" w:cs="Arial" w:eastAsia="Arial" w:hAnsi="Arial"/>
          <w:sz w:val="11"/>
          <w:szCs w:val="11"/>
          <w:color w:val="auto"/>
        </w:rPr>
        <w:t>212, we have not yet completed any other clinical trials for SEL</w:t>
      </w:r>
      <w:r>
        <w:rPr>
          <w:rFonts w:ascii="MS PGothic" w:cs="MS PGothic" w:eastAsia="MS PGothic" w:hAnsi="MS PGothic"/>
          <w:sz w:val="11"/>
          <w:szCs w:val="11"/>
          <w:color w:val="auto"/>
        </w:rPr>
        <w:t>‑</w:t>
      </w:r>
      <w:r>
        <w:rPr>
          <w:rFonts w:ascii="Arial" w:cs="Arial" w:eastAsia="Arial" w:hAnsi="Arial"/>
          <w:sz w:val="11"/>
          <w:szCs w:val="11"/>
          <w:color w:val="auto"/>
        </w:rPr>
        <w:t>212 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quarter and year</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60"/>
          </w:cols>
          <w:pgMar w:left="220" w:top="509" w:right="21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2"/>
          <w:szCs w:val="12"/>
          <w:color w:val="auto"/>
        </w:rPr>
        <w:t>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and research and development tax credit carryforwards to offset future taxable income may be subject to certain limitations.</w:t>
      </w:r>
    </w:p>
    <w:p>
      <w:pPr>
        <w:spacing w:after="0" w:line="78" w:lineRule="exact"/>
        <w:rPr>
          <w:sz w:val="20"/>
          <w:szCs w:val="20"/>
          <w:color w:val="auto"/>
        </w:rPr>
      </w:pPr>
    </w:p>
    <w:p>
      <w:pPr>
        <w:spacing w:after="0" w:line="145" w:lineRule="exact"/>
        <w:rPr>
          <w:sz w:val="20"/>
          <w:szCs w:val="20"/>
          <w:color w:val="auto"/>
        </w:rPr>
      </w:pPr>
      <w:r>
        <w:rPr>
          <w:rFonts w:ascii="Arial" w:cs="Arial" w:eastAsia="Arial" w:hAnsi="Arial"/>
          <w:sz w:val="11"/>
          <w:szCs w:val="11"/>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1"/>
          <w:szCs w:val="11"/>
          <w:color w:val="auto"/>
        </w:rPr>
        <w:t>‑</w:t>
      </w:r>
      <w:r>
        <w:rPr>
          <w:rFonts w:ascii="Arial" w:cs="Arial" w:eastAsia="Arial" w:hAnsi="Arial"/>
          <w:sz w:val="11"/>
          <w:szCs w:val="11"/>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Tax Cuts and Jobs Act of 2017, or the TCJA, may cause a reduction in the economic benefit of our NOLs and other deferred tax assets available to us. Under the TCJA, net operating losses generated after December 31, 2017 will not be subject to expiration but may only be used to offset up to 80% of our taxable income.</w:t>
      </w:r>
    </w:p>
    <w:p>
      <w:pPr>
        <w:spacing w:after="0" w:line="6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January 2019, the Company completed an equity offering that it believes will result in an ownership change under Section 382 of the Internal Revenue Code. Based upon estimates, the Company believes that deferred tax assets of $49.5 million, related to federal and Massachusetts net operating losses and credits, will no longer be available going forward. Such amounts are offset by a full valuation allowance at December 31, 2018. The Company will finalize this calculation in 2019.</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DISCOVERY, DEVELOPMENT AND REGULATORY APPROVAL OF OUR PRODUCT CANDIDATES</w:t>
      </w:r>
    </w:p>
    <w:p>
      <w:pPr>
        <w:spacing w:after="0" w:line="154" w:lineRule="exact"/>
        <w:rPr>
          <w:sz w:val="20"/>
          <w:szCs w:val="20"/>
          <w:color w:val="auto"/>
        </w:rPr>
      </w:pPr>
    </w:p>
    <w:p>
      <w:pPr>
        <w:ind w:right="100"/>
        <w:spacing w:after="0" w:line="149" w:lineRule="exact"/>
        <w:rPr>
          <w:sz w:val="20"/>
          <w:szCs w:val="20"/>
          <w:color w:val="auto"/>
        </w:rPr>
      </w:pPr>
      <w:r>
        <w:rPr>
          <w:rFonts w:ascii="Arial" w:cs="Arial" w:eastAsia="Arial" w:hAnsi="Arial"/>
          <w:sz w:val="12"/>
          <w:szCs w:val="12"/>
          <w:b w:val="1"/>
          <w:bCs w:val="1"/>
          <w:i w:val="1"/>
          <w:iCs w:val="1"/>
          <w:color w:val="auto"/>
        </w:rPr>
        <w:t>Our product candidates are based on our ImmTOR technology, which is an unproven approach designed to induce antigen</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specific immune tolerance to biologic drugs. We are very early in our clinical development efforts and may not be successful in our efforts to use our ImmTOR technology to build a pipeline of product candidates and develop marketable drugs.</w:t>
      </w:r>
    </w:p>
    <w:p>
      <w:pPr>
        <w:spacing w:after="0" w:line="136" w:lineRule="exact"/>
        <w:rPr>
          <w:sz w:val="20"/>
          <w:szCs w:val="20"/>
          <w:color w:val="auto"/>
        </w:rPr>
      </w:pPr>
    </w:p>
    <w:p>
      <w:pPr>
        <w:ind w:right="40"/>
        <w:spacing w:after="0" w:line="145" w:lineRule="exact"/>
        <w:rPr>
          <w:sz w:val="20"/>
          <w:szCs w:val="20"/>
          <w:color w:val="auto"/>
        </w:rPr>
      </w:pPr>
      <w:r>
        <w:rPr>
          <w:rFonts w:ascii="Arial" w:cs="Arial" w:eastAsia="Arial" w:hAnsi="Arial"/>
          <w:sz w:val="11"/>
          <w:szCs w:val="11"/>
          <w:color w:val="auto"/>
        </w:rPr>
        <w:t>All of our product candidates are derived from our ImmTOR technology, which is an unproven approach to inducing antigen</w:t>
      </w:r>
      <w:r>
        <w:rPr>
          <w:rFonts w:ascii="MS PGothic" w:cs="MS PGothic" w:eastAsia="MS PGothic" w:hAnsi="MS PGothic"/>
          <w:sz w:val="11"/>
          <w:szCs w:val="11"/>
          <w:color w:val="auto"/>
        </w:rPr>
        <w:t>‑</w:t>
      </w:r>
      <w:r>
        <w:rPr>
          <w:rFonts w:ascii="Arial" w:cs="Arial" w:eastAsia="Arial" w:hAnsi="Arial"/>
          <w:sz w:val="11"/>
          <w:szCs w:val="11"/>
          <w:color w:val="auto"/>
        </w:rPr>
        <w:t>specific. We are primarily using our ImmTOR technology to improve and enable biologics that treat rare and serious diseases, with an initial focus on developing SEL</w:t>
      </w:r>
      <w:r>
        <w:rPr>
          <w:rFonts w:ascii="MS PGothic" w:cs="MS PGothic" w:eastAsia="MS PGothic" w:hAnsi="MS PGothic"/>
          <w:sz w:val="11"/>
          <w:szCs w:val="11"/>
          <w:color w:val="auto"/>
        </w:rPr>
        <w:t>‑</w:t>
      </w:r>
      <w:r>
        <w:rPr>
          <w:rFonts w:ascii="Arial" w:cs="Arial" w:eastAsia="Arial" w:hAnsi="Arial"/>
          <w:sz w:val="11"/>
          <w:szCs w:val="11"/>
          <w:color w:val="auto"/>
        </w:rPr>
        <w:t>212 for the treatment of chronic refractory gout. We are also leveraging our ImmTOR platform to pursue programs in additional therapeutic areas with a focus on gene therapy. For instance, in May 2017 we licensed LMB-100, a potent immunoitoxin, from the National Cancer Institute (NCI) and a Phase 1 clinical trial of LMB-100 plus ImmTOR (SEL-403) initiated im March 2018 by NCI in patients with malignant pleural or peritoneal mesothelioma who have undergone at least one regimen of chemotherapy under a Cooperative Research and Development Agreement (CRADA) between the NCI and the Company. In October 2018 the NCI informed the Company of a Grade 5 Serious Adverse Event (patient death) in this clinical trial related to pneumonitis, which was deemed by the trial investigator to be probably related to SVP-Rapamycin and possibly related to the patient’s pleural mesothelioma condition. This patient had received previous therapies, including two courses of radiation therapy and three different immune check point inhibitors, which can be associated with pneumonitis1,2; however, the possible relationship to SVP-Rapamycin cannot be excluded. Pneumonitis has been reported in patients receiving mTOR therapies, including daily oral rapamycin3. In addition, a Serious Adverse Event (pericardial effusion) was seen in one of the other three patients dosed in the SEL-403 clinical trial. Pericardial effusion can be a side effect of immunotoxin therapies targeting mesothelin4. The FDA placed the IND for SEL-403 on full clinical hold in response to adverse events observed during the Phase 1 trial. Selecta has terminated the license of LMB-100 from NCI, effective April 9, 2019 and is no longer pursuing this product candidate.</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In addition, we are developing two gene therapy product candidates for rare inborn errors of metabolism. Our lead gene therapy program is a potential treatment for methylmalonic </w:t>
      </w:r>
      <w:r>
        <w:rPr>
          <w:rFonts w:ascii="Arial" w:cs="Arial" w:eastAsia="Arial" w:hAnsi="Arial"/>
          <w:sz w:val="11"/>
          <w:szCs w:val="11"/>
          <w:color w:val="333333"/>
        </w:rPr>
        <w:t>acidemia</w:t>
      </w:r>
      <w:r>
        <w:rPr>
          <w:rFonts w:ascii="Arial" w:cs="Arial" w:eastAsia="Arial" w:hAnsi="Arial"/>
          <w:sz w:val="11"/>
          <w:szCs w:val="11"/>
          <w:color w:val="auto"/>
        </w:rPr>
        <w:t>. This product candidate is known as SEL-302.</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Our second gene therapy product candidate, or SEL-313, is being developed to treat ornithine transcarbamylase deficiency. Our collaboration announced in September 2018 with CureCN, a European consortium, for the use of our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ImmTOR technology in combination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509" w:right="219" w:bottom="1440" w:gutter="0" w:footer="0" w:header="0"/>
        </w:sectPr>
      </w:pPr>
    </w:p>
    <w:bookmarkStart w:id="49" w:name="page50"/>
    <w:bookmarkEnd w:id="49"/>
    <w:p>
      <w:pPr>
        <w:ind w:left="8"/>
        <w:spacing w:after="0"/>
        <w:rPr>
          <w:sz w:val="20"/>
          <w:szCs w:val="20"/>
          <w:color w:val="auto"/>
        </w:rPr>
      </w:pPr>
      <w:r>
        <w:rPr>
          <w:rFonts w:ascii="Arial" w:cs="Arial" w:eastAsia="Arial" w:hAnsi="Arial"/>
          <w:sz w:val="12"/>
          <w:szCs w:val="12"/>
          <w:color w:val="auto"/>
        </w:rPr>
        <w:t>with an AAV gene therapy in Crigler-Najjar syndrome, a rare genetic disorder characterized by an inability to properly convert and clear bilirubin from the body continues to make progress.</w:t>
      </w:r>
    </w:p>
    <w:p>
      <w:pPr>
        <w:spacing w:after="0" w:line="150" w:lineRule="exact"/>
        <w:rPr>
          <w:sz w:val="20"/>
          <w:szCs w:val="20"/>
          <w:color w:val="auto"/>
        </w:rPr>
      </w:pPr>
    </w:p>
    <w:p>
      <w:pPr>
        <w:ind w:left="8" w:right="40"/>
        <w:spacing w:after="0" w:line="298" w:lineRule="auto"/>
        <w:rPr>
          <w:sz w:val="20"/>
          <w:szCs w:val="20"/>
          <w:color w:val="auto"/>
        </w:rPr>
      </w:pPr>
      <w:r>
        <w:rPr>
          <w:rFonts w:ascii="Arial" w:cs="Arial" w:eastAsia="Arial" w:hAnsi="Arial"/>
          <w:sz w:val="11"/>
          <w:szCs w:val="11"/>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05"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completion of preclinical studies and clinical trials with positive results;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receipt of marketing approvals from applicable regulatory authorities;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for our product candidates;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making arrangements with third-party manufacturers for, or establishing, commercial manufacturing capabilities, or establishing such capabilities ourselves;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launching commercial sales of our products, if and when approved, whether alone or in collaboration with others;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existing collaboration agreements remaining in effect and our ability to enter into new collaborations throughout the development process as appropriate, from preclinical studies through to commercialization;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acceptance of our products, if and when approved, by patients and the medical community;</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obtaining and maintaining coverage and adequate reimbursement by third</w:t>
      </w:r>
      <w:r>
        <w:rPr>
          <w:rFonts w:ascii="MS PGothic" w:cs="MS PGothic" w:eastAsia="MS PGothic" w:hAnsi="MS PGothic"/>
          <w:sz w:val="12"/>
          <w:szCs w:val="12"/>
          <w:color w:val="auto"/>
        </w:rPr>
        <w:t>‑</w:t>
      </w:r>
      <w:r>
        <w:rPr>
          <w:rFonts w:ascii="Arial" w:cs="Arial" w:eastAsia="Arial" w:hAnsi="Arial"/>
          <w:sz w:val="12"/>
          <w:szCs w:val="12"/>
          <w:color w:val="auto"/>
        </w:rPr>
        <w:t>party payors, including government payors, for our products, if approved;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protecting our rights in our intellectual property portfolio;</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operating without infringing or violating the valid and enforceable patents or other intellectual property of third parties;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maintaining an acceptable safety profile of our products following approval;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maintaining and growing an organization of scientists and business people who can develop and commercialize our product candidates and technology.</w:t>
      </w:r>
    </w:p>
    <w:p>
      <w:pPr>
        <w:spacing w:after="0" w:line="78"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15"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We have not received FDA approval for a therapeutic based on our ImmTOR technology or for a biologic product manufactured in China and we know of only one company which has received FDA approval for a therapeutic based on a biologic sourced from China. In addition, we may use biologics other than pegadricase (formerly pegsiticase) with our ImmTOR technology.</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a result, we cannot be certain that our approach, or our development of SEL-212, will lead to the development or approval of marketable products. In addition:</w:t>
      </w:r>
    </w:p>
    <w:p>
      <w:pPr>
        <w:spacing w:after="0" w:line="78"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due to the unproven nature of our ImmTOR therapeutics, there may be different efficacy and safety rates in various indications;</w:t>
      </w:r>
    </w:p>
    <w:p>
      <w:pPr>
        <w:spacing w:after="0" w:line="150" w:lineRule="exact"/>
        <w:rPr>
          <w:rFonts w:ascii="Arial" w:cs="Arial" w:eastAsia="Arial" w:hAnsi="Arial"/>
          <w:sz w:val="12"/>
          <w:szCs w:val="12"/>
          <w:color w:val="auto"/>
        </w:rPr>
      </w:pPr>
    </w:p>
    <w:p>
      <w:pPr>
        <w:ind w:left="208" w:right="280" w:hanging="208"/>
        <w:spacing w:after="0" w:line="149" w:lineRule="exact"/>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FDA or other regulatory agencies may lack experience in evaluating the efficacy and safety of products based on ImmTOR or a biologic sourced from China or other jurisdictions, which could result in a longer</w:t>
      </w:r>
      <w:r>
        <w:rPr>
          <w:rFonts w:ascii="MS PGothic" w:cs="MS PGothic" w:eastAsia="MS PGothic" w:hAnsi="MS PGothic"/>
          <w:sz w:val="12"/>
          <w:szCs w:val="12"/>
          <w:color w:val="auto"/>
        </w:rPr>
        <w:t>‑</w:t>
      </w:r>
      <w:r>
        <w:rPr>
          <w:rFonts w:ascii="Arial" w:cs="Arial" w:eastAsia="Arial" w:hAnsi="Arial"/>
          <w:sz w:val="12"/>
          <w:szCs w:val="12"/>
          <w:color w:val="auto"/>
        </w:rPr>
        <w:t>than</w:t>
      </w:r>
      <w:r>
        <w:rPr>
          <w:rFonts w:ascii="MS PGothic" w:cs="MS PGothic" w:eastAsia="MS PGothic" w:hAnsi="MS PGothic"/>
          <w:sz w:val="12"/>
          <w:szCs w:val="12"/>
          <w:color w:val="auto"/>
        </w:rPr>
        <w:t>‑</w:t>
      </w:r>
      <w:r>
        <w:rPr>
          <w:rFonts w:ascii="Arial" w:cs="Arial" w:eastAsia="Arial" w:hAnsi="Arial"/>
          <w:sz w:val="12"/>
          <w:szCs w:val="12"/>
          <w:color w:val="auto"/>
        </w:rPr>
        <w:t>expected regulatory review process, increase our expected development costs or delay or prevent commercialization of our product candidates; and</w:t>
      </w:r>
    </w:p>
    <w:p>
      <w:pPr>
        <w:spacing w:after="0" w:line="135" w:lineRule="exact"/>
        <w:rPr>
          <w:rFonts w:ascii="Arial" w:cs="Arial" w:eastAsia="Arial" w:hAnsi="Arial"/>
          <w:sz w:val="12"/>
          <w:szCs w:val="12"/>
          <w:color w:val="auto"/>
        </w:rPr>
      </w:pPr>
    </w:p>
    <w:p>
      <w:pPr>
        <w:ind w:left="208" w:hanging="208"/>
        <w:spacing w:after="0" w:line="149" w:lineRule="exact"/>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the event of a biologics license application, or BLA, for SEL</w:t>
      </w:r>
      <w:r>
        <w:rPr>
          <w:rFonts w:ascii="MS PGothic" w:cs="MS PGothic" w:eastAsia="MS PGothic" w:hAnsi="MS PGothic"/>
          <w:sz w:val="12"/>
          <w:szCs w:val="12"/>
          <w:color w:val="auto"/>
        </w:rPr>
        <w:t>‑</w:t>
      </w:r>
      <w:r>
        <w:rPr>
          <w:rFonts w:ascii="Arial" w:cs="Arial" w:eastAsia="Arial" w:hAnsi="Arial"/>
          <w:sz w:val="12"/>
          <w:szCs w:val="12"/>
          <w:color w:val="auto"/>
        </w:rPr>
        <w:t>212 or another product and a pre</w:t>
      </w:r>
      <w:r>
        <w:rPr>
          <w:rFonts w:ascii="MS PGothic" w:cs="MS PGothic" w:eastAsia="MS PGothic" w:hAnsi="MS PGothic"/>
          <w:sz w:val="12"/>
          <w:szCs w:val="12"/>
          <w:color w:val="auto"/>
        </w:rPr>
        <w:t>‑</w:t>
      </w:r>
      <w:r>
        <w:rPr>
          <w:rFonts w:ascii="Arial" w:cs="Arial" w:eastAsia="Arial" w:hAnsi="Arial"/>
          <w:sz w:val="12"/>
          <w:szCs w:val="12"/>
          <w:color w:val="auto"/>
        </w:rPr>
        <w:t>approval inspection by the FDA of the facilities of Shenyang Sunshine Pharmaceutical Co., Ltd., or 3SBio, or any other manufacturer of biologics we may use, the FDA may not approve the facility for production or may make observations that will take significant time for 3SBio or such other manufacturer to address.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occurrence of any of the foregoing, would effectively prevent or delay approval of our lead and other product candidates.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We are applying our ImmTOR technology to antigen-specific immune tolerance for gene therapy involving gene augmentation, replacement or editing. Regulatory authorities in the United States and European Union have limited</w:t>
      </w:r>
    </w:p>
    <w:p>
      <w:pPr>
        <w:spacing w:after="0" w:line="26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48"/>
          </w:cols>
          <w:pgMar w:left="212" w:top="509" w:right="23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i w:val="1"/>
          <w:iCs w:val="1"/>
          <w:color w:val="auto"/>
        </w:rPr>
        <w:t>experience in reviewing and approving gene therapy products, which could affect the time and data required to obtain marketing authorization of any of our product candidates.</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Our future success depends in part on our successful development of viable gene therapy product candidates utilizing ImmTOR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115"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in addition to the submission of an investigational new drug application, or IND, to the FDA, before initiation of a clinical trial in the United States, certain human clinical trials for cell therapy products and gene therapy had historically been subject to review by the Recombinant DNA Advisory Committee, or the RAC, of the National Institutes of Health, or NIH, Office of Biotechnology Activities, or OBA, pursuant to the NIH Guidelines for Research Involving Recombinant DNA Molecules, or NIH Guidelines. Following an initial review, RAC members would make a recommendation as to whether the protocol raises important scientific, safety, medical, ethical or social issues that warrant in-depth discussion at the RAC’s quarterly meetings. Even though the FDA decides whether individual cell therapy or gene therapy protocols may proceed under an IND, the RAC’s recommendations were shared with the FDA and the RAC public review process, if undertaken, could delay the initiation of a clinical trial, even if the FDA had reviewed the trial design and details and has not objected to its initiation or has notified the sponsor that the study may begin. Conversely, the FDA can put an IND on clinical hold even if the RAC provided a favorable review or has recommended against an in-depth, public review.</w:t>
      </w:r>
    </w:p>
    <w:p>
      <w:pPr>
        <w:spacing w:after="0" w:line="1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0"/>
          <w:szCs w:val="10"/>
          <w:color w:val="auto"/>
        </w:rPr>
        <w:t>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has announced that it will no longer accept new human gene transfer protocols for review as part of the protocol registration process under the existing NIH Guidelines or convene the RAC to review individual clinical protocols.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These trials will remain subject to the FDA’s oversight and other clinical trial regulations, and oversight at the local level will continue as otherwise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Even though we may not be required to submit a protocol for our gene therapy product candidates through the NIH for RAC review, we will still be subject to significant regulatory oversight by the FDA, and in addition to the government regulators, the applicable IBC and institutional review board, or IRB, of each institution at which we or our collaborators conduct clinical trials of our product candidates, or a central IRB if appropriate, would need to review and approve the proposed clinical trial.</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The same applies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60"/>
          </w:cols>
          <w:pgMar w:left="220" w:top="509" w:right="21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auto"/>
        </w:rPr>
        <w:t>procedures and standards applied to gene therapy products and cell therapy products may be applied to any of our gene therapy or genome editing product candidates, but that remains uncertain at this point.</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31"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Our lead product candidate, SEL-212, is currently being evaluated in a Phase 2 clinical program that we initiated in October 2016. We are preparing for the start of a pivotal Phase 3 program for SEL-212. In March 2019, we initiated a head-to-head clinical trial of SEL-212 compared to the current FDA-approved uricase therapy, Krystexxa. In May 2017, we in-licensed LMB-100, a next-generation immunotoxin that completed a Phase 1 clinical program at the Center for Cancer Research at the National Cancer Institute, or NCI, part of the National Institutes of Health, for pancreatic cancer, mesothelioma and other cancers in 2017. For this product candidate, known as SEL-403, we plan to co-administer LMB-100 with ImmTOR. In March 2018, we initiated a Phase 1 trial of SEL-403 in patients with malignant pleural or peritoneal mesothelioma who have undergone at least one regimen of chemotherapy under a Cooperative Research and Development Agreement, or CRADA, at NCI. A patient in the Phase 1 trial experienced a Grade 5 SAE (patient death) related to pneumonitis, which was deemed by the trial investigator to be probably related to ImmTOR and possibly related to the patient’s pleural mesothelioma condition. In November 2018, the FDA placed the IND for SEL-403 on full clinical hold in response to adverse events observed during the Phase 1 trial. Selecta has terminated the license of LMB-100 from NCI, effective April 9, 2019 and is no longer pursuing this product candidate.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60"/>
          </w:cols>
          <w:pgMar w:left="220" w:top="509" w:right="219" w:bottom="1440" w:gutter="0" w:footer="0" w:header="0"/>
        </w:sectPr>
      </w:pPr>
    </w:p>
    <w:bookmarkStart w:id="52" w:name="page53"/>
    <w:bookmarkEnd w:id="52"/>
    <w:p>
      <w:pPr>
        <w:ind w:left="8" w:right="80"/>
        <w:spacing w:after="0" w:line="259" w:lineRule="auto"/>
        <w:rPr>
          <w:sz w:val="20"/>
          <w:szCs w:val="20"/>
          <w:color w:val="auto"/>
        </w:rPr>
      </w:pPr>
      <w:r>
        <w:rPr>
          <w:rFonts w:ascii="Arial" w:cs="Arial" w:eastAsia="Arial" w:hAnsi="Arial"/>
          <w:sz w:val="12"/>
          <w:szCs w:val="12"/>
          <w:color w:val="auto"/>
        </w:rPr>
        <w:t>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w:t>
      </w:r>
    </w:p>
    <w:p>
      <w:pPr>
        <w:spacing w:after="0" w:line="125" w:lineRule="exact"/>
        <w:rPr>
          <w:sz w:val="20"/>
          <w:szCs w:val="20"/>
          <w:color w:val="auto"/>
        </w:rPr>
      </w:pPr>
    </w:p>
    <w:p>
      <w:pPr>
        <w:ind w:left="8" w:right="120"/>
        <w:spacing w:after="0" w:line="320" w:lineRule="auto"/>
        <w:rPr>
          <w:sz w:val="20"/>
          <w:szCs w:val="20"/>
          <w:color w:val="auto"/>
        </w:rPr>
      </w:pPr>
      <w:r>
        <w:rPr>
          <w:rFonts w:ascii="Arial" w:cs="Arial" w:eastAsia="Arial" w:hAnsi="Arial"/>
          <w:sz w:val="10"/>
          <w:szCs w:val="10"/>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to date from our Phase 2 trial of SEL-212 may not be predictive of future results as we complete dosing of patient cohorts receiving combination therapy for the entire treatment period. Moreover, we may not be able to complete, or may be required to deviate from, currently planned dosing levels in the Phase 2 trial, or may not be able to determine an appropriate dosing regimen for SEL-212 for the Phase 3 program, for a variety of reasons, including, but not limited to, feedback from the FDA.</w:t>
      </w:r>
    </w:p>
    <w:p>
      <w:pPr>
        <w:spacing w:after="0" w:line="98" w:lineRule="exact"/>
        <w:rPr>
          <w:sz w:val="20"/>
          <w:szCs w:val="20"/>
          <w:color w:val="auto"/>
        </w:rPr>
      </w:pPr>
    </w:p>
    <w:p>
      <w:pPr>
        <w:ind w:left="8"/>
        <w:spacing w:after="0" w:line="278" w:lineRule="auto"/>
        <w:rPr>
          <w:sz w:val="20"/>
          <w:szCs w:val="20"/>
          <w:color w:val="auto"/>
        </w:rPr>
      </w:pPr>
      <w:r>
        <w:rPr>
          <w:rFonts w:ascii="Arial" w:cs="Arial" w:eastAsia="Arial" w:hAnsi="Arial"/>
          <w:sz w:val="11"/>
          <w:szCs w:val="11"/>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multiple SAEs have occurred in connection with the SEL-212 Phase 1/2 clinical program and the SEL-403 Phase 1 clinical trial, including a Grade 5 SAE (patient death) in the SEL-403 Phase 1 clinical trial that was deemed by the trial investigator to be probably related to ImmTOR, and additional SAEs or similar events could occur during the course of our development of SEL-212 or our other product candidates, which could be materially adverse to the success of these programs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18"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In addition, we cannot be certain as to what type and how many clinical trials the FDA will require us to conduct before we may successfully gain approval to market SEL-212 or any of our other product candidates in the United States or other countries, if any. Prior to approving a new therapeutic product, the FDA generally requires that safety and efficacy be demonstrated in two adequate and well-controlled clinical trials. We expect to conduct more than one Phase 3 trial for SEL-212 in the refractory gout indication in order to gain approval. However, we may not receive FDA approval for our plan to provide six doses of the combination therapy of SEL-212 for the Phase 3 trial. Additional clinical trials could cause us to incur significant development costs, delay or prevent the commercialization of SEL-212 or otherwise adversely affect our business.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may experience numerous unforeseen events during, or as a result of, clinical trials that could delay or prevent our ability to receive marketing approval for, or commercialize, our product candidates, including:</w:t>
      </w:r>
    </w:p>
    <w:p>
      <w:pPr>
        <w:spacing w:after="0" w:line="150"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clinical trials of our product candidates may produce unfavorable, incomplete or inconclusive results;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regulators or institutional review boards may not authorize us or our investigators to commence a clinical trial or conduct a clinical trial at a prospective trial site;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may experience delays in reaching, or fail to reach, agreement on acceptable terms with contract research organizations, or CROs, or clinical trial sites;</w:t>
      </w:r>
    </w:p>
    <w:p>
      <w:pPr>
        <w:spacing w:after="0" w:line="150" w:lineRule="exact"/>
        <w:rPr>
          <w:rFonts w:ascii="Arial" w:cs="Arial" w:eastAsia="Arial" w:hAnsi="Arial"/>
          <w:sz w:val="12"/>
          <w:szCs w:val="12"/>
          <w:color w:val="auto"/>
        </w:rPr>
      </w:pPr>
    </w:p>
    <w:p>
      <w:pPr>
        <w:ind w:left="208" w:right="220" w:hanging="208"/>
        <w:spacing w:after="0" w:line="276"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number of clinical trial sites required for clinical trials of our product candidates may be larger than we expect;</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8"/>
          </w:cols>
          <w:pgMar w:left="212" w:top="509" w:right="199" w:bottom="1440" w:gutter="0" w:footer="0" w:header="0"/>
        </w:sectPr>
      </w:pPr>
    </w:p>
    <w:bookmarkStart w:id="53" w:name="page54"/>
    <w:bookmarkEnd w:id="53"/>
    <w:p>
      <w:pPr>
        <w:ind w:left="208" w:hanging="208"/>
        <w:spacing w:after="0" w:line="138" w:lineRule="exact"/>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third</w:t>
      </w:r>
      <w:r>
        <w:rPr>
          <w:rFonts w:ascii="MS PGothic" w:cs="MS PGothic" w:eastAsia="MS PGothic" w:hAnsi="MS PGothic"/>
          <w:sz w:val="12"/>
          <w:szCs w:val="12"/>
          <w:color w:val="auto"/>
        </w:rPr>
        <w:t>‑</w:t>
      </w:r>
      <w:r>
        <w:rPr>
          <w:rFonts w:ascii="Arial" w:cs="Arial" w:eastAsia="Arial" w:hAnsi="Arial"/>
          <w:sz w:val="12"/>
          <w:szCs w:val="12"/>
          <w:color w:val="auto"/>
        </w:rPr>
        <w:t>party contractors may fail to comply with regulatory requirements or meet their contractual obligations to us in a timely manner, or at all;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have to suspend or terminate clinical trials of our product candidates for various reasons, including a finding that the participants are being exposed to unacceptable health risks;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investigators, regulators, data safety monitoring boards or institutional review boards may require that we or our investigators suspend or terminate clinical research, or we may decide to do so ourselves;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investigators may deviate from the trial protocol, fail to conduct the trial in accordance with regulatory requirements or misreport study data;</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3" w:lineRule="exact"/>
        <w:rPr>
          <w:rFonts w:ascii="Arial" w:cs="Arial" w:eastAsia="Arial" w:hAnsi="Arial"/>
          <w:sz w:val="10"/>
          <w:szCs w:val="10"/>
          <w:color w:val="auto"/>
        </w:rPr>
      </w:pPr>
    </w:p>
    <w:p>
      <w:pPr>
        <w:ind w:left="208" w:right="20"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regulators may revise the requirements for approving our product candidates, or such requirements may not be as we expect;</w:t>
      </w:r>
    </w:p>
    <w:p>
      <w:pPr>
        <w:spacing w:after="0" w:line="150"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62" w:lineRule="exact"/>
        <w:rPr>
          <w:sz w:val="20"/>
          <w:szCs w:val="20"/>
          <w:color w:val="auto"/>
        </w:rPr>
      </w:pPr>
    </w:p>
    <w:p>
      <w:pPr>
        <w:ind w:left="8"/>
        <w:spacing w:after="0" w:line="380" w:lineRule="auto"/>
        <w:rPr>
          <w:sz w:val="20"/>
          <w:szCs w:val="20"/>
          <w:color w:val="auto"/>
        </w:rPr>
      </w:pPr>
      <w:r>
        <w:rPr>
          <w:rFonts w:ascii="Arial" w:cs="Arial" w:eastAsia="Arial" w:hAnsi="Arial"/>
          <w:sz w:val="10"/>
          <w:szCs w:val="10"/>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68" w:lineRule="exact"/>
        <w:rPr>
          <w:sz w:val="20"/>
          <w:szCs w:val="20"/>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product candidates, if at all;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lose the support of collaborators, requiring us to bear more of the burden of research and development;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obtain marketing approval in some countries and not in others;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obtain approval for indications or patient populations that are not as broad as intended or desired;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obtain approval with labeling that includes significant use or distribution restrictions or safety warnings;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be subject to additional post</w:t>
      </w:r>
      <w:r>
        <w:rPr>
          <w:rFonts w:ascii="MS PGothic" w:cs="MS PGothic" w:eastAsia="MS PGothic" w:hAnsi="MS PGothic"/>
          <w:sz w:val="12"/>
          <w:szCs w:val="12"/>
          <w:color w:val="auto"/>
        </w:rPr>
        <w:t>‑</w:t>
      </w:r>
      <w:r>
        <w:rPr>
          <w:rFonts w:ascii="Arial" w:cs="Arial" w:eastAsia="Arial" w:hAnsi="Arial"/>
          <w:sz w:val="12"/>
          <w:szCs w:val="12"/>
          <w:color w:val="auto"/>
        </w:rPr>
        <w:t>marketing testing requirements; or</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a product removed from the market after obtaining marketing approval.</w:t>
      </w:r>
    </w:p>
    <w:p>
      <w:pPr>
        <w:spacing w:after="0" w:line="150" w:lineRule="exact"/>
        <w:rPr>
          <w:sz w:val="20"/>
          <w:szCs w:val="20"/>
          <w:color w:val="auto"/>
        </w:rPr>
      </w:pPr>
    </w:p>
    <w:p>
      <w:pPr>
        <w:ind w:left="8"/>
        <w:spacing w:after="0" w:line="286" w:lineRule="auto"/>
        <w:rPr>
          <w:sz w:val="20"/>
          <w:szCs w:val="20"/>
          <w:color w:val="auto"/>
        </w:rPr>
      </w:pPr>
      <w:r>
        <w:rPr>
          <w:rFonts w:ascii="Arial" w:cs="Arial" w:eastAsia="Arial" w:hAnsi="Arial"/>
          <w:sz w:val="11"/>
          <w:szCs w:val="11"/>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11" w:lineRule="exact"/>
        <w:rPr>
          <w:sz w:val="20"/>
          <w:szCs w:val="20"/>
          <w:color w:val="auto"/>
        </w:rPr>
      </w:pPr>
    </w:p>
    <w:p>
      <w:pPr>
        <w:jc w:val="both"/>
        <w:ind w:left="8" w:right="220"/>
        <w:spacing w:after="0" w:line="298" w:lineRule="auto"/>
        <w:rPr>
          <w:sz w:val="20"/>
          <w:szCs w:val="20"/>
          <w:color w:val="auto"/>
        </w:rPr>
      </w:pPr>
      <w:r>
        <w:rPr>
          <w:rFonts w:ascii="Arial" w:cs="Arial" w:eastAsia="Arial" w:hAnsi="Arial"/>
          <w:sz w:val="11"/>
          <w:szCs w:val="11"/>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9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28"/>
          </w:cols>
          <w:pgMar w:left="212" w:top="509" w:right="259" w:bottom="1440" w:gutter="0" w:footer="0" w:header="0"/>
        </w:sectPr>
      </w:pPr>
    </w:p>
    <w:bookmarkStart w:id="54" w:name="page55"/>
    <w:bookmarkEnd w:id="54"/>
    <w:p>
      <w:pPr>
        <w:ind w:left="8"/>
        <w:spacing w:after="0"/>
        <w:rPr>
          <w:sz w:val="20"/>
          <w:szCs w:val="20"/>
          <w:color w:val="auto"/>
        </w:rPr>
      </w:pPr>
      <w:r>
        <w:rPr>
          <w:rFonts w:ascii="Arial" w:cs="Arial" w:eastAsia="Arial" w:hAnsi="Arial"/>
          <w:sz w:val="12"/>
          <w:szCs w:val="12"/>
          <w:b w:val="1"/>
          <w:bCs w:val="1"/>
          <w:i w:val="1"/>
          <w:iCs w:val="1"/>
          <w:color w:val="auto"/>
        </w:rPr>
        <w:t>If we experience delays or difficulties in the enrollment of patients in clinical trials, our receipt of necessary regulatory approvals could be delayed or prevented.</w:t>
      </w:r>
    </w:p>
    <w:p>
      <w:pPr>
        <w:spacing w:after="0" w:line="150" w:lineRule="exact"/>
        <w:rPr>
          <w:sz w:val="20"/>
          <w:szCs w:val="20"/>
          <w:color w:val="auto"/>
        </w:rPr>
      </w:pPr>
    </w:p>
    <w:p>
      <w:pPr>
        <w:ind w:left="8" w:right="80"/>
        <w:spacing w:after="0" w:line="263" w:lineRule="auto"/>
        <w:rPr>
          <w:sz w:val="20"/>
          <w:szCs w:val="20"/>
          <w:color w:val="auto"/>
        </w:rPr>
      </w:pPr>
      <w:r>
        <w:rPr>
          <w:rFonts w:ascii="Arial" w:cs="Arial" w:eastAsia="Arial" w:hAnsi="Arial"/>
          <w:sz w:val="12"/>
          <w:szCs w:val="12"/>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23" w:lineRule="exact"/>
        <w:rPr>
          <w:sz w:val="20"/>
          <w:szCs w:val="20"/>
          <w:color w:val="auto"/>
        </w:rPr>
      </w:pPr>
    </w:p>
    <w:p>
      <w:pPr>
        <w:ind w:left="8" w:right="40"/>
        <w:spacing w:after="0" w:line="149" w:lineRule="exact"/>
        <w:rPr>
          <w:sz w:val="20"/>
          <w:szCs w:val="20"/>
          <w:color w:val="auto"/>
        </w:rPr>
      </w:pPr>
      <w:r>
        <w:rPr>
          <w:rFonts w:ascii="Arial" w:cs="Arial" w:eastAsia="Arial" w:hAnsi="Arial"/>
          <w:sz w:val="12"/>
          <w:szCs w:val="12"/>
          <w:color w:val="auto"/>
        </w:rPr>
        <w:t>We are initially developing our lead product candidate, SEL</w:t>
      </w:r>
      <w:r>
        <w:rPr>
          <w:rFonts w:ascii="MS PGothic" w:cs="MS PGothic" w:eastAsia="MS PGothic" w:hAnsi="MS PGothic"/>
          <w:sz w:val="12"/>
          <w:szCs w:val="12"/>
          <w:color w:val="auto"/>
        </w:rPr>
        <w:t>‑</w:t>
      </w:r>
      <w:r>
        <w:rPr>
          <w:rFonts w:ascii="Arial" w:cs="Arial" w:eastAsia="Arial" w:hAnsi="Arial"/>
          <w:sz w:val="12"/>
          <w:szCs w:val="12"/>
          <w:color w:val="auto"/>
        </w:rPr>
        <w:t>212, for the treatment of chronic refractory gout, which affects approximately 160,000 patients in the United States. Accordingly, there is a limited number of patients who could enroll in our clinical studies.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to the size of the patient population, patient enrollment is also affected by other factors including:</w:t>
      </w:r>
    </w:p>
    <w:p>
      <w:pPr>
        <w:spacing w:after="0" w:line="150"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severity of the disease under investigation;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patient eligibility criteria for the study in question;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perceived risks and benefits of the product candidate under study;</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availability of other treatments for the disease under investigation;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existence of competing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efforts to facilitate timely enrollment in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investigators engagement with, or enthusiasm about, the trial;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payments for participating in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patient referral practices of physicians;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design of the trial;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ability to monitor patients adequately during and after treatment;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proximity and availability of clinical trial sites for prospective patients.</w:t>
      </w:r>
    </w:p>
    <w:p>
      <w:pPr>
        <w:spacing w:after="0" w:line="78"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54" w:lineRule="exact"/>
        <w:rPr>
          <w:sz w:val="20"/>
          <w:szCs w:val="20"/>
          <w:color w:val="auto"/>
        </w:rPr>
      </w:pPr>
    </w:p>
    <w:p>
      <w:pPr>
        <w:ind w:left="8" w:right="320"/>
        <w:spacing w:after="0" w:line="276" w:lineRule="auto"/>
        <w:rPr>
          <w:sz w:val="20"/>
          <w:szCs w:val="20"/>
          <w:color w:val="auto"/>
        </w:rPr>
      </w:pPr>
      <w:r>
        <w:rPr>
          <w:rFonts w:ascii="Arial" w:cs="Arial" w:eastAsia="Arial" w:hAnsi="Arial"/>
          <w:sz w:val="12"/>
          <w:szCs w:val="12"/>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15" w:lineRule="exact"/>
        <w:rPr>
          <w:sz w:val="20"/>
          <w:szCs w:val="20"/>
          <w:color w:val="auto"/>
        </w:rPr>
      </w:pPr>
    </w:p>
    <w:p>
      <w:pPr>
        <w:ind w:left="8"/>
        <w:spacing w:after="0" w:line="281" w:lineRule="auto"/>
        <w:rPr>
          <w:sz w:val="20"/>
          <w:szCs w:val="20"/>
          <w:color w:val="auto"/>
        </w:rPr>
      </w:pPr>
      <w:r>
        <w:rPr>
          <w:rFonts w:ascii="Arial" w:cs="Arial" w:eastAsia="Arial" w:hAnsi="Arial"/>
          <w:sz w:val="11"/>
          <w:szCs w:val="11"/>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the conduct of clinical trials outside the United States could have a significant impact on us. Risks inherent in conducting international clinical trials include:</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68"/>
          </w:cols>
          <w:pgMar w:left="212" w:top="509" w:right="219" w:bottom="1440" w:gutter="0" w:footer="0" w:header="0"/>
        </w:sectPr>
      </w:pPr>
    </w:p>
    <w:bookmarkStart w:id="55" w:name="page56"/>
    <w:bookmarkEnd w:id="55"/>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foreign regulatory requirements that could burden or limit our ability to conduct our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increased costs and heightened supply constraints associated with the acquisition of standard of care drugs and/or combination or comparator agents for which we may bear responsibility in certain jurisdictions;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administrative burdens of conducting clinical trials under multiple foreign regulatory schema;</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foreign exchange fluctuations;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more burdensome manufacturing, customs, shipment and storage requirements;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cultural differences in medical practice and clinical research;</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lack of consistency in standard of care from country to country;</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diminished protection of intellectual property in some countries;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changes in country or regional regulatory requirements.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3" w:lineRule="exact"/>
        <w:rPr>
          <w:sz w:val="20"/>
          <w:szCs w:val="20"/>
          <w:color w:val="auto"/>
        </w:rPr>
      </w:pPr>
    </w:p>
    <w:p>
      <w:pPr>
        <w:ind w:left="8" w:right="180"/>
        <w:spacing w:after="0" w:line="259" w:lineRule="auto"/>
        <w:rPr>
          <w:sz w:val="20"/>
          <w:szCs w:val="20"/>
          <w:color w:val="auto"/>
        </w:rPr>
      </w:pPr>
      <w:r>
        <w:rPr>
          <w:rFonts w:ascii="Arial" w:cs="Arial" w:eastAsia="Arial" w:hAnsi="Arial"/>
          <w:sz w:val="12"/>
          <w:szCs w:val="12"/>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25" w:lineRule="exact"/>
        <w:rPr>
          <w:sz w:val="20"/>
          <w:szCs w:val="20"/>
          <w:color w:val="auto"/>
        </w:rPr>
      </w:pPr>
    </w:p>
    <w:p>
      <w:pPr>
        <w:ind w:left="8" w:right="120"/>
        <w:spacing w:after="0" w:line="147" w:lineRule="exact"/>
        <w:rPr>
          <w:sz w:val="20"/>
          <w:szCs w:val="20"/>
          <w:color w:val="auto"/>
        </w:rPr>
      </w:pPr>
      <w:r>
        <w:rPr>
          <w:rFonts w:ascii="Arial" w:cs="Arial" w:eastAsia="Arial" w:hAnsi="Arial"/>
          <w:sz w:val="12"/>
          <w:szCs w:val="12"/>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2"/>
          <w:szCs w:val="12"/>
          <w:color w:val="auto"/>
        </w:rPr>
        <w:t>‑</w:t>
      </w:r>
      <w:r>
        <w:rPr>
          <w:rFonts w:ascii="Arial" w:cs="Arial" w:eastAsia="Arial" w:hAnsi="Arial"/>
          <w:sz w:val="12"/>
          <w:szCs w:val="12"/>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136"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15" w:lineRule="exact"/>
        <w:rPr>
          <w:sz w:val="20"/>
          <w:szCs w:val="20"/>
          <w:color w:val="auto"/>
        </w:rPr>
      </w:pPr>
    </w:p>
    <w:p>
      <w:pPr>
        <w:ind w:left="8" w:right="60"/>
        <w:spacing w:after="0" w:line="323" w:lineRule="auto"/>
        <w:rPr>
          <w:sz w:val="20"/>
          <w:szCs w:val="20"/>
          <w:color w:val="auto"/>
        </w:rPr>
      </w:pPr>
      <w:r>
        <w:rPr>
          <w:rFonts w:ascii="Arial" w:cs="Arial" w:eastAsia="Arial" w:hAnsi="Arial"/>
          <w:sz w:val="11"/>
          <w:szCs w:val="11"/>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92"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5"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25"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15"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w:t>
      </w: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8"/>
          </w:cols>
          <w:pgMar w:left="212" w:top="509" w:right="21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auto"/>
        </w:rPr>
        <w:t>to market any of our product candidates in the United States until we receive regulatory approval of a Biologics License Application, or BLA, from the FDA.</w:t>
      </w:r>
    </w:p>
    <w:p>
      <w:pPr>
        <w:spacing w:after="0" w:line="15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62" w:lineRule="exact"/>
        <w:rPr>
          <w:sz w:val="20"/>
          <w:szCs w:val="20"/>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FDA or comparable foreign regulatory authorities may disagree with the design or implementation of our clinical trials;</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demonstrate to the satisfaction of the FDA or comparable foreign regulatory authorities that a product candidate is safe and effective for its proposed indication;</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results of clinical trials may not meet the level of statistical significance required by the FDA or comparable foreign regulatory authorities for approval;</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serious and unexpected drug-related side effects experienced by participants in our clinical trials or by individuals using drugs similar to our product candidates;</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demonstrate that a product candidate’s clinical and other benefits outweigh its safety risks;</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the FDA or comparable foreign regulatory authorities may disagree with our </w:t>
      </w:r>
      <w:r>
        <w:rPr>
          <w:rFonts w:ascii="Arial" w:cs="Arial" w:eastAsia="Arial" w:hAnsi="Arial"/>
          <w:sz w:val="12"/>
          <w:szCs w:val="12"/>
          <w:color w:val="auto"/>
        </w:rPr>
        <w:t>interpretation of data from preclinical studies or clinical trials;</w:t>
      </w:r>
    </w:p>
    <w:p>
      <w:pPr>
        <w:spacing w:after="0" w:line="150" w:lineRule="exact"/>
        <w:rPr>
          <w:rFonts w:ascii="Arial" w:cs="Arial" w:eastAsia="Arial" w:hAnsi="Arial"/>
          <w:sz w:val="12"/>
          <w:szCs w:val="12"/>
          <w:color w:val="auto"/>
        </w:rPr>
      </w:pPr>
    </w:p>
    <w:p>
      <w:pPr>
        <w:ind w:left="460" w:right="100" w:hanging="207"/>
        <w:spacing w:after="0" w:line="276" w:lineRule="auto"/>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14"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FDA’s or the applicable foreign regulatory agency may disagree regarding the formulation, labeling and/or the specifications of our product candidates;</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FDA or comparable foreign regulatory authorities may fail to approve the manufacturing processes or facilities of third-party manufacturers with which we contract for clinical and commercial supplies; and</w:t>
      </w:r>
    </w:p>
    <w:p>
      <w:pPr>
        <w:spacing w:after="0" w:line="150" w:lineRule="exact"/>
        <w:rPr>
          <w:rFonts w:ascii="Arial" w:cs="Arial" w:eastAsia="Arial" w:hAnsi="Arial"/>
          <w:sz w:val="12"/>
          <w:szCs w:val="12"/>
          <w:color w:val="auto"/>
        </w:rPr>
      </w:pPr>
    </w:p>
    <w:p>
      <w:pPr>
        <w:ind w:left="460" w:hanging="207"/>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approval policies or regulations of the FDA or comparable foreign regulatory authorities may significantly change in a manner rendering our clinical data insufficient for approval.</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ensure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26"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15" w:lineRule="exact"/>
        <w:rPr>
          <w:sz w:val="20"/>
          <w:szCs w:val="20"/>
          <w:color w:val="auto"/>
        </w:rPr>
      </w:pPr>
    </w:p>
    <w:p>
      <w:pPr>
        <w:jc w:val="both"/>
        <w:ind w:right="240"/>
        <w:spacing w:after="0" w:line="147" w:lineRule="exact"/>
        <w:rPr>
          <w:sz w:val="20"/>
          <w:szCs w:val="20"/>
          <w:color w:val="auto"/>
        </w:rPr>
      </w:pPr>
      <w:r>
        <w:rPr>
          <w:rFonts w:ascii="Arial" w:cs="Arial" w:eastAsia="Arial" w:hAnsi="Arial"/>
          <w:sz w:val="12"/>
          <w:szCs w:val="12"/>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2"/>
          <w:szCs w:val="12"/>
          <w:color w:val="auto"/>
        </w:rPr>
        <w:t>‑</w:t>
      </w:r>
      <w:r>
        <w:rPr>
          <w:rFonts w:ascii="Arial" w:cs="Arial" w:eastAsia="Arial" w:hAnsi="Arial"/>
          <w:sz w:val="12"/>
          <w:szCs w:val="12"/>
          <w:color w:val="auto"/>
        </w:rPr>
        <w:t>threatening disease or condition, and preliminary clinical evidence indicates that the drug may demonstrate substantial improvement over existing therapies on one or more clinically significant endpoints. For drugs that have been designated as breakthrough</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20"/>
          </w:cols>
          <w:pgMar w:left="220" w:top="509" w:right="259" w:bottom="1440" w:gutter="0" w:footer="0" w:header="0"/>
        </w:sectPr>
      </w:pPr>
    </w:p>
    <w:bookmarkStart w:id="57" w:name="page58"/>
    <w:bookmarkEnd w:id="57"/>
    <w:p>
      <w:pPr>
        <w:ind w:left="8"/>
        <w:spacing w:after="0"/>
        <w:rPr>
          <w:sz w:val="20"/>
          <w:szCs w:val="20"/>
          <w:color w:val="auto"/>
        </w:rPr>
      </w:pPr>
      <w:r>
        <w:rPr>
          <w:rFonts w:ascii="Arial" w:cs="Arial" w:eastAsia="Arial" w:hAnsi="Arial"/>
          <w:sz w:val="11"/>
          <w:szCs w:val="11"/>
          <w:color w:val="auto"/>
        </w:rPr>
        <w:t>therapies, interaction and communication between the FDA and the sponsor of the trial can help to identify the most efficient path for clinical development while minimizing the number of patients placed in ineffective control regimens.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Drugs designated as breakthrough therapies by the FDA are also eligible for accelerated approval.</w:t>
      </w:r>
    </w:p>
    <w:p>
      <w:pPr>
        <w:spacing w:after="0" w:line="141" w:lineRule="exact"/>
        <w:rPr>
          <w:sz w:val="20"/>
          <w:szCs w:val="20"/>
          <w:color w:val="auto"/>
        </w:rPr>
      </w:pPr>
    </w:p>
    <w:p>
      <w:pPr>
        <w:ind w:left="8"/>
        <w:spacing w:after="0" w:line="286" w:lineRule="auto"/>
        <w:rPr>
          <w:sz w:val="20"/>
          <w:szCs w:val="20"/>
          <w:color w:val="auto"/>
        </w:rPr>
      </w:pPr>
      <w:r>
        <w:rPr>
          <w:rFonts w:ascii="Arial" w:cs="Arial" w:eastAsia="Arial" w:hAnsi="Arial"/>
          <w:sz w:val="11"/>
          <w:szCs w:val="11"/>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39" w:lineRule="exact"/>
        <w:rPr>
          <w:sz w:val="20"/>
          <w:szCs w:val="20"/>
          <w:color w:val="auto"/>
        </w:rPr>
      </w:pPr>
    </w:p>
    <w:p>
      <w:pPr>
        <w:ind w:left="8" w:right="360"/>
        <w:spacing w:after="0" w:line="276" w:lineRule="auto"/>
        <w:rPr>
          <w:sz w:val="20"/>
          <w:szCs w:val="20"/>
          <w:color w:val="auto"/>
        </w:rPr>
      </w:pPr>
      <w:r>
        <w:rPr>
          <w:rFonts w:ascii="Arial" w:cs="Arial" w:eastAsia="Arial" w:hAnsi="Arial"/>
          <w:sz w:val="12"/>
          <w:szCs w:val="12"/>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15" w:lineRule="exact"/>
        <w:rPr>
          <w:sz w:val="20"/>
          <w:szCs w:val="20"/>
          <w:color w:val="auto"/>
        </w:rPr>
      </w:pPr>
    </w:p>
    <w:p>
      <w:pPr>
        <w:ind w:left="8" w:right="20"/>
        <w:spacing w:after="0" w:line="283" w:lineRule="auto"/>
        <w:rPr>
          <w:sz w:val="20"/>
          <w:szCs w:val="20"/>
          <w:color w:val="auto"/>
        </w:rPr>
      </w:pPr>
      <w:r>
        <w:rPr>
          <w:rFonts w:ascii="Arial" w:cs="Arial" w:eastAsia="Arial" w:hAnsi="Arial"/>
          <w:sz w:val="11"/>
          <w:szCs w:val="11"/>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42" w:lineRule="exact"/>
        <w:rPr>
          <w:sz w:val="20"/>
          <w:szCs w:val="20"/>
          <w:color w:val="auto"/>
        </w:rPr>
      </w:pPr>
    </w:p>
    <w:p>
      <w:pPr>
        <w:ind w:left="8" w:right="660"/>
        <w:spacing w:after="0" w:line="276" w:lineRule="auto"/>
        <w:rPr>
          <w:sz w:val="20"/>
          <w:szCs w:val="20"/>
          <w:color w:val="auto"/>
        </w:rPr>
      </w:pPr>
      <w:r>
        <w:rPr>
          <w:rFonts w:ascii="Arial" w:cs="Arial" w:eastAsia="Arial" w:hAnsi="Arial"/>
          <w:sz w:val="12"/>
          <w:szCs w:val="12"/>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43" w:lineRule="exact"/>
        <w:rPr>
          <w:sz w:val="20"/>
          <w:szCs w:val="20"/>
          <w:color w:val="auto"/>
        </w:rPr>
      </w:pPr>
    </w:p>
    <w:p>
      <w:pPr>
        <w:ind w:left="8" w:right="60"/>
        <w:spacing w:after="0" w:line="283" w:lineRule="auto"/>
        <w:rPr>
          <w:sz w:val="20"/>
          <w:szCs w:val="20"/>
          <w:color w:val="auto"/>
        </w:rPr>
      </w:pPr>
      <w:r>
        <w:rPr>
          <w:rFonts w:ascii="Arial" w:cs="Arial" w:eastAsia="Arial" w:hAnsi="Arial"/>
          <w:sz w:val="11"/>
          <w:szCs w:val="11"/>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42" w:lineRule="exact"/>
        <w:rPr>
          <w:sz w:val="20"/>
          <w:szCs w:val="20"/>
          <w:color w:val="auto"/>
        </w:rPr>
      </w:pPr>
    </w:p>
    <w:p>
      <w:pPr>
        <w:ind w:left="8" w:right="360"/>
        <w:spacing w:after="0" w:line="149" w:lineRule="exact"/>
        <w:rPr>
          <w:sz w:val="20"/>
          <w:szCs w:val="20"/>
          <w:color w:val="auto"/>
        </w:rPr>
      </w:pPr>
      <w:r>
        <w:rPr>
          <w:rFonts w:ascii="Arial" w:cs="Arial" w:eastAsia="Arial" w:hAnsi="Arial"/>
          <w:sz w:val="12"/>
          <w:szCs w:val="12"/>
          <w:color w:val="auto"/>
        </w:rPr>
        <w:t>The drug</w:t>
      </w:r>
      <w:r>
        <w:rPr>
          <w:rFonts w:ascii="MS PGothic" w:cs="MS PGothic" w:eastAsia="MS PGothic" w:hAnsi="MS PGothic"/>
          <w:sz w:val="12"/>
          <w:szCs w:val="12"/>
          <w:color w:val="auto"/>
        </w:rPr>
        <w:t>‑</w:t>
      </w:r>
      <w:r>
        <w:rPr>
          <w:rFonts w:ascii="Arial" w:cs="Arial" w:eastAsia="Arial" w:hAnsi="Arial"/>
          <w:sz w:val="12"/>
          <w:szCs w:val="12"/>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36"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15"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regulatory authorities may withdraw approvals of such product;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regulatory authorities may require the addition of labeling statements, such as a “black box” warning or a contraindication;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regulatory authorities may impose additional restrictions on the marketing of, or the manufacturing processes for, the particular product;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required to create a medication guide outlining the risks of such side effects for distribution to patients;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68"/>
          </w:cols>
          <w:pgMar w:left="212" w:top="509" w:right="219" w:bottom="1440" w:gutter="0" w:footer="0" w:header="0"/>
        </w:sectPr>
      </w:pPr>
    </w:p>
    <w:bookmarkStart w:id="58" w:name="page59"/>
    <w:bookmarkEnd w:id="58"/>
    <w:p>
      <w:pPr>
        <w:ind w:left="208" w:hanging="208"/>
        <w:spacing w:after="0"/>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patients, or become subject to fines, injunctions or the imposition of civil or criminal penalties;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Any of these events could prevent us from achieving or maintaining market acceptance of the particular product candidate, if approved, and could significantly harm our business, results of operations and prospects.</w:t>
      </w:r>
    </w:p>
    <w:p>
      <w:pPr>
        <w:spacing w:after="0" w:line="150" w:lineRule="exact"/>
        <w:rPr>
          <w:sz w:val="20"/>
          <w:szCs w:val="20"/>
          <w:color w:val="auto"/>
        </w:rPr>
      </w:pPr>
    </w:p>
    <w:p>
      <w:pPr>
        <w:ind w:left="8" w:right="40"/>
        <w:spacing w:after="0" w:line="149" w:lineRule="exact"/>
        <w:rPr>
          <w:sz w:val="20"/>
          <w:szCs w:val="20"/>
          <w:color w:val="auto"/>
        </w:rPr>
      </w:pPr>
      <w:r>
        <w:rPr>
          <w:rFonts w:ascii="Arial" w:cs="Arial" w:eastAsia="Arial" w:hAnsi="Arial"/>
          <w:sz w:val="11"/>
          <w:szCs w:val="11"/>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1"/>
          <w:szCs w:val="11"/>
          <w:color w:val="auto"/>
        </w:rPr>
        <w:t>‑</w:t>
      </w:r>
      <w:r>
        <w:rPr>
          <w:rFonts w:ascii="Arial" w:cs="Arial" w:eastAsia="Arial" w:hAnsi="Arial"/>
          <w:sz w:val="11"/>
          <w:szCs w:val="11"/>
          <w:color w:val="auto"/>
        </w:rPr>
        <w:t>benefit perspective, any of which would harm our business.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DEPENDENCE ON THIRD PARTIES AND MANUFACTURING</w:t>
      </w:r>
    </w:p>
    <w:p>
      <w:pPr>
        <w:spacing w:after="0" w:line="154" w:lineRule="exact"/>
        <w:rPr>
          <w:sz w:val="20"/>
          <w:szCs w:val="20"/>
          <w:color w:val="auto"/>
        </w:rPr>
      </w:pPr>
    </w:p>
    <w:p>
      <w:pPr>
        <w:ind w:left="8" w:right="340"/>
        <w:spacing w:after="0" w:line="263" w:lineRule="auto"/>
        <w:rPr>
          <w:sz w:val="20"/>
          <w:szCs w:val="20"/>
          <w:color w:val="auto"/>
        </w:rPr>
      </w:pPr>
      <w:r>
        <w:rPr>
          <w:rFonts w:ascii="Arial" w:cs="Arial" w:eastAsia="Arial" w:hAnsi="Arial"/>
          <w:sz w:val="12"/>
          <w:szCs w:val="12"/>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123" w:lineRule="exact"/>
        <w:rPr>
          <w:sz w:val="20"/>
          <w:szCs w:val="20"/>
          <w:color w:val="auto"/>
        </w:rPr>
      </w:pPr>
    </w:p>
    <w:p>
      <w:pPr>
        <w:ind w:left="8" w:right="180"/>
        <w:spacing w:after="0" w:line="147" w:lineRule="exact"/>
        <w:rPr>
          <w:sz w:val="20"/>
          <w:szCs w:val="20"/>
          <w:color w:val="auto"/>
        </w:rPr>
      </w:pPr>
      <w:r>
        <w:rPr>
          <w:rFonts w:ascii="Arial" w:cs="Arial" w:eastAsia="Arial" w:hAnsi="Arial"/>
          <w:sz w:val="12"/>
          <w:szCs w:val="12"/>
          <w:color w:val="auto"/>
        </w:rPr>
        <w:t>We obtain the biologic pegadricase, a component of SEL</w:t>
      </w:r>
      <w:r>
        <w:rPr>
          <w:rFonts w:ascii="MS PGothic" w:cs="MS PGothic" w:eastAsia="MS PGothic" w:hAnsi="MS PGothic"/>
          <w:sz w:val="12"/>
          <w:szCs w:val="12"/>
          <w:color w:val="auto"/>
        </w:rPr>
        <w:t>‑</w:t>
      </w:r>
      <w:r>
        <w:rPr>
          <w:rFonts w:ascii="Arial" w:cs="Arial" w:eastAsia="Arial" w:hAnsi="Arial"/>
          <w:sz w:val="12"/>
          <w:szCs w:val="12"/>
          <w:color w:val="auto"/>
        </w:rPr>
        <w:t>212, our lead product candidate,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 In addition, to our knowledge only one company has received FDA approval for a therapeutic based on a biologic product manufactured in China.</w:t>
      </w:r>
    </w:p>
    <w:p>
      <w:pPr>
        <w:spacing w:after="0" w:line="137" w:lineRule="exact"/>
        <w:rPr>
          <w:sz w:val="20"/>
          <w:szCs w:val="20"/>
          <w:color w:val="auto"/>
        </w:rPr>
      </w:pPr>
    </w:p>
    <w:p>
      <w:pPr>
        <w:ind w:left="8"/>
        <w:spacing w:after="0" w:line="145" w:lineRule="exact"/>
        <w:rPr>
          <w:sz w:val="20"/>
          <w:szCs w:val="20"/>
          <w:color w:val="auto"/>
        </w:rPr>
      </w:pPr>
      <w:r>
        <w:rPr>
          <w:rFonts w:ascii="Arial" w:cs="Arial" w:eastAsia="Arial" w:hAnsi="Arial"/>
          <w:sz w:val="11"/>
          <w:szCs w:val="11"/>
          <w:color w:val="auto"/>
        </w:rPr>
        <w:t>Any disruption in production or inability of 3SBio in China to produce adequate quantities of pegadricase to meet our needs, whether as a result of a natural disaster, failure to comply with regulatory requirements or other causes, could impair our ability to operate our business on a day</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1"/>
          <w:szCs w:val="11"/>
          <w:color w:val="auto"/>
        </w:rPr>
        <w:t>‑</w:t>
      </w:r>
      <w:r>
        <w:rPr>
          <w:rFonts w:ascii="Arial" w:cs="Arial" w:eastAsia="Arial" w:hAnsi="Arial"/>
          <w:sz w:val="11"/>
          <w:szCs w:val="11"/>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38" w:lineRule="exact"/>
        <w:rPr>
          <w:sz w:val="20"/>
          <w:szCs w:val="20"/>
          <w:color w:val="auto"/>
        </w:rPr>
      </w:pPr>
    </w:p>
    <w:p>
      <w:pPr>
        <w:ind w:left="8" w:right="40"/>
        <w:spacing w:after="0" w:line="286" w:lineRule="auto"/>
        <w:rPr>
          <w:sz w:val="20"/>
          <w:szCs w:val="20"/>
          <w:color w:val="auto"/>
        </w:rPr>
      </w:pPr>
      <w:r>
        <w:rPr>
          <w:rFonts w:ascii="Arial" w:cs="Arial" w:eastAsia="Arial" w:hAnsi="Arial"/>
          <w:sz w:val="11"/>
          <w:szCs w:val="11"/>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contract manufacturing organizations, or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11" w:lineRule="exact"/>
        <w:rPr>
          <w:sz w:val="20"/>
          <w:szCs w:val="20"/>
          <w:color w:val="auto"/>
        </w:rPr>
      </w:pPr>
    </w:p>
    <w:p>
      <w:pPr>
        <w:ind w:left="8"/>
        <w:spacing w:after="0" w:line="149" w:lineRule="exact"/>
        <w:rPr>
          <w:sz w:val="20"/>
          <w:szCs w:val="20"/>
          <w:color w:val="auto"/>
        </w:rPr>
      </w:pPr>
      <w:r>
        <w:rPr>
          <w:rFonts w:ascii="Arial" w:cs="Arial" w:eastAsia="Arial" w:hAnsi="Arial"/>
          <w:sz w:val="12"/>
          <w:szCs w:val="12"/>
          <w:color w:val="auto"/>
        </w:rPr>
        <w:t>We may be unable to establish any agreements with third</w:t>
      </w:r>
      <w:r>
        <w:rPr>
          <w:rFonts w:ascii="MS PGothic" w:cs="MS PGothic" w:eastAsia="MS PGothic" w:hAnsi="MS PGothic"/>
          <w:sz w:val="12"/>
          <w:szCs w:val="12"/>
          <w:color w:val="auto"/>
        </w:rPr>
        <w:t>‑</w:t>
      </w:r>
      <w:r>
        <w:rPr>
          <w:rFonts w:ascii="Arial" w:cs="Arial" w:eastAsia="Arial" w:hAnsi="Arial"/>
          <w:sz w:val="12"/>
          <w:szCs w:val="12"/>
          <w:color w:val="auto"/>
        </w:rPr>
        <w:t>party manufacturers on acceptable terms or at all. Even if we are able to establish agreements with third</w:t>
      </w:r>
      <w:r>
        <w:rPr>
          <w:rFonts w:ascii="MS PGothic" w:cs="MS PGothic" w:eastAsia="MS PGothic" w:hAnsi="MS PGothic"/>
          <w:sz w:val="12"/>
          <w:szCs w:val="12"/>
          <w:color w:val="auto"/>
        </w:rPr>
        <w:t>‑</w:t>
      </w:r>
      <w:r>
        <w:rPr>
          <w:rFonts w:ascii="Arial" w:cs="Arial" w:eastAsia="Arial" w:hAnsi="Arial"/>
          <w:sz w:val="12"/>
          <w:szCs w:val="12"/>
          <w:color w:val="auto"/>
        </w:rPr>
        <w:t>party manufacturers, reliance on third</w:t>
      </w:r>
      <w:r>
        <w:rPr>
          <w:rFonts w:ascii="MS PGothic" w:cs="MS PGothic" w:eastAsia="MS PGothic" w:hAnsi="MS PGothic"/>
          <w:sz w:val="12"/>
          <w:szCs w:val="12"/>
          <w:color w:val="auto"/>
        </w:rPr>
        <w:t>‑</w:t>
      </w:r>
      <w:r>
        <w:rPr>
          <w:rFonts w:ascii="Arial" w:cs="Arial" w:eastAsia="Arial" w:hAnsi="Arial"/>
          <w:sz w:val="12"/>
          <w:szCs w:val="12"/>
          <w:color w:val="auto"/>
        </w:rPr>
        <w:t>party manufacturers entails additional risks, including the:</w:t>
      </w:r>
    </w:p>
    <w:p>
      <w:pPr>
        <w:spacing w:after="0" w:line="136" w:lineRule="exact"/>
        <w:rPr>
          <w:sz w:val="20"/>
          <w:szCs w:val="20"/>
          <w:color w:val="auto"/>
        </w:rPr>
      </w:pPr>
    </w:p>
    <w:p>
      <w:pPr>
        <w:ind w:left="208" w:hanging="208"/>
        <w:spacing w:after="0" w:line="138" w:lineRule="exact"/>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inability, failure or unwillingness of third</w:t>
      </w:r>
      <w:r>
        <w:rPr>
          <w:rFonts w:ascii="MS PGothic" w:cs="MS PGothic" w:eastAsia="MS PGothic" w:hAnsi="MS PGothic"/>
          <w:sz w:val="12"/>
          <w:szCs w:val="12"/>
          <w:color w:val="auto"/>
        </w:rPr>
        <w:t>‑</w:t>
      </w:r>
      <w:r>
        <w:rPr>
          <w:rFonts w:ascii="Arial" w:cs="Arial" w:eastAsia="Arial" w:hAnsi="Arial"/>
          <w:sz w:val="12"/>
          <w:szCs w:val="12"/>
          <w:color w:val="auto"/>
        </w:rPr>
        <w:t>party manufacturers to comply with regulatory requirements, maintain quality assurance, meet our needs, specifications or schedules or continue to supply products to us;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reduced control we have over product development, including with respect to our lead product candidate, due to our reliance on such third</w:t>
      </w:r>
      <w:r>
        <w:rPr>
          <w:rFonts w:ascii="MS PGothic" w:cs="MS PGothic" w:eastAsia="MS PGothic" w:hAnsi="MS PGothic"/>
          <w:sz w:val="12"/>
          <w:szCs w:val="12"/>
          <w:color w:val="auto"/>
        </w:rPr>
        <w:t>‑</w:t>
      </w:r>
      <w:r>
        <w:rPr>
          <w:rFonts w:ascii="Arial" w:cs="Arial" w:eastAsia="Arial" w:hAnsi="Arial"/>
          <w:sz w:val="12"/>
          <w:szCs w:val="12"/>
          <w:color w:val="auto"/>
        </w:rPr>
        <w:t>party manufacturers,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8"/>
          </w:cols>
          <w:pgMar w:left="212" w:top="509" w:right="219" w:bottom="1440" w:gutter="0" w:footer="0" w:header="0"/>
        </w:sectPr>
      </w:pPr>
    </w:p>
    <w:bookmarkStart w:id="59" w:name="page60"/>
    <w:bookmarkEnd w:id="59"/>
    <w:p>
      <w:pPr>
        <w:ind w:left="208" w:hanging="208"/>
        <w:spacing w:after="0" w:line="138" w:lineRule="exact"/>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breach of manufacturing agreements by the third</w:t>
      </w:r>
      <w:r>
        <w:rPr>
          <w:rFonts w:ascii="MS PGothic" w:cs="MS PGothic" w:eastAsia="MS PGothic" w:hAnsi="MS PGothic"/>
          <w:sz w:val="12"/>
          <w:szCs w:val="12"/>
          <w:color w:val="auto"/>
        </w:rPr>
        <w:t>‑</w:t>
      </w:r>
      <w:r>
        <w:rPr>
          <w:rFonts w:ascii="Arial" w:cs="Arial" w:eastAsia="Arial" w:hAnsi="Arial"/>
          <w:sz w:val="12"/>
          <w:szCs w:val="12"/>
          <w:color w:val="auto"/>
        </w:rPr>
        <w:t>party manufacturers;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misappropriation or disclosure of our proprietary information, including our trade secrets and know</w:t>
      </w:r>
      <w:r>
        <w:rPr>
          <w:rFonts w:ascii="MS PGothic" w:cs="MS PGothic" w:eastAsia="MS PGothic" w:hAnsi="MS PGothic"/>
          <w:sz w:val="12"/>
          <w:szCs w:val="12"/>
          <w:color w:val="auto"/>
        </w:rPr>
        <w:t>‑</w:t>
      </w:r>
      <w:r>
        <w:rPr>
          <w:rFonts w:ascii="Arial" w:cs="Arial" w:eastAsia="Arial" w:hAnsi="Arial"/>
          <w:sz w:val="12"/>
          <w:szCs w:val="12"/>
          <w:color w:val="auto"/>
        </w:rPr>
        <w:t>how;</w:t>
      </w:r>
    </w:p>
    <w:p>
      <w:pPr>
        <w:spacing w:after="0" w:line="150" w:lineRule="exact"/>
        <w:rPr>
          <w:rFonts w:ascii="Arial" w:cs="Arial" w:eastAsia="Arial" w:hAnsi="Arial"/>
          <w:sz w:val="12"/>
          <w:szCs w:val="12"/>
          <w:color w:val="auto"/>
        </w:rPr>
      </w:pPr>
    </w:p>
    <w:p>
      <w:pPr>
        <w:ind w:left="208" w:right="140" w:hanging="208"/>
        <w:spacing w:after="0" w:line="149" w:lineRule="exact"/>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2"/>
          <w:szCs w:val="12"/>
          <w:color w:val="auto"/>
        </w:rPr>
        <w:t>‑</w:t>
      </w:r>
      <w:r>
        <w:rPr>
          <w:rFonts w:ascii="Arial" w:cs="Arial" w:eastAsia="Arial" w:hAnsi="Arial"/>
          <w:sz w:val="12"/>
          <w:szCs w:val="12"/>
          <w:color w:val="auto"/>
        </w:rPr>
        <w:t>effective; and</w:t>
      </w:r>
    </w:p>
    <w:p>
      <w:pPr>
        <w:spacing w:after="0" w:line="135"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termination or nonrenewal of agreements by third</w:t>
      </w:r>
      <w:r>
        <w:rPr>
          <w:rFonts w:ascii="MS PGothic" w:cs="MS PGothic" w:eastAsia="MS PGothic" w:hAnsi="MS PGothic"/>
          <w:sz w:val="12"/>
          <w:szCs w:val="12"/>
          <w:color w:val="auto"/>
        </w:rPr>
        <w:t>‑</w:t>
      </w:r>
      <w:r>
        <w:rPr>
          <w:rFonts w:ascii="Arial" w:cs="Arial" w:eastAsia="Arial" w:hAnsi="Arial"/>
          <w:sz w:val="12"/>
          <w:szCs w:val="12"/>
          <w:color w:val="auto"/>
        </w:rPr>
        <w:t>party manufacturers at times that are costly or inconvenient for us.</w:t>
      </w:r>
    </w:p>
    <w:p>
      <w:pPr>
        <w:spacing w:after="0" w:line="150" w:lineRule="exact"/>
        <w:rPr>
          <w:sz w:val="20"/>
          <w:szCs w:val="20"/>
          <w:color w:val="auto"/>
        </w:rPr>
      </w:pPr>
    </w:p>
    <w:p>
      <w:pPr>
        <w:ind w:left="8"/>
        <w:spacing w:after="0" w:line="145" w:lineRule="exact"/>
        <w:rPr>
          <w:sz w:val="20"/>
          <w:szCs w:val="20"/>
          <w:color w:val="auto"/>
        </w:rPr>
      </w:pPr>
      <w:r>
        <w:rPr>
          <w:rFonts w:ascii="Arial" w:cs="Arial" w:eastAsia="Arial" w:hAnsi="Arial"/>
          <w:sz w:val="11"/>
          <w:szCs w:val="11"/>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1"/>
          <w:szCs w:val="11"/>
          <w:color w:val="auto"/>
        </w:rPr>
        <w:t>‑</w:t>
      </w:r>
      <w:r>
        <w:rPr>
          <w:rFonts w:ascii="Arial" w:cs="Arial" w:eastAsia="Arial" w:hAnsi="Arial"/>
          <w:sz w:val="11"/>
          <w:szCs w:val="11"/>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36" w:lineRule="exact"/>
        <w:rPr>
          <w:sz w:val="20"/>
          <w:szCs w:val="20"/>
          <w:color w:val="auto"/>
        </w:rPr>
      </w:pPr>
    </w:p>
    <w:p>
      <w:pPr>
        <w:ind w:left="8" w:right="40"/>
        <w:spacing w:after="0" w:line="290" w:lineRule="auto"/>
        <w:rPr>
          <w:sz w:val="20"/>
          <w:szCs w:val="20"/>
          <w:color w:val="auto"/>
        </w:rPr>
      </w:pPr>
      <w:r>
        <w:rPr>
          <w:rFonts w:ascii="Arial" w:cs="Arial" w:eastAsia="Arial" w:hAnsi="Arial"/>
          <w:sz w:val="11"/>
          <w:szCs w:val="11"/>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09"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15"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We have entered into collaborations with other parties, including pharmaceutical companies and universities, to develop products based on our ImmTOR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23"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these collaborations;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collaborators may not perform their obligations as expected;</w:t>
      </w:r>
    </w:p>
    <w:p>
      <w:pPr>
        <w:spacing w:after="0" w:line="150" w:lineRule="exact"/>
        <w:rPr>
          <w:rFonts w:ascii="Arial" w:cs="Arial" w:eastAsia="Arial" w:hAnsi="Arial"/>
          <w:sz w:val="12"/>
          <w:szCs w:val="12"/>
          <w:color w:val="auto"/>
        </w:rPr>
      </w:pPr>
    </w:p>
    <w:p>
      <w:pPr>
        <w:ind w:left="208" w:right="120" w:hanging="208"/>
        <w:spacing w:after="0" w:line="276" w:lineRule="auto"/>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14" w:lineRule="exact"/>
        <w:rPr>
          <w:rFonts w:ascii="Arial" w:cs="Arial" w:eastAsia="Arial" w:hAnsi="Arial"/>
          <w:sz w:val="12"/>
          <w:szCs w:val="12"/>
          <w:color w:val="auto"/>
        </w:rPr>
      </w:pPr>
    </w:p>
    <w:p>
      <w:pPr>
        <w:ind w:left="208" w:right="480" w:hanging="208"/>
        <w:spacing w:after="0" w:line="276" w:lineRule="auto"/>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4"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 candidates if the collaborators believe that competitive products are more likely to be successfully developed</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8"/>
          </w:cols>
          <w:pgMar w:left="212" w:top="509" w:right="199" w:bottom="1440" w:gutter="0" w:footer="0" w:header="0"/>
        </w:sectPr>
      </w:pPr>
    </w:p>
    <w:bookmarkStart w:id="60" w:name="page61"/>
    <w:bookmarkEnd w:id="60"/>
    <w:p>
      <w:pPr>
        <w:ind w:left="208"/>
        <w:spacing w:after="0"/>
        <w:rPr>
          <w:sz w:val="20"/>
          <w:szCs w:val="20"/>
          <w:color w:val="auto"/>
        </w:rPr>
      </w:pPr>
      <w:r>
        <w:rPr>
          <w:rFonts w:ascii="Arial" w:cs="Arial" w:eastAsia="Arial" w:hAnsi="Arial"/>
          <w:sz w:val="12"/>
          <w:szCs w:val="12"/>
          <w:color w:val="auto"/>
        </w:rPr>
        <w:t>or can be commercialized under terms that are more economically attractive than ours, which may cause collaborators to cease to devote resources to the commercialization of our product candidates;</w:t>
      </w:r>
    </w:p>
    <w:p>
      <w:pPr>
        <w:spacing w:after="0" w:line="159"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1"/>
          <w:szCs w:val="11"/>
          <w:color w:val="auto"/>
        </w:rPr>
      </w:pPr>
      <w:r>
        <w:rPr>
          <w:rFonts w:ascii="Arial" w:cs="Arial" w:eastAsia="Arial" w:hAnsi="Arial"/>
          <w:sz w:val="11"/>
          <w:szCs w:val="11"/>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Arial" w:cs="Arial" w:eastAsia="Arial" w:hAnsi="Arial"/>
          <w:sz w:val="11"/>
          <w:szCs w:val="11"/>
          <w:color w:val="auto"/>
        </w:rPr>
      </w:pPr>
    </w:p>
    <w:p>
      <w:pPr>
        <w:ind w:left="208" w:right="20" w:hanging="208"/>
        <w:spacing w:after="0" w:line="149" w:lineRule="exact"/>
        <w:tabs>
          <w:tab w:leader="none" w:pos="208" w:val="left"/>
        </w:tabs>
        <w:numPr>
          <w:ilvl w:val="0"/>
          <w:numId w:val="31"/>
        </w:numPr>
        <w:rPr>
          <w:rFonts w:ascii="Arial" w:cs="Arial" w:eastAsia="Arial" w:hAnsi="Arial"/>
          <w:sz w:val="11"/>
          <w:szCs w:val="11"/>
          <w:color w:val="auto"/>
        </w:rPr>
      </w:pPr>
      <w:r>
        <w:rPr>
          <w:rFonts w:ascii="Arial" w:cs="Arial" w:eastAsia="Arial" w:hAnsi="Arial"/>
          <w:sz w:val="11"/>
          <w:szCs w:val="11"/>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1"/>
          <w:szCs w:val="11"/>
          <w:color w:val="auto"/>
        </w:rPr>
        <w:t>‑</w:t>
      </w:r>
      <w:r>
        <w:rPr>
          <w:rFonts w:ascii="Arial" w:cs="Arial" w:eastAsia="Arial" w:hAnsi="Arial"/>
          <w:sz w:val="11"/>
          <w:szCs w:val="11"/>
          <w:color w:val="auto"/>
        </w:rPr>
        <w:t>consuming and expensive;</w:t>
      </w:r>
    </w:p>
    <w:p>
      <w:pPr>
        <w:spacing w:after="0" w:line="136" w:lineRule="exact"/>
        <w:rPr>
          <w:rFonts w:ascii="Arial" w:cs="Arial" w:eastAsia="Arial" w:hAnsi="Arial"/>
          <w:sz w:val="11"/>
          <w:szCs w:val="11"/>
          <w:color w:val="auto"/>
        </w:rPr>
      </w:pPr>
    </w:p>
    <w:p>
      <w:pPr>
        <w:ind w:left="208" w:right="180" w:hanging="208"/>
        <w:spacing w:after="0" w:line="276" w:lineRule="auto"/>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collaborators may infringe the intellectual property rights of third parties, which may expose us to litigation and potential liability;</w:t>
      </w:r>
    </w:p>
    <w:p>
      <w:pPr>
        <w:spacing w:after="0" w:line="150"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collaborators may learn about our technology and use this knowledge to compete with us in the future;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there may be conflicts between different collaborators that could negatively affect those collaborations and potentially others;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number and type of our collaborations could adversely affect our attractiveness to future collaborators or acquirers.</w:t>
      </w:r>
    </w:p>
    <w:p>
      <w:pPr>
        <w:spacing w:after="0" w:line="150"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technology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09"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25" w:lineRule="exact"/>
        <w:rPr>
          <w:sz w:val="20"/>
          <w:szCs w:val="20"/>
          <w:color w:val="auto"/>
        </w:rPr>
      </w:pPr>
    </w:p>
    <w:p>
      <w:pPr>
        <w:ind w:left="8" w:right="20"/>
        <w:spacing w:after="0" w:line="283" w:lineRule="auto"/>
        <w:rPr>
          <w:sz w:val="20"/>
          <w:szCs w:val="20"/>
          <w:color w:val="auto"/>
        </w:rPr>
      </w:pPr>
      <w:r>
        <w:rPr>
          <w:rFonts w:ascii="Arial" w:cs="Arial" w:eastAsia="Arial" w:hAnsi="Arial"/>
          <w:sz w:val="11"/>
          <w:szCs w:val="11"/>
          <w:color w:val="auto"/>
        </w:rPr>
        <w:t>We may in the future collaborate with additional pharmaceutical and biotechnology companies for development and potential commercialization of therapeutic products.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62" w:lineRule="exact"/>
        <w:rPr>
          <w:sz w:val="20"/>
          <w:szCs w:val="20"/>
          <w:color w:val="auto"/>
        </w:rPr>
      </w:pPr>
    </w:p>
    <w:p>
      <w:pPr>
        <w:ind w:left="8"/>
        <w:spacing w:after="0" w:line="149" w:lineRule="exact"/>
        <w:rPr>
          <w:sz w:val="20"/>
          <w:szCs w:val="20"/>
          <w:color w:val="auto"/>
        </w:rPr>
      </w:pPr>
      <w:r>
        <w:rPr>
          <w:rFonts w:ascii="Arial" w:cs="Arial" w:eastAsia="Arial" w:hAnsi="Arial"/>
          <w:sz w:val="12"/>
          <w:szCs w:val="12"/>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2"/>
          <w:szCs w:val="12"/>
          <w:color w:val="auto"/>
        </w:rPr>
        <w:t>‑</w:t>
      </w:r>
      <w:r>
        <w:rPr>
          <w:rFonts w:ascii="Arial" w:cs="Arial" w:eastAsia="Arial" w:hAnsi="Arial"/>
          <w:sz w:val="12"/>
          <w:szCs w:val="12"/>
          <w:color w:val="auto"/>
        </w:rPr>
        <w:t>212. We also expect to rely on other third parties to store and distribute drug supplies for our clinical trials.</w:t>
      </w: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68"/>
          </w:cols>
          <w:pgMar w:left="212" w:top="527" w:right="219" w:bottom="1440" w:gutter="0" w:footer="0" w:header="0"/>
        </w:sectPr>
      </w:pPr>
    </w:p>
    <w:bookmarkStart w:id="61" w:name="page62"/>
    <w:bookmarkEnd w:id="61"/>
    <w:p>
      <w:pPr>
        <w:ind w:right="60"/>
        <w:spacing w:after="0" w:line="145" w:lineRule="exact"/>
        <w:rPr>
          <w:sz w:val="20"/>
          <w:szCs w:val="20"/>
          <w:color w:val="auto"/>
        </w:rPr>
      </w:pPr>
      <w:r>
        <w:rPr>
          <w:rFonts w:ascii="Arial" w:cs="Arial" w:eastAsia="Arial" w:hAnsi="Arial"/>
          <w:sz w:val="12"/>
          <w:szCs w:val="12"/>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current good manufacturing practice, or cGMP, regulations. Our failure to comply with these regulations may require us to repeat clinical trials, which would delay the regulatory approval process. We also are required to register ongoing clinical trials and post the results of completed clinical trials on a government</w:t>
      </w:r>
      <w:r>
        <w:rPr>
          <w:rFonts w:ascii="MS PGothic" w:cs="MS PGothic" w:eastAsia="MS PGothic" w:hAnsi="MS PGothic"/>
          <w:sz w:val="12"/>
          <w:szCs w:val="12"/>
          <w:color w:val="auto"/>
        </w:rPr>
        <w:t>‑</w:t>
      </w:r>
      <w:r>
        <w:rPr>
          <w:rFonts w:ascii="Arial" w:cs="Arial" w:eastAsia="Arial" w:hAnsi="Arial"/>
          <w:sz w:val="12"/>
          <w:szCs w:val="12"/>
          <w:color w:val="auto"/>
        </w:rPr>
        <w:t xml:space="preserve">sponsored database, </w:t>
      </w:r>
      <w:r>
        <w:rPr>
          <w:rFonts w:ascii="Arial" w:cs="Arial" w:eastAsia="Arial" w:hAnsi="Arial"/>
          <w:sz w:val="12"/>
          <w:szCs w:val="12"/>
          <w:i w:val="1"/>
          <w:iCs w:val="1"/>
          <w:color w:val="auto"/>
        </w:rPr>
        <w:t>ClinicalTrials.gov</w:t>
      </w:r>
      <w:r>
        <w:rPr>
          <w:rFonts w:ascii="Arial" w:cs="Arial" w:eastAsia="Arial" w:hAnsi="Arial"/>
          <w:sz w:val="12"/>
          <w:szCs w:val="12"/>
          <w:color w:val="auto"/>
        </w:rPr>
        <w:t>, within specified timeframes. Failure to do so can result in fines, adverse publicity and civil and criminal sanctions.</w:t>
      </w:r>
    </w:p>
    <w:p>
      <w:pPr>
        <w:spacing w:after="0" w:line="65"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0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15"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We have a pilot manufacturing facility at our Watertown, Massachusetts location where we conduct process development, scale</w:t>
      </w:r>
      <w:r>
        <w:rPr>
          <w:rFonts w:ascii="MS PGothic" w:cs="MS PGothic" w:eastAsia="MS PGothic" w:hAnsi="MS PGothic"/>
          <w:sz w:val="11"/>
          <w:szCs w:val="11"/>
          <w:color w:val="auto"/>
        </w:rPr>
        <w:t>‑</w:t>
      </w:r>
      <w:r>
        <w:rPr>
          <w:rFonts w:ascii="Arial" w:cs="Arial" w:eastAsia="Arial" w:hAnsi="Arial"/>
          <w:sz w:val="11"/>
          <w:szCs w:val="11"/>
          <w:color w:val="auto"/>
        </w:rPr>
        <w:t>up activities and the manufacture of ImmTOR product candidates for preclinical use. We rely on the scale</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equipment at our CMOs for the manufacture of the clinical supply of all of our product candidates. If our facility, or our CMOs’ facilities, were damaged or destroyed, or otherwise subject to disruption, it would require substantial</w:t>
      </w:r>
    </w:p>
    <w:p>
      <w:pPr>
        <w:spacing w:after="0" w:line="18"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lead</w:t>
      </w:r>
      <w:r>
        <w:rPr>
          <w:rFonts w:ascii="MS PGothic" w:cs="MS PGothic" w:eastAsia="MS PGothic" w:hAnsi="MS PGothic"/>
          <w:sz w:val="11"/>
          <w:szCs w:val="11"/>
          <w:color w:val="auto"/>
        </w:rPr>
        <w:t>‑</w:t>
      </w:r>
      <w:r>
        <w:rPr>
          <w:rFonts w:ascii="Arial" w:cs="Arial" w:eastAsia="Arial" w:hAnsi="Arial"/>
          <w:sz w:val="11"/>
          <w:szCs w:val="11"/>
          <w:color w:val="auto"/>
        </w:rPr>
        <w:t>time to replace our manufacturing capabilities. In such event, we would be forced to identify and rely entirely on alternative third</w:t>
      </w:r>
      <w:r>
        <w:rPr>
          <w:rFonts w:ascii="MS PGothic" w:cs="MS PGothic" w:eastAsia="MS PGothic" w:hAnsi="MS PGothic"/>
          <w:sz w:val="11"/>
          <w:szCs w:val="11"/>
          <w:color w:val="auto"/>
        </w:rPr>
        <w:t>‑</w:t>
      </w:r>
      <w:r>
        <w:rPr>
          <w:rFonts w:ascii="Arial" w:cs="Arial" w:eastAsia="Arial" w:hAnsi="Arial"/>
          <w:sz w:val="11"/>
          <w:szCs w:val="11"/>
          <w:color w:val="auto"/>
        </w:rPr>
        <w:t>party contract manufacturers for an indefinite period of time. Any disruptions or delays at our facility or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its failure to meet regulatory compliance would impair our ability to develop and commercialize our product candidates, which would adversely affect our business and results of operations.</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23" w:lineRule="exact"/>
        <w:rPr>
          <w:sz w:val="20"/>
          <w:szCs w:val="20"/>
          <w:color w:val="auto"/>
        </w:rPr>
      </w:pPr>
    </w:p>
    <w:p>
      <w:pPr>
        <w:ind w:right="40"/>
        <w:spacing w:after="0" w:line="147" w:lineRule="exact"/>
        <w:rPr>
          <w:sz w:val="20"/>
          <w:szCs w:val="20"/>
          <w:color w:val="auto"/>
        </w:rPr>
      </w:pPr>
      <w:r>
        <w:rPr>
          <w:rFonts w:ascii="Arial" w:cs="Arial" w:eastAsia="Arial" w:hAnsi="Arial"/>
          <w:sz w:val="12"/>
          <w:szCs w:val="12"/>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2"/>
          <w:szCs w:val="12"/>
          <w:color w:val="auto"/>
        </w:rPr>
        <w:t>‑</w:t>
      </w:r>
      <w:r>
        <w:rPr>
          <w:rFonts w:ascii="Arial" w:cs="Arial" w:eastAsia="Arial" w:hAnsi="Arial"/>
          <w:sz w:val="12"/>
          <w:szCs w:val="12"/>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2"/>
          <w:szCs w:val="12"/>
          <w:color w:val="auto"/>
        </w:rPr>
        <w:t>‑</w:t>
      </w:r>
      <w:r>
        <w:rPr>
          <w:rFonts w:ascii="Arial" w:cs="Arial" w:eastAsia="Arial" w:hAnsi="Arial"/>
          <w:sz w:val="12"/>
          <w:szCs w:val="12"/>
          <w:color w:val="auto"/>
        </w:rPr>
        <w:t>scale manufacturing facilities that are adequate to produce materials for additional later</w:t>
      </w:r>
      <w:r>
        <w:rPr>
          <w:rFonts w:ascii="MS PGothic" w:cs="MS PGothic" w:eastAsia="MS PGothic" w:hAnsi="MS PGothic"/>
          <w:sz w:val="12"/>
          <w:szCs w:val="12"/>
          <w:color w:val="auto"/>
        </w:rPr>
        <w:t>‑</w:t>
      </w:r>
      <w:r>
        <w:rPr>
          <w:rFonts w:ascii="Arial" w:cs="Arial" w:eastAsia="Arial" w:hAnsi="Arial"/>
          <w:sz w:val="12"/>
          <w:szCs w:val="12"/>
          <w:color w:val="auto"/>
        </w:rPr>
        <w:t>stage clinical trials or commercial use.</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The equipment and facilities employed in the manufacture of pharmaceuticals are subject to stringent qualification requirements by regulatory agencies, including validation of such facilities, equipment, systems, processes and analytics.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We may be subject to lengthy delays and expense in conducting validation studies, if we can meet the requirements at all.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COMMERCIALIZATION OF OUR PRODUCT CANDIDATES AND OTHER LEGAL COMPLIANCE MATTERS</w:t>
      </w:r>
    </w:p>
    <w:p>
      <w:pPr>
        <w:spacing w:after="0" w:line="154" w:lineRule="exact"/>
        <w:rPr>
          <w:sz w:val="20"/>
          <w:szCs w:val="20"/>
          <w:color w:val="auto"/>
        </w:rPr>
      </w:pPr>
    </w:p>
    <w:p>
      <w:pPr>
        <w:ind w:right="240"/>
        <w:spacing w:after="0" w:line="149" w:lineRule="exact"/>
        <w:rPr>
          <w:sz w:val="20"/>
          <w:szCs w:val="20"/>
          <w:color w:val="auto"/>
        </w:rPr>
      </w:pPr>
      <w:r>
        <w:rPr>
          <w:rFonts w:ascii="Arial" w:cs="Arial" w:eastAsia="Arial" w:hAnsi="Arial"/>
          <w:sz w:val="12"/>
          <w:szCs w:val="12"/>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party payors and others in the medical community necessary for commercial success.</w:t>
      </w:r>
    </w:p>
    <w:p>
      <w:pPr>
        <w:spacing w:after="0" w:line="136" w:lineRule="exact"/>
        <w:rPr>
          <w:sz w:val="20"/>
          <w:szCs w:val="20"/>
          <w:color w:val="auto"/>
        </w:rPr>
      </w:pPr>
    </w:p>
    <w:p>
      <w:pPr>
        <w:ind w:right="220"/>
        <w:spacing w:after="0" w:line="147" w:lineRule="exact"/>
        <w:rPr>
          <w:sz w:val="20"/>
          <w:szCs w:val="20"/>
          <w:color w:val="auto"/>
        </w:rPr>
      </w:pPr>
      <w:r>
        <w:rPr>
          <w:rFonts w:ascii="Arial" w:cs="Arial" w:eastAsia="Arial" w:hAnsi="Arial"/>
          <w:sz w:val="12"/>
          <w:szCs w:val="12"/>
          <w:color w:val="auto"/>
        </w:rPr>
        <w:t>If any of our product candidates receives marketing approval, it may nonetheless fail to gain sufficient market acceptance by physicians, patients, third</w:t>
      </w:r>
      <w:r>
        <w:rPr>
          <w:rFonts w:ascii="MS PGothic" w:cs="MS PGothic" w:eastAsia="MS PGothic" w:hAnsi="MS PGothic"/>
          <w:sz w:val="12"/>
          <w:szCs w:val="12"/>
          <w:color w:val="auto"/>
        </w:rPr>
        <w:t>‑</w:t>
      </w:r>
      <w:r>
        <w:rPr>
          <w:rFonts w:ascii="Arial" w:cs="Arial" w:eastAsia="Arial" w:hAnsi="Arial"/>
          <w:sz w:val="12"/>
          <w:szCs w:val="12"/>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437" w:right="199" w:bottom="1440" w:gutter="0" w:footer="0" w:header="0"/>
        </w:sectPr>
      </w:pPr>
    </w:p>
    <w:bookmarkStart w:id="62" w:name="page63"/>
    <w:bookmarkEnd w:id="62"/>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their efficacy, safety and other potential advantages compared to alternative treatments;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clinical indications for which our product candidates are approved;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ability to offer them for sale at competitive prices;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their convenience and ease of administration compared to alternative treatments;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availability of third</w:t>
      </w:r>
      <w:r>
        <w:rPr>
          <w:rFonts w:ascii="MS PGothic" w:cs="MS PGothic" w:eastAsia="MS PGothic" w:hAnsi="MS PGothic"/>
          <w:sz w:val="12"/>
          <w:szCs w:val="12"/>
          <w:color w:val="auto"/>
        </w:rPr>
        <w:t>‑</w:t>
      </w:r>
      <w:r>
        <w:rPr>
          <w:rFonts w:ascii="Arial" w:cs="Arial" w:eastAsia="Arial" w:hAnsi="Arial"/>
          <w:sz w:val="12"/>
          <w:szCs w:val="12"/>
          <w:color w:val="auto"/>
        </w:rPr>
        <w:t>party coverage and adequate reimbursement for our product candidates;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prevalence and severity of their side effects and their overall safety profiles;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restrictions on the use of our product candidates together with other medications;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interactions of our product candidates with other medicines patients are taking;</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ability to create awareness with patients and physicians about the harmful effects of uric acid deposits;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timing of market introduction of any approved product candidates as well as competitive products and other therapies;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inability of certain types of patients to take our product candidates;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their ability to remain attractive in the event of changing treatment guidelines;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adverse publicity about the product or favorable publicity about competitive products;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potential product liability claims.</w:t>
      </w:r>
    </w:p>
    <w:p>
      <w:pPr>
        <w:spacing w:after="0" w:line="150" w:lineRule="exact"/>
        <w:rPr>
          <w:sz w:val="20"/>
          <w:szCs w:val="20"/>
          <w:color w:val="auto"/>
        </w:rPr>
      </w:pPr>
    </w:p>
    <w:p>
      <w:pPr>
        <w:ind w:left="8" w:right="680"/>
        <w:spacing w:after="0" w:line="276" w:lineRule="auto"/>
        <w:rPr>
          <w:sz w:val="20"/>
          <w:szCs w:val="20"/>
          <w:color w:val="auto"/>
        </w:rPr>
      </w:pPr>
      <w:r>
        <w:rPr>
          <w:rFonts w:ascii="Arial" w:cs="Arial" w:eastAsia="Arial" w:hAnsi="Arial"/>
          <w:sz w:val="12"/>
          <w:szCs w:val="12"/>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15" w:lineRule="exact"/>
        <w:rPr>
          <w:sz w:val="20"/>
          <w:szCs w:val="20"/>
          <w:color w:val="auto"/>
        </w:rPr>
      </w:pPr>
    </w:p>
    <w:p>
      <w:pPr>
        <w:ind w:left="8" w:right="460"/>
        <w:spacing w:after="0" w:line="323" w:lineRule="auto"/>
        <w:rPr>
          <w:sz w:val="20"/>
          <w:szCs w:val="20"/>
          <w:color w:val="auto"/>
        </w:rPr>
      </w:pPr>
      <w:r>
        <w:rPr>
          <w:rFonts w:ascii="Arial" w:cs="Arial" w:eastAsia="Arial" w:hAnsi="Arial"/>
          <w:sz w:val="11"/>
          <w:szCs w:val="11"/>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92" w:lineRule="exact"/>
        <w:rPr>
          <w:sz w:val="20"/>
          <w:szCs w:val="20"/>
          <w:color w:val="auto"/>
        </w:rPr>
      </w:pPr>
    </w:p>
    <w:p>
      <w:pPr>
        <w:ind w:left="8" w:right="160"/>
        <w:spacing w:after="0" w:line="147" w:lineRule="exact"/>
        <w:rPr>
          <w:sz w:val="20"/>
          <w:szCs w:val="20"/>
          <w:color w:val="auto"/>
        </w:rPr>
      </w:pPr>
      <w:r>
        <w:rPr>
          <w:rFonts w:ascii="Arial" w:cs="Arial" w:eastAsia="Arial" w:hAnsi="Arial"/>
          <w:sz w:val="12"/>
          <w:szCs w:val="12"/>
          <w:color w:val="auto"/>
        </w:rPr>
        <w:t>In the future, we expect to build a focused sales and marketing infrastructure to market or co</w:t>
      </w:r>
      <w:r>
        <w:rPr>
          <w:rFonts w:ascii="MS PGothic" w:cs="MS PGothic" w:eastAsia="MS PGothic" w:hAnsi="MS PGothic"/>
          <w:sz w:val="12"/>
          <w:szCs w:val="12"/>
          <w:color w:val="auto"/>
        </w:rPr>
        <w:t>‑</w:t>
      </w:r>
      <w:r>
        <w:rPr>
          <w:rFonts w:ascii="Arial" w:cs="Arial" w:eastAsia="Arial" w:hAnsi="Arial"/>
          <w:sz w:val="12"/>
          <w:szCs w:val="12"/>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2"/>
          <w:szCs w:val="12"/>
          <w:color w:val="auto"/>
        </w:rPr>
        <w:t>‑</w:t>
      </w:r>
      <w:r>
        <w:rPr>
          <w:rFonts w:ascii="Arial" w:cs="Arial" w:eastAsia="Arial" w:hAnsi="Arial"/>
          <w:sz w:val="12"/>
          <w:szCs w:val="12"/>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36"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50"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The development and commercialization of new drug and biologic products and technologies is highly competitive and is characterized by rapid and substantial technological development and product innovations.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8"/>
          </w:cols>
          <w:pgMar w:left="212" w:top="509" w:right="199" w:bottom="1440" w:gutter="0" w:footer="0" w:header="0"/>
        </w:sectPr>
      </w:pPr>
    </w:p>
    <w:bookmarkStart w:id="63" w:name="page64"/>
    <w:bookmarkEnd w:id="63"/>
    <w:p>
      <w:pPr>
        <w:ind w:right="160"/>
        <w:spacing w:after="0" w:line="263" w:lineRule="auto"/>
        <w:rPr>
          <w:sz w:val="20"/>
          <w:szCs w:val="20"/>
          <w:color w:val="auto"/>
        </w:rPr>
      </w:pPr>
      <w:r>
        <w:rPr>
          <w:rFonts w:ascii="Arial" w:cs="Arial" w:eastAsia="Arial" w:hAnsi="Arial"/>
          <w:sz w:val="12"/>
          <w:szCs w:val="12"/>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23" w:lineRule="exact"/>
        <w:rPr>
          <w:sz w:val="20"/>
          <w:szCs w:val="20"/>
          <w:color w:val="auto"/>
        </w:rPr>
      </w:pPr>
    </w:p>
    <w:p>
      <w:pPr>
        <w:ind w:right="620"/>
        <w:spacing w:after="0" w:line="276" w:lineRule="auto"/>
        <w:rPr>
          <w:sz w:val="20"/>
          <w:szCs w:val="20"/>
          <w:color w:val="auto"/>
        </w:rPr>
      </w:pPr>
      <w:r>
        <w:rPr>
          <w:rFonts w:ascii="Arial" w:cs="Arial" w:eastAsia="Arial" w:hAnsi="Arial"/>
          <w:sz w:val="12"/>
          <w:szCs w:val="12"/>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15" w:lineRule="exact"/>
        <w:rPr>
          <w:sz w:val="20"/>
          <w:szCs w:val="20"/>
          <w:color w:val="auto"/>
        </w:rPr>
      </w:pPr>
    </w:p>
    <w:p>
      <w:pPr>
        <w:spacing w:after="0" w:line="147" w:lineRule="exact"/>
        <w:rPr>
          <w:sz w:val="20"/>
          <w:szCs w:val="20"/>
          <w:color w:val="auto"/>
        </w:rPr>
      </w:pPr>
      <w:r>
        <w:rPr>
          <w:rFonts w:ascii="Arial" w:cs="Arial" w:eastAsia="Arial" w:hAnsi="Arial"/>
          <w:sz w:val="12"/>
          <w:szCs w:val="12"/>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that will likely share our same regulatory approval requirements. In addition, our ability to compete may be affected in many cases by insurers or other third</w:t>
      </w:r>
      <w:r>
        <w:rPr>
          <w:rFonts w:ascii="MS PGothic" w:cs="MS PGothic" w:eastAsia="MS PGothic" w:hAnsi="MS PGothic"/>
          <w:sz w:val="12"/>
          <w:szCs w:val="12"/>
          <w:color w:val="auto"/>
        </w:rPr>
        <w:t>‑</w:t>
      </w:r>
      <w:r>
        <w:rPr>
          <w:rFonts w:ascii="Arial" w:cs="Arial" w:eastAsia="Arial" w:hAnsi="Arial"/>
          <w:sz w:val="12"/>
          <w:szCs w:val="12"/>
          <w:color w:val="auto"/>
        </w:rPr>
        <w:t>party payors seeking to encourage the use of generic or biosimilar products.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the product candidates we develop will be regulated as biological products, or biologics, and therefore they may be subject to competition sooner than anticipated.</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12"/>
          <w:szCs w:val="12"/>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3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53" w:lineRule="exact"/>
        <w:rPr>
          <w:sz w:val="20"/>
          <w:szCs w:val="20"/>
          <w:color w:val="auto"/>
        </w:rPr>
      </w:pPr>
    </w:p>
    <w:p>
      <w:pPr>
        <w:spacing w:after="0" w:line="115" w:lineRule="exact"/>
        <w:rPr>
          <w:sz w:val="20"/>
          <w:szCs w:val="20"/>
          <w:color w:val="auto"/>
        </w:rPr>
      </w:pPr>
      <w:r>
        <w:rPr>
          <w:rFonts w:ascii="Arial" w:cs="Arial" w:eastAsia="Arial" w:hAnsi="Arial"/>
          <w:sz w:val="10"/>
          <w:szCs w:val="10"/>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0"/>
          <w:szCs w:val="10"/>
          <w:b w:val="1"/>
          <w:bCs w:val="1"/>
          <w:i w:val="1"/>
          <w:iCs w:val="1"/>
          <w:color w:val="auto"/>
        </w:rPr>
        <w:t>‑</w:t>
      </w:r>
      <w:r>
        <w:rPr>
          <w:rFonts w:ascii="Arial" w:cs="Arial" w:eastAsia="Arial" w:hAnsi="Arial"/>
          <w:sz w:val="10"/>
          <w:szCs w:val="10"/>
          <w:b w:val="1"/>
          <w:bCs w:val="1"/>
          <w:i w:val="1"/>
          <w:iCs w:val="1"/>
          <w:color w:val="auto"/>
        </w:rPr>
        <w:t>party coverage or reimbursement policies, any of which would harm our business.</w:t>
      </w:r>
    </w:p>
    <w:p>
      <w:pPr>
        <w:spacing w:after="0" w:line="173" w:lineRule="exact"/>
        <w:rPr>
          <w:sz w:val="20"/>
          <w:szCs w:val="20"/>
          <w:color w:val="auto"/>
        </w:rPr>
      </w:pPr>
    </w:p>
    <w:p>
      <w:pPr>
        <w:jc w:val="both"/>
        <w:ind w:right="120"/>
        <w:spacing w:after="0" w:line="148" w:lineRule="exact"/>
        <w:rPr>
          <w:sz w:val="20"/>
          <w:szCs w:val="20"/>
          <w:color w:val="auto"/>
        </w:rPr>
      </w:pPr>
      <w:r>
        <w:rPr>
          <w:rFonts w:ascii="Arial" w:cs="Arial" w:eastAsia="Arial" w:hAnsi="Arial"/>
          <w:sz w:val="11"/>
          <w:szCs w:val="11"/>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1"/>
          <w:szCs w:val="11"/>
          <w:color w:val="auto"/>
        </w:rPr>
        <w:t>‑</w:t>
      </w:r>
      <w:r>
        <w:rPr>
          <w:rFonts w:ascii="Arial" w:cs="Arial" w:eastAsia="Arial" w:hAnsi="Arial"/>
          <w:sz w:val="11"/>
          <w:szCs w:val="11"/>
          <w:color w:val="auto"/>
        </w:rPr>
        <w:t>party payors, such as private health insurers and health maintenance organizations, decide which medications they will pay for and establish reimbursement levels.</w:t>
      </w:r>
    </w:p>
    <w:p>
      <w:pPr>
        <w:spacing w:after="0" w:line="135" w:lineRule="exact"/>
        <w:rPr>
          <w:sz w:val="20"/>
          <w:szCs w:val="20"/>
          <w:color w:val="auto"/>
        </w:rPr>
      </w:pPr>
    </w:p>
    <w:p>
      <w:pPr>
        <w:ind w:right="100"/>
        <w:spacing w:after="0" w:line="146" w:lineRule="exact"/>
        <w:rPr>
          <w:sz w:val="20"/>
          <w:szCs w:val="20"/>
          <w:color w:val="auto"/>
        </w:rPr>
      </w:pPr>
      <w:r>
        <w:rPr>
          <w:rFonts w:ascii="Arial" w:cs="Arial" w:eastAsia="Arial" w:hAnsi="Arial"/>
          <w:sz w:val="12"/>
          <w:szCs w:val="12"/>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2"/>
          <w:szCs w:val="12"/>
          <w:color w:val="auto"/>
        </w:rPr>
        <w:t>‑</w:t>
      </w:r>
      <w:r>
        <w:rPr>
          <w:rFonts w:ascii="Arial" w:cs="Arial" w:eastAsia="Arial" w:hAnsi="Arial"/>
          <w:sz w:val="12"/>
          <w:szCs w:val="12"/>
          <w:color w:val="auto"/>
        </w:rPr>
        <w:t>party payors. Even if we do obtain adequate levels of reimbursement, third</w:t>
      </w:r>
      <w:r>
        <w:rPr>
          <w:rFonts w:ascii="MS PGothic" w:cs="MS PGothic" w:eastAsia="MS PGothic" w:hAnsi="MS PGothic"/>
          <w:sz w:val="12"/>
          <w:szCs w:val="12"/>
          <w:color w:val="auto"/>
        </w:rPr>
        <w:t>‑</w:t>
      </w:r>
      <w:r>
        <w:rPr>
          <w:rFonts w:ascii="Arial" w:cs="Arial" w:eastAsia="Arial" w:hAnsi="Arial"/>
          <w:sz w:val="12"/>
          <w:szCs w:val="12"/>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2"/>
          <w:szCs w:val="12"/>
          <w:color w:val="auto"/>
        </w:rPr>
        <w:t>‑</w:t>
      </w:r>
      <w:r>
        <w:rPr>
          <w:rFonts w:ascii="Arial" w:cs="Arial" w:eastAsia="Arial" w:hAnsi="Arial"/>
          <w:sz w:val="12"/>
          <w:szCs w:val="12"/>
          <w:color w:val="auto"/>
        </w:rPr>
        <w:t>party payors have attempted to control costs by limiting coverage and the amount of reimbursement for particular medications. Increasingly, third</w:t>
      </w:r>
      <w:r>
        <w:rPr>
          <w:rFonts w:ascii="MS PGothic" w:cs="MS PGothic" w:eastAsia="MS PGothic" w:hAnsi="MS PGothic"/>
          <w:sz w:val="12"/>
          <w:szCs w:val="12"/>
          <w:color w:val="auto"/>
        </w:rPr>
        <w:t>‑</w:t>
      </w:r>
      <w:r>
        <w:rPr>
          <w:rFonts w:ascii="Arial" w:cs="Arial" w:eastAsia="Arial" w:hAnsi="Arial"/>
          <w:sz w:val="12"/>
          <w:szCs w:val="12"/>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36"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60"/>
          </w:cols>
          <w:pgMar w:left="220" w:top="509" w:right="219" w:bottom="1440" w:gutter="0" w:footer="0" w:header="0"/>
        </w:sectPr>
      </w:pPr>
    </w:p>
    <w:bookmarkStart w:id="64" w:name="page65"/>
    <w:bookmarkEnd w:id="64"/>
    <w:p>
      <w:pPr>
        <w:ind w:left="8"/>
        <w:spacing w:after="0" w:line="146" w:lineRule="exact"/>
        <w:rPr>
          <w:sz w:val="20"/>
          <w:szCs w:val="20"/>
          <w:color w:val="auto"/>
        </w:rPr>
      </w:pPr>
      <w:r>
        <w:rPr>
          <w:rFonts w:ascii="Arial" w:cs="Arial" w:eastAsia="Arial" w:hAnsi="Arial"/>
          <w:sz w:val="11"/>
          <w:szCs w:val="11"/>
          <w:color w:val="auto"/>
        </w:rPr>
        <w:t>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1"/>
          <w:szCs w:val="11"/>
          <w:color w:val="auto"/>
        </w:rPr>
        <w:t>‑</w:t>
      </w:r>
      <w:r>
        <w:rPr>
          <w:rFonts w:ascii="Arial" w:cs="Arial" w:eastAsia="Arial" w:hAnsi="Arial"/>
          <w:sz w:val="11"/>
          <w:szCs w:val="11"/>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137" w:lineRule="exact"/>
        <w:rPr>
          <w:sz w:val="20"/>
          <w:szCs w:val="20"/>
          <w:color w:val="auto"/>
        </w:rPr>
      </w:pPr>
    </w:p>
    <w:p>
      <w:pPr>
        <w:ind w:left="8"/>
        <w:spacing w:after="0" w:line="145" w:lineRule="exact"/>
        <w:rPr>
          <w:sz w:val="20"/>
          <w:szCs w:val="20"/>
          <w:color w:val="auto"/>
        </w:rPr>
      </w:pPr>
      <w:r>
        <w:rPr>
          <w:rFonts w:ascii="Arial" w:cs="Arial" w:eastAsia="Arial" w:hAnsi="Arial"/>
          <w:sz w:val="12"/>
          <w:szCs w:val="12"/>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2"/>
          <w:szCs w:val="12"/>
          <w:color w:val="auto"/>
        </w:rPr>
        <w:t>‑</w:t>
      </w:r>
      <w:r>
        <w:rPr>
          <w:rFonts w:ascii="Arial" w:cs="Arial" w:eastAsia="Arial" w:hAnsi="Arial"/>
          <w:sz w:val="12"/>
          <w:szCs w:val="12"/>
          <w:color w:val="auto"/>
        </w:rPr>
        <w:t>effective, or that coverage or an adequate level of reimbursement will be available.</w:t>
      </w:r>
    </w:p>
    <w:p>
      <w:pPr>
        <w:spacing w:after="0" w:line="67" w:lineRule="exact"/>
        <w:rPr>
          <w:sz w:val="20"/>
          <w:szCs w:val="20"/>
          <w:color w:val="auto"/>
        </w:rPr>
      </w:pPr>
    </w:p>
    <w:p>
      <w:pPr>
        <w:ind w:left="8" w:right="240"/>
        <w:spacing w:after="0" w:line="375" w:lineRule="auto"/>
        <w:rPr>
          <w:sz w:val="20"/>
          <w:szCs w:val="20"/>
          <w:color w:val="auto"/>
        </w:rPr>
      </w:pPr>
      <w:r>
        <w:rPr>
          <w:rFonts w:ascii="Arial" w:cs="Arial" w:eastAsia="Arial" w:hAnsi="Arial"/>
          <w:sz w:val="10"/>
          <w:szCs w:val="10"/>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limit commercialization of any products that we may develop.</w:t>
      </w:r>
    </w:p>
    <w:p>
      <w:pPr>
        <w:spacing w:after="0" w:line="150"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15"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regulatory investigations, product recalls or withdrawals, or labeling, marketing or promotional restrictions;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decreased demand for any product candidates or products that we may develop;</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loss of clinical trial participants or increased difficulty in enrolling future participants;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 or to reach a settlement;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substantial payments to trial participants or patients;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reduced resources of our management to pursue our business strategy;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inability to commercialize any products that we may develop.</w:t>
      </w:r>
    </w:p>
    <w:p>
      <w:pPr>
        <w:spacing w:after="0" w:line="150" w:lineRule="exact"/>
        <w:rPr>
          <w:sz w:val="20"/>
          <w:szCs w:val="20"/>
          <w:color w:val="auto"/>
        </w:rPr>
      </w:pPr>
    </w:p>
    <w:p>
      <w:pPr>
        <w:jc w:val="both"/>
        <w:ind w:left="8" w:right="40"/>
        <w:spacing w:after="0" w:line="263" w:lineRule="auto"/>
        <w:rPr>
          <w:sz w:val="20"/>
          <w:szCs w:val="20"/>
          <w:color w:val="auto"/>
        </w:rPr>
      </w:pPr>
      <w:r>
        <w:rPr>
          <w:rFonts w:ascii="Arial" w:cs="Arial" w:eastAsia="Arial" w:hAnsi="Arial"/>
          <w:sz w:val="12"/>
          <w:szCs w:val="12"/>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Failure to obtain marketing approval in international jurisdictions would prevent our product candidates from being marketed abroad.</w:t>
      </w:r>
    </w:p>
    <w:p>
      <w:pPr>
        <w:spacing w:after="0" w:line="150"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w:t>
      </w:r>
    </w:p>
    <w:p>
      <w:pPr>
        <w:spacing w:after="0" w:line="2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68"/>
          </w:cols>
          <w:pgMar w:left="212" w:top="509" w:right="219" w:bottom="1440" w:gutter="0" w:footer="0" w:header="0"/>
        </w:sectPr>
      </w:pPr>
    </w:p>
    <w:bookmarkStart w:id="65" w:name="page66"/>
    <w:bookmarkEnd w:id="65"/>
    <w:p>
      <w:pPr>
        <w:ind w:left="8"/>
        <w:spacing w:after="0" w:line="257" w:lineRule="auto"/>
        <w:rPr>
          <w:sz w:val="20"/>
          <w:szCs w:val="20"/>
          <w:color w:val="auto"/>
        </w:rPr>
      </w:pPr>
      <w:r>
        <w:rPr>
          <w:rFonts w:ascii="Arial" w:cs="Arial" w:eastAsia="Arial" w:hAnsi="Arial"/>
          <w:sz w:val="12"/>
          <w:szCs w:val="12"/>
          <w:color w:val="auto"/>
        </w:rPr>
        <w:t>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54" w:lineRule="exact"/>
        <w:rPr>
          <w:sz w:val="20"/>
          <w:szCs w:val="20"/>
          <w:color w:val="auto"/>
        </w:rPr>
      </w:pPr>
    </w:p>
    <w:p>
      <w:pPr>
        <w:ind w:left="8" w:right="20"/>
        <w:spacing w:after="0" w:line="149" w:lineRule="exact"/>
        <w:rPr>
          <w:sz w:val="20"/>
          <w:szCs w:val="20"/>
          <w:color w:val="auto"/>
        </w:rPr>
      </w:pPr>
      <w:r>
        <w:rPr>
          <w:rFonts w:ascii="Arial" w:cs="Arial" w:eastAsia="Arial" w:hAnsi="Arial"/>
          <w:sz w:val="12"/>
          <w:szCs w:val="12"/>
          <w:b w:val="1"/>
          <w:bCs w:val="1"/>
          <w:i w:val="1"/>
          <w:iCs w:val="1"/>
          <w:color w:val="auto"/>
        </w:rPr>
        <w:t>Our relationships with healthcare providers, customers and third</w:t>
      </w:r>
      <w:r>
        <w:rPr>
          <w:rFonts w:ascii="MS PGothic" w:cs="MS PGothic" w:eastAsia="MS PGothic" w:hAnsi="MS PGothic"/>
          <w:sz w:val="12"/>
          <w:szCs w:val="12"/>
          <w:color w:val="auto"/>
        </w:rPr>
        <w:t>‑</w:t>
      </w:r>
      <w:r>
        <w:rPr>
          <w:rFonts w:ascii="Arial" w:cs="Arial" w:eastAsia="Arial" w:hAnsi="Arial"/>
          <w:sz w:val="12"/>
          <w:szCs w:val="12"/>
          <w:b w:val="1"/>
          <w:bCs w:val="1"/>
          <w:i w:val="1"/>
          <w:iCs w:val="1"/>
          <w:color w:val="auto"/>
        </w:rPr>
        <w:t>party payors will be subject to applicable anti</w:t>
      </w:r>
      <w:r>
        <w:rPr>
          <w:rFonts w:ascii="MS PGothic" w:cs="MS PGothic" w:eastAsia="MS PGothic" w:hAnsi="MS PGothic"/>
          <w:sz w:val="12"/>
          <w:szCs w:val="12"/>
          <w:color w:val="auto"/>
        </w:rPr>
        <w:t>‑</w:t>
      </w:r>
      <w:r>
        <w:rPr>
          <w:rFonts w:ascii="Arial" w:cs="Arial" w:eastAsia="Arial" w:hAnsi="Arial"/>
          <w:sz w:val="12"/>
          <w:szCs w:val="12"/>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6" w:lineRule="exact"/>
        <w:rPr>
          <w:sz w:val="20"/>
          <w:szCs w:val="20"/>
          <w:color w:val="auto"/>
        </w:rPr>
      </w:pPr>
    </w:p>
    <w:p>
      <w:pPr>
        <w:jc w:val="both"/>
        <w:ind w:left="8" w:right="340"/>
        <w:spacing w:after="0" w:line="263" w:lineRule="auto"/>
        <w:rPr>
          <w:sz w:val="20"/>
          <w:szCs w:val="20"/>
          <w:color w:val="auto"/>
        </w:rPr>
      </w:pPr>
      <w:r>
        <w:rPr>
          <w:rFonts w:ascii="Arial" w:cs="Arial" w:eastAsia="Arial" w:hAnsi="Arial"/>
          <w:sz w:val="12"/>
          <w:szCs w:val="12"/>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51" w:lineRule="exact"/>
        <w:rPr>
          <w:sz w:val="20"/>
          <w:szCs w:val="20"/>
          <w:color w:val="auto"/>
        </w:rPr>
      </w:pPr>
    </w:p>
    <w:p>
      <w:pPr>
        <w:ind w:left="208" w:right="80" w:hanging="208"/>
        <w:spacing w:after="0" w:line="147" w:lineRule="exact"/>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federal Anti</w:t>
      </w:r>
      <w:r>
        <w:rPr>
          <w:rFonts w:ascii="MS PGothic" w:cs="MS PGothic" w:eastAsia="MS PGothic" w:hAnsi="MS PGothic"/>
          <w:sz w:val="12"/>
          <w:szCs w:val="12"/>
          <w:color w:val="auto"/>
        </w:rPr>
        <w:t>‑</w:t>
      </w:r>
      <w:r>
        <w:rPr>
          <w:rFonts w:ascii="Arial" w:cs="Arial" w:eastAsia="Arial" w:hAnsi="Arial"/>
          <w:sz w:val="12"/>
          <w:szCs w:val="12"/>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2"/>
          <w:szCs w:val="12"/>
          <w:color w:val="auto"/>
        </w:rPr>
        <w:t>‑</w:t>
      </w:r>
      <w:r>
        <w:rPr>
          <w:rFonts w:ascii="Arial" w:cs="Arial" w:eastAsia="Arial" w:hAnsi="Arial"/>
          <w:sz w:val="12"/>
          <w:szCs w:val="12"/>
          <w:color w:val="auto"/>
        </w:rPr>
        <w:t>Kickback Statute constitutes a false or fraudulent claim for purposes of the False Claims Act;</w:t>
      </w:r>
    </w:p>
    <w:p>
      <w:pPr>
        <w:spacing w:after="0" w:line="136" w:lineRule="exact"/>
        <w:rPr>
          <w:rFonts w:ascii="Arial" w:cs="Arial" w:eastAsia="Arial" w:hAnsi="Arial"/>
          <w:sz w:val="12"/>
          <w:szCs w:val="12"/>
          <w:color w:val="auto"/>
        </w:rPr>
      </w:pPr>
    </w:p>
    <w:p>
      <w:pPr>
        <w:ind w:left="208" w:right="320" w:hanging="208"/>
        <w:spacing w:after="0" w:line="276"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14" w:lineRule="exact"/>
        <w:rPr>
          <w:rFonts w:ascii="Arial" w:cs="Arial" w:eastAsia="Arial" w:hAnsi="Arial"/>
          <w:sz w:val="12"/>
          <w:szCs w:val="12"/>
          <w:color w:val="auto"/>
        </w:rPr>
      </w:pPr>
    </w:p>
    <w:p>
      <w:pPr>
        <w:ind w:left="208" w:right="260" w:hanging="208"/>
        <w:spacing w:after="0" w:line="323" w:lineRule="auto"/>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91" w:lineRule="exact"/>
        <w:rPr>
          <w:rFonts w:ascii="Arial" w:cs="Arial" w:eastAsia="Arial" w:hAnsi="Arial"/>
          <w:sz w:val="11"/>
          <w:szCs w:val="11"/>
          <w:color w:val="auto"/>
        </w:rPr>
      </w:pPr>
    </w:p>
    <w:p>
      <w:pPr>
        <w:ind w:left="208" w:right="260" w:hanging="208"/>
        <w:spacing w:after="0" w:line="276"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14" w:lineRule="exact"/>
        <w:rPr>
          <w:rFonts w:ascii="Arial" w:cs="Arial" w:eastAsia="Arial" w:hAnsi="Arial"/>
          <w:sz w:val="12"/>
          <w:szCs w:val="12"/>
          <w:color w:val="auto"/>
        </w:rPr>
      </w:pPr>
    </w:p>
    <w:p>
      <w:pPr>
        <w:ind w:left="208" w:right="60" w:hanging="208"/>
        <w:spacing w:after="0" w:line="323" w:lineRule="auto"/>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w:t>
      </w:r>
    </w:p>
    <w:p>
      <w:pPr>
        <w:spacing w:after="0" w:line="91" w:lineRule="exact"/>
        <w:rPr>
          <w:rFonts w:ascii="Arial" w:cs="Arial" w:eastAsia="Arial" w:hAnsi="Arial"/>
          <w:sz w:val="11"/>
          <w:szCs w:val="11"/>
          <w:color w:val="auto"/>
        </w:rPr>
      </w:pPr>
    </w:p>
    <w:p>
      <w:pPr>
        <w:ind w:left="208" w:right="220" w:hanging="208"/>
        <w:spacing w:after="0" w:line="147" w:lineRule="exact"/>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analogous state laws and regulations, such as state anti</w:t>
      </w:r>
      <w:r>
        <w:rPr>
          <w:rFonts w:ascii="MS PGothic" w:cs="MS PGothic" w:eastAsia="MS PGothic" w:hAnsi="MS PGothic"/>
          <w:sz w:val="12"/>
          <w:szCs w:val="12"/>
          <w:color w:val="auto"/>
        </w:rPr>
        <w:t>‑</w:t>
      </w:r>
      <w:r>
        <w:rPr>
          <w:rFonts w:ascii="Arial" w:cs="Arial" w:eastAsia="Arial" w:hAnsi="Arial"/>
          <w:sz w:val="12"/>
          <w:szCs w:val="12"/>
          <w:color w:val="auto"/>
        </w:rPr>
        <w:t>kickback and false claims laws, which may apply to sales or marketing arrangements and claims involving healthcare items or services reimbursed by third</w:t>
      </w:r>
      <w:r>
        <w:rPr>
          <w:rFonts w:ascii="MS PGothic" w:cs="MS PGothic" w:eastAsia="MS PGothic" w:hAnsi="MS PGothic"/>
          <w:sz w:val="12"/>
          <w:szCs w:val="12"/>
          <w:color w:val="auto"/>
        </w:rPr>
        <w:t>‑</w:t>
      </w:r>
      <w:r>
        <w:rPr>
          <w:rFonts w:ascii="Arial" w:cs="Arial" w:eastAsia="Arial" w:hAnsi="Arial"/>
          <w:sz w:val="12"/>
          <w:szCs w:val="12"/>
          <w:color w:val="auto"/>
        </w:rPr>
        <w:t>party payors, including private insurers; requirements to comply with federal and pharmaceutical industry compliance guidelines, and; state data privacy and price transparency laws, many of which differ from each other in significant ways and often are broader than and not preempted by HIPAA or the Sunshine Act, thus complicating compliance efforts; and</w:t>
      </w:r>
    </w:p>
    <w:p>
      <w:pPr>
        <w:spacing w:after="0" w:line="136" w:lineRule="exact"/>
        <w:rPr>
          <w:rFonts w:ascii="Arial" w:cs="Arial" w:eastAsia="Arial" w:hAnsi="Arial"/>
          <w:sz w:val="12"/>
          <w:szCs w:val="12"/>
          <w:color w:val="auto"/>
        </w:rPr>
      </w:pPr>
    </w:p>
    <w:p>
      <w:pPr>
        <w:ind w:left="208" w:right="120" w:hanging="208"/>
        <w:spacing w:after="0" w:line="263"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w:t>
      </w:r>
    </w:p>
    <w:p>
      <w:pPr>
        <w:spacing w:after="0" w:line="123"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68"/>
          </w:cols>
          <w:pgMar w:left="212" w:top="509" w:right="219" w:bottom="1440" w:gutter="0" w:footer="0" w:header="0"/>
        </w:sectPr>
      </w:pPr>
    </w:p>
    <w:bookmarkStart w:id="66" w:name="page67"/>
    <w:bookmarkEnd w:id="66"/>
    <w:p>
      <w:pPr>
        <w:ind w:left="8"/>
        <w:spacing w:after="0" w:line="320" w:lineRule="auto"/>
        <w:rPr>
          <w:sz w:val="20"/>
          <w:szCs w:val="20"/>
          <w:color w:val="auto"/>
        </w:rPr>
      </w:pPr>
      <w:r>
        <w:rPr>
          <w:rFonts w:ascii="Arial" w:cs="Arial" w:eastAsia="Arial" w:hAnsi="Arial"/>
          <w:sz w:val="10"/>
          <w:szCs w:val="10"/>
          <w:color w:val="auto"/>
        </w:rPr>
        <w:t>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0" w:lineRule="exact"/>
        <w:rPr>
          <w:sz w:val="20"/>
          <w:szCs w:val="20"/>
          <w:color w:val="auto"/>
        </w:rPr>
      </w:pPr>
    </w:p>
    <w:p>
      <w:pPr>
        <w:ind w:left="8" w:right="300"/>
        <w:spacing w:after="0" w:line="149" w:lineRule="exact"/>
        <w:rPr>
          <w:sz w:val="20"/>
          <w:szCs w:val="20"/>
          <w:color w:val="auto"/>
        </w:rPr>
      </w:pPr>
      <w:r>
        <w:rPr>
          <w:rFonts w:ascii="Arial" w:cs="Arial" w:eastAsia="Arial" w:hAnsi="Arial"/>
          <w:sz w:val="12"/>
          <w:szCs w:val="12"/>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2"/>
          <w:szCs w:val="12"/>
          <w:color w:val="auto"/>
        </w:rPr>
        <w:t>‑</w:t>
      </w:r>
      <w:r>
        <w:rPr>
          <w:rFonts w:ascii="Arial" w:cs="Arial" w:eastAsia="Arial" w:hAnsi="Arial"/>
          <w:sz w:val="12"/>
          <w:szCs w:val="12"/>
          <w:color w:val="auto"/>
        </w:rPr>
        <w:t>approval activities and affect our ability to profitably sell any product candidates for which we obtain marketing approval.</w:t>
      </w:r>
    </w:p>
    <w:p>
      <w:pPr>
        <w:spacing w:after="0" w:line="136" w:lineRule="exact"/>
        <w:rPr>
          <w:sz w:val="20"/>
          <w:szCs w:val="20"/>
          <w:color w:val="auto"/>
        </w:rPr>
      </w:pPr>
    </w:p>
    <w:p>
      <w:pPr>
        <w:jc w:val="both"/>
        <w:ind w:left="8" w:right="100"/>
        <w:spacing w:after="0" w:line="263" w:lineRule="auto"/>
        <w:rPr>
          <w:sz w:val="20"/>
          <w:szCs w:val="20"/>
          <w:color w:val="auto"/>
        </w:rPr>
      </w:pPr>
      <w:r>
        <w:rPr>
          <w:rFonts w:ascii="Arial" w:cs="Arial" w:eastAsia="Arial" w:hAnsi="Arial"/>
          <w:sz w:val="12"/>
          <w:szCs w:val="12"/>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Among the provisions of the ACA of importance to our potential product candidates are the following:</w:t>
      </w:r>
    </w:p>
    <w:p>
      <w:pPr>
        <w:spacing w:after="0" w:line="150"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annual, nondeductible fee payable by any entity that manufactures or imports specified branded prescription drugs and biologic agents;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increase in the statutory minimum rebates a manufacturer must pay under the Medicaid Drug Rebate Program;</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new methodology by which rebates owed by manufacturers under the Medicaid Drug Rebate Program are calculated for drugs that are inhaled, infused, instilled, implanted or injected;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extension of manufacturers’ Medicaid rebate liability to individuals enrolled in Medicaid managed care organizations;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expansion of the entities eligible for discounts under the Public Health Service pharmaceutical pricing program;</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new requirement to annually report drug samples that manufacturers and distributors provide to physicians; and</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new Patient</w:t>
      </w:r>
      <w:r>
        <w:rPr>
          <w:rFonts w:ascii="MS PGothic" w:cs="MS PGothic" w:eastAsia="MS PGothic" w:hAnsi="MS PGothic"/>
          <w:sz w:val="12"/>
          <w:szCs w:val="12"/>
          <w:color w:val="auto"/>
        </w:rPr>
        <w:t>‑</w:t>
      </w:r>
      <w:r>
        <w:rPr>
          <w:rFonts w:ascii="Arial" w:cs="Arial" w:eastAsia="Arial" w:hAnsi="Arial"/>
          <w:sz w:val="12"/>
          <w:szCs w:val="12"/>
          <w:color w:val="auto"/>
        </w:rPr>
        <w:t>Centered Outcomes Research Institute to oversee, identify priorities in, and conduct comparative clinical effectiveness research, along with funding for such research.</w:t>
      </w:r>
    </w:p>
    <w:p>
      <w:pPr>
        <w:spacing w:after="0" w:line="150" w:lineRule="exact"/>
        <w:rPr>
          <w:sz w:val="20"/>
          <w:szCs w:val="20"/>
          <w:color w:val="auto"/>
        </w:rPr>
      </w:pPr>
    </w:p>
    <w:p>
      <w:pPr>
        <w:ind w:left="8" w:right="80"/>
        <w:spacing w:after="0" w:line="286" w:lineRule="auto"/>
        <w:rPr>
          <w:sz w:val="20"/>
          <w:szCs w:val="20"/>
          <w:color w:val="auto"/>
        </w:rPr>
      </w:pPr>
      <w:r>
        <w:rPr>
          <w:rFonts w:ascii="Arial" w:cs="Arial" w:eastAsia="Arial" w:hAnsi="Arial"/>
          <w:sz w:val="11"/>
          <w:szCs w:val="11"/>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CMS have both stated that the ruling will have no immediate effect, it is unclear how this decision, subsequent appeals, if any, and other efforts to repeal and replace the ACA will impact the ACA and our business. We cannot predict the ultimate content, timing or effect of any healthcare reform legislation or the impact of potential legislation on us.</w:t>
      </w:r>
    </w:p>
    <w:p>
      <w:pPr>
        <w:spacing w:after="0" w:line="111" w:lineRule="exact"/>
        <w:rPr>
          <w:sz w:val="20"/>
          <w:szCs w:val="20"/>
          <w:color w:val="auto"/>
        </w:rPr>
      </w:pPr>
    </w:p>
    <w:p>
      <w:pPr>
        <w:ind w:left="8" w:right="160"/>
        <w:spacing w:after="0" w:line="298" w:lineRule="auto"/>
        <w:rPr>
          <w:sz w:val="20"/>
          <w:szCs w:val="20"/>
          <w:color w:val="auto"/>
        </w:rPr>
      </w:pPr>
      <w:r>
        <w:rPr>
          <w:rFonts w:ascii="Arial" w:cs="Arial" w:eastAsia="Arial" w:hAnsi="Arial"/>
          <w:sz w:val="11"/>
          <w:szCs w:val="11"/>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5" w:lineRule="exact"/>
        <w:rPr>
          <w:sz w:val="20"/>
          <w:szCs w:val="20"/>
          <w:color w:val="auto"/>
        </w:rPr>
      </w:pPr>
    </w:p>
    <w:p>
      <w:pPr>
        <w:ind w:left="8"/>
        <w:spacing w:after="0" w:line="147" w:lineRule="exact"/>
        <w:rPr>
          <w:sz w:val="20"/>
          <w:szCs w:val="20"/>
          <w:color w:val="auto"/>
        </w:rPr>
      </w:pPr>
      <w:r>
        <w:rPr>
          <w:rFonts w:ascii="Arial" w:cs="Arial" w:eastAsia="Arial" w:hAnsi="Arial"/>
          <w:sz w:val="12"/>
          <w:szCs w:val="12"/>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2"/>
          <w:szCs w:val="12"/>
          <w:color w:val="auto"/>
        </w:rPr>
        <w:t>‑</w:t>
      </w:r>
      <w:r>
        <w:rPr>
          <w:rFonts w:ascii="Arial" w:cs="Arial" w:eastAsia="Arial" w:hAnsi="Arial"/>
          <w:sz w:val="12"/>
          <w:szCs w:val="12"/>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68"/>
          </w:cols>
          <w:pgMar w:left="212" w:top="509" w:right="219" w:bottom="1440" w:gutter="0" w:footer="0" w:header="0"/>
        </w:sectPr>
      </w:pPr>
    </w:p>
    <w:bookmarkStart w:id="67" w:name="page68"/>
    <w:bookmarkEnd w:id="67"/>
    <w:p>
      <w:pPr>
        <w:ind w:left="8" w:right="120"/>
        <w:spacing w:after="0" w:line="146" w:lineRule="exact"/>
        <w:rPr>
          <w:sz w:val="20"/>
          <w:szCs w:val="20"/>
          <w:color w:val="auto"/>
        </w:rPr>
      </w:pPr>
      <w:r>
        <w:rPr>
          <w:rFonts w:ascii="Arial" w:cs="Arial" w:eastAsia="Arial" w:hAnsi="Arial"/>
          <w:sz w:val="12"/>
          <w:szCs w:val="12"/>
          <w:color w:val="auto"/>
        </w:rPr>
        <w:t>Any product candidate for which we obtain marketing approval, along with the manufacturing processes, post</w:t>
      </w:r>
      <w:r>
        <w:rPr>
          <w:rFonts w:ascii="MS PGothic" w:cs="MS PGothic" w:eastAsia="MS PGothic" w:hAnsi="MS PGothic"/>
          <w:sz w:val="12"/>
          <w:szCs w:val="12"/>
          <w:color w:val="auto"/>
        </w:rPr>
        <w:t>‑</w:t>
      </w:r>
      <w:r>
        <w:rPr>
          <w:rFonts w:ascii="Arial" w:cs="Arial" w:eastAsia="Arial" w:hAnsi="Arial"/>
          <w:sz w:val="12"/>
          <w:szCs w:val="12"/>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2"/>
          <w:szCs w:val="12"/>
          <w:color w:val="auto"/>
        </w:rPr>
        <w:t>‑</w:t>
      </w:r>
      <w:r>
        <w:rPr>
          <w:rFonts w:ascii="Arial" w:cs="Arial" w:eastAsia="Arial" w:hAnsi="Arial"/>
          <w:sz w:val="12"/>
          <w:szCs w:val="12"/>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37" w:lineRule="exact"/>
        <w:rPr>
          <w:sz w:val="20"/>
          <w:szCs w:val="20"/>
          <w:color w:val="auto"/>
        </w:rPr>
      </w:pPr>
    </w:p>
    <w:p>
      <w:pPr>
        <w:ind w:left="8"/>
        <w:spacing w:after="0" w:line="298" w:lineRule="auto"/>
        <w:rPr>
          <w:sz w:val="20"/>
          <w:szCs w:val="20"/>
          <w:color w:val="auto"/>
        </w:rPr>
      </w:pPr>
      <w:r>
        <w:rPr>
          <w:rFonts w:ascii="Arial" w:cs="Arial" w:eastAsia="Arial" w:hAnsi="Arial"/>
          <w:sz w:val="11"/>
          <w:szCs w:val="11"/>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05" w:lineRule="exact"/>
        <w:rPr>
          <w:sz w:val="20"/>
          <w:szCs w:val="20"/>
          <w:color w:val="auto"/>
        </w:rPr>
      </w:pPr>
    </w:p>
    <w:p>
      <w:pPr>
        <w:ind w:left="8"/>
        <w:spacing w:after="0" w:line="147" w:lineRule="exact"/>
        <w:rPr>
          <w:sz w:val="20"/>
          <w:szCs w:val="20"/>
          <w:color w:val="auto"/>
        </w:rPr>
      </w:pPr>
      <w:r>
        <w:rPr>
          <w:rFonts w:ascii="Arial" w:cs="Arial" w:eastAsia="Arial" w:hAnsi="Arial"/>
          <w:sz w:val="12"/>
          <w:szCs w:val="12"/>
          <w:color w:val="auto"/>
        </w:rPr>
        <w:t>The FDA may also impose requirements for costly post</w:t>
      </w:r>
      <w:r>
        <w:rPr>
          <w:rFonts w:ascii="MS PGothic" w:cs="MS PGothic" w:eastAsia="MS PGothic" w:hAnsi="MS PGothic"/>
          <w:sz w:val="12"/>
          <w:szCs w:val="12"/>
          <w:color w:val="auto"/>
        </w:rPr>
        <w:t>‑</w:t>
      </w:r>
      <w:r>
        <w:rPr>
          <w:rFonts w:ascii="Arial" w:cs="Arial" w:eastAsia="Arial" w:hAnsi="Arial"/>
          <w:sz w:val="12"/>
          <w:szCs w:val="12"/>
          <w:color w:val="auto"/>
        </w:rPr>
        <w:t>marketing studies or clinical trials and surveillance to monitor the safety or efficacy of our approved products. The FDA closely regulates the post</w:t>
      </w:r>
      <w:r>
        <w:rPr>
          <w:rFonts w:ascii="MS PGothic" w:cs="MS PGothic" w:eastAsia="MS PGothic" w:hAnsi="MS PGothic"/>
          <w:sz w:val="12"/>
          <w:szCs w:val="12"/>
          <w:color w:val="auto"/>
        </w:rPr>
        <w:t>‑</w:t>
      </w:r>
      <w:r>
        <w:rPr>
          <w:rFonts w:ascii="Arial" w:cs="Arial" w:eastAsia="Arial" w:hAnsi="Arial"/>
          <w:sz w:val="12"/>
          <w:szCs w:val="12"/>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2"/>
          <w:szCs w:val="12"/>
          <w:color w:val="auto"/>
        </w:rPr>
        <w:t>‑</w:t>
      </w:r>
      <w:r>
        <w:rPr>
          <w:rFonts w:ascii="Arial" w:cs="Arial" w:eastAsia="Arial" w:hAnsi="Arial"/>
          <w:sz w:val="12"/>
          <w:szCs w:val="12"/>
          <w:color w:val="auto"/>
        </w:rPr>
        <w:t>label use, and if we market our products outside of their approved indications, we may be subject to enforcement action for off</w:t>
      </w:r>
      <w:r>
        <w:rPr>
          <w:rFonts w:ascii="MS PGothic" w:cs="MS PGothic" w:eastAsia="MS PGothic" w:hAnsi="MS PGothic"/>
          <w:sz w:val="12"/>
          <w:szCs w:val="12"/>
          <w:color w:val="auto"/>
        </w:rPr>
        <w:t>‑</w:t>
      </w:r>
      <w:r>
        <w:rPr>
          <w:rFonts w:ascii="Arial" w:cs="Arial" w:eastAsia="Arial" w:hAnsi="Arial"/>
          <w:sz w:val="12"/>
          <w:szCs w:val="12"/>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136" w:lineRule="exact"/>
        <w:rPr>
          <w:sz w:val="20"/>
          <w:szCs w:val="20"/>
          <w:color w:val="auto"/>
        </w:rPr>
      </w:pPr>
    </w:p>
    <w:p>
      <w:pPr>
        <w:jc w:val="both"/>
        <w:ind w:left="8" w:right="440"/>
        <w:spacing w:after="0" w:line="380" w:lineRule="auto"/>
        <w:rPr>
          <w:sz w:val="20"/>
          <w:szCs w:val="20"/>
          <w:color w:val="auto"/>
        </w:rPr>
      </w:pPr>
      <w:r>
        <w:rPr>
          <w:rFonts w:ascii="Arial" w:cs="Arial" w:eastAsia="Arial" w:hAnsi="Arial"/>
          <w:sz w:val="10"/>
          <w:szCs w:val="10"/>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68"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litigation involving patients taking our products;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restrictions on such products, manufacturers or manufacturing processes;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restrictions on the labeling or marketing of a product;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restrictions on product distribution or use;</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requirements to conduct post</w:t>
      </w:r>
      <w:r>
        <w:rPr>
          <w:rFonts w:ascii="MS PGothic" w:cs="MS PGothic" w:eastAsia="MS PGothic" w:hAnsi="MS PGothic"/>
          <w:sz w:val="12"/>
          <w:szCs w:val="12"/>
          <w:color w:val="auto"/>
        </w:rPr>
        <w:t>‑</w:t>
      </w:r>
      <w:r>
        <w:rPr>
          <w:rFonts w:ascii="Arial" w:cs="Arial" w:eastAsia="Arial" w:hAnsi="Arial"/>
          <w:sz w:val="12"/>
          <w:szCs w:val="12"/>
          <w:color w:val="auto"/>
        </w:rPr>
        <w:t>marketing studies or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warning letters;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withdrawal of products from the market;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suspension or termination of ongoing clinical trials;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refusal to approve pending applications or supplements to approved applications that we submit;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recall of products;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fines, restitution or disgorgement of profits or revenues;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suspension or withdrawal of marketing approvals;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damage to relationships with existing and potential collaborators;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unfavorable press coverage and damage to our reputation;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refusal to permit the import or export of our products;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product seizure or detention;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injunctions; or</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imposition of civil or criminal penalties.</w:t>
      </w:r>
    </w:p>
    <w:p>
      <w:pPr>
        <w:spacing w:after="0" w:line="150"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20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48"/>
          </w:cols>
          <w:pgMar w:left="212" w:top="509" w:right="239" w:bottom="1440" w:gutter="0" w:footer="0" w:header="0"/>
        </w:sectPr>
      </w:pPr>
    </w:p>
    <w:bookmarkStart w:id="68" w:name="page69"/>
    <w:bookmarkEnd w:id="68"/>
    <w:p>
      <w:pPr>
        <w:ind w:right="280"/>
        <w:spacing w:after="0" w:line="263" w:lineRule="auto"/>
        <w:rPr>
          <w:sz w:val="20"/>
          <w:szCs w:val="20"/>
          <w:color w:val="auto"/>
        </w:rPr>
      </w:pPr>
      <w:r>
        <w:rPr>
          <w:rFonts w:ascii="Arial" w:cs="Arial" w:eastAsia="Arial" w:hAnsi="Arial"/>
          <w:sz w:val="12"/>
          <w:szCs w:val="12"/>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23"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3"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05" w:lineRule="exact"/>
        <w:rPr>
          <w:sz w:val="20"/>
          <w:szCs w:val="20"/>
          <w:color w:val="auto"/>
        </w:rPr>
      </w:pPr>
    </w:p>
    <w:p>
      <w:pPr>
        <w:ind w:right="120"/>
        <w:spacing w:after="0" w:line="149" w:lineRule="exact"/>
        <w:rPr>
          <w:sz w:val="20"/>
          <w:szCs w:val="20"/>
          <w:color w:val="auto"/>
        </w:rPr>
      </w:pPr>
      <w:r>
        <w:rPr>
          <w:rFonts w:ascii="Arial" w:cs="Arial" w:eastAsia="Arial" w:hAnsi="Arial"/>
          <w:sz w:val="12"/>
          <w:szCs w:val="12"/>
          <w:b w:val="1"/>
          <w:bCs w:val="1"/>
          <w:i w:val="1"/>
          <w:iCs w:val="1"/>
          <w:color w:val="auto"/>
        </w:rPr>
        <w:t>We are subject to U.S. and certain foreign export and import controls, sanctions, embargoes, anti</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corruption laws, and anti</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36" w:lineRule="exact"/>
        <w:rPr>
          <w:sz w:val="20"/>
          <w:szCs w:val="20"/>
          <w:color w:val="auto"/>
        </w:rPr>
      </w:pPr>
    </w:p>
    <w:p>
      <w:pPr>
        <w:ind w:right="40"/>
        <w:spacing w:after="0" w:line="145" w:lineRule="exact"/>
        <w:rPr>
          <w:sz w:val="20"/>
          <w:szCs w:val="20"/>
          <w:color w:val="auto"/>
        </w:rPr>
      </w:pPr>
      <w:r>
        <w:rPr>
          <w:rFonts w:ascii="Arial" w:cs="Arial" w:eastAsia="Arial" w:hAnsi="Arial"/>
          <w:sz w:val="11"/>
          <w:szCs w:val="11"/>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1"/>
          <w:szCs w:val="11"/>
          <w:color w:val="auto"/>
        </w:rPr>
        <w:t>‑</w:t>
      </w:r>
      <w:r>
        <w:rPr>
          <w:rFonts w:ascii="Arial" w:cs="Arial" w:eastAsia="Arial" w:hAnsi="Arial"/>
          <w:sz w:val="11"/>
          <w:szCs w:val="11"/>
          <w:color w:val="auto"/>
        </w:rPr>
        <w:t>bribery and anti</w:t>
      </w:r>
      <w:r>
        <w:rPr>
          <w:rFonts w:ascii="MS PGothic" w:cs="MS PGothic" w:eastAsia="MS PGothic" w:hAnsi="MS PGothic"/>
          <w:sz w:val="11"/>
          <w:szCs w:val="11"/>
          <w:color w:val="auto"/>
        </w:rPr>
        <w:t>‑</w:t>
      </w:r>
      <w:r>
        <w:rPr>
          <w:rFonts w:ascii="Arial" w:cs="Arial" w:eastAsia="Arial" w:hAnsi="Arial"/>
          <w:sz w:val="11"/>
          <w:szCs w:val="11"/>
          <w:color w:val="auto"/>
        </w:rPr>
        <w:t>money laundering laws in the countries in which we conduct activities. Anti</w:t>
      </w:r>
      <w:r>
        <w:rPr>
          <w:rFonts w:ascii="MS PGothic" w:cs="MS PGothic" w:eastAsia="MS PGothic" w:hAnsi="MS PGothic"/>
          <w:sz w:val="11"/>
          <w:szCs w:val="11"/>
          <w:color w:val="auto"/>
        </w:rPr>
        <w:t>‑</w:t>
      </w:r>
      <w:r>
        <w:rPr>
          <w:rFonts w:ascii="Arial" w:cs="Arial" w:eastAsia="Arial" w:hAnsi="Arial"/>
          <w:sz w:val="11"/>
          <w:szCs w:val="11"/>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1"/>
          <w:szCs w:val="11"/>
          <w:color w:val="auto"/>
        </w:rPr>
        <w:t>‑</w:t>
      </w:r>
      <w:r>
        <w:rPr>
          <w:rFonts w:ascii="Arial" w:cs="Arial" w:eastAsia="Arial" w:hAnsi="Arial"/>
          <w:sz w:val="11"/>
          <w:szCs w:val="11"/>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Governments outside the United States tend to impose strict price controls, which may adversely affect our revenues, if any.</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509" w:right="199" w:bottom="1440" w:gutter="0" w:footer="0" w:header="0"/>
        </w:sectPr>
      </w:pPr>
    </w:p>
    <w:bookmarkStart w:id="69" w:name="page70"/>
    <w:bookmarkEnd w:id="69"/>
    <w:p>
      <w:pPr>
        <w:ind w:right="40"/>
        <w:spacing w:after="0" w:line="147" w:lineRule="exact"/>
        <w:rPr>
          <w:sz w:val="20"/>
          <w:szCs w:val="20"/>
          <w:color w:val="auto"/>
        </w:rPr>
      </w:pPr>
      <w:r>
        <w:rPr>
          <w:rFonts w:ascii="Arial" w:cs="Arial" w:eastAsia="Arial" w:hAnsi="Arial"/>
          <w:sz w:val="12"/>
          <w:szCs w:val="12"/>
          <w:color w:val="auto"/>
        </w:rPr>
        <w:t>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2"/>
          <w:szCs w:val="12"/>
          <w:color w:val="auto"/>
        </w:rPr>
        <w:t>‑</w:t>
      </w:r>
      <w:r>
        <w:rPr>
          <w:rFonts w:ascii="Arial" w:cs="Arial" w:eastAsia="Arial" w:hAnsi="Arial"/>
          <w:sz w:val="12"/>
          <w:szCs w:val="12"/>
          <w:color w:val="auto"/>
        </w:rPr>
        <w:t>priced and high</w:t>
      </w:r>
      <w:r>
        <w:rPr>
          <w:rFonts w:ascii="MS PGothic" w:cs="MS PGothic" w:eastAsia="MS PGothic" w:hAnsi="MS PGothic"/>
          <w:sz w:val="12"/>
          <w:szCs w:val="12"/>
          <w:color w:val="auto"/>
        </w:rPr>
        <w:t>‑</w:t>
      </w:r>
      <w:r>
        <w:rPr>
          <w:rFonts w:ascii="Arial" w:cs="Arial" w:eastAsia="Arial" w:hAnsi="Arial"/>
          <w:sz w:val="12"/>
          <w:szCs w:val="12"/>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2"/>
          <w:szCs w:val="12"/>
          <w:color w:val="auto"/>
        </w:rPr>
        <w:t>‑</w:t>
      </w:r>
      <w:r>
        <w:rPr>
          <w:rFonts w:ascii="Arial" w:cs="Arial" w:eastAsia="Arial" w:hAnsi="Arial"/>
          <w:sz w:val="12"/>
          <w:szCs w:val="12"/>
          <w:color w:val="auto"/>
        </w:rPr>
        <w:t>effectiveness of our product candidate to other available therapies, which is time</w:t>
      </w:r>
      <w:r>
        <w:rPr>
          <w:rFonts w:ascii="MS PGothic" w:cs="MS PGothic" w:eastAsia="MS PGothic" w:hAnsi="MS PGothic"/>
          <w:sz w:val="12"/>
          <w:szCs w:val="12"/>
          <w:color w:val="auto"/>
        </w:rPr>
        <w:t>‑</w:t>
      </w:r>
      <w:r>
        <w:rPr>
          <w:rFonts w:ascii="Arial" w:cs="Arial" w:eastAsia="Arial" w:hAnsi="Arial"/>
          <w:sz w:val="12"/>
          <w:szCs w:val="12"/>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26" w:lineRule="exact"/>
        <w:rPr>
          <w:sz w:val="20"/>
          <w:szCs w:val="20"/>
          <w:color w:val="auto"/>
        </w:rPr>
      </w:pPr>
    </w:p>
    <w:p>
      <w:pPr>
        <w:ind w:right="180"/>
        <w:spacing w:after="0" w:line="380" w:lineRule="auto"/>
        <w:rPr>
          <w:sz w:val="20"/>
          <w:szCs w:val="20"/>
          <w:color w:val="auto"/>
        </w:rPr>
      </w:pPr>
      <w:r>
        <w:rPr>
          <w:rFonts w:ascii="Arial" w:cs="Arial" w:eastAsia="Arial" w:hAnsi="Arial"/>
          <w:sz w:val="10"/>
          <w:szCs w:val="1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23" w:lineRule="exact"/>
        <w:rPr>
          <w:sz w:val="20"/>
          <w:szCs w:val="20"/>
          <w:color w:val="auto"/>
        </w:rPr>
      </w:pPr>
    </w:p>
    <w:p>
      <w:pPr>
        <w:spacing w:after="0" w:line="145" w:lineRule="exact"/>
        <w:rPr>
          <w:sz w:val="20"/>
          <w:szCs w:val="20"/>
          <w:color w:val="auto"/>
        </w:rPr>
      </w:pPr>
      <w:r>
        <w:rPr>
          <w:rFonts w:ascii="Arial" w:cs="Arial" w:eastAsia="Arial" w:hAnsi="Arial"/>
          <w:sz w:val="12"/>
          <w:szCs w:val="12"/>
          <w:color w:val="auto"/>
        </w:rPr>
        <w:t>The patent prosecution process is expensive and time</w:t>
      </w:r>
      <w:r>
        <w:rPr>
          <w:rFonts w:ascii="MS PGothic" w:cs="MS PGothic" w:eastAsia="MS PGothic" w:hAnsi="MS PGothic"/>
          <w:sz w:val="12"/>
          <w:szCs w:val="12"/>
          <w:color w:val="auto"/>
        </w:rPr>
        <w:t>‑</w:t>
      </w:r>
      <w:r>
        <w:rPr>
          <w:rFonts w:ascii="Arial" w:cs="Arial" w:eastAsia="Arial" w:hAnsi="Arial"/>
          <w:sz w:val="12"/>
          <w:szCs w:val="12"/>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2"/>
          <w:szCs w:val="12"/>
          <w:color w:val="auto"/>
        </w:rPr>
        <w:t>‑</w:t>
      </w:r>
      <w:r>
        <w:rPr>
          <w:rFonts w:ascii="Arial" w:cs="Arial" w:eastAsia="Arial" w:hAnsi="Arial"/>
          <w:sz w:val="12"/>
          <w:szCs w:val="12"/>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37"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60"/>
          </w:cols>
          <w:pgMar w:left="220" w:top="509" w:right="219" w:bottom="1440" w:gutter="0" w:footer="0" w:header="0"/>
        </w:sectPr>
      </w:pPr>
    </w:p>
    <w:bookmarkStart w:id="70" w:name="page71"/>
    <w:bookmarkEnd w:id="70"/>
    <w:p>
      <w:pPr>
        <w:spacing w:after="0"/>
        <w:rPr>
          <w:sz w:val="20"/>
          <w:szCs w:val="20"/>
          <w:color w:val="auto"/>
        </w:rPr>
      </w:pPr>
      <w:r>
        <w:rPr>
          <w:rFonts w:ascii="Arial" w:cs="Arial" w:eastAsia="Arial" w:hAnsi="Arial"/>
          <w:sz w:val="11"/>
          <w:szCs w:val="11"/>
          <w:color w:val="auto"/>
        </w:rPr>
        <w:t>have obligations under our licenses, and any failure to satisfy those obligations could give our licensor the right to terminate the license. Termination of a necessary license could have a material adverse impact on our business.</w:t>
      </w:r>
    </w:p>
    <w:p>
      <w:pPr>
        <w:spacing w:after="0" w:line="162" w:lineRule="exact"/>
        <w:rPr>
          <w:sz w:val="20"/>
          <w:szCs w:val="20"/>
          <w:color w:val="auto"/>
        </w:rPr>
      </w:pPr>
    </w:p>
    <w:p>
      <w:pPr>
        <w:ind w:right="360"/>
        <w:spacing w:after="0" w:line="149" w:lineRule="exact"/>
        <w:rPr>
          <w:sz w:val="20"/>
          <w:szCs w:val="20"/>
          <w:color w:val="auto"/>
        </w:rPr>
      </w:pPr>
      <w:r>
        <w:rPr>
          <w:rFonts w:ascii="Arial" w:cs="Arial" w:eastAsia="Arial" w:hAnsi="Arial"/>
          <w:sz w:val="11"/>
          <w:szCs w:val="11"/>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1"/>
          <w:szCs w:val="11"/>
          <w:color w:val="auto"/>
        </w:rPr>
        <w:t>‑</w:t>
      </w:r>
      <w:r>
        <w:rPr>
          <w:rFonts w:ascii="Arial" w:cs="Arial" w:eastAsia="Arial" w:hAnsi="Arial"/>
          <w:sz w:val="11"/>
          <w:szCs w:val="11"/>
          <w:color w:val="auto"/>
        </w:rPr>
        <w:t>party product. These and other factors may provide opportunities for our competitors to design around our patents.</w:t>
      </w:r>
    </w:p>
    <w:p>
      <w:pPr>
        <w:spacing w:after="0" w:line="136"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patent offices react to our patent claims and whether they identify prior art of relevance that we have not already considered.</w:t>
      </w:r>
    </w:p>
    <w:p>
      <w:pPr>
        <w:spacing w:after="0" w:line="123"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29" w:lineRule="exact"/>
        <w:rPr>
          <w:sz w:val="20"/>
          <w:szCs w:val="20"/>
          <w:color w:val="auto"/>
        </w:rPr>
      </w:pPr>
    </w:p>
    <w:p>
      <w:pPr>
        <w:ind w:right="40"/>
        <w:spacing w:after="0" w:line="146" w:lineRule="exact"/>
        <w:rPr>
          <w:sz w:val="20"/>
          <w:szCs w:val="20"/>
          <w:color w:val="auto"/>
        </w:rPr>
      </w:pPr>
      <w:r>
        <w:rPr>
          <w:rFonts w:ascii="Arial" w:cs="Arial" w:eastAsia="Arial" w:hAnsi="Arial"/>
          <w:sz w:val="12"/>
          <w:szCs w:val="12"/>
          <w:color w:val="auto"/>
        </w:rPr>
        <w:t>We may be subject to a third</w:t>
      </w:r>
      <w:r>
        <w:rPr>
          <w:rFonts w:ascii="MS PGothic" w:cs="MS PGothic" w:eastAsia="MS PGothic" w:hAnsi="MS PGothic"/>
          <w:sz w:val="12"/>
          <w:szCs w:val="12"/>
          <w:color w:val="auto"/>
        </w:rPr>
        <w:t>‑</w:t>
      </w:r>
      <w:r>
        <w:rPr>
          <w:rFonts w:ascii="Arial" w:cs="Arial" w:eastAsia="Arial" w:hAnsi="Arial"/>
          <w:sz w:val="12"/>
          <w:szCs w:val="12"/>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2"/>
          <w:szCs w:val="12"/>
          <w:color w:val="auto"/>
        </w:rPr>
        <w:t>‑</w:t>
      </w:r>
      <w:r>
        <w:rPr>
          <w:rFonts w:ascii="Arial" w:cs="Arial" w:eastAsia="Arial" w:hAnsi="Arial"/>
          <w:sz w:val="12"/>
          <w:szCs w:val="12"/>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2"/>
          <w:szCs w:val="12"/>
          <w:color w:val="auto"/>
        </w:rPr>
        <w:t>‑</w:t>
      </w:r>
      <w:r>
        <w:rPr>
          <w:rFonts w:ascii="Arial" w:cs="Arial" w:eastAsia="Arial" w:hAnsi="Arial"/>
          <w:sz w:val="12"/>
          <w:szCs w:val="12"/>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6" w:lineRule="exact"/>
        <w:rPr>
          <w:sz w:val="20"/>
          <w:szCs w:val="20"/>
          <w:color w:val="auto"/>
        </w:rPr>
      </w:pPr>
    </w:p>
    <w:p>
      <w:pPr>
        <w:ind w:right="120"/>
        <w:spacing w:after="0" w:line="290" w:lineRule="auto"/>
        <w:rPr>
          <w:sz w:val="20"/>
          <w:szCs w:val="20"/>
          <w:color w:val="auto"/>
        </w:rPr>
      </w:pPr>
      <w:r>
        <w:rPr>
          <w:rFonts w:ascii="Arial" w:cs="Arial" w:eastAsia="Arial" w:hAnsi="Arial"/>
          <w:sz w:val="11"/>
          <w:szCs w:val="11"/>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09" w:lineRule="exact"/>
        <w:rPr>
          <w:sz w:val="20"/>
          <w:szCs w:val="20"/>
          <w:color w:val="auto"/>
        </w:rPr>
      </w:pPr>
    </w:p>
    <w:p>
      <w:pPr>
        <w:ind w:right="160"/>
        <w:spacing w:after="0" w:line="145" w:lineRule="exact"/>
        <w:rPr>
          <w:sz w:val="20"/>
          <w:szCs w:val="20"/>
          <w:color w:val="auto"/>
        </w:rPr>
      </w:pPr>
      <w:r>
        <w:rPr>
          <w:rFonts w:ascii="Arial" w:cs="Arial" w:eastAsia="Arial" w:hAnsi="Arial"/>
          <w:sz w:val="12"/>
          <w:szCs w:val="12"/>
          <w:color w:val="auto"/>
        </w:rPr>
        <w:t>In addition to the protection afforded by patents, we rely on trade secret protection and confidentiality agreements to protect proprietary know</w:t>
      </w:r>
      <w:r>
        <w:rPr>
          <w:rFonts w:ascii="MS PGothic" w:cs="MS PGothic" w:eastAsia="MS PGothic" w:hAnsi="MS PGothic"/>
          <w:sz w:val="12"/>
          <w:szCs w:val="12"/>
          <w:color w:val="auto"/>
        </w:rPr>
        <w:t>‑</w:t>
      </w:r>
      <w:r>
        <w:rPr>
          <w:rFonts w:ascii="Arial" w:cs="Arial" w:eastAsia="Arial" w:hAnsi="Arial"/>
          <w:sz w:val="12"/>
          <w:szCs w:val="12"/>
          <w:color w:val="auto"/>
        </w:rPr>
        <w:t>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w:t>
      </w:r>
      <w:r>
        <w:rPr>
          <w:rFonts w:ascii="MS PGothic" w:cs="MS PGothic" w:eastAsia="MS PGothic" w:hAnsi="MS PGothic"/>
          <w:sz w:val="12"/>
          <w:szCs w:val="12"/>
          <w:color w:val="auto"/>
        </w:rPr>
        <w:t>‑</w:t>
      </w:r>
      <w:r>
        <w:rPr>
          <w:rFonts w:ascii="Arial" w:cs="Arial" w:eastAsia="Arial" w:hAnsi="Arial"/>
          <w:sz w:val="12"/>
          <w:szCs w:val="12"/>
          <w:color w:val="auto"/>
        </w:rPr>
        <w:t>how and other confidential information and technology to enter into appropriate confidentiality agreements, we cannot be certain that our trade secrets, proprietary know</w:t>
      </w:r>
      <w:r>
        <w:rPr>
          <w:rFonts w:ascii="MS PGothic" w:cs="MS PGothic" w:eastAsia="MS PGothic" w:hAnsi="MS PGothic"/>
          <w:sz w:val="12"/>
          <w:szCs w:val="12"/>
          <w:color w:val="auto"/>
        </w:rPr>
        <w:t>‑</w:t>
      </w:r>
      <w:r>
        <w:rPr>
          <w:rFonts w:ascii="Arial" w:cs="Arial" w:eastAsia="Arial" w:hAnsi="Arial"/>
          <w:sz w:val="12"/>
          <w:szCs w:val="12"/>
          <w:color w:val="auto"/>
        </w:rPr>
        <w:t>how, and other confidential information and technology will not be subject to unauthorized disclosure or that our competitors will not otherwise gain access to or independently develop substantially equivalent trade secrets, proprietary know</w:t>
      </w:r>
      <w:r>
        <w:rPr>
          <w:rFonts w:ascii="MS PGothic" w:cs="MS PGothic" w:eastAsia="MS PGothic" w:hAnsi="MS PGothic"/>
          <w:sz w:val="12"/>
          <w:szCs w:val="12"/>
          <w:color w:val="auto"/>
        </w:rPr>
        <w:t>‑</w:t>
      </w:r>
      <w:r>
        <w:rPr>
          <w:rFonts w:ascii="Arial" w:cs="Arial" w:eastAsia="Arial" w:hAnsi="Arial"/>
          <w:sz w:val="12"/>
          <w:szCs w:val="12"/>
          <w:color w:val="auto"/>
        </w:rPr>
        <w:t>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67" w:lineRule="exact"/>
        <w:rPr>
          <w:sz w:val="20"/>
          <w:szCs w:val="20"/>
          <w:color w:val="auto"/>
        </w:rPr>
      </w:pPr>
    </w:p>
    <w:p>
      <w:pPr>
        <w:spacing w:after="0" w:line="149" w:lineRule="exact"/>
        <w:rPr>
          <w:sz w:val="20"/>
          <w:szCs w:val="20"/>
          <w:color w:val="auto"/>
        </w:rPr>
      </w:pPr>
      <w:r>
        <w:rPr>
          <w:rFonts w:ascii="Arial" w:cs="Arial" w:eastAsia="Arial" w:hAnsi="Arial"/>
          <w:sz w:val="12"/>
          <w:szCs w:val="12"/>
          <w:color w:val="auto"/>
        </w:rPr>
        <w:t>Any litigation to enforce or defend our patent rights, even if we were to prevail, could be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509" w:right="199" w:bottom="1440" w:gutter="0" w:footer="0" w:header="0"/>
        </w:sectPr>
      </w:pPr>
    </w:p>
    <w:bookmarkStart w:id="71" w:name="page72"/>
    <w:bookmarkEnd w:id="71"/>
    <w:p>
      <w:pPr>
        <w:ind w:right="40"/>
        <w:spacing w:after="0" w:line="257" w:lineRule="auto"/>
        <w:rPr>
          <w:sz w:val="20"/>
          <w:szCs w:val="20"/>
          <w:color w:val="auto"/>
        </w:rPr>
      </w:pPr>
      <w:r>
        <w:rPr>
          <w:rFonts w:ascii="Arial" w:cs="Arial" w:eastAsia="Arial" w:hAnsi="Arial"/>
          <w:sz w:val="12"/>
          <w:szCs w:val="12"/>
          <w:color w:val="auto"/>
        </w:rPr>
        <w:t>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54"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If we are unable to protect the confidentiality of our trade secrets and know</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how, our business and competitive position would be harmed.</w:t>
      </w:r>
    </w:p>
    <w:p>
      <w:pPr>
        <w:spacing w:after="0" w:line="150" w:lineRule="exact"/>
        <w:rPr>
          <w:sz w:val="20"/>
          <w:szCs w:val="20"/>
          <w:color w:val="auto"/>
        </w:rPr>
      </w:pPr>
    </w:p>
    <w:p>
      <w:pPr>
        <w:ind w:right="60"/>
        <w:spacing w:after="0" w:line="145" w:lineRule="exact"/>
        <w:rPr>
          <w:sz w:val="20"/>
          <w:szCs w:val="20"/>
          <w:color w:val="auto"/>
        </w:rPr>
      </w:pPr>
      <w:r>
        <w:rPr>
          <w:rFonts w:ascii="Arial" w:cs="Arial" w:eastAsia="Arial" w:hAnsi="Arial"/>
          <w:sz w:val="12"/>
          <w:szCs w:val="12"/>
          <w:color w:val="auto"/>
        </w:rPr>
        <w:t>In addition to seeking patents for some of our technology and product candidates, we also rely on trade secrets, including unpatented know</w:t>
      </w:r>
      <w:r>
        <w:rPr>
          <w:rFonts w:ascii="MS PGothic" w:cs="MS PGothic" w:eastAsia="MS PGothic" w:hAnsi="MS PGothic"/>
          <w:sz w:val="12"/>
          <w:szCs w:val="12"/>
          <w:color w:val="auto"/>
        </w:rPr>
        <w:t>‑</w:t>
      </w:r>
      <w:r>
        <w:rPr>
          <w:rFonts w:ascii="Arial" w:cs="Arial" w:eastAsia="Arial" w:hAnsi="Arial"/>
          <w:sz w:val="12"/>
          <w:szCs w:val="12"/>
          <w:color w:val="auto"/>
        </w:rPr>
        <w:t>how, technology and other proprietary information, to maintain our competitive position. We seek to protect these trade secrets, in part, by entering into non</w:t>
      </w:r>
      <w:r>
        <w:rPr>
          <w:rFonts w:ascii="MS PGothic" w:cs="MS PGothic" w:eastAsia="MS PGothic" w:hAnsi="MS PGothic"/>
          <w:sz w:val="12"/>
          <w:szCs w:val="12"/>
          <w:color w:val="auto"/>
        </w:rPr>
        <w:t>‑</w:t>
      </w:r>
      <w:r>
        <w:rPr>
          <w:rFonts w:ascii="Arial" w:cs="Arial" w:eastAsia="Arial" w:hAnsi="Arial"/>
          <w:sz w:val="12"/>
          <w:szCs w:val="12"/>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2"/>
          <w:szCs w:val="12"/>
          <w:color w:val="auto"/>
        </w:rPr>
        <w:t>‑</w:t>
      </w:r>
      <w:r>
        <w:rPr>
          <w:rFonts w:ascii="Arial" w:cs="Arial" w:eastAsia="Arial" w:hAnsi="Arial"/>
          <w:sz w:val="12"/>
          <w:szCs w:val="12"/>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 candidates.</w:t>
      </w:r>
    </w:p>
    <w:p>
      <w:pPr>
        <w:spacing w:after="0" w:line="150" w:lineRule="exact"/>
        <w:rPr>
          <w:sz w:val="20"/>
          <w:szCs w:val="20"/>
          <w:color w:val="auto"/>
        </w:rPr>
      </w:pPr>
    </w:p>
    <w:p>
      <w:pPr>
        <w:ind w:right="20"/>
        <w:spacing w:after="0" w:line="145" w:lineRule="exact"/>
        <w:rPr>
          <w:sz w:val="20"/>
          <w:szCs w:val="20"/>
          <w:color w:val="auto"/>
        </w:rPr>
      </w:pPr>
      <w:r>
        <w:rPr>
          <w:rFonts w:ascii="Arial" w:cs="Arial" w:eastAsia="Arial" w:hAnsi="Arial"/>
          <w:sz w:val="11"/>
          <w:szCs w:val="11"/>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1"/>
          <w:szCs w:val="11"/>
          <w:color w:val="auto"/>
        </w:rPr>
        <w:t>‑</w:t>
      </w:r>
      <w:r>
        <w:rPr>
          <w:rFonts w:ascii="Arial" w:cs="Arial" w:eastAsia="Arial" w:hAnsi="Arial"/>
          <w:sz w:val="11"/>
          <w:szCs w:val="11"/>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1"/>
          <w:szCs w:val="11"/>
          <w:color w:val="auto"/>
        </w:rPr>
        <w:t>‑</w:t>
      </w:r>
      <w:r>
        <w:rPr>
          <w:rFonts w:ascii="Arial" w:cs="Arial" w:eastAsia="Arial" w:hAnsi="Arial"/>
          <w:sz w:val="11"/>
          <w:szCs w:val="11"/>
          <w:color w:val="auto"/>
        </w:rPr>
        <w:t>Smith America Invents Act, or the Leahy</w:t>
      </w:r>
      <w:r>
        <w:rPr>
          <w:rFonts w:ascii="MS PGothic" w:cs="MS PGothic" w:eastAsia="MS PGothic" w:hAnsi="MS PGothic"/>
          <w:sz w:val="11"/>
          <w:szCs w:val="11"/>
          <w:color w:val="auto"/>
        </w:rPr>
        <w:t>‑</w:t>
      </w:r>
      <w:r>
        <w:rPr>
          <w:rFonts w:ascii="Arial" w:cs="Arial" w:eastAsia="Arial" w:hAnsi="Arial"/>
          <w:sz w:val="11"/>
          <w:szCs w:val="11"/>
          <w:color w:val="auto"/>
        </w:rPr>
        <w:t>Smith Act, was signed into law. The Leahy</w:t>
      </w:r>
      <w:r>
        <w:rPr>
          <w:rFonts w:ascii="MS PGothic" w:cs="MS PGothic" w:eastAsia="MS PGothic" w:hAnsi="MS PGothic"/>
          <w:sz w:val="11"/>
          <w:szCs w:val="11"/>
          <w:color w:val="auto"/>
        </w:rPr>
        <w:t>‑</w:t>
      </w:r>
      <w:r>
        <w:rPr>
          <w:rFonts w:ascii="Arial" w:cs="Arial" w:eastAsia="Arial" w:hAnsi="Arial"/>
          <w:sz w:val="11"/>
          <w:szCs w:val="11"/>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1"/>
          <w:szCs w:val="11"/>
          <w:color w:val="auto"/>
        </w:rPr>
        <w:t>‑</w:t>
      </w:r>
      <w:r>
        <w:rPr>
          <w:rFonts w:ascii="Arial" w:cs="Arial" w:eastAsia="Arial" w:hAnsi="Arial"/>
          <w:sz w:val="11"/>
          <w:szCs w:val="11"/>
          <w:color w:val="auto"/>
        </w:rPr>
        <w:t>Smith Act, and many of the substantive changes to patent law associated with the Leahy</w:t>
      </w:r>
      <w:r>
        <w:rPr>
          <w:rFonts w:ascii="MS PGothic" w:cs="MS PGothic" w:eastAsia="MS PGothic" w:hAnsi="MS PGothic"/>
          <w:sz w:val="11"/>
          <w:szCs w:val="11"/>
          <w:color w:val="auto"/>
        </w:rPr>
        <w:t>‑</w:t>
      </w:r>
      <w:r>
        <w:rPr>
          <w:rFonts w:ascii="Arial" w:cs="Arial" w:eastAsia="Arial" w:hAnsi="Arial"/>
          <w:sz w:val="11"/>
          <w:szCs w:val="11"/>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1"/>
          <w:szCs w:val="11"/>
          <w:color w:val="auto"/>
        </w:rPr>
        <w:t>‑</w:t>
      </w:r>
      <w:r>
        <w:rPr>
          <w:rFonts w:ascii="Arial" w:cs="Arial" w:eastAsia="Arial" w:hAnsi="Arial"/>
          <w:sz w:val="11"/>
          <w:szCs w:val="11"/>
          <w:color w:val="auto"/>
        </w:rPr>
        <w:t>Leahy</w:t>
      </w:r>
      <w:r>
        <w:rPr>
          <w:rFonts w:ascii="MS PGothic" w:cs="MS PGothic" w:eastAsia="MS PGothic" w:hAnsi="MS PGothic"/>
          <w:sz w:val="11"/>
          <w:szCs w:val="11"/>
          <w:color w:val="auto"/>
        </w:rPr>
        <w:t>‑</w:t>
      </w:r>
      <w:r>
        <w:rPr>
          <w:rFonts w:ascii="Arial" w:cs="Arial" w:eastAsia="Arial" w:hAnsi="Arial"/>
          <w:sz w:val="11"/>
          <w:szCs w:val="11"/>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1"/>
          <w:szCs w:val="11"/>
          <w:color w:val="auto"/>
        </w:rPr>
        <w:t>‑</w:t>
      </w:r>
      <w:r>
        <w:rPr>
          <w:rFonts w:ascii="Arial" w:cs="Arial" w:eastAsia="Arial" w:hAnsi="Arial"/>
          <w:sz w:val="11"/>
          <w:szCs w:val="11"/>
          <w:color w:val="auto"/>
        </w:rPr>
        <w:t>Smith Act. This introduces additional complexities into the prosecution and management of our portfolio.</w:t>
      </w:r>
    </w:p>
    <w:p>
      <w:pPr>
        <w:spacing w:after="0" w:line="137" w:lineRule="exact"/>
        <w:rPr>
          <w:sz w:val="20"/>
          <w:szCs w:val="20"/>
          <w:color w:val="auto"/>
        </w:rPr>
      </w:pPr>
    </w:p>
    <w:p>
      <w:pPr>
        <w:jc w:val="both"/>
        <w:ind w:right="100"/>
        <w:spacing w:after="0" w:line="148" w:lineRule="exact"/>
        <w:rPr>
          <w:sz w:val="20"/>
          <w:szCs w:val="20"/>
          <w:color w:val="auto"/>
        </w:rPr>
      </w:pPr>
      <w:r>
        <w:rPr>
          <w:rFonts w:ascii="Arial" w:cs="Arial" w:eastAsia="Arial" w:hAnsi="Arial"/>
          <w:sz w:val="11"/>
          <w:szCs w:val="11"/>
          <w:color w:val="auto"/>
        </w:rPr>
        <w:t>In addition, the Leahy</w:t>
      </w:r>
      <w:r>
        <w:rPr>
          <w:rFonts w:ascii="MS PGothic" w:cs="MS PGothic" w:eastAsia="MS PGothic" w:hAnsi="MS PGothic"/>
          <w:sz w:val="11"/>
          <w:szCs w:val="11"/>
          <w:color w:val="auto"/>
        </w:rPr>
        <w:t>‑</w:t>
      </w:r>
      <w:r>
        <w:rPr>
          <w:rFonts w:ascii="Arial" w:cs="Arial" w:eastAsia="Arial" w:hAnsi="Arial"/>
          <w:sz w:val="11"/>
          <w:szCs w:val="11"/>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35" w:lineRule="exact"/>
        <w:rPr>
          <w:sz w:val="20"/>
          <w:szCs w:val="20"/>
          <w:color w:val="auto"/>
        </w:rPr>
      </w:pPr>
    </w:p>
    <w:p>
      <w:pPr>
        <w:spacing w:after="0" w:line="147" w:lineRule="exact"/>
        <w:rPr>
          <w:sz w:val="20"/>
          <w:szCs w:val="20"/>
          <w:color w:val="auto"/>
        </w:rPr>
      </w:pPr>
      <w:r>
        <w:rPr>
          <w:rFonts w:ascii="Arial" w:cs="Arial" w:eastAsia="Arial" w:hAnsi="Arial"/>
          <w:sz w:val="12"/>
          <w:szCs w:val="12"/>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2"/>
          <w:szCs w:val="12"/>
          <w:color w:val="auto"/>
        </w:rPr>
        <w:t>‑</w:t>
      </w:r>
      <w:r>
        <w:rPr>
          <w:rFonts w:ascii="Arial" w:cs="Arial" w:eastAsia="Arial" w:hAnsi="Arial"/>
          <w:sz w:val="12"/>
          <w:szCs w:val="12"/>
          <w:color w:val="auto"/>
        </w:rPr>
        <w:t>Smith Act will have on the operation of our business. However, the Leahy</w:t>
      </w:r>
      <w:r>
        <w:rPr>
          <w:rFonts w:ascii="MS PGothic" w:cs="MS PGothic" w:eastAsia="MS PGothic" w:hAnsi="MS PGothic"/>
          <w:sz w:val="12"/>
          <w:szCs w:val="12"/>
          <w:color w:val="auto"/>
        </w:rPr>
        <w:t>‑</w:t>
      </w:r>
      <w:r>
        <w:rPr>
          <w:rFonts w:ascii="Arial" w:cs="Arial" w:eastAsia="Arial" w:hAnsi="Arial"/>
          <w:sz w:val="12"/>
          <w:szCs w:val="12"/>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60"/>
          </w:cols>
          <w:pgMar w:left="220" w:top="437" w:right="219" w:bottom="1440" w:gutter="0" w:footer="0" w:header="0"/>
        </w:sectPr>
      </w:pPr>
    </w:p>
    <w:bookmarkStart w:id="72" w:name="page73"/>
    <w:bookmarkEnd w:id="72"/>
    <w:p>
      <w:pPr>
        <w:ind w:right="220"/>
        <w:spacing w:after="0" w:line="276" w:lineRule="auto"/>
        <w:rPr>
          <w:sz w:val="20"/>
          <w:szCs w:val="20"/>
          <w:color w:val="auto"/>
        </w:rPr>
      </w:pPr>
      <w:r>
        <w:rPr>
          <w:rFonts w:ascii="Arial" w:cs="Arial" w:eastAsia="Arial" w:hAnsi="Arial"/>
          <w:sz w:val="12"/>
          <w:szCs w:val="12"/>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15"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jc w:val="both"/>
        <w:ind w:right="60"/>
        <w:spacing w:after="0" w:line="147" w:lineRule="exact"/>
        <w:rPr>
          <w:sz w:val="20"/>
          <w:szCs w:val="20"/>
          <w:color w:val="auto"/>
        </w:rPr>
      </w:pPr>
      <w:r>
        <w:rPr>
          <w:rFonts w:ascii="Arial" w:cs="Arial" w:eastAsia="Arial" w:hAnsi="Arial"/>
          <w:sz w:val="12"/>
          <w:szCs w:val="12"/>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2"/>
          <w:szCs w:val="12"/>
          <w:color w:val="auto"/>
        </w:rPr>
        <w:t>‑</w:t>
      </w:r>
      <w:r>
        <w:rPr>
          <w:rFonts w:ascii="Arial" w:cs="Arial" w:eastAsia="Arial" w:hAnsi="Arial"/>
          <w:sz w:val="12"/>
          <w:szCs w:val="12"/>
          <w:color w:val="auto"/>
        </w:rPr>
        <w:t>party patents.</w:t>
      </w:r>
    </w:p>
    <w:p>
      <w:pPr>
        <w:spacing w:after="0" w:line="137" w:lineRule="exact"/>
        <w:rPr>
          <w:sz w:val="20"/>
          <w:szCs w:val="20"/>
          <w:color w:val="auto"/>
        </w:rPr>
      </w:pPr>
    </w:p>
    <w:p>
      <w:pPr>
        <w:spacing w:after="0" w:line="145" w:lineRule="exact"/>
        <w:rPr>
          <w:sz w:val="20"/>
          <w:szCs w:val="20"/>
          <w:color w:val="auto"/>
        </w:rPr>
      </w:pPr>
      <w:r>
        <w:rPr>
          <w:rFonts w:ascii="Arial" w:cs="Arial" w:eastAsia="Arial" w:hAnsi="Arial"/>
          <w:sz w:val="11"/>
          <w:szCs w:val="11"/>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1"/>
          <w:szCs w:val="11"/>
          <w:color w:val="auto"/>
        </w:rPr>
        <w:t>‑</w:t>
      </w:r>
      <w:r>
        <w:rPr>
          <w:rFonts w:ascii="Arial" w:cs="Arial" w:eastAsia="Arial" w:hAnsi="Arial"/>
          <w:sz w:val="11"/>
          <w:szCs w:val="11"/>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1"/>
          <w:szCs w:val="11"/>
          <w:color w:val="auto"/>
        </w:rPr>
        <w:t>‑</w:t>
      </w:r>
      <w:r>
        <w:rPr>
          <w:rFonts w:ascii="Arial" w:cs="Arial" w:eastAsia="Arial" w:hAnsi="Arial"/>
          <w:sz w:val="11"/>
          <w:szCs w:val="11"/>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1"/>
          <w:szCs w:val="11"/>
          <w:color w:val="auto"/>
        </w:rPr>
        <w:t>‑</w:t>
      </w:r>
      <w:r>
        <w:rPr>
          <w:rFonts w:ascii="Arial" w:cs="Arial" w:eastAsia="Arial" w:hAnsi="Arial"/>
          <w:sz w:val="11"/>
          <w:szCs w:val="11"/>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25" w:lineRule="exact"/>
        <w:rPr>
          <w:sz w:val="20"/>
          <w:szCs w:val="20"/>
          <w:color w:val="auto"/>
        </w:rPr>
      </w:pPr>
    </w:p>
    <w:p>
      <w:pPr>
        <w:ind w:right="180"/>
        <w:spacing w:after="0" w:line="146" w:lineRule="exact"/>
        <w:rPr>
          <w:sz w:val="20"/>
          <w:szCs w:val="20"/>
          <w:color w:val="auto"/>
        </w:rPr>
      </w:pPr>
      <w:r>
        <w:rPr>
          <w:rFonts w:ascii="Arial" w:cs="Arial" w:eastAsia="Arial" w:hAnsi="Arial"/>
          <w:sz w:val="12"/>
          <w:szCs w:val="12"/>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2"/>
          <w:szCs w:val="12"/>
          <w:color w:val="auto"/>
        </w:rPr>
        <w:t>‑</w:t>
      </w:r>
      <w:r>
        <w:rPr>
          <w:rFonts w:ascii="Arial" w:cs="Arial" w:eastAsia="Arial" w:hAnsi="Arial"/>
          <w:sz w:val="12"/>
          <w:szCs w:val="12"/>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36" w:lineRule="exact"/>
        <w:rPr>
          <w:sz w:val="20"/>
          <w:szCs w:val="20"/>
          <w:color w:val="auto"/>
        </w:rPr>
      </w:pPr>
    </w:p>
    <w:p>
      <w:pPr>
        <w:jc w:val="both"/>
        <w:ind w:right="380"/>
        <w:spacing w:after="0" w:line="147" w:lineRule="exact"/>
        <w:rPr>
          <w:sz w:val="20"/>
          <w:szCs w:val="20"/>
          <w:color w:val="auto"/>
        </w:rPr>
      </w:pPr>
      <w:r>
        <w:rPr>
          <w:rFonts w:ascii="Arial" w:cs="Arial" w:eastAsia="Arial" w:hAnsi="Arial"/>
          <w:sz w:val="12"/>
          <w:szCs w:val="12"/>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Any of these risks coming to fruition could harm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or other intellectual property, and our issued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60"/>
          </w:cols>
          <w:pgMar w:left="220" w:top="509" w:right="219"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i w:val="1"/>
          <w:iCs w:val="1"/>
          <w:color w:val="auto"/>
        </w:rPr>
        <w:t>patents covering our product candidates could be found invalid or unenforceable or could be interpreted narrowly if challenged in court.</w:t>
      </w:r>
    </w:p>
    <w:p>
      <w:pPr>
        <w:spacing w:after="0" w:line="150" w:lineRule="exact"/>
        <w:rPr>
          <w:sz w:val="20"/>
          <w:szCs w:val="20"/>
          <w:color w:val="auto"/>
        </w:rPr>
      </w:pPr>
    </w:p>
    <w:p>
      <w:pPr>
        <w:spacing w:after="0" w:line="145" w:lineRule="exact"/>
        <w:rPr>
          <w:sz w:val="20"/>
          <w:szCs w:val="20"/>
          <w:color w:val="auto"/>
        </w:rPr>
      </w:pPr>
      <w:r>
        <w:rPr>
          <w:rFonts w:ascii="Arial" w:cs="Arial" w:eastAsia="Arial" w:hAnsi="Arial"/>
          <w:sz w:val="11"/>
          <w:szCs w:val="11"/>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1"/>
          <w:szCs w:val="11"/>
          <w:color w:val="auto"/>
        </w:rPr>
        <w:t>‑</w:t>
      </w:r>
      <w:r>
        <w:rPr>
          <w:rFonts w:ascii="Arial" w:cs="Arial" w:eastAsia="Arial" w:hAnsi="Arial"/>
          <w:sz w:val="11"/>
          <w:szCs w:val="11"/>
          <w:color w:val="auto"/>
        </w:rPr>
        <w:t>party infringement or unauthorized use. This can be expensive, particularly for a company of our size, and time</w:t>
      </w:r>
      <w:r>
        <w:rPr>
          <w:rFonts w:ascii="MS PGothic" w:cs="MS PGothic" w:eastAsia="MS PGothic" w:hAnsi="MS PGothic"/>
          <w:sz w:val="11"/>
          <w:szCs w:val="11"/>
          <w:color w:val="auto"/>
        </w:rPr>
        <w:t>‑</w:t>
      </w:r>
      <w:r>
        <w:rPr>
          <w:rFonts w:ascii="Arial" w:cs="Arial" w:eastAsia="Arial" w:hAnsi="Arial"/>
          <w:sz w:val="11"/>
          <w:szCs w:val="11"/>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1"/>
          <w:szCs w:val="11"/>
          <w:color w:val="auto"/>
        </w:rPr>
        <w:t>‑</w:t>
      </w:r>
      <w:r>
        <w:rPr>
          <w:rFonts w:ascii="Arial" w:cs="Arial" w:eastAsia="Arial" w:hAnsi="Arial"/>
          <w:sz w:val="11"/>
          <w:szCs w:val="11"/>
          <w:color w:val="auto"/>
        </w:rPr>
        <w:t>enablement, or failure to claim patent</w:t>
      </w:r>
      <w:r>
        <w:rPr>
          <w:rFonts w:ascii="MS PGothic" w:cs="MS PGothic" w:eastAsia="MS PGothic" w:hAnsi="MS PGothic"/>
          <w:sz w:val="11"/>
          <w:szCs w:val="11"/>
          <w:color w:val="auto"/>
        </w:rPr>
        <w:t>‑</w:t>
      </w:r>
      <w:r>
        <w:rPr>
          <w:rFonts w:ascii="Arial" w:cs="Arial" w:eastAsia="Arial" w:hAnsi="Arial"/>
          <w:sz w:val="11"/>
          <w:szCs w:val="11"/>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1"/>
          <w:szCs w:val="11"/>
          <w:color w:val="auto"/>
        </w:rPr>
        <w:t>‑</w:t>
      </w:r>
      <w:r>
        <w:rPr>
          <w:rFonts w:ascii="Arial" w:cs="Arial" w:eastAsia="Arial" w:hAnsi="Arial"/>
          <w:sz w:val="11"/>
          <w:szCs w:val="11"/>
          <w:color w:val="auto"/>
        </w:rPr>
        <w:t>examination, post</w:t>
      </w:r>
      <w:r>
        <w:rPr>
          <w:rFonts w:ascii="MS PGothic" w:cs="MS PGothic" w:eastAsia="MS PGothic" w:hAnsi="MS PGothic"/>
          <w:sz w:val="11"/>
          <w:szCs w:val="11"/>
          <w:color w:val="auto"/>
        </w:rPr>
        <w:t>‑</w:t>
      </w:r>
      <w:r>
        <w:rPr>
          <w:rFonts w:ascii="Arial" w:cs="Arial" w:eastAsia="Arial" w:hAnsi="Arial"/>
          <w:sz w:val="11"/>
          <w:szCs w:val="11"/>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lives of our patents may not be sufficient to effectively protect our products and business.</w:t>
      </w:r>
    </w:p>
    <w:p>
      <w:pPr>
        <w:spacing w:after="0" w:line="150"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11"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5" w:lineRule="exact"/>
        <w:rPr>
          <w:sz w:val="20"/>
          <w:szCs w:val="20"/>
          <w:color w:val="auto"/>
        </w:rPr>
      </w:pPr>
    </w:p>
    <w:p>
      <w:pPr>
        <w:ind w:right="40"/>
        <w:spacing w:after="0" w:line="146" w:lineRule="exact"/>
        <w:rPr>
          <w:sz w:val="20"/>
          <w:szCs w:val="20"/>
          <w:color w:val="auto"/>
        </w:rPr>
      </w:pPr>
      <w:r>
        <w:rPr>
          <w:rFonts w:ascii="Arial" w:cs="Arial" w:eastAsia="Arial" w:hAnsi="Arial"/>
          <w:sz w:val="11"/>
          <w:szCs w:val="11"/>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1"/>
          <w:szCs w:val="11"/>
          <w:color w:val="auto"/>
        </w:rPr>
        <w:t>‑</w:t>
      </w:r>
      <w:r>
        <w:rPr>
          <w:rFonts w:ascii="Arial" w:cs="Arial" w:eastAsia="Arial" w:hAnsi="Arial"/>
          <w:sz w:val="11"/>
          <w:szCs w:val="11"/>
          <w:color w:val="auto"/>
        </w:rPr>
        <w:t>payment of fees and failure to properly legalize and submit formal documents. In such an event, our competitors might be able to enter the market, which would have an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0"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60"/>
          </w:cols>
          <w:pgMar w:left="220" w:top="509" w:right="219" w:bottom="1440" w:gutter="0" w:footer="0" w:header="0"/>
        </w:sectPr>
      </w:pPr>
    </w:p>
    <w:bookmarkStart w:id="74" w:name="page75"/>
    <w:bookmarkEnd w:id="74"/>
    <w:p>
      <w:pPr>
        <w:ind w:right="240"/>
        <w:spacing w:after="0" w:line="259" w:lineRule="auto"/>
        <w:rPr>
          <w:sz w:val="20"/>
          <w:szCs w:val="20"/>
          <w:color w:val="auto"/>
        </w:rPr>
      </w:pPr>
      <w:r>
        <w:rPr>
          <w:rFonts w:ascii="Arial" w:cs="Arial" w:eastAsia="Arial" w:hAnsi="Arial"/>
          <w:sz w:val="12"/>
          <w:szCs w:val="12"/>
          <w:color w:val="auto"/>
        </w:rPr>
        <w:t>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obtaining or maintaining necessary rights to our product candidates through acquisitions and in-licenses.</w:t>
      </w:r>
    </w:p>
    <w:p>
      <w:pPr>
        <w:spacing w:after="0" w:line="150" w:lineRule="exact"/>
        <w:rPr>
          <w:sz w:val="20"/>
          <w:szCs w:val="20"/>
          <w:color w:val="auto"/>
        </w:rPr>
      </w:pPr>
    </w:p>
    <w:p>
      <w:pPr>
        <w:spacing w:after="0" w:line="146" w:lineRule="exact"/>
        <w:rPr>
          <w:sz w:val="20"/>
          <w:szCs w:val="20"/>
          <w:color w:val="auto"/>
        </w:rPr>
      </w:pPr>
      <w:r>
        <w:rPr>
          <w:rFonts w:ascii="Arial" w:cs="Arial" w:eastAsia="Arial" w:hAnsi="Arial"/>
          <w:sz w:val="11"/>
          <w:szCs w:val="11"/>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1"/>
          <w:szCs w:val="11"/>
          <w:color w:val="auto"/>
        </w:rPr>
        <w:t>‑</w:t>
      </w:r>
      <w:r>
        <w:rPr>
          <w:rFonts w:ascii="Arial" w:cs="Arial" w:eastAsia="Arial" w:hAnsi="Arial"/>
          <w:sz w:val="11"/>
          <w:szCs w:val="11"/>
          <w:color w:val="auto"/>
        </w:rPr>
        <w:t>license or use these proprietary rights. We may be unable to acquire or in</w:t>
      </w:r>
      <w:r>
        <w:rPr>
          <w:rFonts w:ascii="MS PGothic" w:cs="MS PGothic" w:eastAsia="MS PGothic" w:hAnsi="MS PGothic"/>
          <w:sz w:val="11"/>
          <w:szCs w:val="11"/>
          <w:color w:val="auto"/>
        </w:rPr>
        <w:t>‑</w:t>
      </w:r>
      <w:r>
        <w:rPr>
          <w:rFonts w:ascii="Arial" w:cs="Arial" w:eastAsia="Arial" w:hAnsi="Arial"/>
          <w:sz w:val="11"/>
          <w:szCs w:val="11"/>
          <w:color w:val="auto"/>
        </w:rPr>
        <w:t>license compositions, methods of use, processes or other third</w:t>
      </w:r>
      <w:r>
        <w:rPr>
          <w:rFonts w:ascii="MS PGothic" w:cs="MS PGothic" w:eastAsia="MS PGothic" w:hAnsi="MS PGothic"/>
          <w:sz w:val="11"/>
          <w:szCs w:val="11"/>
          <w:color w:val="auto"/>
        </w:rPr>
        <w:t>‑</w:t>
      </w:r>
      <w:r>
        <w:rPr>
          <w:rFonts w:ascii="Arial" w:cs="Arial" w:eastAsia="Arial" w:hAnsi="Arial"/>
          <w:sz w:val="11"/>
          <w:szCs w:val="11"/>
          <w:color w:val="auto"/>
        </w:rPr>
        <w:t>party intellectual property rights from third parties that we identify as necessary for our product candidates. The licensing and acquisition of third</w:t>
      </w:r>
      <w:r>
        <w:rPr>
          <w:rFonts w:ascii="MS PGothic" w:cs="MS PGothic" w:eastAsia="MS PGothic" w:hAnsi="MS PGothic"/>
          <w:sz w:val="11"/>
          <w:szCs w:val="11"/>
          <w:color w:val="auto"/>
        </w:rPr>
        <w:t>‑</w:t>
      </w:r>
      <w:r>
        <w:rPr>
          <w:rFonts w:ascii="Arial" w:cs="Arial" w:eastAsia="Arial" w:hAnsi="Arial"/>
          <w:sz w:val="11"/>
          <w:szCs w:val="11"/>
          <w:color w:val="auto"/>
        </w:rPr>
        <w:t>party intellectual property rights is a competitive area, and a number of more established companies are also pursuing strategies to license or acquire third</w:t>
      </w:r>
      <w:r>
        <w:rPr>
          <w:rFonts w:ascii="MS PGothic" w:cs="MS PGothic" w:eastAsia="MS PGothic" w:hAnsi="MS PGothic"/>
          <w:sz w:val="11"/>
          <w:szCs w:val="11"/>
          <w:color w:val="auto"/>
        </w:rPr>
        <w:t>‑</w:t>
      </w:r>
      <w:r>
        <w:rPr>
          <w:rFonts w:ascii="Arial" w:cs="Arial" w:eastAsia="Arial" w:hAnsi="Arial"/>
          <w:sz w:val="11"/>
          <w:szCs w:val="11"/>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1"/>
          <w:szCs w:val="11"/>
          <w:color w:val="auto"/>
        </w:rPr>
        <w:t>‑</w:t>
      </w:r>
      <w:r>
        <w:rPr>
          <w:rFonts w:ascii="Arial" w:cs="Arial" w:eastAsia="Arial" w:hAnsi="Arial"/>
          <w:sz w:val="11"/>
          <w:szCs w:val="11"/>
          <w:color w:val="auto"/>
        </w:rPr>
        <w:t>party intellectual property rights on terms that would allow us to make an appropriate return on our investment.</w:t>
      </w:r>
    </w:p>
    <w:p>
      <w:pPr>
        <w:spacing w:after="0" w:line="136" w:lineRule="exact"/>
        <w:rPr>
          <w:sz w:val="20"/>
          <w:szCs w:val="20"/>
          <w:color w:val="auto"/>
        </w:rPr>
      </w:pPr>
    </w:p>
    <w:p>
      <w:pPr>
        <w:ind w:right="320"/>
        <w:spacing w:after="0" w:line="149" w:lineRule="exact"/>
        <w:rPr>
          <w:sz w:val="20"/>
          <w:szCs w:val="20"/>
          <w:color w:val="auto"/>
        </w:rPr>
      </w:pPr>
      <w:r>
        <w:rPr>
          <w:rFonts w:ascii="Arial" w:cs="Arial" w:eastAsia="Arial" w:hAnsi="Arial"/>
          <w:sz w:val="12"/>
          <w:szCs w:val="12"/>
          <w:color w:val="auto"/>
        </w:rPr>
        <w:t>If we are unable to successfully obtain rights to required third</w:t>
      </w:r>
      <w:r>
        <w:rPr>
          <w:rFonts w:ascii="MS PGothic" w:cs="MS PGothic" w:eastAsia="MS PGothic" w:hAnsi="MS PGothic"/>
          <w:sz w:val="12"/>
          <w:szCs w:val="12"/>
          <w:color w:val="auto"/>
        </w:rPr>
        <w:t>‑</w:t>
      </w:r>
      <w:r>
        <w:rPr>
          <w:rFonts w:ascii="Arial" w:cs="Arial" w:eastAsia="Arial" w:hAnsi="Arial"/>
          <w:sz w:val="12"/>
          <w:szCs w:val="12"/>
          <w:color w:val="auto"/>
        </w:rPr>
        <w:t>party intellectual property rights or maintain the existing intellectual property rights we have, we may have to abandon development of that program and our business and financial condition could suffer.</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62" w:lineRule="exact"/>
        <w:rPr>
          <w:sz w:val="20"/>
          <w:szCs w:val="20"/>
          <w:color w:val="auto"/>
        </w:rPr>
      </w:pPr>
    </w:p>
    <w:p>
      <w:pPr>
        <w:ind w:right="100"/>
        <w:spacing w:after="0" w:line="147" w:lineRule="exact"/>
        <w:rPr>
          <w:sz w:val="20"/>
          <w:szCs w:val="20"/>
          <w:color w:val="auto"/>
        </w:rPr>
      </w:pPr>
      <w:r>
        <w:rPr>
          <w:rFonts w:ascii="Arial" w:cs="Arial" w:eastAsia="Arial" w:hAnsi="Arial"/>
          <w:sz w:val="10"/>
          <w:szCs w:val="10"/>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0"/>
          <w:szCs w:val="10"/>
          <w:color w:val="auto"/>
        </w:rPr>
        <w:t>‑</w:t>
      </w:r>
      <w:r>
        <w:rPr>
          <w:rFonts w:ascii="Arial" w:cs="Arial" w:eastAsia="Arial" w:hAnsi="Arial"/>
          <w:sz w:val="10"/>
          <w:szCs w:val="10"/>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36" w:lineRule="exact"/>
        <w:rPr>
          <w:sz w:val="20"/>
          <w:szCs w:val="20"/>
          <w:color w:val="auto"/>
        </w:rPr>
      </w:pPr>
    </w:p>
    <w:p>
      <w:pPr>
        <w:ind w:right="20"/>
        <w:spacing w:after="0" w:line="146" w:lineRule="exact"/>
        <w:rPr>
          <w:sz w:val="20"/>
          <w:szCs w:val="20"/>
          <w:color w:val="auto"/>
        </w:rPr>
      </w:pPr>
      <w:r>
        <w:rPr>
          <w:rFonts w:ascii="Arial" w:cs="Arial" w:eastAsia="Arial" w:hAnsi="Arial"/>
          <w:sz w:val="11"/>
          <w:szCs w:val="11"/>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1"/>
          <w:szCs w:val="11"/>
          <w:color w:val="auto"/>
        </w:rPr>
        <w:t>‑</w:t>
      </w:r>
      <w:r>
        <w:rPr>
          <w:rFonts w:ascii="Arial" w:cs="Arial" w:eastAsia="Arial" w:hAnsi="Arial"/>
          <w:sz w:val="11"/>
          <w:szCs w:val="11"/>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37"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0"/>
          </w:cols>
          <w:pgMar w:left="220" w:top="509" w:right="199" w:bottom="1440" w:gutter="0" w:footer="0" w:header="0"/>
        </w:sectPr>
      </w:pPr>
    </w:p>
    <w:bookmarkStart w:id="75" w:name="page76"/>
    <w:bookmarkEnd w:id="75"/>
    <w:p>
      <w:pPr>
        <w:ind w:right="360"/>
        <w:spacing w:after="0" w:line="276" w:lineRule="auto"/>
        <w:rPr>
          <w:sz w:val="20"/>
          <w:szCs w:val="20"/>
          <w:color w:val="auto"/>
        </w:rPr>
      </w:pPr>
      <w:r>
        <w:rPr>
          <w:rFonts w:ascii="Arial" w:cs="Arial" w:eastAsia="Arial" w:hAnsi="Arial"/>
          <w:sz w:val="12"/>
          <w:szCs w:val="12"/>
          <w:color w:val="auto"/>
        </w:rPr>
        <w:t>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3" w:lineRule="exact"/>
        <w:rPr>
          <w:sz w:val="20"/>
          <w:szCs w:val="20"/>
          <w:color w:val="auto"/>
        </w:rPr>
      </w:pPr>
    </w:p>
    <w:p>
      <w:pPr>
        <w:ind w:right="20"/>
        <w:spacing w:after="0" w:line="313" w:lineRule="auto"/>
        <w:rPr>
          <w:sz w:val="20"/>
          <w:szCs w:val="20"/>
          <w:color w:val="auto"/>
        </w:rPr>
      </w:pPr>
      <w:r>
        <w:rPr>
          <w:rFonts w:ascii="Arial" w:cs="Arial" w:eastAsia="Arial" w:hAnsi="Arial"/>
          <w:sz w:val="10"/>
          <w:szCs w:val="10"/>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0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05"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If we do not obtain additional protection under the Hatch</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Waxman Act and similar foreign legislation extending the terms of our patents for our product candidates, our business may be harmed.</w:t>
      </w:r>
    </w:p>
    <w:p>
      <w:pPr>
        <w:spacing w:after="0" w:line="150" w:lineRule="exact"/>
        <w:rPr>
          <w:sz w:val="20"/>
          <w:szCs w:val="20"/>
          <w:color w:val="auto"/>
        </w:rPr>
      </w:pPr>
    </w:p>
    <w:p>
      <w:pPr>
        <w:ind w:right="480"/>
        <w:spacing w:after="0" w:line="147" w:lineRule="exact"/>
        <w:rPr>
          <w:sz w:val="20"/>
          <w:szCs w:val="20"/>
          <w:color w:val="auto"/>
        </w:rPr>
      </w:pPr>
      <w:r>
        <w:rPr>
          <w:rFonts w:ascii="Arial" w:cs="Arial" w:eastAsia="Arial" w:hAnsi="Arial"/>
          <w:sz w:val="12"/>
          <w:szCs w:val="12"/>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2"/>
          <w:szCs w:val="12"/>
          <w:color w:val="auto"/>
        </w:rPr>
        <w:t>‑</w:t>
      </w:r>
      <w:r>
        <w:rPr>
          <w:rFonts w:ascii="Arial" w:cs="Arial" w:eastAsia="Arial" w:hAnsi="Arial"/>
          <w:sz w:val="12"/>
          <w:szCs w:val="12"/>
          <w:color w:val="auto"/>
        </w:rPr>
        <w:t>Waxman Act. The Hatch</w:t>
      </w:r>
      <w:r>
        <w:rPr>
          <w:rFonts w:ascii="MS PGothic" w:cs="MS PGothic" w:eastAsia="MS PGothic" w:hAnsi="MS PGothic"/>
          <w:sz w:val="12"/>
          <w:szCs w:val="12"/>
          <w:color w:val="auto"/>
        </w:rPr>
        <w:t>‑</w:t>
      </w:r>
      <w:r>
        <w:rPr>
          <w:rFonts w:ascii="Arial" w:cs="Arial" w:eastAsia="Arial" w:hAnsi="Arial"/>
          <w:sz w:val="12"/>
          <w:szCs w:val="12"/>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37"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new corporate strategy and restructuring may not be successful.</w:t>
      </w:r>
    </w:p>
    <w:p>
      <w:pPr>
        <w:spacing w:after="0" w:line="150" w:lineRule="exact"/>
        <w:rPr>
          <w:sz w:val="20"/>
          <w:szCs w:val="20"/>
          <w:color w:val="auto"/>
        </w:rPr>
      </w:pPr>
    </w:p>
    <w:p>
      <w:pPr>
        <w:ind w:right="140"/>
        <w:spacing w:after="0" w:line="283" w:lineRule="auto"/>
        <w:rPr>
          <w:sz w:val="20"/>
          <w:szCs w:val="20"/>
          <w:color w:val="auto"/>
        </w:rPr>
      </w:pPr>
      <w:r>
        <w:rPr>
          <w:rFonts w:ascii="Arial" w:cs="Arial" w:eastAsia="Arial" w:hAnsi="Arial"/>
          <w:sz w:val="11"/>
          <w:szCs w:val="11"/>
          <w:color w:val="auto"/>
        </w:rPr>
        <w:t>On January 3, 2019, following a strategic business review, we announced our new strategy to focus on the development of SEL-212 for the treatment of chronic refractory gout and advancement of our ImmTOR technology in the area of gene therapy, specifically ImmTOR in combination with AAV gene therapy for the treatment of CN,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60"/>
          </w:cols>
          <w:pgMar w:left="220" w:top="509" w:right="219" w:bottom="1440" w:gutter="0" w:footer="0" w:header="0"/>
        </w:sectPr>
      </w:pPr>
    </w:p>
    <w:bookmarkStart w:id="76" w:name="page77"/>
    <w:bookmarkEnd w:id="76"/>
    <w:p>
      <w:pPr>
        <w:ind w:right="80"/>
        <w:spacing w:after="0" w:line="257" w:lineRule="auto"/>
        <w:rPr>
          <w:sz w:val="20"/>
          <w:szCs w:val="20"/>
          <w:color w:val="auto"/>
        </w:rPr>
      </w:pPr>
      <w:r>
        <w:rPr>
          <w:rFonts w:ascii="Arial" w:cs="Arial" w:eastAsia="Arial" w:hAnsi="Arial"/>
          <w:sz w:val="12"/>
          <w:szCs w:val="12"/>
          <w:color w:val="auto"/>
        </w:rPr>
        <w:t>Also on January 3, 2019, as a result of our strategic business review, we announced our plan to reduce budgeted headcount by approximately 36% to align our workforce with our newly announced strategy. While the reduction in workforce generally affected employees in all areas, those working in research and related general and administrative functions were most affected. The reduction in workforce resulted in the termination of approximately 17 employment positions effective January 3, 2019. Following the reduction in workforce, we expect to have approximately 45 full-time employment positions and to be appropriately resourced to continue executing on our current strategy. We substantially completed the reduction in workforce during the first quarter of 2019. Our workforce after these actions may not be sufficient to fully execute our new strategy, and we may not be able to effectively attract or retain new management or qualified employees needed to implement this strategy.</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incurred aggregate charges in connection with the reduction in workforce of approximately $0.5 million, all of which were cash expenditures. However, our restructuring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success depends on our ability to retain key executives and to attract, retain and motivate qualified personnel.</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certain of our executive officers, each of them may terminate their employment with us at any time. We do not maintain “key person” insurance for any of our executives or other employees.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Earl Sands, M.D., our Chief Medical Officer, retired effective January 1, 2019. John Leaman, M.D., our Chief Financial Officer and Head of Corporate Strategy, resigned effective March 31, 2019. Recruiting and retaining a new Chief Medical Officer and Chief Financial Officer will be critical to our success. We anticipate that we will experience a transitional period until our new Chief Medical Officer and Chief Financial Officer are hired and fully integrated into his or her new roles. Any delay or failure to recruit Dr. Sands' and Dr. Leaman’s successors may adversely affect our business and financial results. We cannot predict how long it will take to hire a new Chief Medical Officer and Chief Financial Officer and if we are not able to appoint a new Chief Medical Officer and Chief Financial Officer in a timely manner, or we are forced to operate with a transitional leadership team, our business, financial condition, and results of operations could be materially and adversely affected. Moreover, we cannot provide any assurance that the transition in leadership will not result in a disruption that adversely impacts our business and employee morale.</w:t>
      </w:r>
    </w:p>
    <w:p>
      <w:pPr>
        <w:spacing w:after="0" w:line="111"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40"/>
          </w:cols>
          <w:pgMar w:left="220" w:top="509" w:right="239" w:bottom="1440" w:gutter="0" w:footer="0" w:header="0"/>
        </w:sectPr>
      </w:pPr>
    </w:p>
    <w:bookmarkStart w:id="77" w:name="page78"/>
    <w:bookmarkEnd w:id="77"/>
    <w:p>
      <w:pPr>
        <w:ind w:left="8" w:right="60"/>
        <w:spacing w:after="0" w:line="146" w:lineRule="exact"/>
        <w:rPr>
          <w:sz w:val="20"/>
          <w:szCs w:val="20"/>
          <w:color w:val="auto"/>
        </w:rPr>
      </w:pPr>
      <w:r>
        <w:rPr>
          <w:rFonts w:ascii="Arial" w:cs="Arial" w:eastAsia="Arial" w:hAnsi="Arial"/>
          <w:sz w:val="11"/>
          <w:szCs w:val="11"/>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1"/>
          <w:szCs w:val="11"/>
          <w:color w:val="auto"/>
        </w:rPr>
        <w:t>‑</w:t>
      </w:r>
      <w:r>
        <w:rPr>
          <w:rFonts w:ascii="Arial" w:cs="Arial" w:eastAsia="Arial" w:hAnsi="Arial"/>
          <w:sz w:val="11"/>
          <w:szCs w:val="11"/>
          <w:color w:val="auto"/>
        </w:rPr>
        <w:t>Oxley Act of 2002, the Dodd</w:t>
      </w:r>
      <w:r>
        <w:rPr>
          <w:rFonts w:ascii="MS PGothic" w:cs="MS PGothic" w:eastAsia="MS PGothic" w:hAnsi="MS PGothic"/>
          <w:sz w:val="11"/>
          <w:szCs w:val="11"/>
          <w:color w:val="auto"/>
        </w:rPr>
        <w:t>‑</w:t>
      </w:r>
      <w:r>
        <w:rPr>
          <w:rFonts w:ascii="Arial" w:cs="Arial" w:eastAsia="Arial" w:hAnsi="Arial"/>
          <w:sz w:val="11"/>
          <w:szCs w:val="11"/>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1"/>
          <w:szCs w:val="11"/>
          <w:color w:val="auto"/>
        </w:rPr>
        <w:t>‑</w:t>
      </w:r>
      <w:r>
        <w:rPr>
          <w:rFonts w:ascii="Arial" w:cs="Arial" w:eastAsia="Arial" w:hAnsi="Arial"/>
          <w:sz w:val="11"/>
          <w:szCs w:val="11"/>
          <w:color w:val="auto"/>
        </w:rPr>
        <w:t>consuming and costly.</w:t>
      </w:r>
    </w:p>
    <w:p>
      <w:pPr>
        <w:spacing w:after="0" w:line="137" w:lineRule="exact"/>
        <w:rPr>
          <w:sz w:val="20"/>
          <w:szCs w:val="20"/>
          <w:color w:val="auto"/>
        </w:rPr>
      </w:pPr>
    </w:p>
    <w:p>
      <w:pPr>
        <w:ind w:left="8" w:right="60"/>
        <w:spacing w:after="0" w:line="254" w:lineRule="auto"/>
        <w:rPr>
          <w:sz w:val="20"/>
          <w:szCs w:val="20"/>
          <w:color w:val="auto"/>
        </w:rPr>
      </w:pPr>
      <w:r>
        <w:rPr>
          <w:rFonts w:ascii="Arial" w:cs="Arial" w:eastAsia="Arial" w:hAnsi="Arial"/>
          <w:sz w:val="12"/>
          <w:szCs w:val="12"/>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 variety of risks associated with maintaining our subsidiary in Russia or expanding operations internationally could adversely affect our business.</w:t>
      </w:r>
    </w:p>
    <w:p>
      <w:pPr>
        <w:spacing w:after="0" w:line="78"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In addition to our U.S. operations, we maintain a wholly owned subsidiary in Russia, Selecta RUS, and may expand international operations in the future, including by conducting clinical trials of our product candidates in countries outside the United States.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53"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1"/>
          <w:szCs w:val="11"/>
          <w:color w:val="auto"/>
        </w:rPr>
      </w:pPr>
      <w:r>
        <w:rPr>
          <w:rFonts w:ascii="Arial" w:cs="Arial" w:eastAsia="Arial" w:hAnsi="Arial"/>
          <w:sz w:val="11"/>
          <w:szCs w:val="11"/>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failure by us to obtain and maintain regulatory approvals for the use of our product candidates in various countries;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additional potentially relevant third</w:t>
      </w:r>
      <w:r>
        <w:rPr>
          <w:rFonts w:ascii="MS PGothic" w:cs="MS PGothic" w:eastAsia="MS PGothic" w:hAnsi="MS PGothic"/>
          <w:sz w:val="12"/>
          <w:szCs w:val="12"/>
          <w:color w:val="auto"/>
        </w:rPr>
        <w:t>‑</w:t>
      </w:r>
      <w:r>
        <w:rPr>
          <w:rFonts w:ascii="Arial" w:cs="Arial" w:eastAsia="Arial" w:hAnsi="Arial"/>
          <w:sz w:val="12"/>
          <w:szCs w:val="12"/>
          <w:color w:val="auto"/>
        </w:rPr>
        <w:t>party patent rights;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complexities and difficulties in obtaining protection of and enforcing our intellectual property rights;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difficulties in staffing and managing foreign operations;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complexities associated with managing multiple</w:t>
      </w:r>
      <w:r>
        <w:rPr>
          <w:rFonts w:ascii="MS PGothic" w:cs="MS PGothic" w:eastAsia="MS PGothic" w:hAnsi="MS PGothic"/>
          <w:sz w:val="12"/>
          <w:szCs w:val="12"/>
          <w:color w:val="auto"/>
        </w:rPr>
        <w:t>‑</w:t>
      </w:r>
      <w:r>
        <w:rPr>
          <w:rFonts w:ascii="Arial" w:cs="Arial" w:eastAsia="Arial" w:hAnsi="Arial"/>
          <w:sz w:val="12"/>
          <w:szCs w:val="12"/>
          <w:color w:val="auto"/>
        </w:rPr>
        <w:t>payor reimbursement regimes, government payors or patient self</w:t>
      </w:r>
      <w:r>
        <w:rPr>
          <w:rFonts w:ascii="MS PGothic" w:cs="MS PGothic" w:eastAsia="MS PGothic" w:hAnsi="MS PGothic"/>
          <w:sz w:val="12"/>
          <w:szCs w:val="12"/>
          <w:color w:val="auto"/>
        </w:rPr>
        <w:t>‑</w:t>
      </w:r>
      <w:r>
        <w:rPr>
          <w:rFonts w:ascii="Arial" w:cs="Arial" w:eastAsia="Arial" w:hAnsi="Arial"/>
          <w:sz w:val="12"/>
          <w:szCs w:val="12"/>
          <w:color w:val="auto"/>
        </w:rPr>
        <w:t>pay systems;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limits on our ability to penetrate international markets;</w:t>
      </w:r>
    </w:p>
    <w:p>
      <w:pPr>
        <w:spacing w:after="0" w:line="150" w:lineRule="exact"/>
        <w:rPr>
          <w:rFonts w:ascii="Arial" w:cs="Arial" w:eastAsia="Arial" w:hAnsi="Arial"/>
          <w:sz w:val="12"/>
          <w:szCs w:val="12"/>
          <w:color w:val="auto"/>
        </w:rPr>
      </w:pPr>
    </w:p>
    <w:p>
      <w:pPr>
        <w:ind w:left="208" w:right="140" w:hanging="208"/>
        <w:spacing w:after="0" w:line="276" w:lineRule="auto"/>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0"/>
          <w:szCs w:val="10"/>
          <w:color w:val="auto"/>
        </w:rPr>
      </w:pPr>
      <w:r>
        <w:rPr>
          <w:rFonts w:ascii="Arial" w:cs="Arial" w:eastAsia="Arial" w:hAnsi="Arial"/>
          <w:sz w:val="10"/>
          <w:szCs w:val="10"/>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3" w:lineRule="exact"/>
        <w:rPr>
          <w:rFonts w:ascii="Arial" w:cs="Arial" w:eastAsia="Arial" w:hAnsi="Arial"/>
          <w:sz w:val="10"/>
          <w:szCs w:val="10"/>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changes in diplomatic and trade relationships;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challenges in enforcing our contractual and intellectual property rights, especially in those foreign countries that do not respect and protect intellectual property rights to the same extent as the United States;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certain expenses including, among others, expenses for travel, translation and insurance;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legal risks, including use of the legal system by the government to benefit itself or affiliated entities at our expense, including expropriation of property; and</w:t>
      </w:r>
    </w:p>
    <w:p>
      <w:pPr>
        <w:spacing w:after="0" w:line="24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68"/>
          </w:cols>
          <w:pgMar w:left="212" w:top="437" w:right="219" w:bottom="1440" w:gutter="0" w:footer="0" w:header="0"/>
        </w:sectPr>
      </w:pPr>
    </w:p>
    <w:bookmarkStart w:id="78" w:name="page79"/>
    <w:bookmarkEnd w:id="78"/>
    <w:p>
      <w:pPr>
        <w:ind w:left="8" w:right="500" w:hanging="8"/>
        <w:spacing w:after="0" w:line="221" w:lineRule="exact"/>
        <w:tabs>
          <w:tab w:leader="none" w:pos="224"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2"/>
          <w:szCs w:val="12"/>
          <w:color w:val="auto"/>
        </w:rPr>
        <w:t>‑</w:t>
      </w:r>
      <w:r>
        <w:rPr>
          <w:rFonts w:ascii="Arial" w:cs="Arial" w:eastAsia="Arial" w:hAnsi="Arial"/>
          <w:sz w:val="12"/>
          <w:szCs w:val="12"/>
          <w:color w:val="auto"/>
        </w:rPr>
        <w:t>bribery provisions. Any of these factors could significantly harm our future international expansion and operations and, consequently, our results of operations.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business and operations would suffer in the event of system failures.</w:t>
      </w:r>
    </w:p>
    <w:p>
      <w:pPr>
        <w:spacing w:after="0" w:line="150" w:lineRule="exact"/>
        <w:rPr>
          <w:sz w:val="20"/>
          <w:szCs w:val="20"/>
          <w:color w:val="auto"/>
        </w:rPr>
      </w:pPr>
    </w:p>
    <w:p>
      <w:pPr>
        <w:ind w:left="8" w:right="60"/>
        <w:spacing w:after="0" w:line="255" w:lineRule="auto"/>
        <w:rPr>
          <w:sz w:val="20"/>
          <w:szCs w:val="20"/>
          <w:color w:val="auto"/>
        </w:rPr>
      </w:pPr>
      <w:r>
        <w:rPr>
          <w:rFonts w:ascii="Arial" w:cs="Arial" w:eastAsia="Arial" w:hAnsi="Arial"/>
          <w:sz w:val="12"/>
          <w:szCs w:val="12"/>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Acquisitions or joint ventures could disrupt our business, cause dilution to our stockholders and otherwise harm our business.</w:t>
      </w:r>
    </w:p>
    <w:p>
      <w:pPr>
        <w:spacing w:after="0" w:line="150"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15" w:lineRule="exact"/>
        <w:rPr>
          <w:sz w:val="20"/>
          <w:szCs w:val="20"/>
          <w:color w:val="auto"/>
        </w:rPr>
      </w:pPr>
    </w:p>
    <w:p>
      <w:pPr>
        <w:ind w:left="208" w:hanging="208"/>
        <w:spacing w:after="0"/>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disruption in our relationships with future customers or with current or future distributors or suppliers as a result of such a transaction;</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unexpected liabilities related to acquired companies;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difficulties integrating acquired personnel, technologies and operations into our existing business;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diversion of management time and focus from operating our business to acquisition integration challenges;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increases in our expenses and reductions in our cash available for operations and other uses;</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possible write</w:t>
      </w:r>
      <w:r>
        <w:rPr>
          <w:rFonts w:ascii="MS PGothic" w:cs="MS PGothic" w:eastAsia="MS PGothic" w:hAnsi="MS PGothic"/>
          <w:sz w:val="12"/>
          <w:szCs w:val="12"/>
          <w:color w:val="auto"/>
        </w:rPr>
        <w:t>‑</w:t>
      </w:r>
      <w:r>
        <w:rPr>
          <w:rFonts w:ascii="Arial" w:cs="Arial" w:eastAsia="Arial" w:hAnsi="Arial"/>
          <w:sz w:val="12"/>
          <w:szCs w:val="12"/>
          <w:color w:val="auto"/>
        </w:rPr>
        <w:t>offs or impairment charges relating to acquired businesses;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inability to develop a sales force for any additional product candidates.</w:t>
      </w:r>
    </w:p>
    <w:p>
      <w:pPr>
        <w:spacing w:after="0" w:line="150"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15" w:lineRule="exact"/>
        <w:rPr>
          <w:sz w:val="20"/>
          <w:szCs w:val="20"/>
          <w:color w:val="auto"/>
        </w:rPr>
      </w:pPr>
    </w:p>
    <w:p>
      <w:pPr>
        <w:ind w:left="8" w:right="80"/>
        <w:spacing w:after="0" w:line="147" w:lineRule="exact"/>
        <w:rPr>
          <w:sz w:val="20"/>
          <w:szCs w:val="20"/>
          <w:color w:val="auto"/>
        </w:rPr>
      </w:pPr>
      <w:r>
        <w:rPr>
          <w:rFonts w:ascii="Arial" w:cs="Arial" w:eastAsia="Arial" w:hAnsi="Arial"/>
          <w:sz w:val="12"/>
          <w:szCs w:val="12"/>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2"/>
          <w:szCs w:val="12"/>
          <w:color w:val="auto"/>
        </w:rPr>
        <w:t>‑</w:t>
      </w:r>
      <w:r>
        <w:rPr>
          <w:rFonts w:ascii="Arial" w:cs="Arial" w:eastAsia="Arial" w:hAnsi="Arial"/>
          <w:sz w:val="12"/>
          <w:szCs w:val="12"/>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The market price of our common stock may be volatile and fluctuate substantially, which could result in substantial losses for purchasers of our common stock.</w:t>
      </w:r>
    </w:p>
    <w:p>
      <w:pPr>
        <w:spacing w:after="0" w:line="150"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23" w:lineRule="exact"/>
        <w:rPr>
          <w:sz w:val="20"/>
          <w:szCs w:val="20"/>
          <w:color w:val="auto"/>
        </w:rPr>
      </w:pPr>
    </w:p>
    <w:p>
      <w:pPr>
        <w:ind w:left="208" w:hanging="208"/>
        <w:spacing w:after="0"/>
        <w:tabs>
          <w:tab w:leader="none" w:pos="2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success of competitive products or technologies;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results or progress, or changes in approach or timelines, of clinical trials of our product candidates or those of our competitors;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88"/>
          </w:cols>
          <w:pgMar w:left="212" w:top="509" w:right="199" w:bottom="1440" w:gutter="0" w:footer="0" w:header="0"/>
        </w:sectPr>
      </w:pPr>
    </w:p>
    <w:bookmarkStart w:id="79" w:name="page80"/>
    <w:bookmarkEnd w:id="79"/>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failure or discontinuation of any of our development programs;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commencement of, termination of, or any development related to any collaboration or licensing arrangement;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regulatory or legal developments in the United States and other countries;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development of new product candidates that may address our markets and make our product candidates less attractive;</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changes in physician, hospital or healthcare provider practices that may make our product candidates less useful;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announcements by us, our partners or our competitors of significant acquisitions, strategic partnerships, joint ventures, collaborations or capital commitments;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announcement or market expectation of additional financing efforts;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developments or disputes concerning patent applications, issued patents or other proprietary rights;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recruitment or departure of key personnel;</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level of expenses related to any of our product candidates or clinical development programs;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failure to meet or exceed financial estimates, projections or development timelines of the investment community or that we provide to the public;</w:t>
      </w:r>
    </w:p>
    <w:p>
      <w:pPr>
        <w:spacing w:after="0" w:line="150" w:lineRule="exact"/>
        <w:rPr>
          <w:rFonts w:ascii="Arial" w:cs="Arial" w:eastAsia="Arial" w:hAnsi="Arial"/>
          <w:sz w:val="12"/>
          <w:szCs w:val="12"/>
          <w:color w:val="auto"/>
        </w:rPr>
      </w:pPr>
    </w:p>
    <w:p>
      <w:pPr>
        <w:ind w:left="208" w:hanging="208"/>
        <w:spacing w:after="0" w:line="138" w:lineRule="exact"/>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results of our efforts to discover, develop, acquire or in</w:t>
      </w:r>
      <w:r>
        <w:rPr>
          <w:rFonts w:ascii="MS PGothic" w:cs="MS PGothic" w:eastAsia="MS PGothic" w:hAnsi="MS PGothic"/>
          <w:sz w:val="12"/>
          <w:szCs w:val="12"/>
          <w:color w:val="auto"/>
        </w:rPr>
        <w:t>‑</w:t>
      </w:r>
      <w:r>
        <w:rPr>
          <w:rFonts w:ascii="Arial" w:cs="Arial" w:eastAsia="Arial" w:hAnsi="Arial"/>
          <w:sz w:val="12"/>
          <w:szCs w:val="12"/>
          <w:color w:val="auto"/>
        </w:rPr>
        <w:t>license additional product candidates or products;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actual or expected changes in estimates as to financial results, development timelines or recommendations by securities analysts;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variations in our financial results or those of companies that are perceived to be similar to us;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sale of common stock by us or our stockholders in the future as well as the overall trading volume of our common stock;</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market conditions in the pharmaceutical and biotechnology sectors;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general economic, industry and market conditions;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other factors described in this “Risk factors” section.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62" w:lineRule="exact"/>
        <w:rPr>
          <w:sz w:val="20"/>
          <w:szCs w:val="20"/>
          <w:color w:val="auto"/>
        </w:rPr>
      </w:pPr>
    </w:p>
    <w:p>
      <w:pPr>
        <w:ind w:left="8" w:right="80"/>
        <w:spacing w:after="0" w:line="259" w:lineRule="auto"/>
        <w:rPr>
          <w:sz w:val="20"/>
          <w:szCs w:val="20"/>
          <w:color w:val="auto"/>
        </w:rPr>
      </w:pPr>
      <w:r>
        <w:rPr>
          <w:rFonts w:ascii="Arial" w:cs="Arial" w:eastAsia="Arial" w:hAnsi="Arial"/>
          <w:sz w:val="12"/>
          <w:szCs w:val="12"/>
          <w:color w:val="auto"/>
        </w:rPr>
        <w:t>Our executive officers, directors and stockholders who own more than 5% of our outstanding common stock and their respective affiliates, in the aggregate, hold shares representing approximately 42.1% of our outstanding voting stock as of March 31, 2019.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62" w:lineRule="exact"/>
        <w:rPr>
          <w:sz w:val="20"/>
          <w:szCs w:val="20"/>
          <w:color w:val="auto"/>
        </w:rPr>
      </w:pPr>
    </w:p>
    <w:p>
      <w:pPr>
        <w:ind w:left="8"/>
        <w:spacing w:after="0" w:line="257"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3.1 million shares of our common stock as of March 31, 2019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2"/>
          <w:szCs w:val="12"/>
          <w:b w:val="1"/>
          <w:bCs w:val="1"/>
          <w:color w:val="auto"/>
        </w:rPr>
        <w:t>.</w:t>
      </w:r>
    </w:p>
    <w:p>
      <w:pPr>
        <w:spacing w:after="0" w:line="154" w:lineRule="exact"/>
        <w:rPr>
          <w:sz w:val="20"/>
          <w:szCs w:val="20"/>
          <w:color w:val="auto"/>
        </w:rPr>
      </w:pPr>
    </w:p>
    <w:p>
      <w:pPr>
        <w:jc w:val="both"/>
        <w:ind w:left="8" w:right="100"/>
        <w:spacing w:after="0" w:line="147" w:lineRule="exact"/>
        <w:rPr>
          <w:sz w:val="20"/>
          <w:szCs w:val="20"/>
          <w:color w:val="auto"/>
        </w:rPr>
      </w:pPr>
      <w:r>
        <w:rPr>
          <w:rFonts w:ascii="Arial" w:cs="Arial" w:eastAsia="Arial" w:hAnsi="Arial"/>
          <w:sz w:val="12"/>
          <w:szCs w:val="12"/>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2"/>
          <w:szCs w:val="12"/>
          <w:color w:val="auto"/>
        </w:rPr>
        <w:t>‑</w:t>
      </w:r>
      <w:r>
        <w:rPr>
          <w:rFonts w:ascii="Arial" w:cs="Arial" w:eastAsia="Arial" w:hAnsi="Arial"/>
          <w:sz w:val="12"/>
          <w:szCs w:val="12"/>
          <w:color w:val="auto"/>
        </w:rPr>
        <w:t>year period, including if we become a “large accelerated filer,” our annual gross revenues exceed $1.07 billion or we issue more than</w:t>
      </w: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8"/>
          </w:cols>
          <w:pgMar w:left="212" w:top="509" w:right="199" w:bottom="1440" w:gutter="0" w:footer="0" w:header="0"/>
        </w:sectPr>
      </w:pPr>
    </w:p>
    <w:bookmarkStart w:id="80" w:name="page81"/>
    <w:bookmarkEnd w:id="80"/>
    <w:p>
      <w:pPr>
        <w:ind w:left="8" w:right="20"/>
        <w:spacing w:after="0" w:line="149" w:lineRule="exact"/>
        <w:rPr>
          <w:sz w:val="20"/>
          <w:szCs w:val="20"/>
          <w:color w:val="auto"/>
        </w:rPr>
      </w:pPr>
      <w:r>
        <w:rPr>
          <w:rFonts w:ascii="Arial" w:cs="Arial" w:eastAsia="Arial" w:hAnsi="Arial"/>
          <w:sz w:val="12"/>
          <w:szCs w:val="12"/>
          <w:color w:val="auto"/>
        </w:rPr>
        <w:t>$1.07 billion of non</w:t>
      </w:r>
      <w:r>
        <w:rPr>
          <w:rFonts w:ascii="MS PGothic" w:cs="MS PGothic" w:eastAsia="MS PGothic" w:hAnsi="MS PGothic"/>
          <w:sz w:val="12"/>
          <w:szCs w:val="12"/>
          <w:color w:val="auto"/>
        </w:rPr>
        <w:t>‑</w:t>
      </w:r>
      <w:r>
        <w:rPr>
          <w:rFonts w:ascii="Arial" w:cs="Arial" w:eastAsia="Arial" w:hAnsi="Arial"/>
          <w:sz w:val="12"/>
          <w:szCs w:val="12"/>
          <w:color w:val="auto"/>
        </w:rPr>
        <w:t>convertible debt in any three</w:t>
      </w:r>
      <w:r>
        <w:rPr>
          <w:rFonts w:ascii="MS PGothic" w:cs="MS PGothic" w:eastAsia="MS PGothic" w:hAnsi="MS PGothic"/>
          <w:sz w:val="12"/>
          <w:szCs w:val="12"/>
          <w:color w:val="auto"/>
        </w:rPr>
        <w:t>‑</w:t>
      </w:r>
      <w:r>
        <w:rPr>
          <w:rFonts w:ascii="Arial" w:cs="Arial" w:eastAsia="Arial" w:hAnsi="Arial"/>
          <w:sz w:val="12"/>
          <w:szCs w:val="12"/>
          <w:color w:val="auto"/>
        </w:rPr>
        <w:t>year period, we will cease to be an emerging growth company prior to the end of such five</w:t>
      </w:r>
      <w:r>
        <w:rPr>
          <w:rFonts w:ascii="MS PGothic" w:cs="MS PGothic" w:eastAsia="MS PGothic" w:hAnsi="MS PGothic"/>
          <w:sz w:val="12"/>
          <w:szCs w:val="12"/>
          <w:color w:val="auto"/>
        </w:rPr>
        <w:t>‑</w:t>
      </w:r>
      <w:r>
        <w:rPr>
          <w:rFonts w:ascii="Arial" w:cs="Arial" w:eastAsia="Arial" w:hAnsi="Arial"/>
          <w:sz w:val="12"/>
          <w:szCs w:val="12"/>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36" w:lineRule="exact"/>
        <w:rPr>
          <w:sz w:val="20"/>
          <w:szCs w:val="20"/>
          <w:color w:val="auto"/>
        </w:rPr>
      </w:pPr>
    </w:p>
    <w:p>
      <w:pPr>
        <w:ind w:left="208" w:hanging="208"/>
        <w:spacing w:after="0"/>
        <w:tabs>
          <w:tab w:leader="none" w:pos="2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not being required to comply with the auditor attestation requirements in the assessment of our internal control over financial reporting;</w:t>
      </w:r>
    </w:p>
    <w:p>
      <w:pPr>
        <w:spacing w:after="0" w:line="150" w:lineRule="exact"/>
        <w:rPr>
          <w:rFonts w:ascii="Arial" w:cs="Arial" w:eastAsia="Arial" w:hAnsi="Arial"/>
          <w:sz w:val="12"/>
          <w:szCs w:val="12"/>
          <w:color w:val="auto"/>
        </w:rPr>
      </w:pPr>
    </w:p>
    <w:p>
      <w:pPr>
        <w:ind w:left="208" w:right="420" w:hanging="208"/>
        <w:spacing w:after="0" w:line="276" w:lineRule="auto"/>
        <w:tabs>
          <w:tab w:leader="none" w:pos="2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reduced disclosure obligations regarding executive compensation;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exemptions from the requirements of holding a nonbinding advisory vote on executive compensation and shareholder approval of any golden parachute payments not previously approved.</w:t>
      </w:r>
    </w:p>
    <w:p>
      <w:pPr>
        <w:spacing w:after="0" w:line="150"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62" w:lineRule="exact"/>
        <w:rPr>
          <w:sz w:val="20"/>
          <w:szCs w:val="20"/>
          <w:color w:val="auto"/>
        </w:rPr>
      </w:pPr>
    </w:p>
    <w:p>
      <w:pPr>
        <w:ind w:left="8" w:right="80"/>
        <w:spacing w:after="0" w:line="298" w:lineRule="auto"/>
        <w:rPr>
          <w:sz w:val="20"/>
          <w:szCs w:val="20"/>
          <w:color w:val="auto"/>
        </w:rPr>
      </w:pPr>
      <w:r>
        <w:rPr>
          <w:rFonts w:ascii="Arial" w:cs="Arial" w:eastAsia="Arial" w:hAnsi="Arial"/>
          <w:sz w:val="11"/>
          <w:szCs w:val="11"/>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05"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15"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09"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51" w:lineRule="exact"/>
        <w:rPr>
          <w:sz w:val="20"/>
          <w:szCs w:val="20"/>
          <w:color w:val="auto"/>
        </w:rPr>
      </w:pPr>
    </w:p>
    <w:p>
      <w:pPr>
        <w:ind w:left="8" w:right="80"/>
        <w:spacing w:after="0" w:line="146" w:lineRule="exact"/>
        <w:rPr>
          <w:sz w:val="20"/>
          <w:szCs w:val="20"/>
          <w:color w:val="auto"/>
        </w:rPr>
      </w:pPr>
      <w:r>
        <w:rPr>
          <w:rFonts w:ascii="Arial" w:cs="Arial" w:eastAsia="Arial" w:hAnsi="Arial"/>
          <w:sz w:val="11"/>
          <w:szCs w:val="11"/>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1"/>
          <w:szCs w:val="11"/>
          <w:color w:val="auto"/>
        </w:rPr>
        <w:t>‑</w:t>
      </w:r>
      <w:r>
        <w:rPr>
          <w:rFonts w:ascii="Arial" w:cs="Arial" w:eastAsia="Arial" w:hAnsi="Arial"/>
          <w:sz w:val="11"/>
          <w:szCs w:val="11"/>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8"/>
          </w:cols>
          <w:pgMar w:left="212" w:top="509" w:right="19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with any applicable action brought against us, a court could find the choice of forum provisions contained in our restated certificate of incorporation to be applicable or unenforceable in such action.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subject to securities class action litigation.</w:t>
      </w:r>
    </w:p>
    <w:p>
      <w:pPr>
        <w:spacing w:after="0" w:line="150"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Recently-enacted U.S. Tax reform legislation could adversely affect our business and financial condition.</w:t>
      </w:r>
    </w:p>
    <w:p>
      <w:pPr>
        <w:spacing w:after="0" w:line="150"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The TCJA has significantly changed the U.S. federal income taxation of U.S. corporations, including by reducing the U.S. corporate income tax rate, limiting interest deductions, modifying or repealing many business deductions and credits (including reducing the business tax credit for certain clinical testing expenses incurred in the testing of certain drugs for rare diseases or conditions generally referred to as “orphan drugs”),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In addition, it is unclear how these U.S. federal income tax changes will affect state and local taxation, which often uses federal taxable income as a starting point for computing state and local tax liabilities. While some of the changes made by the TCJA may adversely affect us in one or more reporting periods and prospectively, other changes may be beneficial on a going forward basis. We continue to work with our tax advisors and auditors to determine the full impact that the TCJA will have on us on an ongoing basis. We urge our investors to consult with their legal and tax advisors with respect to the TJCA.</w:t>
      </w: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information set forth below is included herein for the purpose of providing the disclosure required under “Item 5.02 - Departure of Directors or Certain Officers; Election of Directors; Appointment of Certain Officers; Compensatory Arrangements of Certain Officers” of Form 8-K.</w:t>
      </w:r>
    </w:p>
    <w:p>
      <w:pPr>
        <w:spacing w:after="0" w:line="115"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On May 7, 2019, the Board of Directors (the “Board”) of Selecta Biosciences, Inc. (the “Company”) designated Ann K. Donohue, the Company’s Controller, to serve as the principal financial officer and principal accounting officer of the Company. The Company expects that Ms. Donohue will serve as the principal financial officer and principal accounting officer on an interim basis, while the Company’s search for a new Chief Financial Officer is ongoing.</w:t>
      </w:r>
    </w:p>
    <w:p>
      <w:pPr>
        <w:spacing w:after="0" w:line="9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Ms. Donohue, age 38, has served as the Company’s Controller since December 2017. Previously, from September 2016 to December 2017, Ms. Donohue served as the Company’s SEC Reporting Manager. From September 2009 to August 2016, she served as Corporate Reporting Manager at Orchard Brands, a direct marketing retailer. Ms. Donohue received a B.S. in accounting from the Carroll School of Management at Boston College, and a Master’s Degree in accounting from the Carroll Graduate School of Management at Boston College, and is a Certified Public Accountant (CPA).</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Employment Offer Letter</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connection with her appointment as SEC Reporting Manager, the Company entered into an employment offer letter with Ms. Donohue on July 29, 2016 (the “Offer Letter”), pursuant to which Ms. Donohue was entitled to receive an annual base salary of $120,000. On November 30, 2017, the Company promoted Ms. Donohue to become the Company’s Controller, effective December 4, 2017, and Ms. Donohue’s annual base salary increased to $145,000. Ms. Donohue is also eligible to participate in the Company’s annual, discretionary year-end incentive compensation plan, which may include cash and/or options to purchase shares of the Company’s common stock. Ms. Donohue has a target bonus under this annual incentive plan equal to 20% of her base salary, which is payable based on the Company’s and her performance. Ms. Donohue is also eligible to participate in the Company’s employee benefit plans and programs generally available to the Company’s employees.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60"/>
          </w:cols>
          <w:pgMar w:left="220" w:top="437" w:right="219" w:bottom="1440" w:gutter="0" w:footer="0" w:header="0"/>
        </w:sectPr>
      </w:pPr>
    </w:p>
    <w:bookmarkStart w:id="82" w:name="page83"/>
    <w:bookmarkEnd w:id="82"/>
    <w:p>
      <w:pPr>
        <w:spacing w:after="0" w:line="276" w:lineRule="auto"/>
        <w:rPr>
          <w:sz w:val="20"/>
          <w:szCs w:val="20"/>
          <w:color w:val="auto"/>
        </w:rPr>
      </w:pPr>
      <w:r>
        <w:rPr>
          <w:rFonts w:ascii="Arial" w:cs="Arial" w:eastAsia="Arial" w:hAnsi="Arial"/>
          <w:sz w:val="12"/>
          <w:szCs w:val="12"/>
          <w:color w:val="auto"/>
        </w:rPr>
        <w:t>The foregoing description of the Offer Letter does not purport to be complete and is subject to, and qualified in its entirety by, the full text of such Offer Letter and related letter evidencing Ms. Donohue's promotion to Controller, which are filed as Exhibit 10.3 to this Quarterly Report on Form 10-Q.</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60"/>
          </w:cols>
          <w:pgMar w:left="220" w:top="509" w:right="21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color w:val="auto"/>
        </w:rPr>
        <w:t>Item 6. Exhibits.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5"/>
          </w:tcPr>
          <w:p>
            <w:pPr>
              <w:spacing w:after="0"/>
              <w:rPr>
                <w:sz w:val="20"/>
                <w:szCs w:val="20"/>
                <w:color w:val="auto"/>
              </w:rPr>
            </w:pPr>
            <w:r>
              <w:rPr>
                <w:rFonts w:ascii="Arial" w:cs="Arial" w:eastAsia="Arial" w:hAnsi="Arial"/>
                <w:sz w:val="12"/>
                <w:szCs w:val="12"/>
                <w:b w:val="1"/>
                <w:bCs w:val="1"/>
                <w:color w:val="auto"/>
              </w:rPr>
              <w:t>EXHIBIT INDEX</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694"/>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Incorporated by Reference</w:t>
            </w: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47"/>
        </w:trPr>
        <w:tc>
          <w:tcPr>
            <w:tcW w:w="1540" w:type="dxa"/>
            <w:vAlign w:val="bottom"/>
            <w:gridSpan w:val="6"/>
          </w:tcPr>
          <w:p>
            <w:pPr>
              <w:ind w:left="2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Filing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Filed</w:t>
            </w:r>
          </w:p>
        </w:tc>
      </w:tr>
      <w:tr>
        <w:trPr>
          <w:trHeight w:val="166"/>
        </w:trPr>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4"/>
          </w:tcPr>
          <w:p>
            <w:pPr>
              <w:spacing w:after="0"/>
              <w:rPr>
                <w:sz w:val="20"/>
                <w:szCs w:val="20"/>
                <w:color w:val="auto"/>
              </w:rPr>
            </w:pPr>
            <w:r>
              <w:rPr>
                <w:rFonts w:ascii="Arial" w:cs="Arial" w:eastAsia="Arial" w:hAnsi="Arial"/>
                <w:sz w:val="12"/>
                <w:szCs w:val="12"/>
                <w:b w:val="1"/>
                <w:bCs w:val="1"/>
                <w:color w:val="auto"/>
              </w:rPr>
              <w:t>Exhibit Description</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Form</w:t>
            </w:r>
          </w:p>
        </w:tc>
        <w:tc>
          <w:tcPr>
            <w:tcW w:w="10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File No.</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Herewith</w:t>
            </w:r>
          </w:p>
        </w:tc>
      </w:tr>
      <w:tr>
        <w:trPr>
          <w:trHeight w:val="133"/>
        </w:trPr>
        <w:tc>
          <w:tcPr>
            <w:tcW w:w="260" w:type="dxa"/>
            <w:vAlign w:val="bottom"/>
          </w:tcPr>
          <w:p>
            <w:pPr>
              <w:spacing w:after="0"/>
              <w:rPr>
                <w:sz w:val="11"/>
                <w:szCs w:val="11"/>
                <w:color w:val="auto"/>
              </w:rPr>
            </w:pPr>
          </w:p>
        </w:tc>
        <w:tc>
          <w:tcPr>
            <w:tcW w:w="520" w:type="dxa"/>
            <w:vAlign w:val="bottom"/>
            <w:gridSpan w:val="2"/>
          </w:tcPr>
          <w:p>
            <w:pPr>
              <w:jc w:val="center"/>
              <w:ind w:left="320"/>
              <w:spacing w:after="0" w:line="133" w:lineRule="exact"/>
              <w:rPr>
                <w:rFonts w:ascii="Arial" w:cs="Arial" w:eastAsia="Arial" w:hAnsi="Arial"/>
                <w:sz w:val="12"/>
                <w:szCs w:val="12"/>
                <w:color w:val="0000FF"/>
                <w:w w:val="83"/>
              </w:rPr>
            </w:pPr>
            <w:hyperlink r:id="rId14">
              <w:r>
                <w:rPr>
                  <w:rFonts w:ascii="Arial" w:cs="Arial" w:eastAsia="Arial" w:hAnsi="Arial"/>
                  <w:sz w:val="12"/>
                  <w:szCs w:val="12"/>
                  <w:color w:val="0000FF"/>
                  <w:w w:val="83"/>
                </w:rPr>
                <w:t>3.</w:t>
              </w:r>
              <w:r>
                <w:rPr>
                  <w:rFonts w:ascii="Arial" w:cs="Arial" w:eastAsia="Arial" w:hAnsi="Arial"/>
                  <w:sz w:val="12"/>
                  <w:szCs w:val="12"/>
                  <w:u w:val="single" w:color="auto"/>
                  <w:color w:val="0000FF"/>
                  <w:w w:val="83"/>
                </w:rPr>
                <w:t>1</w:t>
              </w:r>
            </w:hyperlink>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gridSpan w:val="14"/>
          </w:tcPr>
          <w:p>
            <w:pPr>
              <w:spacing w:after="0" w:line="133" w:lineRule="exact"/>
              <w:rPr>
                <w:rFonts w:ascii="Arial" w:cs="Arial" w:eastAsia="Arial" w:hAnsi="Arial"/>
                <w:sz w:val="12"/>
                <w:szCs w:val="12"/>
                <w:color w:val="0000FF"/>
                <w:w w:val="98"/>
              </w:rPr>
            </w:pPr>
            <w:hyperlink r:id="rId14">
              <w:r>
                <w:rPr>
                  <w:rFonts w:ascii="Arial" w:cs="Arial" w:eastAsia="Arial" w:hAnsi="Arial"/>
                  <w:sz w:val="12"/>
                  <w:szCs w:val="12"/>
                  <w:color w:val="0000FF"/>
                  <w:w w:val="98"/>
                </w:rPr>
                <w:t>Restated Certificate of Incorporation of Selecta Biosciences, Inc.</w:t>
              </w:r>
            </w:hyperlink>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color w:val="auto"/>
              </w:rPr>
              <w:t>8-K</w:t>
            </w:r>
          </w:p>
        </w:tc>
        <w:tc>
          <w:tcPr>
            <w:tcW w:w="680" w:type="dxa"/>
            <w:vAlign w:val="bottom"/>
          </w:tcPr>
          <w:p>
            <w:pPr>
              <w:ind w:left="20"/>
              <w:spacing w:after="0" w:line="133" w:lineRule="exact"/>
              <w:rPr>
                <w:sz w:val="20"/>
                <w:szCs w:val="20"/>
                <w:color w:val="auto"/>
              </w:rPr>
            </w:pPr>
            <w:r>
              <w:rPr>
                <w:rFonts w:ascii="Arial" w:cs="Arial" w:eastAsia="Arial" w:hAnsi="Arial"/>
                <w:sz w:val="12"/>
                <w:szCs w:val="12"/>
                <w:color w:val="auto"/>
              </w:rPr>
              <w:t>001-37798</w:t>
            </w:r>
          </w:p>
        </w:tc>
        <w:tc>
          <w:tcPr>
            <w:tcW w:w="1700" w:type="dxa"/>
            <w:vAlign w:val="bottom"/>
            <w:gridSpan w:val="3"/>
          </w:tcPr>
          <w:p>
            <w:pPr>
              <w:ind w:left="740"/>
              <w:spacing w:after="0" w:line="133" w:lineRule="exact"/>
              <w:rPr>
                <w:sz w:val="20"/>
                <w:szCs w:val="20"/>
                <w:color w:val="auto"/>
              </w:rPr>
            </w:pPr>
            <w:r>
              <w:rPr>
                <w:rFonts w:ascii="Arial" w:cs="Arial" w:eastAsia="Arial" w:hAnsi="Arial"/>
                <w:sz w:val="12"/>
                <w:szCs w:val="12"/>
                <w:color w:val="auto"/>
              </w:rPr>
              <w:t>3.1</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6/29/2016</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520" w:type="dxa"/>
            <w:vAlign w:val="bottom"/>
            <w:gridSpan w:val="2"/>
          </w:tcPr>
          <w:p>
            <w:pPr>
              <w:jc w:val="center"/>
              <w:ind w:left="320"/>
              <w:spacing w:after="0"/>
              <w:rPr>
                <w:rFonts w:ascii="Arial" w:cs="Arial" w:eastAsia="Arial" w:hAnsi="Arial"/>
                <w:sz w:val="12"/>
                <w:szCs w:val="12"/>
                <w:color w:val="0000FF"/>
                <w:w w:val="83"/>
              </w:rPr>
            </w:pPr>
            <w:hyperlink r:id="rId15">
              <w:r>
                <w:rPr>
                  <w:rFonts w:ascii="Arial" w:cs="Arial" w:eastAsia="Arial" w:hAnsi="Arial"/>
                  <w:sz w:val="12"/>
                  <w:szCs w:val="12"/>
                  <w:color w:val="0000FF"/>
                  <w:w w:val="83"/>
                </w:rPr>
                <w:t>3.</w:t>
              </w:r>
              <w:r>
                <w:rPr>
                  <w:rFonts w:ascii="Arial" w:cs="Arial" w:eastAsia="Arial" w:hAnsi="Arial"/>
                  <w:sz w:val="12"/>
                  <w:szCs w:val="12"/>
                  <w:u w:val="single" w:color="auto"/>
                  <w:color w:val="0000FF"/>
                  <w:w w:val="83"/>
                </w:rPr>
                <w:t>2</w:t>
              </w:r>
            </w:hyperlink>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4"/>
          </w:tcPr>
          <w:p>
            <w:pPr>
              <w:spacing w:after="0"/>
              <w:rPr>
                <w:rFonts w:ascii="Arial" w:cs="Arial" w:eastAsia="Arial" w:hAnsi="Arial"/>
                <w:sz w:val="12"/>
                <w:szCs w:val="12"/>
                <w:color w:val="0000FF"/>
              </w:rPr>
            </w:pPr>
            <w:hyperlink r:id="rId15">
              <w:r>
                <w:rPr>
                  <w:rFonts w:ascii="Arial" w:cs="Arial" w:eastAsia="Arial" w:hAnsi="Arial"/>
                  <w:sz w:val="12"/>
                  <w:szCs w:val="12"/>
                  <w:color w:val="0000FF"/>
                </w:rPr>
                <w:t>Amended and Restated By-laws of Selecta Biosciences, Inc.</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8-K</w:t>
            </w:r>
          </w:p>
        </w:tc>
        <w:tc>
          <w:tcPr>
            <w:tcW w:w="680" w:type="dxa"/>
            <w:vAlign w:val="bottom"/>
          </w:tcPr>
          <w:p>
            <w:pPr>
              <w:ind w:left="20"/>
              <w:spacing w:after="0"/>
              <w:rPr>
                <w:sz w:val="20"/>
                <w:szCs w:val="20"/>
                <w:color w:val="auto"/>
              </w:rPr>
            </w:pPr>
            <w:r>
              <w:rPr>
                <w:rFonts w:ascii="Arial" w:cs="Arial" w:eastAsia="Arial" w:hAnsi="Arial"/>
                <w:sz w:val="12"/>
                <w:szCs w:val="12"/>
                <w:color w:val="auto"/>
              </w:rPr>
              <w:t>001-37798</w:t>
            </w:r>
          </w:p>
        </w:tc>
        <w:tc>
          <w:tcPr>
            <w:tcW w:w="1700" w:type="dxa"/>
            <w:vAlign w:val="bottom"/>
            <w:gridSpan w:val="3"/>
          </w:tcPr>
          <w:p>
            <w:pPr>
              <w:ind w:left="740"/>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6/29/2016</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560" w:type="dxa"/>
            <w:vAlign w:val="bottom"/>
            <w:gridSpan w:val="3"/>
          </w:tcPr>
          <w:p>
            <w:pPr>
              <w:jc w:val="center"/>
              <w:ind w:left="240"/>
              <w:spacing w:after="0"/>
              <w:rPr>
                <w:rFonts w:ascii="Arial" w:cs="Arial" w:eastAsia="Arial" w:hAnsi="Arial"/>
                <w:sz w:val="12"/>
                <w:szCs w:val="12"/>
                <w:color w:val="0000FF"/>
                <w:w w:val="86"/>
              </w:rPr>
            </w:pPr>
            <w:hyperlink r:id="rId16">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4"/>
          </w:tcPr>
          <w:p>
            <w:pPr>
              <w:spacing w:after="0"/>
              <w:rPr>
                <w:rFonts w:ascii="Arial" w:cs="Arial" w:eastAsia="Arial" w:hAnsi="Arial"/>
                <w:sz w:val="12"/>
                <w:szCs w:val="12"/>
                <w:color w:val="0000FF"/>
                <w:w w:val="89"/>
              </w:rPr>
            </w:pPr>
            <w:hyperlink r:id="rId16">
              <w:r>
                <w:rPr>
                  <w:rFonts w:ascii="Arial" w:cs="Arial" w:eastAsia="Arial" w:hAnsi="Arial"/>
                  <w:sz w:val="12"/>
                  <w:szCs w:val="12"/>
                  <w:color w:val="0000FF"/>
                  <w:w w:val="89"/>
                </w:rPr>
                <w:t>2018 Employment Inducement Incentive Award Plan, as amended and</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S-8</w:t>
            </w:r>
          </w:p>
        </w:tc>
        <w:tc>
          <w:tcPr>
            <w:tcW w:w="680" w:type="dxa"/>
            <w:vAlign w:val="bottom"/>
          </w:tcPr>
          <w:p>
            <w:pPr>
              <w:ind w:left="20"/>
              <w:spacing w:after="0"/>
              <w:rPr>
                <w:sz w:val="20"/>
                <w:szCs w:val="20"/>
                <w:color w:val="auto"/>
              </w:rPr>
            </w:pPr>
            <w:r>
              <w:rPr>
                <w:rFonts w:ascii="Arial" w:cs="Arial" w:eastAsia="Arial" w:hAnsi="Arial"/>
                <w:sz w:val="12"/>
                <w:szCs w:val="12"/>
                <w:color w:val="auto"/>
                <w:w w:val="99"/>
              </w:rPr>
              <w:t>333-230501</w:t>
            </w:r>
          </w:p>
        </w:tc>
        <w:tc>
          <w:tcPr>
            <w:tcW w:w="1700" w:type="dxa"/>
            <w:vAlign w:val="bottom"/>
            <w:gridSpan w:val="3"/>
          </w:tcPr>
          <w:p>
            <w:pPr>
              <w:ind w:left="740"/>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3/25/2019</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24"/>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5"/>
          </w:tcPr>
          <w:p>
            <w:pPr>
              <w:spacing w:after="0" w:line="124" w:lineRule="exact"/>
              <w:rPr>
                <w:rFonts w:ascii="Arial" w:cs="Arial" w:eastAsia="Arial" w:hAnsi="Arial"/>
                <w:sz w:val="12"/>
                <w:szCs w:val="12"/>
                <w:color w:val="0000FF"/>
                <w:w w:val="86"/>
              </w:rPr>
            </w:pPr>
            <w:hyperlink r:id="rId16">
              <w:r>
                <w:rPr>
                  <w:rFonts w:ascii="Arial" w:cs="Arial" w:eastAsia="Arial" w:hAnsi="Arial"/>
                  <w:sz w:val="12"/>
                  <w:szCs w:val="12"/>
                  <w:color w:val="0000FF"/>
                  <w:w w:val="86"/>
                </w:rPr>
                <w:t>restated, and forms agreement thereunder</w:t>
              </w:r>
            </w:hyperlink>
          </w:p>
        </w:tc>
        <w:tc>
          <w:tcPr>
            <w:tcW w:w="13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60"/>
        </w:trPr>
        <w:tc>
          <w:tcPr>
            <w:tcW w:w="260" w:type="dxa"/>
            <w:vAlign w:val="bottom"/>
          </w:tcPr>
          <w:p>
            <w:pPr>
              <w:spacing w:after="0"/>
              <w:rPr>
                <w:sz w:val="13"/>
                <w:szCs w:val="13"/>
                <w:color w:val="auto"/>
              </w:rPr>
            </w:pPr>
          </w:p>
        </w:tc>
        <w:tc>
          <w:tcPr>
            <w:tcW w:w="560" w:type="dxa"/>
            <w:vAlign w:val="bottom"/>
            <w:gridSpan w:val="3"/>
          </w:tcPr>
          <w:p>
            <w:pPr>
              <w:jc w:val="center"/>
              <w:ind w:left="240"/>
              <w:spacing w:after="0"/>
              <w:rPr>
                <w:rFonts w:ascii="Arial" w:cs="Arial" w:eastAsia="Arial" w:hAnsi="Arial"/>
                <w:sz w:val="12"/>
                <w:szCs w:val="12"/>
                <w:color w:val="0000FF"/>
                <w:w w:val="86"/>
              </w:rPr>
            </w:pPr>
            <w:hyperlink w:anchor="page86">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4"/>
          </w:tcPr>
          <w:p>
            <w:pPr>
              <w:spacing w:after="0"/>
              <w:rPr>
                <w:rFonts w:ascii="Arial" w:cs="Arial" w:eastAsia="Arial" w:hAnsi="Arial"/>
                <w:sz w:val="12"/>
                <w:szCs w:val="12"/>
                <w:color w:val="0000FF"/>
                <w:w w:val="96"/>
              </w:rPr>
            </w:pPr>
            <w:hyperlink w:anchor="page86">
              <w:r>
                <w:rPr>
                  <w:rFonts w:ascii="Arial" w:cs="Arial" w:eastAsia="Arial" w:hAnsi="Arial"/>
                  <w:sz w:val="12"/>
                  <w:szCs w:val="12"/>
                  <w:color w:val="0000FF"/>
                  <w:w w:val="96"/>
                </w:rPr>
                <w:t>Employment Agreement, dated March 19, 2019, between Selecta</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24"/>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4"/>
          </w:tcPr>
          <w:p>
            <w:pPr>
              <w:spacing w:after="0" w:line="124" w:lineRule="exact"/>
              <w:rPr>
                <w:rFonts w:ascii="Arial" w:cs="Arial" w:eastAsia="Arial" w:hAnsi="Arial"/>
                <w:sz w:val="12"/>
                <w:szCs w:val="12"/>
                <w:color w:val="0000FF"/>
                <w:w w:val="89"/>
              </w:rPr>
            </w:pPr>
            <w:hyperlink w:anchor="page86">
              <w:r>
                <w:rPr>
                  <w:rFonts w:ascii="Arial" w:cs="Arial" w:eastAsia="Arial" w:hAnsi="Arial"/>
                  <w:sz w:val="12"/>
                  <w:szCs w:val="12"/>
                  <w:color w:val="0000FF"/>
                  <w:w w:val="89"/>
                </w:rPr>
                <w:t>Biosciences, Inc. and Elona Kogan</w:t>
              </w:r>
            </w:hyperlink>
          </w:p>
        </w:tc>
        <w:tc>
          <w:tcPr>
            <w:tcW w:w="1440" w:type="dxa"/>
            <w:vAlign w:val="bottom"/>
            <w:tcBorders>
              <w:top w:val="single" w:sz="8" w:color="0000FF"/>
            </w:tcBorders>
            <w:gridSpan w:val="5"/>
          </w:tcPr>
          <w:p>
            <w:pPr>
              <w:spacing w:after="0"/>
              <w:rPr>
                <w:sz w:val="10"/>
                <w:szCs w:val="10"/>
                <w:color w:val="auto"/>
              </w:rPr>
            </w:pPr>
          </w:p>
        </w:tc>
        <w:tc>
          <w:tcPr>
            <w:tcW w:w="260" w:type="dxa"/>
            <w:vAlign w:val="bottom"/>
            <w:gridSpan w:val="5"/>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60"/>
        </w:trPr>
        <w:tc>
          <w:tcPr>
            <w:tcW w:w="260" w:type="dxa"/>
            <w:vAlign w:val="bottom"/>
          </w:tcPr>
          <w:p>
            <w:pPr>
              <w:spacing w:after="0"/>
              <w:rPr>
                <w:sz w:val="13"/>
                <w:szCs w:val="13"/>
                <w:color w:val="auto"/>
              </w:rPr>
            </w:pPr>
          </w:p>
        </w:tc>
        <w:tc>
          <w:tcPr>
            <w:tcW w:w="560" w:type="dxa"/>
            <w:vAlign w:val="bottom"/>
            <w:gridSpan w:val="3"/>
          </w:tcPr>
          <w:p>
            <w:pPr>
              <w:jc w:val="center"/>
              <w:ind w:left="240"/>
              <w:spacing w:after="0"/>
              <w:rPr>
                <w:rFonts w:ascii="Arial" w:cs="Arial" w:eastAsia="Arial" w:hAnsi="Arial"/>
                <w:sz w:val="12"/>
                <w:szCs w:val="12"/>
                <w:color w:val="0000FF"/>
                <w:w w:val="86"/>
              </w:rPr>
            </w:pPr>
            <w:hyperlink w:anchor="page107">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3#</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4"/>
          </w:tcPr>
          <w:p>
            <w:pPr>
              <w:spacing w:after="0"/>
              <w:rPr>
                <w:rFonts w:ascii="Arial" w:cs="Arial" w:eastAsia="Arial" w:hAnsi="Arial"/>
                <w:sz w:val="12"/>
                <w:szCs w:val="12"/>
                <w:color w:val="0000FF"/>
                <w:w w:val="99"/>
              </w:rPr>
            </w:pPr>
            <w:hyperlink w:anchor="page107">
              <w:r>
                <w:rPr>
                  <w:rFonts w:ascii="Arial" w:cs="Arial" w:eastAsia="Arial" w:hAnsi="Arial"/>
                  <w:sz w:val="12"/>
                  <w:szCs w:val="12"/>
                  <w:color w:val="0000FF"/>
                  <w:w w:val="99"/>
                </w:rPr>
                <w:t>Employment Offer Letter, dated July 29, 2016, between Selecta</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24"/>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gridSpan w:val="14"/>
          </w:tcPr>
          <w:p>
            <w:pPr>
              <w:spacing w:after="0" w:line="124" w:lineRule="exact"/>
              <w:rPr>
                <w:rFonts w:ascii="Arial" w:cs="Arial" w:eastAsia="Arial" w:hAnsi="Arial"/>
                <w:sz w:val="12"/>
                <w:szCs w:val="12"/>
                <w:color w:val="0000FF"/>
                <w:w w:val="94"/>
              </w:rPr>
            </w:pPr>
            <w:hyperlink w:anchor="page107">
              <w:r>
                <w:rPr>
                  <w:rFonts w:ascii="Arial" w:cs="Arial" w:eastAsia="Arial" w:hAnsi="Arial"/>
                  <w:sz w:val="12"/>
                  <w:szCs w:val="12"/>
                  <w:color w:val="0000FF"/>
                  <w:w w:val="94"/>
                </w:rPr>
                <w:t>Biosciences, Inc. and Ann K. Donohue, and Promotion Letter dated</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4"/>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tcBorders>
              <w:top w:val="single" w:sz="8" w:color="0000FF"/>
            </w:tcBorders>
            <w:gridSpan w:val="12"/>
          </w:tcPr>
          <w:p>
            <w:pPr>
              <w:spacing w:after="0" w:line="124" w:lineRule="exact"/>
              <w:rPr>
                <w:rFonts w:ascii="Arial" w:cs="Arial" w:eastAsia="Arial" w:hAnsi="Arial"/>
                <w:sz w:val="12"/>
                <w:szCs w:val="12"/>
                <w:color w:val="0000FF"/>
              </w:rPr>
            </w:pPr>
            <w:hyperlink w:anchor="page107">
              <w:r>
                <w:rPr>
                  <w:rFonts w:ascii="Arial" w:cs="Arial" w:eastAsia="Arial" w:hAnsi="Arial"/>
                  <w:sz w:val="12"/>
                  <w:szCs w:val="12"/>
                  <w:color w:val="0000FF"/>
                </w:rPr>
                <w:t>November 30, 2017</w:t>
              </w:r>
            </w:hyperlink>
          </w:p>
        </w:tc>
        <w:tc>
          <w:tcPr>
            <w:tcW w:w="1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gridSpan w:val="2"/>
          </w:tcPr>
          <w:p>
            <w:pPr>
              <w:jc w:val="center"/>
              <w:spacing w:after="0"/>
              <w:rPr>
                <w:rFonts w:ascii="Arial" w:cs="Arial" w:eastAsia="Arial" w:hAnsi="Arial"/>
                <w:sz w:val="12"/>
                <w:szCs w:val="12"/>
                <w:color w:val="0000FF"/>
                <w:w w:val="76"/>
              </w:rPr>
            </w:pPr>
            <w:hyperlink w:anchor="page110">
              <w:r>
                <w:rPr>
                  <w:rFonts w:ascii="Arial" w:cs="Arial" w:eastAsia="Arial" w:hAnsi="Arial"/>
                  <w:sz w:val="12"/>
                  <w:szCs w:val="12"/>
                  <w:color w:val="0000FF"/>
                  <w:w w:val="76"/>
                </w:rPr>
                <w:t>31.</w:t>
              </w:r>
              <w:r>
                <w:rPr>
                  <w:rFonts w:ascii="Arial" w:cs="Arial" w:eastAsia="Arial" w:hAnsi="Arial"/>
                  <w:sz w:val="12"/>
                  <w:szCs w:val="12"/>
                  <w:u w:val="single" w:color="auto"/>
                  <w:color w:val="0000FF"/>
                  <w:w w:val="76"/>
                </w:rPr>
                <w:t>1</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4"/>
          </w:tcPr>
          <w:p>
            <w:pPr>
              <w:spacing w:after="0"/>
              <w:rPr>
                <w:rFonts w:ascii="Arial" w:cs="Arial" w:eastAsia="Arial" w:hAnsi="Arial"/>
                <w:sz w:val="12"/>
                <w:szCs w:val="12"/>
                <w:color w:val="0000FF"/>
                <w:w w:val="96"/>
              </w:rPr>
            </w:pPr>
            <w:hyperlink w:anchor="page110">
              <w:r>
                <w:rPr>
                  <w:rFonts w:ascii="Arial" w:cs="Arial" w:eastAsia="Arial" w:hAnsi="Arial"/>
                  <w:sz w:val="12"/>
                  <w:szCs w:val="12"/>
                  <w:color w:val="0000FF"/>
                  <w:w w:val="96"/>
                </w:rPr>
                <w:t>Rule 13a-14(a) / 15d-14(a) Certification of Chief Executive Officer</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2"/>
                <w:szCs w:val="12"/>
                <w:color w:val="0000FF"/>
                <w:w w:val="76"/>
              </w:rPr>
            </w:pPr>
            <w:hyperlink w:anchor="page111">
              <w:r>
                <w:rPr>
                  <w:rFonts w:ascii="Arial" w:cs="Arial" w:eastAsia="Arial" w:hAnsi="Arial"/>
                  <w:sz w:val="12"/>
                  <w:szCs w:val="12"/>
                  <w:color w:val="0000FF"/>
                  <w:w w:val="76"/>
                </w:rPr>
                <w:t>31.</w:t>
              </w:r>
              <w:r>
                <w:rPr>
                  <w:rFonts w:ascii="Arial" w:cs="Arial" w:eastAsia="Arial" w:hAnsi="Arial"/>
                  <w:sz w:val="12"/>
                  <w:szCs w:val="12"/>
                  <w:u w:val="single" w:color="auto"/>
                  <w:color w:val="0000FF"/>
                  <w:w w:val="76"/>
                </w:rPr>
                <w:t>2</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0"/>
          </w:tcPr>
          <w:p>
            <w:pPr>
              <w:spacing w:after="0"/>
              <w:rPr>
                <w:rFonts w:ascii="Arial" w:cs="Arial" w:eastAsia="Arial" w:hAnsi="Arial"/>
                <w:sz w:val="12"/>
                <w:szCs w:val="12"/>
                <w:color w:val="0000FF"/>
                <w:w w:val="92"/>
              </w:rPr>
            </w:pPr>
            <w:hyperlink w:anchor="page111">
              <w:r>
                <w:rPr>
                  <w:rFonts w:ascii="Arial" w:cs="Arial" w:eastAsia="Arial" w:hAnsi="Arial"/>
                  <w:sz w:val="12"/>
                  <w:szCs w:val="12"/>
                  <w:color w:val="0000FF"/>
                  <w:w w:val="92"/>
                </w:rPr>
                <w:t>Rule 13a-14(a) / 15d-14(a) Certification of principal financial and</w:t>
              </w:r>
            </w:hyperlink>
          </w:p>
        </w:tc>
        <w:tc>
          <w:tcPr>
            <w:tcW w:w="60" w:type="dxa"/>
            <w:vAlign w:val="bottom"/>
            <w:tcBorders>
              <w:top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24"/>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gridSpan w:val="14"/>
          </w:tcPr>
          <w:p>
            <w:pPr>
              <w:spacing w:after="0" w:line="124" w:lineRule="exact"/>
              <w:rPr>
                <w:rFonts w:ascii="Arial" w:cs="Arial" w:eastAsia="Arial" w:hAnsi="Arial"/>
                <w:sz w:val="12"/>
                <w:szCs w:val="12"/>
                <w:color w:val="0000FF"/>
              </w:rPr>
            </w:pPr>
            <w:hyperlink w:anchor="page111">
              <w:r>
                <w:rPr>
                  <w:rFonts w:ascii="Arial" w:cs="Arial" w:eastAsia="Arial" w:hAnsi="Arial"/>
                  <w:sz w:val="12"/>
                  <w:szCs w:val="12"/>
                  <w:color w:val="0000FF"/>
                </w:rPr>
                <w:t>principal accounting officer</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
        </w:trPr>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gridSpan w:val="2"/>
          </w:tcPr>
          <w:p>
            <w:pPr>
              <w:jc w:val="center"/>
              <w:spacing w:after="0"/>
              <w:rPr>
                <w:rFonts w:ascii="Arial" w:cs="Arial" w:eastAsia="Arial" w:hAnsi="Arial"/>
                <w:sz w:val="12"/>
                <w:szCs w:val="12"/>
                <w:color w:val="0000FF"/>
                <w:w w:val="76"/>
              </w:rPr>
            </w:pPr>
            <w:hyperlink w:anchor="page113">
              <w:r>
                <w:rPr>
                  <w:rFonts w:ascii="Arial" w:cs="Arial" w:eastAsia="Arial" w:hAnsi="Arial"/>
                  <w:sz w:val="12"/>
                  <w:szCs w:val="12"/>
                  <w:color w:val="0000FF"/>
                  <w:w w:val="76"/>
                </w:rPr>
                <w:t>32.</w:t>
              </w:r>
              <w:r>
                <w:rPr>
                  <w:rFonts w:ascii="Arial" w:cs="Arial" w:eastAsia="Arial" w:hAnsi="Arial"/>
                  <w:sz w:val="12"/>
                  <w:szCs w:val="12"/>
                  <w:u w:val="single" w:color="auto"/>
                  <w:color w:val="0000FF"/>
                  <w:w w:val="76"/>
                </w:rPr>
                <w:t>1</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14"/>
          </w:tcPr>
          <w:p>
            <w:pPr>
              <w:spacing w:after="0"/>
              <w:rPr>
                <w:rFonts w:ascii="Arial" w:cs="Arial" w:eastAsia="Arial" w:hAnsi="Arial"/>
                <w:sz w:val="12"/>
                <w:szCs w:val="12"/>
                <w:color w:val="0000FF"/>
              </w:rPr>
            </w:pPr>
            <w:hyperlink w:anchor="page113">
              <w:r>
                <w:rPr>
                  <w:rFonts w:ascii="Arial" w:cs="Arial" w:eastAsia="Arial" w:hAnsi="Arial"/>
                  <w:sz w:val="12"/>
                  <w:szCs w:val="12"/>
                  <w:color w:val="0000FF"/>
                </w:rPr>
                <w:t>Section 1350 Certification of Chief Executive Officer</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gridSpan w:val="2"/>
          </w:tcPr>
          <w:p>
            <w:pPr>
              <w:jc w:val="center"/>
              <w:spacing w:after="0"/>
              <w:rPr>
                <w:rFonts w:ascii="Arial" w:cs="Arial" w:eastAsia="Arial" w:hAnsi="Arial"/>
                <w:sz w:val="12"/>
                <w:szCs w:val="12"/>
                <w:color w:val="0000FF"/>
                <w:w w:val="76"/>
              </w:rPr>
            </w:pPr>
            <w:hyperlink w:anchor="page114">
              <w:r>
                <w:rPr>
                  <w:rFonts w:ascii="Arial" w:cs="Arial" w:eastAsia="Arial" w:hAnsi="Arial"/>
                  <w:sz w:val="12"/>
                  <w:szCs w:val="12"/>
                  <w:color w:val="0000FF"/>
                  <w:w w:val="76"/>
                </w:rPr>
                <w:t>32.</w:t>
              </w:r>
              <w:r>
                <w:rPr>
                  <w:rFonts w:ascii="Arial" w:cs="Arial" w:eastAsia="Arial" w:hAnsi="Arial"/>
                  <w:sz w:val="12"/>
                  <w:szCs w:val="12"/>
                  <w:u w:val="single" w:color="auto"/>
                  <w:color w:val="0000FF"/>
                  <w:w w:val="76"/>
                </w:rPr>
                <w:t>2</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19"/>
          </w:tcPr>
          <w:p>
            <w:pPr>
              <w:spacing w:after="0"/>
              <w:rPr>
                <w:rFonts w:ascii="Arial" w:cs="Arial" w:eastAsia="Arial" w:hAnsi="Arial"/>
                <w:sz w:val="12"/>
                <w:szCs w:val="12"/>
                <w:color w:val="0000FF"/>
              </w:rPr>
            </w:pPr>
            <w:hyperlink w:anchor="page114">
              <w:r>
                <w:rPr>
                  <w:rFonts w:ascii="Arial" w:cs="Arial" w:eastAsia="Arial" w:hAnsi="Arial"/>
                  <w:sz w:val="12"/>
                  <w:szCs w:val="12"/>
                  <w:color w:val="0000FF"/>
                </w:rPr>
                <w:t>Section 1350 Certification of principal financial and principal accounting</w:t>
              </w:r>
            </w:hyperlink>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24"/>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Borders>
              <w:top w:val="single" w:sz="8" w:color="0000FF"/>
            </w:tcBorders>
            <w:gridSpan w:val="14"/>
          </w:tcPr>
          <w:p>
            <w:pPr>
              <w:spacing w:after="0" w:line="124" w:lineRule="exact"/>
              <w:rPr>
                <w:rFonts w:ascii="Arial" w:cs="Arial" w:eastAsia="Arial" w:hAnsi="Arial"/>
                <w:sz w:val="12"/>
                <w:szCs w:val="12"/>
                <w:color w:val="0000FF"/>
              </w:rPr>
            </w:pPr>
            <w:hyperlink w:anchor="page114">
              <w:r>
                <w:rPr>
                  <w:rFonts w:ascii="Arial" w:cs="Arial" w:eastAsia="Arial" w:hAnsi="Arial"/>
                  <w:sz w:val="12"/>
                  <w:szCs w:val="12"/>
                  <w:color w:val="0000FF"/>
                </w:rPr>
                <w:t>officer</w:t>
              </w:r>
            </w:hyperlink>
          </w:p>
        </w:tc>
        <w:tc>
          <w:tcPr>
            <w:tcW w:w="1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
        </w:trPr>
        <w:tc>
          <w:tcPr>
            <w:tcW w:w="2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187"/>
        </w:trPr>
        <w:tc>
          <w:tcPr>
            <w:tcW w:w="260" w:type="dxa"/>
            <w:vAlign w:val="bottom"/>
          </w:tcPr>
          <w:p>
            <w:pPr>
              <w:spacing w:after="0"/>
              <w:rPr>
                <w:sz w:val="16"/>
                <w:szCs w:val="16"/>
                <w:color w:val="auto"/>
              </w:rPr>
            </w:pPr>
          </w:p>
        </w:tc>
        <w:tc>
          <w:tcPr>
            <w:tcW w:w="1280" w:type="dxa"/>
            <w:vAlign w:val="bottom"/>
            <w:gridSpan w:val="5"/>
          </w:tcPr>
          <w:p>
            <w:pPr>
              <w:jc w:val="center"/>
              <w:ind w:right="400"/>
              <w:spacing w:after="0"/>
              <w:rPr>
                <w:sz w:val="20"/>
                <w:szCs w:val="20"/>
                <w:color w:val="auto"/>
              </w:rPr>
            </w:pPr>
            <w:r>
              <w:rPr>
                <w:rFonts w:ascii="Arial" w:cs="Arial" w:eastAsia="Arial" w:hAnsi="Arial"/>
                <w:sz w:val="12"/>
                <w:szCs w:val="12"/>
                <w:color w:val="auto"/>
                <w:w w:val="92"/>
              </w:rPr>
              <w:t>101.INS</w:t>
            </w:r>
          </w:p>
        </w:tc>
        <w:tc>
          <w:tcPr>
            <w:tcW w:w="20" w:type="dxa"/>
            <w:vAlign w:val="bottom"/>
          </w:tcPr>
          <w:p>
            <w:pPr>
              <w:spacing w:after="0"/>
              <w:rPr>
                <w:sz w:val="16"/>
                <w:szCs w:val="16"/>
                <w:color w:val="auto"/>
              </w:rPr>
            </w:pPr>
          </w:p>
        </w:tc>
        <w:tc>
          <w:tcPr>
            <w:tcW w:w="3380" w:type="dxa"/>
            <w:vAlign w:val="bottom"/>
            <w:gridSpan w:val="14"/>
          </w:tcPr>
          <w:p>
            <w:pPr>
              <w:spacing w:after="0"/>
              <w:rPr>
                <w:sz w:val="20"/>
                <w:szCs w:val="20"/>
                <w:color w:val="auto"/>
              </w:rPr>
            </w:pPr>
            <w:r>
              <w:rPr>
                <w:rFonts w:ascii="Arial" w:cs="Arial" w:eastAsia="Arial" w:hAnsi="Arial"/>
                <w:sz w:val="12"/>
                <w:szCs w:val="12"/>
                <w:color w:val="auto"/>
              </w:rPr>
              <w:t>XBRL Instance Document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60" w:type="dxa"/>
            <w:vAlign w:val="bottom"/>
          </w:tcPr>
          <w:p>
            <w:pPr>
              <w:spacing w:after="0"/>
              <w:rPr>
                <w:sz w:val="15"/>
                <w:szCs w:val="15"/>
                <w:color w:val="auto"/>
              </w:rPr>
            </w:pPr>
          </w:p>
        </w:tc>
        <w:tc>
          <w:tcPr>
            <w:tcW w:w="1280" w:type="dxa"/>
            <w:vAlign w:val="bottom"/>
            <w:gridSpan w:val="5"/>
          </w:tcPr>
          <w:p>
            <w:pPr>
              <w:jc w:val="center"/>
              <w:ind w:right="400"/>
              <w:spacing w:after="0"/>
              <w:rPr>
                <w:sz w:val="20"/>
                <w:szCs w:val="20"/>
                <w:color w:val="auto"/>
              </w:rPr>
            </w:pPr>
            <w:r>
              <w:rPr>
                <w:rFonts w:ascii="Arial" w:cs="Arial" w:eastAsia="Arial" w:hAnsi="Arial"/>
                <w:sz w:val="12"/>
                <w:szCs w:val="12"/>
                <w:color w:val="auto"/>
                <w:w w:val="90"/>
              </w:rPr>
              <w:t>101.SCH</w:t>
            </w:r>
          </w:p>
        </w:tc>
        <w:tc>
          <w:tcPr>
            <w:tcW w:w="20" w:type="dxa"/>
            <w:vAlign w:val="bottom"/>
          </w:tcPr>
          <w:p>
            <w:pPr>
              <w:spacing w:after="0"/>
              <w:rPr>
                <w:sz w:val="15"/>
                <w:szCs w:val="15"/>
                <w:color w:val="auto"/>
              </w:rPr>
            </w:pPr>
          </w:p>
        </w:tc>
        <w:tc>
          <w:tcPr>
            <w:tcW w:w="3380" w:type="dxa"/>
            <w:vAlign w:val="bottom"/>
            <w:gridSpan w:val="14"/>
          </w:tcPr>
          <w:p>
            <w:pPr>
              <w:spacing w:after="0"/>
              <w:rPr>
                <w:sz w:val="20"/>
                <w:szCs w:val="20"/>
                <w:color w:val="auto"/>
              </w:rPr>
            </w:pPr>
            <w:r>
              <w:rPr>
                <w:rFonts w:ascii="Arial" w:cs="Arial" w:eastAsia="Arial" w:hAnsi="Arial"/>
                <w:sz w:val="12"/>
                <w:szCs w:val="12"/>
                <w:color w:val="auto"/>
              </w:rPr>
              <w:t>XBRL Taxonomy Extension Schema Document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60" w:type="dxa"/>
            <w:vAlign w:val="bottom"/>
          </w:tcPr>
          <w:p>
            <w:pPr>
              <w:spacing w:after="0"/>
              <w:rPr>
                <w:sz w:val="15"/>
                <w:szCs w:val="15"/>
                <w:color w:val="auto"/>
              </w:rPr>
            </w:pPr>
          </w:p>
        </w:tc>
        <w:tc>
          <w:tcPr>
            <w:tcW w:w="1280" w:type="dxa"/>
            <w:vAlign w:val="bottom"/>
            <w:gridSpan w:val="5"/>
          </w:tcPr>
          <w:p>
            <w:pPr>
              <w:jc w:val="center"/>
              <w:ind w:right="380"/>
              <w:spacing w:after="0"/>
              <w:rPr>
                <w:sz w:val="20"/>
                <w:szCs w:val="20"/>
                <w:color w:val="auto"/>
              </w:rPr>
            </w:pPr>
            <w:r>
              <w:rPr>
                <w:rFonts w:ascii="Arial" w:cs="Arial" w:eastAsia="Arial" w:hAnsi="Arial"/>
                <w:sz w:val="12"/>
                <w:szCs w:val="12"/>
                <w:color w:val="auto"/>
                <w:w w:val="98"/>
              </w:rPr>
              <w:t>101.CAL</w:t>
            </w:r>
          </w:p>
        </w:tc>
        <w:tc>
          <w:tcPr>
            <w:tcW w:w="20" w:type="dxa"/>
            <w:vAlign w:val="bottom"/>
          </w:tcPr>
          <w:p>
            <w:pPr>
              <w:spacing w:after="0"/>
              <w:rPr>
                <w:sz w:val="15"/>
                <w:szCs w:val="15"/>
                <w:color w:val="auto"/>
              </w:rPr>
            </w:pPr>
          </w:p>
        </w:tc>
        <w:tc>
          <w:tcPr>
            <w:tcW w:w="3380" w:type="dxa"/>
            <w:vAlign w:val="bottom"/>
            <w:gridSpan w:val="14"/>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60" w:type="dxa"/>
            <w:vAlign w:val="bottom"/>
          </w:tcPr>
          <w:p>
            <w:pPr>
              <w:spacing w:after="0"/>
              <w:rPr>
                <w:sz w:val="15"/>
                <w:szCs w:val="15"/>
                <w:color w:val="auto"/>
              </w:rPr>
            </w:pPr>
          </w:p>
        </w:tc>
        <w:tc>
          <w:tcPr>
            <w:tcW w:w="1280" w:type="dxa"/>
            <w:vAlign w:val="bottom"/>
            <w:gridSpan w:val="5"/>
          </w:tcPr>
          <w:p>
            <w:pPr>
              <w:jc w:val="center"/>
              <w:ind w:right="400"/>
              <w:spacing w:after="0"/>
              <w:rPr>
                <w:sz w:val="20"/>
                <w:szCs w:val="20"/>
                <w:color w:val="auto"/>
              </w:rPr>
            </w:pPr>
            <w:r>
              <w:rPr>
                <w:rFonts w:ascii="Arial" w:cs="Arial" w:eastAsia="Arial" w:hAnsi="Arial"/>
                <w:sz w:val="12"/>
                <w:szCs w:val="12"/>
                <w:color w:val="auto"/>
                <w:w w:val="92"/>
              </w:rPr>
              <w:t>101.DEF</w:t>
            </w:r>
          </w:p>
        </w:tc>
        <w:tc>
          <w:tcPr>
            <w:tcW w:w="20" w:type="dxa"/>
            <w:vAlign w:val="bottom"/>
          </w:tcPr>
          <w:p>
            <w:pPr>
              <w:spacing w:after="0"/>
              <w:rPr>
                <w:sz w:val="15"/>
                <w:szCs w:val="15"/>
                <w:color w:val="auto"/>
              </w:rPr>
            </w:pPr>
          </w:p>
        </w:tc>
        <w:tc>
          <w:tcPr>
            <w:tcW w:w="3380" w:type="dxa"/>
            <w:vAlign w:val="bottom"/>
            <w:gridSpan w:val="14"/>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60" w:type="dxa"/>
            <w:vAlign w:val="bottom"/>
          </w:tcPr>
          <w:p>
            <w:pPr>
              <w:spacing w:after="0"/>
              <w:rPr>
                <w:sz w:val="15"/>
                <w:szCs w:val="15"/>
                <w:color w:val="auto"/>
              </w:rPr>
            </w:pPr>
          </w:p>
        </w:tc>
        <w:tc>
          <w:tcPr>
            <w:tcW w:w="1280" w:type="dxa"/>
            <w:vAlign w:val="bottom"/>
            <w:gridSpan w:val="5"/>
          </w:tcPr>
          <w:p>
            <w:pPr>
              <w:jc w:val="center"/>
              <w:ind w:right="380"/>
              <w:spacing w:after="0"/>
              <w:rPr>
                <w:sz w:val="20"/>
                <w:szCs w:val="20"/>
                <w:color w:val="auto"/>
              </w:rPr>
            </w:pPr>
            <w:r>
              <w:rPr>
                <w:rFonts w:ascii="Arial" w:cs="Arial" w:eastAsia="Arial" w:hAnsi="Arial"/>
                <w:sz w:val="12"/>
                <w:szCs w:val="12"/>
                <w:color w:val="auto"/>
                <w:w w:val="99"/>
              </w:rPr>
              <w:t>101.LAB</w:t>
            </w:r>
          </w:p>
        </w:tc>
        <w:tc>
          <w:tcPr>
            <w:tcW w:w="20" w:type="dxa"/>
            <w:vAlign w:val="bottom"/>
          </w:tcPr>
          <w:p>
            <w:pPr>
              <w:spacing w:after="0"/>
              <w:rPr>
                <w:sz w:val="15"/>
                <w:szCs w:val="15"/>
                <w:color w:val="auto"/>
              </w:rPr>
            </w:pPr>
          </w:p>
        </w:tc>
        <w:tc>
          <w:tcPr>
            <w:tcW w:w="3380" w:type="dxa"/>
            <w:vAlign w:val="bottom"/>
            <w:gridSpan w:val="14"/>
          </w:tcPr>
          <w:p>
            <w:pPr>
              <w:spacing w:after="0"/>
              <w:rPr>
                <w:sz w:val="20"/>
                <w:szCs w:val="20"/>
                <w:color w:val="auto"/>
              </w:rPr>
            </w:pPr>
            <w:r>
              <w:rPr>
                <w:rFonts w:ascii="Arial" w:cs="Arial" w:eastAsia="Arial" w:hAnsi="Arial"/>
                <w:sz w:val="12"/>
                <w:szCs w:val="12"/>
                <w:color w:val="auto"/>
              </w:rPr>
              <w:t>XBRL Taxonomy Extension Label Linkbase Document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60" w:type="dxa"/>
            <w:vAlign w:val="bottom"/>
          </w:tcPr>
          <w:p>
            <w:pPr>
              <w:spacing w:after="0"/>
              <w:rPr>
                <w:sz w:val="15"/>
                <w:szCs w:val="15"/>
                <w:color w:val="auto"/>
              </w:rPr>
            </w:pPr>
          </w:p>
        </w:tc>
        <w:tc>
          <w:tcPr>
            <w:tcW w:w="1280" w:type="dxa"/>
            <w:vAlign w:val="bottom"/>
            <w:gridSpan w:val="5"/>
          </w:tcPr>
          <w:p>
            <w:pPr>
              <w:jc w:val="center"/>
              <w:ind w:right="380"/>
              <w:spacing w:after="0"/>
              <w:rPr>
                <w:sz w:val="20"/>
                <w:szCs w:val="20"/>
                <w:color w:val="auto"/>
              </w:rPr>
            </w:pPr>
            <w:r>
              <w:rPr>
                <w:rFonts w:ascii="Arial" w:cs="Arial" w:eastAsia="Arial" w:hAnsi="Arial"/>
                <w:sz w:val="12"/>
                <w:szCs w:val="12"/>
                <w:color w:val="auto"/>
                <w:w w:val="87"/>
              </w:rPr>
              <w:t>101.PRE</w:t>
            </w:r>
          </w:p>
        </w:tc>
        <w:tc>
          <w:tcPr>
            <w:tcW w:w="20" w:type="dxa"/>
            <w:vAlign w:val="bottom"/>
          </w:tcPr>
          <w:p>
            <w:pPr>
              <w:spacing w:after="0"/>
              <w:rPr>
                <w:sz w:val="15"/>
                <w:szCs w:val="15"/>
                <w:color w:val="auto"/>
              </w:rPr>
            </w:pPr>
          </w:p>
        </w:tc>
        <w:tc>
          <w:tcPr>
            <w:tcW w:w="3380" w:type="dxa"/>
            <w:vAlign w:val="bottom"/>
            <w:gridSpan w:val="14"/>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306"/>
        </w:trPr>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1280" w:type="dxa"/>
            <w:vAlign w:val="bottom"/>
            <w:gridSpan w:val="5"/>
          </w:tcPr>
          <w:p>
            <w:pPr>
              <w:ind w:left="20"/>
              <w:spacing w:after="0"/>
              <w:rPr>
                <w:sz w:val="20"/>
                <w:szCs w:val="20"/>
                <w:color w:val="auto"/>
              </w:rPr>
            </w:pPr>
            <w:r>
              <w:rPr>
                <w:rFonts w:ascii="Arial" w:cs="Arial" w:eastAsia="Arial" w:hAnsi="Arial"/>
                <w:sz w:val="12"/>
                <w:szCs w:val="12"/>
                <w:color w:val="auto"/>
              </w:rPr>
              <w:t>Filed herewith.</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1280" w:type="dxa"/>
            <w:vAlign w:val="bottom"/>
            <w:gridSpan w:val="5"/>
          </w:tcPr>
          <w:p>
            <w:pPr>
              <w:ind w:left="20"/>
              <w:spacing w:after="0"/>
              <w:rPr>
                <w:sz w:val="20"/>
                <w:szCs w:val="20"/>
                <w:color w:val="auto"/>
              </w:rPr>
            </w:pPr>
            <w:r>
              <w:rPr>
                <w:rFonts w:ascii="Arial" w:cs="Arial" w:eastAsia="Arial" w:hAnsi="Arial"/>
                <w:sz w:val="12"/>
                <w:szCs w:val="12"/>
                <w:color w:val="auto"/>
              </w:rPr>
              <w:t>Furnished herewith.</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Indicates management contract or compensatory plan.</w:t>
      </w: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160"/>
          </w:cols>
          <w:pgMar w:left="220" w:top="505" w:right="519" w:bottom="1440" w:gutter="0" w:footer="0" w:header="0"/>
        </w:sectPr>
      </w:pPr>
    </w:p>
    <w:bookmarkStart w:id="84" w:name="page85"/>
    <w:bookmarkEnd w:id="84"/>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by the following persons on behalf of the registrant in the capacities and on the dates indicated.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3420" w:type="dxa"/>
            <w:vAlign w:val="bottom"/>
          </w:tcPr>
          <w:p>
            <w:pPr>
              <w:spacing w:after="0"/>
              <w:rPr>
                <w:sz w:val="13"/>
                <w:szCs w:val="13"/>
                <w:color w:val="auto"/>
              </w:rPr>
            </w:pPr>
          </w:p>
        </w:tc>
        <w:tc>
          <w:tcPr>
            <w:tcW w:w="4260" w:type="dxa"/>
            <w:vAlign w:val="bottom"/>
            <w:gridSpan w:val="2"/>
          </w:tcPr>
          <w:p>
            <w:pPr>
              <w:ind w:left="2540"/>
              <w:spacing w:after="0"/>
              <w:rPr>
                <w:sz w:val="20"/>
                <w:szCs w:val="20"/>
                <w:color w:val="auto"/>
              </w:rPr>
            </w:pPr>
            <w:r>
              <w:rPr>
                <w:rFonts w:ascii="Arial" w:cs="Arial" w:eastAsia="Arial" w:hAnsi="Arial"/>
                <w:sz w:val="12"/>
                <w:szCs w:val="12"/>
                <w:b w:val="1"/>
                <w:bCs w:val="1"/>
                <w:color w:val="auto"/>
                <w:w w:val="98"/>
              </w:rPr>
              <w:t>SELECTA BIOSCIENCES, INC.</w:t>
            </w:r>
          </w:p>
        </w:tc>
        <w:tc>
          <w:tcPr>
            <w:tcW w:w="3780" w:type="dxa"/>
            <w:vAlign w:val="bottom"/>
          </w:tcPr>
          <w:p>
            <w:pPr>
              <w:spacing w:after="0"/>
              <w:rPr>
                <w:sz w:val="13"/>
                <w:szCs w:val="13"/>
                <w:color w:val="auto"/>
              </w:rPr>
            </w:pPr>
          </w:p>
        </w:tc>
      </w:tr>
      <w:tr>
        <w:trPr>
          <w:trHeight w:val="369"/>
        </w:trPr>
        <w:tc>
          <w:tcPr>
            <w:tcW w:w="3420" w:type="dxa"/>
            <w:vAlign w:val="bottom"/>
          </w:tcPr>
          <w:p>
            <w:pPr>
              <w:spacing w:after="0"/>
              <w:rPr>
                <w:sz w:val="20"/>
                <w:szCs w:val="20"/>
                <w:color w:val="auto"/>
              </w:rPr>
            </w:pPr>
            <w:r>
              <w:rPr>
                <w:rFonts w:ascii="Arial" w:cs="Arial" w:eastAsia="Arial" w:hAnsi="Arial"/>
                <w:sz w:val="12"/>
                <w:szCs w:val="12"/>
                <w:color w:val="auto"/>
              </w:rPr>
              <w:t>Date: May 9, 2019</w:t>
            </w:r>
          </w:p>
        </w:tc>
        <w:tc>
          <w:tcPr>
            <w:tcW w:w="4260" w:type="dxa"/>
            <w:vAlign w:val="bottom"/>
            <w:gridSpan w:val="2"/>
          </w:tcPr>
          <w:p>
            <w:pPr>
              <w:ind w:left="2540"/>
              <w:spacing w:after="0"/>
              <w:rPr>
                <w:sz w:val="20"/>
                <w:szCs w:val="20"/>
                <w:color w:val="auto"/>
              </w:rPr>
            </w:pPr>
            <w:r>
              <w:rPr>
                <w:rFonts w:ascii="Arial" w:cs="Arial" w:eastAsia="Arial" w:hAnsi="Arial"/>
                <w:sz w:val="12"/>
                <w:szCs w:val="12"/>
                <w:color w:val="auto"/>
              </w:rPr>
              <w:t>By:</w:t>
            </w:r>
          </w:p>
        </w:tc>
        <w:tc>
          <w:tcPr>
            <w:tcW w:w="3780" w:type="dxa"/>
            <w:vAlign w:val="bottom"/>
          </w:tcPr>
          <w:p>
            <w:pPr>
              <w:jc w:val="center"/>
              <w:ind w:right="1220"/>
              <w:spacing w:after="0"/>
              <w:rPr>
                <w:sz w:val="20"/>
                <w:szCs w:val="20"/>
                <w:color w:val="auto"/>
              </w:rPr>
            </w:pPr>
            <w:r>
              <w:rPr>
                <w:rFonts w:ascii="Arial" w:cs="Arial" w:eastAsia="Arial" w:hAnsi="Arial"/>
                <w:sz w:val="12"/>
                <w:szCs w:val="12"/>
                <w:color w:val="auto"/>
                <w:w w:val="90"/>
              </w:rPr>
              <w:t>/s/ Carsten Brunn, Ph.D.</w:t>
            </w:r>
          </w:p>
        </w:tc>
      </w:tr>
      <w:tr>
        <w:trPr>
          <w:trHeight w:val="160"/>
        </w:trPr>
        <w:tc>
          <w:tcPr>
            <w:tcW w:w="3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jc w:val="center"/>
              <w:ind w:right="1220"/>
              <w:spacing w:after="0"/>
              <w:rPr>
                <w:sz w:val="20"/>
                <w:szCs w:val="20"/>
                <w:color w:val="auto"/>
              </w:rPr>
            </w:pPr>
            <w:r>
              <w:rPr>
                <w:rFonts w:ascii="Arial" w:cs="Arial" w:eastAsia="Arial" w:hAnsi="Arial"/>
                <w:sz w:val="12"/>
                <w:szCs w:val="12"/>
                <w:color w:val="auto"/>
                <w:w w:val="89"/>
              </w:rPr>
              <w:t>Carsten Brunn, Ph.D.</w:t>
            </w:r>
          </w:p>
        </w:tc>
      </w:tr>
      <w:tr>
        <w:trPr>
          <w:trHeight w:val="180"/>
        </w:trPr>
        <w:tc>
          <w:tcPr>
            <w:tcW w:w="34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780" w:type="dxa"/>
            <w:vAlign w:val="bottom"/>
          </w:tcPr>
          <w:p>
            <w:pPr>
              <w:jc w:val="center"/>
              <w:ind w:right="1220"/>
              <w:spacing w:after="0"/>
              <w:rPr>
                <w:sz w:val="20"/>
                <w:szCs w:val="20"/>
                <w:color w:val="auto"/>
              </w:rPr>
            </w:pPr>
            <w:r>
              <w:rPr>
                <w:rFonts w:ascii="Arial" w:cs="Arial" w:eastAsia="Arial" w:hAnsi="Arial"/>
                <w:sz w:val="12"/>
                <w:szCs w:val="12"/>
                <w:i w:val="1"/>
                <w:iCs w:val="1"/>
                <w:color w:val="auto"/>
                <w:w w:val="92"/>
              </w:rPr>
              <w:t>President and Chief Executive Officer, and Director</w:t>
            </w:r>
          </w:p>
        </w:tc>
      </w:tr>
      <w:tr>
        <w:trPr>
          <w:trHeight w:val="180"/>
        </w:trPr>
        <w:tc>
          <w:tcPr>
            <w:tcW w:w="34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780" w:type="dxa"/>
            <w:vAlign w:val="bottom"/>
          </w:tcPr>
          <w:p>
            <w:pPr>
              <w:jc w:val="center"/>
              <w:ind w:right="1240"/>
              <w:spacing w:after="0"/>
              <w:rPr>
                <w:sz w:val="20"/>
                <w:szCs w:val="20"/>
                <w:color w:val="auto"/>
              </w:rPr>
            </w:pPr>
            <w:r>
              <w:rPr>
                <w:rFonts w:ascii="Arial" w:cs="Arial" w:eastAsia="Arial" w:hAnsi="Arial"/>
                <w:sz w:val="12"/>
                <w:szCs w:val="12"/>
                <w:i w:val="1"/>
                <w:iCs w:val="1"/>
                <w:color w:val="auto"/>
                <w:w w:val="94"/>
              </w:rPr>
              <w:t>(Principal Executive Officer)</w:t>
            </w:r>
          </w:p>
        </w:tc>
      </w:tr>
      <w:tr>
        <w:trPr>
          <w:trHeight w:val="567"/>
        </w:trPr>
        <w:tc>
          <w:tcPr>
            <w:tcW w:w="3420" w:type="dxa"/>
            <w:vAlign w:val="bottom"/>
          </w:tcPr>
          <w:p>
            <w:pPr>
              <w:spacing w:after="0"/>
              <w:rPr>
                <w:sz w:val="20"/>
                <w:szCs w:val="20"/>
                <w:color w:val="auto"/>
              </w:rPr>
            </w:pPr>
            <w:r>
              <w:rPr>
                <w:rFonts w:ascii="Arial" w:cs="Arial" w:eastAsia="Arial" w:hAnsi="Arial"/>
                <w:sz w:val="12"/>
                <w:szCs w:val="12"/>
                <w:color w:val="auto"/>
              </w:rPr>
              <w:t>Date: May 9, 2019</w:t>
            </w:r>
          </w:p>
        </w:tc>
        <w:tc>
          <w:tcPr>
            <w:tcW w:w="4260" w:type="dxa"/>
            <w:vAlign w:val="bottom"/>
            <w:gridSpan w:val="2"/>
          </w:tcPr>
          <w:p>
            <w:pPr>
              <w:ind w:left="2540"/>
              <w:spacing w:after="0"/>
              <w:rPr>
                <w:sz w:val="20"/>
                <w:szCs w:val="20"/>
                <w:color w:val="auto"/>
              </w:rPr>
            </w:pPr>
            <w:r>
              <w:rPr>
                <w:rFonts w:ascii="Arial" w:cs="Arial" w:eastAsia="Arial" w:hAnsi="Arial"/>
                <w:sz w:val="12"/>
                <w:szCs w:val="12"/>
                <w:color w:val="auto"/>
              </w:rPr>
              <w:t>By:</w:t>
            </w:r>
          </w:p>
        </w:tc>
        <w:tc>
          <w:tcPr>
            <w:tcW w:w="3780" w:type="dxa"/>
            <w:vAlign w:val="bottom"/>
          </w:tcPr>
          <w:p>
            <w:pPr>
              <w:jc w:val="center"/>
              <w:ind w:right="1220"/>
              <w:spacing w:after="0"/>
              <w:rPr>
                <w:sz w:val="20"/>
                <w:szCs w:val="20"/>
                <w:color w:val="auto"/>
              </w:rPr>
            </w:pPr>
            <w:r>
              <w:rPr>
                <w:rFonts w:ascii="Arial" w:cs="Arial" w:eastAsia="Arial" w:hAnsi="Arial"/>
                <w:sz w:val="12"/>
                <w:szCs w:val="12"/>
                <w:color w:val="auto"/>
                <w:w w:val="93"/>
              </w:rPr>
              <w:t>/s/ Ann K. Donohue, CPA</w:t>
            </w:r>
          </w:p>
        </w:tc>
      </w:tr>
      <w:tr>
        <w:trPr>
          <w:trHeight w:val="160"/>
        </w:trPr>
        <w:tc>
          <w:tcPr>
            <w:tcW w:w="3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jc w:val="center"/>
              <w:ind w:right="1220"/>
              <w:spacing w:after="0"/>
              <w:rPr>
                <w:sz w:val="20"/>
                <w:szCs w:val="20"/>
                <w:color w:val="auto"/>
              </w:rPr>
            </w:pPr>
            <w:r>
              <w:rPr>
                <w:rFonts w:ascii="Arial" w:cs="Arial" w:eastAsia="Arial" w:hAnsi="Arial"/>
                <w:sz w:val="12"/>
                <w:szCs w:val="12"/>
                <w:color w:val="auto"/>
                <w:w w:val="92"/>
              </w:rPr>
              <w:t>Ann K. Donohue, CPA</w:t>
            </w:r>
          </w:p>
        </w:tc>
      </w:tr>
      <w:tr>
        <w:trPr>
          <w:trHeight w:val="180"/>
        </w:trPr>
        <w:tc>
          <w:tcPr>
            <w:tcW w:w="34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780" w:type="dxa"/>
            <w:vAlign w:val="bottom"/>
          </w:tcPr>
          <w:p>
            <w:pPr>
              <w:jc w:val="center"/>
              <w:ind w:right="1220"/>
              <w:spacing w:after="0"/>
              <w:rPr>
                <w:sz w:val="20"/>
                <w:szCs w:val="20"/>
                <w:color w:val="auto"/>
              </w:rPr>
            </w:pPr>
            <w:r>
              <w:rPr>
                <w:rFonts w:ascii="Arial" w:cs="Arial" w:eastAsia="Arial" w:hAnsi="Arial"/>
                <w:sz w:val="12"/>
                <w:szCs w:val="12"/>
                <w:i w:val="1"/>
                <w:iCs w:val="1"/>
                <w:color w:val="auto"/>
                <w:w w:val="96"/>
              </w:rPr>
              <w:t>Controller</w:t>
            </w:r>
          </w:p>
        </w:tc>
      </w:tr>
      <w:tr>
        <w:trPr>
          <w:trHeight w:val="171"/>
        </w:trPr>
        <w:tc>
          <w:tcPr>
            <w:tcW w:w="3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780" w:type="dxa"/>
            <w:vAlign w:val="bottom"/>
          </w:tcPr>
          <w:p>
            <w:pPr>
              <w:jc w:val="center"/>
              <w:ind w:right="1220"/>
              <w:spacing w:after="0"/>
              <w:rPr>
                <w:sz w:val="20"/>
                <w:szCs w:val="20"/>
                <w:color w:val="auto"/>
              </w:rPr>
            </w:pPr>
            <w:r>
              <w:rPr>
                <w:rFonts w:ascii="Arial" w:cs="Arial" w:eastAsia="Arial" w:hAnsi="Arial"/>
                <w:sz w:val="12"/>
                <w:szCs w:val="12"/>
                <w:i w:val="1"/>
                <w:iCs w:val="1"/>
                <w:color w:val="auto"/>
                <w:w w:val="95"/>
              </w:rPr>
              <w:t>(principal financial and</w:t>
            </w:r>
          </w:p>
        </w:tc>
      </w:tr>
      <w:tr>
        <w:trPr>
          <w:trHeight w:val="153"/>
        </w:trPr>
        <w:tc>
          <w:tcPr>
            <w:tcW w:w="3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780" w:type="dxa"/>
            <w:vAlign w:val="bottom"/>
          </w:tcPr>
          <w:p>
            <w:pPr>
              <w:jc w:val="center"/>
              <w:ind w:right="1220"/>
              <w:spacing w:after="0"/>
              <w:rPr>
                <w:sz w:val="20"/>
                <w:szCs w:val="20"/>
                <w:color w:val="auto"/>
              </w:rPr>
            </w:pPr>
            <w:r>
              <w:rPr>
                <w:rFonts w:ascii="Arial" w:cs="Arial" w:eastAsia="Arial" w:hAnsi="Arial"/>
                <w:sz w:val="12"/>
                <w:szCs w:val="12"/>
                <w:i w:val="1"/>
                <w:iCs w:val="1"/>
                <w:color w:val="auto"/>
                <w:w w:val="94"/>
              </w:rPr>
              <w:t>principal accounting officer)</w:t>
            </w:r>
          </w:p>
        </w:tc>
      </w:tr>
    </w:tbl>
    <w:p>
      <w:pPr>
        <w:sectPr>
          <w:pgSz w:w="11900" w:h="16838" w:orient="portrait"/>
          <w:cols w:equalWidth="0" w:num="1">
            <w:col w:w="11480"/>
          </w:cols>
          <w:pgMar w:left="220" w:top="505" w:right="199" w:bottom="1440" w:gutter="0" w:footer="0" w:header="0"/>
        </w:sectPr>
      </w:pPr>
    </w:p>
    <w:bookmarkStart w:id="85" w:name="page86"/>
    <w:bookmarkEnd w:id="85"/>
    <w:p>
      <w:pPr>
        <w:jc w:val="center"/>
        <w:ind w:right="-7"/>
        <w:spacing w:after="0"/>
        <w:rPr>
          <w:sz w:val="20"/>
          <w:szCs w:val="20"/>
          <w:color w:val="auto"/>
        </w:rPr>
      </w:pPr>
      <w:r>
        <w:rPr>
          <w:rFonts w:ascii="Arial" w:cs="Arial" w:eastAsia="Arial" w:hAnsi="Arial"/>
          <w:sz w:val="13"/>
          <w:szCs w:val="13"/>
          <w:b w:val="1"/>
          <w:bCs w:val="1"/>
          <w:u w:val="single" w:color="auto"/>
          <w:color w:val="auto"/>
        </w:rPr>
        <w:t>Employment Agreement</w:t>
      </w:r>
    </w:p>
    <w:p>
      <w:pPr>
        <w:spacing w:after="0" w:line="152" w:lineRule="exact"/>
        <w:rPr>
          <w:sz w:val="20"/>
          <w:szCs w:val="20"/>
          <w:color w:val="auto"/>
        </w:rPr>
      </w:pPr>
    </w:p>
    <w:p>
      <w:pPr>
        <w:ind w:left="8" w:right="300" w:firstLine="432"/>
        <w:spacing w:after="0" w:line="314" w:lineRule="auto"/>
        <w:rPr>
          <w:sz w:val="20"/>
          <w:szCs w:val="20"/>
          <w:color w:val="auto"/>
        </w:rPr>
      </w:pPr>
      <w:r>
        <w:rPr>
          <w:rFonts w:ascii="Arial" w:cs="Arial" w:eastAsia="Arial" w:hAnsi="Arial"/>
          <w:sz w:val="12"/>
          <w:szCs w:val="12"/>
          <w:color w:val="auto"/>
        </w:rPr>
        <w:t>This Employment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March 19, 2019, is made by and between SELECTA BIOSCIENCES, INC., a Delaware corporation (together with any successor thereto, the “</w:t>
      </w:r>
      <w:r>
        <w:rPr>
          <w:rFonts w:ascii="Arial" w:cs="Arial" w:eastAsia="Arial" w:hAnsi="Arial"/>
          <w:sz w:val="12"/>
          <w:szCs w:val="12"/>
          <w:u w:val="single" w:color="auto"/>
          <w:color w:val="auto"/>
        </w:rPr>
        <w:t>Company</w:t>
      </w:r>
      <w:r>
        <w:rPr>
          <w:rFonts w:ascii="Arial" w:cs="Arial" w:eastAsia="Arial" w:hAnsi="Arial"/>
          <w:sz w:val="12"/>
          <w:szCs w:val="12"/>
          <w:color w:val="auto"/>
        </w:rPr>
        <w:t>”), and ELONA KOGAN (“</w:t>
      </w:r>
      <w:r>
        <w:rPr>
          <w:rFonts w:ascii="Arial" w:cs="Arial" w:eastAsia="Arial" w:hAnsi="Arial"/>
          <w:sz w:val="12"/>
          <w:szCs w:val="12"/>
          <w:u w:val="single" w:color="auto"/>
          <w:color w:val="auto"/>
        </w:rPr>
        <w:t>Executive</w:t>
      </w:r>
      <w:r>
        <w:rPr>
          <w:rFonts w:ascii="Arial" w:cs="Arial" w:eastAsia="Arial" w:hAnsi="Arial"/>
          <w:sz w:val="12"/>
          <w:szCs w:val="12"/>
          <w:color w:val="auto"/>
        </w:rPr>
        <w:t>”) (collectively referred to as the “</w:t>
      </w:r>
      <w:r>
        <w:rPr>
          <w:rFonts w:ascii="Arial" w:cs="Arial" w:eastAsia="Arial" w:hAnsi="Arial"/>
          <w:sz w:val="12"/>
          <w:szCs w:val="12"/>
          <w:u w:val="single" w:color="auto"/>
          <w:color w:val="auto"/>
        </w:rPr>
        <w:t>Parties</w:t>
      </w:r>
      <w:r>
        <w:rPr>
          <w:rFonts w:ascii="Arial" w:cs="Arial" w:eastAsia="Arial" w:hAnsi="Arial"/>
          <w:sz w:val="12"/>
          <w:szCs w:val="12"/>
          <w:color w:val="auto"/>
        </w:rPr>
        <w:t>” or individually referred to as a “</w:t>
      </w:r>
      <w:r>
        <w:rPr>
          <w:rFonts w:ascii="Arial" w:cs="Arial" w:eastAsia="Arial" w:hAnsi="Arial"/>
          <w:sz w:val="12"/>
          <w:szCs w:val="12"/>
          <w:u w:val="single" w:color="auto"/>
          <w:color w:val="auto"/>
        </w:rPr>
        <w:t>Party</w:t>
      </w:r>
      <w:r>
        <w:rPr>
          <w:rFonts w:ascii="Arial" w:cs="Arial" w:eastAsia="Arial" w:hAnsi="Arial"/>
          <w:sz w:val="12"/>
          <w:szCs w:val="12"/>
          <w:color w:val="auto"/>
        </w:rPr>
        <w:t>”), and effective as of MARCH 20, 2019 (the “</w:t>
      </w:r>
      <w:r>
        <w:rPr>
          <w:rFonts w:ascii="Arial" w:cs="Arial" w:eastAsia="Arial" w:hAnsi="Arial"/>
          <w:sz w:val="12"/>
          <w:szCs w:val="12"/>
          <w:u w:val="single" w:color="auto"/>
          <w:color w:val="auto"/>
        </w:rPr>
        <w:t>Effective Date</w:t>
      </w:r>
      <w:r>
        <w:rPr>
          <w:rFonts w:ascii="Arial" w:cs="Arial" w:eastAsia="Arial" w:hAnsi="Arial"/>
          <w:sz w:val="12"/>
          <w:szCs w:val="12"/>
          <w:color w:val="auto"/>
        </w:rPr>
        <w:t>”).</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RECITALS</w:t>
      </w:r>
    </w:p>
    <w:p>
      <w:pPr>
        <w:spacing w:after="0" w:line="152"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3"/>
          <w:szCs w:val="13"/>
          <w:color w:val="auto"/>
        </w:rPr>
      </w:pPr>
      <w:r>
        <w:rPr>
          <w:rFonts w:ascii="Arial" w:cs="Arial" w:eastAsia="Arial" w:hAnsi="Arial"/>
          <w:sz w:val="13"/>
          <w:szCs w:val="13"/>
          <w:color w:val="auto"/>
        </w:rPr>
        <w:t>It is the desire of the Company to assure itself of the services of Executive on the Effective Date and thereafter by entering into this Agreement.</w:t>
      </w:r>
    </w:p>
    <w:p>
      <w:pPr>
        <w:spacing w:after="0" w:line="147" w:lineRule="exact"/>
        <w:rPr>
          <w:rFonts w:ascii="Arial" w:cs="Arial" w:eastAsia="Arial" w:hAnsi="Arial"/>
          <w:sz w:val="13"/>
          <w:szCs w:val="13"/>
          <w:color w:val="auto"/>
        </w:rPr>
      </w:pPr>
    </w:p>
    <w:p>
      <w:pPr>
        <w:ind w:left="428" w:hanging="428"/>
        <w:spacing w:after="0"/>
        <w:tabs>
          <w:tab w:leader="none" w:pos="428" w:val="left"/>
        </w:tabs>
        <w:numPr>
          <w:ilvl w:val="0"/>
          <w:numId w:val="43"/>
        </w:numPr>
        <w:rPr>
          <w:rFonts w:ascii="Arial" w:cs="Arial" w:eastAsia="Arial" w:hAnsi="Arial"/>
          <w:sz w:val="13"/>
          <w:szCs w:val="13"/>
          <w:color w:val="auto"/>
        </w:rPr>
      </w:pPr>
      <w:r>
        <w:rPr>
          <w:rFonts w:ascii="Arial" w:cs="Arial" w:eastAsia="Arial" w:hAnsi="Arial"/>
          <w:sz w:val="13"/>
          <w:szCs w:val="13"/>
          <w:color w:val="auto"/>
        </w:rPr>
        <w:t>Executive and the Company mutually desire that Executive provide services to the Company on the terms herein provided.</w:t>
      </w:r>
    </w:p>
    <w:p>
      <w:pPr>
        <w:spacing w:after="0" w:line="14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AGREEMENT</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NOW, THEREFORE, in consideration of the foregoing and of the respective covenants and agreements set forth below, the Parties hereto agree as follows:</w:t>
      </w:r>
    </w:p>
    <w:p>
      <w:pPr>
        <w:spacing w:after="0" w:line="153" w:lineRule="exact"/>
        <w:rPr>
          <w:sz w:val="20"/>
          <w:szCs w:val="20"/>
          <w:color w:val="auto"/>
        </w:rPr>
      </w:pPr>
    </w:p>
    <w:p>
      <w:pPr>
        <w:ind w:left="528" w:hanging="528"/>
        <w:spacing w:after="0"/>
        <w:tabs>
          <w:tab w:leader="none" w:pos="528"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Employment</w:t>
      </w:r>
      <w:r>
        <w:rPr>
          <w:rFonts w:ascii="Arial" w:cs="Arial" w:eastAsia="Arial" w:hAnsi="Arial"/>
          <w:sz w:val="13"/>
          <w:szCs w:val="13"/>
          <w:b w:val="1"/>
          <w:bCs w:val="1"/>
          <w:color w:val="auto"/>
        </w:rPr>
        <w:t>.</w:t>
      </w:r>
    </w:p>
    <w:p>
      <w:pPr>
        <w:spacing w:after="0" w:line="160" w:lineRule="exact"/>
        <w:rPr>
          <w:rFonts w:ascii="Arial" w:cs="Arial" w:eastAsia="Arial" w:hAnsi="Arial"/>
          <w:sz w:val="13"/>
          <w:szCs w:val="13"/>
          <w:b w:val="1"/>
          <w:bCs w:val="1"/>
          <w:color w:val="auto"/>
        </w:rPr>
      </w:pPr>
    </w:p>
    <w:p>
      <w:pPr>
        <w:ind w:left="8" w:right="60" w:firstLine="424"/>
        <w:spacing w:after="0" w:line="271" w:lineRule="auto"/>
        <w:tabs>
          <w:tab w:leader="none" w:pos="707"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3"/>
          <w:szCs w:val="13"/>
          <w:u w:val="single" w:color="auto"/>
          <w:color w:val="auto"/>
        </w:rPr>
        <w:t>Section 1</w:t>
      </w:r>
      <w:r>
        <w:rPr>
          <w:rFonts w:ascii="Arial" w:cs="Arial" w:eastAsia="Arial" w:hAnsi="Arial"/>
          <w:sz w:val="13"/>
          <w:szCs w:val="13"/>
          <w:color w:val="auto"/>
        </w:rPr>
        <w:t>, and subject to the other terms and conditions herein provided.</w:t>
      </w:r>
    </w:p>
    <w:p>
      <w:pPr>
        <w:spacing w:after="0" w:line="112" w:lineRule="exact"/>
        <w:rPr>
          <w:rFonts w:ascii="Arial" w:cs="Arial" w:eastAsia="Arial" w:hAnsi="Arial"/>
          <w:sz w:val="13"/>
          <w:szCs w:val="13"/>
          <w:color w:val="auto"/>
        </w:rPr>
      </w:pPr>
    </w:p>
    <w:p>
      <w:pPr>
        <w:ind w:left="8" w:right="40" w:firstLine="424"/>
        <w:spacing w:after="0" w:line="278" w:lineRule="auto"/>
        <w:tabs>
          <w:tab w:leader="none" w:pos="714" w:val="left"/>
        </w:tabs>
        <w:numPr>
          <w:ilvl w:val="1"/>
          <w:numId w:val="44"/>
        </w:numPr>
        <w:rPr>
          <w:rFonts w:ascii="Arial" w:cs="Arial" w:eastAsia="Arial" w:hAnsi="Arial"/>
          <w:sz w:val="12"/>
          <w:szCs w:val="12"/>
          <w:color w:val="auto"/>
        </w:rPr>
      </w:pPr>
      <w:r>
        <w:rPr>
          <w:rFonts w:ascii="Arial" w:cs="Arial" w:eastAsia="Arial" w:hAnsi="Arial"/>
          <w:sz w:val="12"/>
          <w:szCs w:val="12"/>
          <w:u w:val="single" w:color="auto"/>
          <w:color w:val="auto"/>
        </w:rPr>
        <w:t>At-Will Employment</w:t>
      </w:r>
      <w:r>
        <w:rPr>
          <w:rFonts w:ascii="Arial" w:cs="Arial" w:eastAsia="Arial" w:hAnsi="Arial"/>
          <w:sz w:val="12"/>
          <w:szCs w:val="12"/>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2"/>
          <w:szCs w:val="12"/>
          <w:u w:val="single" w:color="auto"/>
          <w:color w:val="auto"/>
        </w:rPr>
        <w:t>Section 3(b)</w:t>
      </w:r>
      <w:r>
        <w:rPr>
          <w:rFonts w:ascii="Arial" w:cs="Arial" w:eastAsia="Arial" w:hAnsi="Arial"/>
          <w:sz w:val="12"/>
          <w:szCs w:val="12"/>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2"/>
          <w:szCs w:val="12"/>
          <w:u w:val="single" w:color="auto"/>
          <w:color w:val="auto"/>
        </w:rPr>
        <w:t>Term</w:t>
      </w:r>
      <w:r>
        <w:rPr>
          <w:rFonts w:ascii="Arial" w:cs="Arial" w:eastAsia="Arial" w:hAnsi="Arial"/>
          <w:sz w:val="12"/>
          <w:szCs w:val="12"/>
          <w:color w:val="auto"/>
        </w:rPr>
        <w:t xml:space="preserve">”) shall commence on the Effective Date and end on the date this Agreement is terminated under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0" w:lineRule="exact"/>
        <w:rPr>
          <w:rFonts w:ascii="Arial" w:cs="Arial" w:eastAsia="Arial" w:hAnsi="Arial"/>
          <w:sz w:val="12"/>
          <w:szCs w:val="12"/>
          <w:color w:val="auto"/>
        </w:rPr>
      </w:pPr>
    </w:p>
    <w:p>
      <w:pPr>
        <w:ind w:left="8" w:firstLine="424"/>
        <w:spacing w:after="0" w:line="250" w:lineRule="auto"/>
        <w:tabs>
          <w:tab w:leader="none" w:pos="707"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Positions and Duties</w:t>
      </w:r>
      <w:r>
        <w:rPr>
          <w:rFonts w:ascii="Arial" w:cs="Arial" w:eastAsia="Arial" w:hAnsi="Arial"/>
          <w:sz w:val="13"/>
          <w:szCs w:val="13"/>
          <w:color w:val="auto"/>
        </w:rPr>
        <w:t>. Executive shall serve as the General Counsel and Corporate Secretary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Arial" w:cs="Arial" w:eastAsia="Arial" w:hAnsi="Arial"/>
          <w:sz w:val="13"/>
          <w:szCs w:val="13"/>
          <w:u w:val="single" w:color="auto"/>
          <w:color w:val="auto"/>
        </w:rPr>
        <w:t>Board</w:t>
      </w:r>
      <w:r>
        <w:rPr>
          <w:rFonts w:ascii="Arial" w:cs="Arial" w:eastAsia="Arial" w:hAnsi="Arial"/>
          <w:sz w:val="13"/>
          <w:szCs w:val="13"/>
          <w:color w:val="auto"/>
        </w:rPr>
        <w:t xml:space="preserve">”) to the extent such activities do not materially interfere with the performance of Executive’s duties and responsibilities under this Agreement or violate the terms of the Employee Nondisclosure, Noncompetition and Assignment of Intellectual Property Agreement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Restrictive Covenant</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Notwithstanding the above, Executive may continue to serve on any and all existing boards and committees. Executive agrees to observe and comply with the rules and policies of the Company as adopted by the Company from time to time, in each case as</w:t>
      </w:r>
    </w:p>
    <w:p>
      <w:pPr>
        <w:spacing w:after="0" w:line="2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68"/>
          </w:cols>
          <w:pgMar w:left="212" w:top="602" w:right="219" w:bottom="1440" w:gutter="0" w:footer="0" w:header="0"/>
        </w:sectPr>
      </w:pPr>
    </w:p>
    <w:bookmarkStart w:id="86" w:name="page87"/>
    <w:bookmarkEnd w:id="86"/>
    <w:p>
      <w:pPr>
        <w:ind w:left="8"/>
        <w:spacing w:after="0"/>
        <w:rPr>
          <w:sz w:val="20"/>
          <w:szCs w:val="20"/>
          <w:color w:val="auto"/>
        </w:rPr>
      </w:pPr>
      <w:r>
        <w:rPr>
          <w:rFonts w:ascii="Arial" w:cs="Arial" w:eastAsia="Arial" w:hAnsi="Arial"/>
          <w:sz w:val="13"/>
          <w:szCs w:val="13"/>
          <w:color w:val="auto"/>
        </w:rPr>
        <w:t>amended from time to time, as set forth in writing, and as delivered or made available to Executive (each, a “</w:t>
      </w:r>
      <w:r>
        <w:rPr>
          <w:rFonts w:ascii="Arial" w:cs="Arial" w:eastAsia="Arial" w:hAnsi="Arial"/>
          <w:sz w:val="13"/>
          <w:szCs w:val="13"/>
          <w:u w:val="single" w:color="auto"/>
          <w:color w:val="auto"/>
        </w:rPr>
        <w:t>Policy</w:t>
      </w:r>
      <w:r>
        <w:rPr>
          <w:rFonts w:ascii="Arial" w:cs="Arial" w:eastAsia="Arial" w:hAnsi="Arial"/>
          <w:sz w:val="13"/>
          <w:szCs w:val="13"/>
          <w:color w:val="auto"/>
        </w:rPr>
        <w:t>”).</w:t>
      </w:r>
    </w:p>
    <w:p>
      <w:pPr>
        <w:spacing w:after="0" w:line="162" w:lineRule="exact"/>
        <w:rPr>
          <w:sz w:val="20"/>
          <w:szCs w:val="20"/>
          <w:color w:val="auto"/>
        </w:rPr>
      </w:pPr>
    </w:p>
    <w:p>
      <w:pPr>
        <w:ind w:left="228" w:hanging="228"/>
        <w:spacing w:after="0"/>
        <w:tabs>
          <w:tab w:leader="none" w:pos="228" w:val="left"/>
        </w:tabs>
        <w:numPr>
          <w:ilvl w:val="0"/>
          <w:numId w:val="45"/>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Compensation and Related Matters</w:t>
      </w:r>
      <w:r>
        <w:rPr>
          <w:rFonts w:ascii="Arial" w:cs="Arial" w:eastAsia="Arial" w:hAnsi="Arial"/>
          <w:sz w:val="13"/>
          <w:szCs w:val="13"/>
          <w:b w:val="1"/>
          <w:bCs w:val="1"/>
          <w:color w:val="auto"/>
        </w:rPr>
        <w:t>.</w:t>
      </w:r>
    </w:p>
    <w:p>
      <w:pPr>
        <w:spacing w:after="0" w:line="149" w:lineRule="exact"/>
        <w:rPr>
          <w:rFonts w:ascii="Arial" w:cs="Arial" w:eastAsia="Arial" w:hAnsi="Arial"/>
          <w:sz w:val="14"/>
          <w:szCs w:val="14"/>
          <w:b w:val="1"/>
          <w:bCs w:val="1"/>
          <w:color w:val="auto"/>
        </w:rPr>
      </w:pPr>
    </w:p>
    <w:p>
      <w:pPr>
        <w:ind w:left="8" w:right="60" w:firstLine="424"/>
        <w:spacing w:after="0" w:line="258" w:lineRule="auto"/>
        <w:tabs>
          <w:tab w:leader="none" w:pos="707" w:val="left"/>
        </w:tabs>
        <w:numPr>
          <w:ilvl w:val="1"/>
          <w:numId w:val="45"/>
        </w:numPr>
        <w:rPr>
          <w:rFonts w:ascii="Arial" w:cs="Arial" w:eastAsia="Arial" w:hAnsi="Arial"/>
          <w:sz w:val="13"/>
          <w:szCs w:val="13"/>
          <w:color w:val="auto"/>
        </w:rPr>
      </w:pPr>
      <w:r>
        <w:rPr>
          <w:rFonts w:ascii="Arial" w:cs="Arial" w:eastAsia="Arial" w:hAnsi="Arial"/>
          <w:sz w:val="13"/>
          <w:szCs w:val="13"/>
          <w:u w:val="single" w:color="auto"/>
          <w:color w:val="auto"/>
        </w:rPr>
        <w:t>Annual Base Salary</w:t>
      </w:r>
      <w:r>
        <w:rPr>
          <w:rFonts w:ascii="Arial" w:cs="Arial" w:eastAsia="Arial" w:hAnsi="Arial"/>
          <w:sz w:val="13"/>
          <w:szCs w:val="13"/>
          <w:color w:val="auto"/>
        </w:rPr>
        <w:t>. During the Term, Executive shall receive a base salary at a rate of $380,000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13"/>
          <w:szCs w:val="13"/>
          <w:u w:val="single" w:color="auto"/>
          <w:color w:val="auto"/>
        </w:rPr>
        <w:t>Annual Base Salary</w:t>
      </w:r>
      <w:r>
        <w:rPr>
          <w:rFonts w:ascii="Arial" w:cs="Arial" w:eastAsia="Arial" w:hAnsi="Arial"/>
          <w:sz w:val="13"/>
          <w:szCs w:val="13"/>
          <w:color w:val="auto"/>
        </w:rPr>
        <w:t>”).</w:t>
      </w:r>
    </w:p>
    <w:p>
      <w:pPr>
        <w:spacing w:after="0" w:line="121" w:lineRule="exact"/>
        <w:rPr>
          <w:rFonts w:ascii="Arial" w:cs="Arial" w:eastAsia="Arial" w:hAnsi="Arial"/>
          <w:sz w:val="13"/>
          <w:szCs w:val="13"/>
          <w:color w:val="auto"/>
        </w:rPr>
      </w:pPr>
    </w:p>
    <w:p>
      <w:pPr>
        <w:ind w:left="8" w:firstLine="424"/>
        <w:spacing w:after="0" w:line="282" w:lineRule="auto"/>
        <w:tabs>
          <w:tab w:leader="none" w:pos="714" w:val="left"/>
        </w:tabs>
        <w:numPr>
          <w:ilvl w:val="1"/>
          <w:numId w:val="45"/>
        </w:numPr>
        <w:rPr>
          <w:rFonts w:ascii="Arial" w:cs="Arial" w:eastAsia="Arial" w:hAnsi="Arial"/>
          <w:sz w:val="12"/>
          <w:szCs w:val="12"/>
          <w:color w:val="auto"/>
        </w:rPr>
      </w:pPr>
      <w:r>
        <w:rPr>
          <w:rFonts w:ascii="Arial" w:cs="Arial" w:eastAsia="Arial" w:hAnsi="Arial"/>
          <w:sz w:val="12"/>
          <w:szCs w:val="12"/>
          <w:u w:val="single" w:color="auto"/>
          <w:color w:val="auto"/>
        </w:rPr>
        <w:t>Bonus</w:t>
      </w:r>
      <w:r>
        <w:rPr>
          <w:rFonts w:ascii="Arial" w:cs="Arial" w:eastAsia="Arial" w:hAnsi="Arial"/>
          <w:sz w:val="12"/>
          <w:szCs w:val="12"/>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2"/>
          <w:szCs w:val="12"/>
          <w:u w:val="single" w:color="auto"/>
          <w:color w:val="auto"/>
        </w:rPr>
        <w:t>Annual Bonus</w:t>
      </w:r>
      <w:r>
        <w:rPr>
          <w:rFonts w:ascii="Arial" w:cs="Arial" w:eastAsia="Arial" w:hAnsi="Arial"/>
          <w:sz w:val="12"/>
          <w:szCs w:val="12"/>
          <w:color w:val="auto"/>
        </w:rPr>
        <w:t>”) shall be targeted at 40% of Executive’s Annual Base Salary (the “</w:t>
      </w:r>
      <w:r>
        <w:rPr>
          <w:rFonts w:ascii="Arial" w:cs="Arial" w:eastAsia="Arial" w:hAnsi="Arial"/>
          <w:sz w:val="12"/>
          <w:szCs w:val="12"/>
          <w:u w:val="single" w:color="auto"/>
          <w:color w:val="auto"/>
        </w:rPr>
        <w:t>Target Bonus</w:t>
      </w:r>
      <w:r>
        <w:rPr>
          <w:rFonts w:ascii="Arial" w:cs="Arial" w:eastAsia="Arial" w:hAnsi="Arial"/>
          <w:sz w:val="12"/>
          <w:szCs w:val="12"/>
          <w:color w:val="auto"/>
        </w:rPr>
        <w:t>”). The Annual Bonus payable under the incentive program shall be based on the achievement of performance goals to be determined by the Board; provided that, Executive’s Annual Bonus for the Company’s 2019 fiscal year shall not be less than $119,934. The payment of any Annual Bonus will be made on or before March 15 of the year following the calendar year in which such Annual Bonus is earned, subject to Executive’s continued employment through the last day of the year to which such Annual Bonus relates.</w:t>
      </w:r>
    </w:p>
    <w:p>
      <w:pPr>
        <w:spacing w:after="0" w:line="108" w:lineRule="exact"/>
        <w:rPr>
          <w:rFonts w:ascii="Arial" w:cs="Arial" w:eastAsia="Arial" w:hAnsi="Arial"/>
          <w:sz w:val="12"/>
          <w:szCs w:val="12"/>
          <w:color w:val="auto"/>
        </w:rPr>
      </w:pPr>
    </w:p>
    <w:p>
      <w:pPr>
        <w:jc w:val="both"/>
        <w:ind w:left="8" w:right="120" w:firstLine="424"/>
        <w:spacing w:after="0" w:line="258" w:lineRule="auto"/>
        <w:tabs>
          <w:tab w:leader="none" w:pos="707" w:val="left"/>
        </w:tabs>
        <w:numPr>
          <w:ilvl w:val="1"/>
          <w:numId w:val="45"/>
        </w:numPr>
        <w:rPr>
          <w:rFonts w:ascii="Arial" w:cs="Arial" w:eastAsia="Arial" w:hAnsi="Arial"/>
          <w:sz w:val="13"/>
          <w:szCs w:val="13"/>
          <w:color w:val="auto"/>
        </w:rPr>
      </w:pPr>
      <w:r>
        <w:rPr>
          <w:rFonts w:ascii="Arial" w:cs="Arial" w:eastAsia="Arial" w:hAnsi="Arial"/>
          <w:sz w:val="13"/>
          <w:szCs w:val="13"/>
          <w:u w:val="single" w:color="auto"/>
          <w:color w:val="auto"/>
        </w:rPr>
        <w:t>Benefits</w:t>
      </w:r>
      <w:r>
        <w:rPr>
          <w:rFonts w:ascii="Arial" w:cs="Arial" w:eastAsia="Arial" w:hAnsi="Arial"/>
          <w:sz w:val="13"/>
          <w:szCs w:val="13"/>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of this Agreement.</w:t>
      </w:r>
    </w:p>
    <w:p>
      <w:pPr>
        <w:spacing w:after="0" w:line="121" w:lineRule="exact"/>
        <w:rPr>
          <w:rFonts w:ascii="Arial" w:cs="Arial" w:eastAsia="Arial" w:hAnsi="Arial"/>
          <w:sz w:val="13"/>
          <w:szCs w:val="13"/>
          <w:color w:val="auto"/>
        </w:rPr>
      </w:pPr>
    </w:p>
    <w:p>
      <w:pPr>
        <w:ind w:left="8" w:right="220" w:firstLine="424"/>
        <w:spacing w:after="0" w:line="258" w:lineRule="auto"/>
        <w:tabs>
          <w:tab w:leader="none" w:pos="714" w:val="left"/>
        </w:tabs>
        <w:numPr>
          <w:ilvl w:val="1"/>
          <w:numId w:val="45"/>
        </w:numPr>
        <w:rPr>
          <w:rFonts w:ascii="Arial" w:cs="Arial" w:eastAsia="Arial" w:hAnsi="Arial"/>
          <w:sz w:val="13"/>
          <w:szCs w:val="13"/>
          <w:color w:val="auto"/>
        </w:rPr>
      </w:pPr>
      <w:r>
        <w:rPr>
          <w:rFonts w:ascii="Arial" w:cs="Arial" w:eastAsia="Arial" w:hAnsi="Arial"/>
          <w:sz w:val="13"/>
          <w:szCs w:val="13"/>
          <w:u w:val="single" w:color="auto"/>
          <w:color w:val="auto"/>
        </w:rPr>
        <w:t>Vacation</w:t>
      </w:r>
      <w:r>
        <w:rPr>
          <w:rFonts w:ascii="Arial" w:cs="Arial" w:eastAsia="Arial" w:hAnsi="Arial"/>
          <w:sz w:val="13"/>
          <w:szCs w:val="13"/>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21" w:lineRule="exact"/>
        <w:rPr>
          <w:rFonts w:ascii="Arial" w:cs="Arial" w:eastAsia="Arial" w:hAnsi="Arial"/>
          <w:sz w:val="13"/>
          <w:szCs w:val="13"/>
          <w:color w:val="auto"/>
        </w:rPr>
      </w:pPr>
    </w:p>
    <w:p>
      <w:pPr>
        <w:ind w:left="8" w:right="120" w:firstLine="424"/>
        <w:spacing w:after="0" w:line="271" w:lineRule="auto"/>
        <w:tabs>
          <w:tab w:leader="none" w:pos="707" w:val="left"/>
        </w:tabs>
        <w:numPr>
          <w:ilvl w:val="1"/>
          <w:numId w:val="45"/>
        </w:numPr>
        <w:rPr>
          <w:rFonts w:ascii="Arial" w:cs="Arial" w:eastAsia="Arial" w:hAnsi="Arial"/>
          <w:sz w:val="13"/>
          <w:szCs w:val="13"/>
          <w:color w:val="auto"/>
        </w:rPr>
      </w:pPr>
      <w:r>
        <w:rPr>
          <w:rFonts w:ascii="Arial" w:cs="Arial" w:eastAsia="Arial" w:hAnsi="Arial"/>
          <w:sz w:val="13"/>
          <w:szCs w:val="13"/>
          <w:u w:val="single" w:color="auto"/>
          <w:color w:val="auto"/>
        </w:rPr>
        <w:t>Business Expenses</w:t>
      </w:r>
      <w:r>
        <w:rPr>
          <w:rFonts w:ascii="Arial" w:cs="Arial" w:eastAsia="Arial" w:hAnsi="Arial"/>
          <w:sz w:val="13"/>
          <w:szCs w:val="13"/>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12" w:lineRule="exact"/>
        <w:rPr>
          <w:rFonts w:ascii="Arial" w:cs="Arial" w:eastAsia="Arial" w:hAnsi="Arial"/>
          <w:sz w:val="13"/>
          <w:szCs w:val="13"/>
          <w:color w:val="auto"/>
        </w:rPr>
      </w:pPr>
    </w:p>
    <w:p>
      <w:pPr>
        <w:ind w:left="8" w:right="220" w:firstLine="424"/>
        <w:spacing w:after="0" w:line="282" w:lineRule="auto"/>
        <w:tabs>
          <w:tab w:leader="none" w:pos="692" w:val="left"/>
        </w:tabs>
        <w:numPr>
          <w:ilvl w:val="1"/>
          <w:numId w:val="45"/>
        </w:numPr>
        <w:rPr>
          <w:rFonts w:ascii="Arial" w:cs="Arial" w:eastAsia="Arial" w:hAnsi="Arial"/>
          <w:sz w:val="12"/>
          <w:szCs w:val="12"/>
          <w:color w:val="auto"/>
        </w:rPr>
      </w:pPr>
      <w:r>
        <w:rPr>
          <w:rFonts w:ascii="Arial" w:cs="Arial" w:eastAsia="Arial" w:hAnsi="Arial"/>
          <w:sz w:val="12"/>
          <w:szCs w:val="12"/>
          <w:u w:val="single" w:color="auto"/>
          <w:color w:val="auto"/>
        </w:rPr>
        <w:t>Key Person Insurance</w:t>
      </w:r>
      <w:r>
        <w:rPr>
          <w:rFonts w:ascii="Arial" w:cs="Arial" w:eastAsia="Arial" w:hAnsi="Arial"/>
          <w:sz w:val="12"/>
          <w:szCs w:val="12"/>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08" w:lineRule="exact"/>
        <w:rPr>
          <w:rFonts w:ascii="Arial" w:cs="Arial" w:eastAsia="Arial" w:hAnsi="Arial"/>
          <w:sz w:val="12"/>
          <w:szCs w:val="12"/>
          <w:color w:val="auto"/>
        </w:rPr>
      </w:pPr>
    </w:p>
    <w:p>
      <w:pPr>
        <w:ind w:left="8" w:right="360" w:firstLine="424"/>
        <w:spacing w:after="0" w:line="271" w:lineRule="auto"/>
        <w:tabs>
          <w:tab w:leader="none" w:pos="714" w:val="left"/>
        </w:tabs>
        <w:numPr>
          <w:ilvl w:val="1"/>
          <w:numId w:val="45"/>
        </w:numPr>
        <w:rPr>
          <w:rFonts w:ascii="Arial" w:cs="Arial" w:eastAsia="Arial" w:hAnsi="Arial"/>
          <w:sz w:val="13"/>
          <w:szCs w:val="13"/>
          <w:color w:val="auto"/>
        </w:rPr>
      </w:pPr>
      <w:r>
        <w:rPr>
          <w:rFonts w:ascii="Arial" w:cs="Arial" w:eastAsia="Arial" w:hAnsi="Arial"/>
          <w:sz w:val="13"/>
          <w:szCs w:val="13"/>
          <w:u w:val="single" w:color="auto"/>
          <w:color w:val="auto"/>
        </w:rPr>
        <w:t>Stock Option; PSUs</w:t>
      </w:r>
      <w:r>
        <w:rPr>
          <w:rFonts w:ascii="Arial" w:cs="Arial" w:eastAsia="Arial" w:hAnsi="Arial"/>
          <w:sz w:val="13"/>
          <w:szCs w:val="13"/>
          <w:color w:val="auto"/>
        </w:rPr>
        <w:t>. No later than the first regularly scheduled meeting of the Compensation Committee of the Board following the Effective Date, and subject to the approval of the Compensation Committee of the Board, Executive will be granted (i) an option to purchase 400,000</w:t>
      </w:r>
    </w:p>
    <w:p>
      <w:pPr>
        <w:spacing w:after="0" w:line="27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48"/>
          </w:cols>
          <w:pgMar w:left="212" w:top="606" w:right="239" w:bottom="1440" w:gutter="0" w:footer="0" w:header="0"/>
        </w:sectPr>
      </w:pPr>
    </w:p>
    <w:bookmarkStart w:id="87" w:name="page88"/>
    <w:bookmarkEnd w:id="87"/>
    <w:p>
      <w:pPr>
        <w:ind w:left="8" w:right="120"/>
        <w:spacing w:after="0" w:line="251" w:lineRule="auto"/>
        <w:rPr>
          <w:sz w:val="20"/>
          <w:szCs w:val="20"/>
          <w:color w:val="auto"/>
        </w:rPr>
      </w:pPr>
      <w:r>
        <w:rPr>
          <w:rFonts w:ascii="Arial" w:cs="Arial" w:eastAsia="Arial" w:hAnsi="Arial"/>
          <w:sz w:val="13"/>
          <w:szCs w:val="13"/>
          <w:color w:val="auto"/>
        </w:rPr>
        <w:t>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13"/>
          <w:szCs w:val="13"/>
          <w:u w:val="single" w:color="auto"/>
          <w:color w:val="auto"/>
        </w:rPr>
        <w:t>Option</w:t>
      </w:r>
      <w:r>
        <w:rPr>
          <w:rFonts w:ascii="Arial" w:cs="Arial" w:eastAsia="Arial" w:hAnsi="Arial"/>
          <w:sz w:val="13"/>
          <w:szCs w:val="13"/>
          <w:color w:val="auto"/>
        </w:rPr>
        <w:t>”) and (ii) 100,000 performance-based restricted stock units covering shares of the Company’s common stock (the “</w:t>
      </w:r>
      <w:r>
        <w:rPr>
          <w:rFonts w:ascii="Arial" w:cs="Arial" w:eastAsia="Arial" w:hAnsi="Arial"/>
          <w:sz w:val="13"/>
          <w:szCs w:val="13"/>
          <w:u w:val="single" w:color="auto"/>
          <w:color w:val="auto"/>
        </w:rPr>
        <w:t>PSUs</w:t>
      </w:r>
      <w:r>
        <w:rPr>
          <w:rFonts w:ascii="Arial" w:cs="Arial" w:eastAsia="Arial" w:hAnsi="Arial"/>
          <w:sz w:val="13"/>
          <w:szCs w:val="13"/>
          <w:color w:val="auto"/>
        </w:rPr>
        <w:t xml:space="preserve">”). Subject to Executive’s continued employment by the Company, the Option shall vest over a four-year period, with 25% vesting on the first anniversary of the Effective Date and the remaining 75% vesting in 36 equal monthly installments following the first anniversary of the Effective Date. The PSUs shall be subject to the terms of the Company’s incentive award plan under which they are granted and a performance-based restricted stock unit agreement in substantially the form attached as </w:t>
      </w:r>
      <w:r>
        <w:rPr>
          <w:rFonts w:ascii="Arial" w:cs="Arial" w:eastAsia="Arial" w:hAnsi="Arial"/>
          <w:sz w:val="13"/>
          <w:szCs w:val="13"/>
          <w:u w:val="single" w:color="auto"/>
          <w:color w:val="auto"/>
        </w:rPr>
        <w:t>Appendix 1</w:t>
      </w:r>
      <w:r>
        <w:rPr>
          <w:rFonts w:ascii="Arial" w:cs="Arial" w:eastAsia="Arial" w:hAnsi="Arial"/>
          <w:sz w:val="13"/>
          <w:szCs w:val="13"/>
          <w:color w:val="auto"/>
        </w:rPr>
        <w:t xml:space="preserve"> to this Agreement. The Option will be subject to the terms of the Company’s incentive award plan under which it is granted and the applicable award agreement evidencing such award.</w:t>
      </w:r>
    </w:p>
    <w:p>
      <w:pPr>
        <w:spacing w:after="0" w:line="125" w:lineRule="exact"/>
        <w:rPr>
          <w:sz w:val="20"/>
          <w:szCs w:val="20"/>
          <w:color w:val="auto"/>
        </w:rPr>
      </w:pPr>
    </w:p>
    <w:p>
      <w:pPr>
        <w:ind w:left="8" w:firstLine="424"/>
        <w:spacing w:after="0" w:line="254" w:lineRule="auto"/>
        <w:tabs>
          <w:tab w:leader="none" w:pos="714"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Signing Bonus</w:t>
      </w:r>
      <w:r>
        <w:rPr>
          <w:rFonts w:ascii="Arial" w:cs="Arial" w:eastAsia="Arial" w:hAnsi="Arial"/>
          <w:sz w:val="13"/>
          <w:szCs w:val="13"/>
          <w:color w:val="auto"/>
        </w:rPr>
        <w:t>. Executive shall receive a single lump-sum cash payment of $50,000, payable at the same time as Executive’s first regularly scheduled Company paycheck, subject to and conditioned upon Executive’s continued employment through the payment date (the “</w:t>
      </w:r>
      <w:r>
        <w:rPr>
          <w:rFonts w:ascii="Arial" w:cs="Arial" w:eastAsia="Arial" w:hAnsi="Arial"/>
          <w:sz w:val="13"/>
          <w:szCs w:val="13"/>
          <w:u w:val="single" w:color="auto"/>
          <w:color w:val="auto"/>
        </w:rPr>
        <w:t>Signing Bonus</w:t>
      </w:r>
      <w:r>
        <w:rPr>
          <w:rFonts w:ascii="Arial" w:cs="Arial" w:eastAsia="Arial" w:hAnsi="Arial"/>
          <w:sz w:val="13"/>
          <w:szCs w:val="13"/>
          <w:color w:val="auto"/>
        </w:rPr>
        <w:t>”). If Executive’s employment is terminated by the Company for Cause or by Executive other than for Good Reason (as defined below), in either case within 12 months of the Effective Date, Executive will repay the Company the full amount of the Signing Bonus and the Company will be entitled (but not required) to deduct the amount of any such repayment obligations from any amounts otherwise payable to Executive by the Company or any of its affiliates.</w:t>
      </w:r>
    </w:p>
    <w:p>
      <w:pPr>
        <w:spacing w:after="0" w:line="137" w:lineRule="exact"/>
        <w:rPr>
          <w:rFonts w:ascii="Arial" w:cs="Arial" w:eastAsia="Arial" w:hAnsi="Arial"/>
          <w:sz w:val="13"/>
          <w:szCs w:val="13"/>
          <w:color w:val="auto"/>
        </w:rPr>
      </w:pPr>
    </w:p>
    <w:p>
      <w:pPr>
        <w:ind w:left="228" w:hanging="228"/>
        <w:spacing w:after="0"/>
        <w:tabs>
          <w:tab w:leader="none" w:pos="228" w:val="left"/>
        </w:tabs>
        <w:numPr>
          <w:ilvl w:val="0"/>
          <w:numId w:val="47"/>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w:t>
      </w:r>
    </w:p>
    <w:p>
      <w:pPr>
        <w:spacing w:after="0" w:line="14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Executive’s employment hereunder may be terminated by the Company or Executive, as applicable, without any breach of this Agreement under the following circumstances:</w:t>
      </w:r>
    </w:p>
    <w:p>
      <w:pPr>
        <w:spacing w:after="0" w:line="148" w:lineRule="exact"/>
        <w:rPr>
          <w:sz w:val="20"/>
          <w:szCs w:val="20"/>
          <w:color w:val="auto"/>
        </w:rPr>
      </w:pPr>
    </w:p>
    <w:p>
      <w:pPr>
        <w:ind w:left="708" w:hanging="276"/>
        <w:spacing w:after="0"/>
        <w:tabs>
          <w:tab w:leader="none" w:pos="708"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Circumstances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108" w:hanging="243"/>
        <w:spacing w:after="0"/>
        <w:tabs>
          <w:tab w:leader="none" w:pos="1108"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Death</w:t>
      </w:r>
      <w:r>
        <w:rPr>
          <w:rFonts w:ascii="Arial" w:cs="Arial" w:eastAsia="Arial" w:hAnsi="Arial"/>
          <w:sz w:val="13"/>
          <w:szCs w:val="13"/>
          <w:color w:val="auto"/>
        </w:rPr>
        <w:t>. Executive’s employment hereunder shall terminate upon Executive’s death.</w:t>
      </w:r>
    </w:p>
    <w:p>
      <w:pPr>
        <w:spacing w:after="0" w:line="147" w:lineRule="exact"/>
        <w:rPr>
          <w:rFonts w:ascii="Arial" w:cs="Arial" w:eastAsia="Arial" w:hAnsi="Arial"/>
          <w:sz w:val="13"/>
          <w:szCs w:val="13"/>
          <w:color w:val="auto"/>
        </w:rPr>
      </w:pPr>
    </w:p>
    <w:p>
      <w:pPr>
        <w:ind w:left="1148" w:hanging="283"/>
        <w:spacing w:after="0"/>
        <w:tabs>
          <w:tab w:leader="none" w:pos="1148"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Disability</w:t>
      </w:r>
      <w:r>
        <w:rPr>
          <w:rFonts w:ascii="Arial" w:cs="Arial" w:eastAsia="Arial" w:hAnsi="Arial"/>
          <w:sz w:val="13"/>
          <w:szCs w:val="13"/>
          <w:color w:val="auto"/>
        </w:rPr>
        <w:t>. If Executive has incurred a Disability, as defined below, the Company may terminate Executive’s employment.</w:t>
      </w:r>
    </w:p>
    <w:p>
      <w:pPr>
        <w:spacing w:after="0" w:line="147" w:lineRule="exact"/>
        <w:rPr>
          <w:rFonts w:ascii="Arial" w:cs="Arial" w:eastAsia="Arial" w:hAnsi="Arial"/>
          <w:sz w:val="13"/>
          <w:szCs w:val="13"/>
          <w:color w:val="auto"/>
        </w:rPr>
      </w:pPr>
    </w:p>
    <w:p>
      <w:pPr>
        <w:ind w:left="1188" w:hanging="323"/>
        <w:spacing w:after="0"/>
        <w:tabs>
          <w:tab w:leader="none" w:pos="1188"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Termination for Cause</w:t>
      </w:r>
      <w:r>
        <w:rPr>
          <w:rFonts w:ascii="Arial" w:cs="Arial" w:eastAsia="Arial" w:hAnsi="Arial"/>
          <w:sz w:val="13"/>
          <w:szCs w:val="13"/>
          <w:color w:val="auto"/>
        </w:rPr>
        <w:t>. The Company may terminate Executive’s employment for Cause, as defined below.</w:t>
      </w:r>
    </w:p>
    <w:p>
      <w:pPr>
        <w:spacing w:after="0" w:line="147" w:lineRule="exact"/>
        <w:rPr>
          <w:rFonts w:ascii="Arial" w:cs="Arial" w:eastAsia="Arial" w:hAnsi="Arial"/>
          <w:sz w:val="13"/>
          <w:szCs w:val="13"/>
          <w:color w:val="auto"/>
        </w:rPr>
      </w:pPr>
    </w:p>
    <w:p>
      <w:pPr>
        <w:ind w:left="1168" w:hanging="303"/>
        <w:spacing w:after="0"/>
        <w:tabs>
          <w:tab w:leader="none" w:pos="1168"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Termination without Cause</w:t>
      </w:r>
      <w:r>
        <w:rPr>
          <w:rFonts w:ascii="Arial" w:cs="Arial" w:eastAsia="Arial" w:hAnsi="Arial"/>
          <w:sz w:val="13"/>
          <w:szCs w:val="13"/>
          <w:color w:val="auto"/>
        </w:rPr>
        <w:t>. The Company may terminate Executive’s employment without Cause.</w:t>
      </w:r>
    </w:p>
    <w:p>
      <w:pPr>
        <w:spacing w:after="0" w:line="147" w:lineRule="exact"/>
        <w:rPr>
          <w:rFonts w:ascii="Arial" w:cs="Arial" w:eastAsia="Arial" w:hAnsi="Arial"/>
          <w:sz w:val="13"/>
          <w:szCs w:val="13"/>
          <w:color w:val="auto"/>
        </w:rPr>
      </w:pPr>
    </w:p>
    <w:p>
      <w:pPr>
        <w:ind w:left="1148" w:hanging="283"/>
        <w:spacing w:after="0"/>
        <w:tabs>
          <w:tab w:leader="none" w:pos="1148"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Resignation from the Company with Good Reason. </w:t>
      </w:r>
      <w:r>
        <w:rPr>
          <w:rFonts w:ascii="Arial" w:cs="Arial" w:eastAsia="Arial" w:hAnsi="Arial"/>
          <w:sz w:val="13"/>
          <w:szCs w:val="13"/>
          <w:color w:val="auto"/>
        </w:rPr>
        <w:t>Executive may resign Executive’s employment with the Company with Good Reason, as defined below.</w:t>
      </w:r>
    </w:p>
    <w:p>
      <w:pPr>
        <w:spacing w:after="0" w:line="147" w:lineRule="exact"/>
        <w:rPr>
          <w:rFonts w:ascii="Arial" w:cs="Arial" w:eastAsia="Arial" w:hAnsi="Arial"/>
          <w:sz w:val="13"/>
          <w:szCs w:val="13"/>
          <w:color w:val="auto"/>
        </w:rPr>
      </w:pPr>
    </w:p>
    <w:p>
      <w:pPr>
        <w:ind w:left="1168" w:hanging="303"/>
        <w:spacing w:after="0"/>
        <w:tabs>
          <w:tab w:leader="none" w:pos="1168"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Resignation from the Company without Good Reason</w:t>
      </w:r>
      <w:r>
        <w:rPr>
          <w:rFonts w:ascii="Arial" w:cs="Arial" w:eastAsia="Arial" w:hAnsi="Arial"/>
          <w:sz w:val="13"/>
          <w:szCs w:val="13"/>
          <w:color w:val="auto"/>
        </w:rPr>
        <w:t>. Executive may resign Executive’s employment with the Company for any reason other than Good Reason or for no reason.</w:t>
      </w:r>
    </w:p>
    <w:p>
      <w:pPr>
        <w:spacing w:after="0" w:line="147" w:lineRule="exact"/>
        <w:rPr>
          <w:rFonts w:ascii="Arial" w:cs="Arial" w:eastAsia="Arial" w:hAnsi="Arial"/>
          <w:sz w:val="13"/>
          <w:szCs w:val="13"/>
          <w:color w:val="auto"/>
        </w:rPr>
      </w:pPr>
    </w:p>
    <w:p>
      <w:pPr>
        <w:ind w:left="8" w:right="60" w:firstLine="424"/>
        <w:spacing w:after="0" w:line="271" w:lineRule="auto"/>
        <w:tabs>
          <w:tab w:leader="none" w:pos="714"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Notice of Termination</w:t>
      </w:r>
      <w:r>
        <w:rPr>
          <w:rFonts w:ascii="Arial" w:cs="Arial" w:eastAsia="Arial" w:hAnsi="Arial"/>
          <w:sz w:val="13"/>
          <w:szCs w:val="13"/>
          <w:color w:val="auto"/>
        </w:rPr>
        <w:t xml:space="preserve">. Any termination of Executive’s employment by the Company or by Executive under this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(other than termination pursuant to Section 3(a)(i)) shall be communicated by a written notice to the other Party hereto (i) indicating the specific termination</w:t>
      </w:r>
    </w:p>
    <w:p>
      <w:pPr>
        <w:spacing w:after="0" w:line="27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48"/>
          </w:cols>
          <w:pgMar w:left="212" w:top="606" w:right="239" w:bottom="1440" w:gutter="0" w:footer="0" w:header="0"/>
        </w:sectPr>
      </w:pPr>
    </w:p>
    <w:bookmarkStart w:id="88" w:name="page89"/>
    <w:bookmarkEnd w:id="88"/>
    <w:p>
      <w:pPr>
        <w:ind w:left="8" w:right="200"/>
        <w:spacing w:after="0" w:line="275" w:lineRule="auto"/>
        <w:rPr>
          <w:sz w:val="20"/>
          <w:szCs w:val="20"/>
          <w:color w:val="auto"/>
        </w:rPr>
      </w:pPr>
      <w:r>
        <w:rPr>
          <w:rFonts w:ascii="Arial" w:cs="Arial" w:eastAsia="Arial" w:hAnsi="Arial"/>
          <w:sz w:val="12"/>
          <w:szCs w:val="12"/>
          <w:color w:val="auto"/>
        </w:rPr>
        <w:t>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w:t>
      </w:r>
    </w:p>
    <w:p>
      <w:pPr>
        <w:ind w:left="8" w:hanging="8"/>
        <w:spacing w:after="0" w:line="272" w:lineRule="auto"/>
        <w:tabs>
          <w:tab w:leader="none" w:pos="261" w:val="left"/>
        </w:tabs>
        <w:numPr>
          <w:ilvl w:val="0"/>
          <w:numId w:val="49"/>
        </w:numPr>
        <w:rPr>
          <w:rFonts w:ascii="Arial" w:cs="Arial" w:eastAsia="Arial" w:hAnsi="Arial"/>
          <w:sz w:val="12"/>
          <w:szCs w:val="12"/>
          <w:color w:val="auto"/>
        </w:rPr>
      </w:pPr>
      <w:r>
        <w:rPr>
          <w:rFonts w:ascii="Arial" w:cs="Arial" w:eastAsia="Arial" w:hAnsi="Arial"/>
          <w:sz w:val="12"/>
          <w:szCs w:val="12"/>
          <w:color w:val="auto"/>
        </w:rPr>
        <w:t>days following the date of such notice (a “</w:t>
      </w:r>
      <w:r>
        <w:rPr>
          <w:rFonts w:ascii="Arial" w:cs="Arial" w:eastAsia="Arial" w:hAnsi="Arial"/>
          <w:sz w:val="12"/>
          <w:szCs w:val="12"/>
          <w:u w:val="single" w:color="auto"/>
          <w:color w:val="auto"/>
        </w:rPr>
        <w:t>Notice of Termination</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2"/>
          <w:szCs w:val="12"/>
          <w:i w:val="1"/>
          <w:iCs w:val="1"/>
          <w:color w:val="auto"/>
        </w:rPr>
        <w:t>provided</w:t>
      </w:r>
      <w:r>
        <w:rPr>
          <w:rFonts w:ascii="Arial" w:cs="Arial" w:eastAsia="Arial" w:hAnsi="Arial"/>
          <w:sz w:val="12"/>
          <w:szCs w:val="12"/>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14" w:lineRule="exact"/>
        <w:rPr>
          <w:rFonts w:ascii="Arial" w:cs="Arial" w:eastAsia="Arial" w:hAnsi="Arial"/>
          <w:sz w:val="12"/>
          <w:szCs w:val="12"/>
          <w:color w:val="auto"/>
        </w:rPr>
      </w:pPr>
    </w:p>
    <w:p>
      <w:pPr>
        <w:ind w:left="8" w:firstLine="424"/>
        <w:spacing w:after="0" w:line="249" w:lineRule="auto"/>
        <w:tabs>
          <w:tab w:leader="none" w:pos="707"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Company Obligations upon Termination</w:t>
      </w:r>
      <w:r>
        <w:rPr>
          <w:rFonts w:ascii="Arial" w:cs="Arial" w:eastAsia="Arial" w:hAnsi="Arial"/>
          <w:sz w:val="13"/>
          <w:szCs w:val="13"/>
          <w:color w:val="auto"/>
        </w:rPr>
        <w:t xml:space="preserve">. Upon termination of Executive’s employment pursuant to any of the circumstances listed in this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3"/>
          <w:szCs w:val="13"/>
          <w:u w:val="single" w:color="auto"/>
          <w:color w:val="auto"/>
        </w:rPr>
        <w:t>Section 2(e)</w:t>
      </w:r>
      <w:r>
        <w:rPr>
          <w:rFonts w:ascii="Arial" w:cs="Arial" w:eastAsia="Arial" w:hAnsi="Arial"/>
          <w:sz w:val="13"/>
          <w:szCs w:val="13"/>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3"/>
          <w:szCs w:val="13"/>
          <w:u w:val="single" w:color="auto"/>
          <w:color w:val="auto"/>
        </w:rPr>
        <w:t>Company Arrangements</w:t>
      </w:r>
      <w:r>
        <w:rPr>
          <w:rFonts w:ascii="Arial" w:cs="Arial" w:eastAsia="Arial" w:hAnsi="Arial"/>
          <w:sz w:val="13"/>
          <w:szCs w:val="13"/>
          <w:color w:val="auto"/>
        </w:rPr>
        <w:t>”). Except as otherwise expressly required by law (</w:t>
      </w:r>
      <w:r>
        <w:rPr>
          <w:rFonts w:ascii="Arial" w:cs="Arial" w:eastAsia="Arial" w:hAnsi="Arial"/>
          <w:sz w:val="13"/>
          <w:szCs w:val="13"/>
          <w:u w:val="single" w:color="auto"/>
          <w:color w:val="auto"/>
        </w:rPr>
        <w:t>e.g.</w:t>
      </w:r>
      <w:r>
        <w:rPr>
          <w:rFonts w:ascii="Arial" w:cs="Arial" w:eastAsia="Arial" w:hAnsi="Arial"/>
          <w:sz w:val="13"/>
          <w:szCs w:val="13"/>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28" w:lineRule="exact"/>
        <w:rPr>
          <w:rFonts w:ascii="Arial" w:cs="Arial" w:eastAsia="Arial" w:hAnsi="Arial"/>
          <w:sz w:val="13"/>
          <w:szCs w:val="13"/>
          <w:color w:val="auto"/>
        </w:rPr>
      </w:pPr>
    </w:p>
    <w:p>
      <w:pPr>
        <w:ind w:left="8" w:right="160" w:firstLine="424"/>
        <w:spacing w:after="0" w:line="271" w:lineRule="auto"/>
        <w:tabs>
          <w:tab w:leader="none" w:pos="714"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Deemed Resignation</w:t>
      </w:r>
      <w:r>
        <w:rPr>
          <w:rFonts w:ascii="Arial" w:cs="Arial" w:eastAsia="Arial" w:hAnsi="Arial"/>
          <w:sz w:val="13"/>
          <w:szCs w:val="13"/>
          <w:color w:val="auto"/>
        </w:rPr>
        <w:t>. Upon termination of Executive’s employment for any reason, Executive shall be deemed to have resigned from all offices and directorships, if any, then held with the Company or any of its subsidiaries.</w:t>
      </w:r>
    </w:p>
    <w:p>
      <w:pPr>
        <w:spacing w:after="0" w:line="127" w:lineRule="exact"/>
        <w:rPr>
          <w:sz w:val="20"/>
          <w:szCs w:val="20"/>
          <w:color w:val="auto"/>
        </w:rPr>
      </w:pPr>
    </w:p>
    <w:p>
      <w:pPr>
        <w:ind w:left="228" w:hanging="228"/>
        <w:spacing w:after="0"/>
        <w:tabs>
          <w:tab w:leader="none" w:pos="228" w:val="left"/>
        </w:tabs>
        <w:numPr>
          <w:ilvl w:val="0"/>
          <w:numId w:val="50"/>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Severance Payments</w:t>
      </w:r>
      <w:r>
        <w:rPr>
          <w:rFonts w:ascii="Arial" w:cs="Arial" w:eastAsia="Arial" w:hAnsi="Arial"/>
          <w:sz w:val="13"/>
          <w:szCs w:val="13"/>
          <w:b w:val="1"/>
          <w:bCs w:val="1"/>
          <w:color w:val="auto"/>
        </w:rPr>
        <w:t>.</w:t>
      </w:r>
    </w:p>
    <w:p>
      <w:pPr>
        <w:spacing w:after="0" w:line="149" w:lineRule="exact"/>
        <w:rPr>
          <w:rFonts w:ascii="Arial" w:cs="Arial" w:eastAsia="Arial" w:hAnsi="Arial"/>
          <w:sz w:val="14"/>
          <w:szCs w:val="14"/>
          <w:b w:val="1"/>
          <w:bCs w:val="1"/>
          <w:color w:val="auto"/>
        </w:rPr>
      </w:pPr>
    </w:p>
    <w:p>
      <w:pPr>
        <w:ind w:left="8" w:right="220" w:firstLine="424"/>
        <w:spacing w:after="0" w:line="258" w:lineRule="auto"/>
        <w:tabs>
          <w:tab w:leader="none" w:pos="707" w:val="left"/>
        </w:tabs>
        <w:numPr>
          <w:ilvl w:val="1"/>
          <w:numId w:val="50"/>
        </w:numPr>
        <w:rPr>
          <w:rFonts w:ascii="Arial" w:cs="Arial" w:eastAsia="Arial" w:hAnsi="Arial"/>
          <w:sz w:val="13"/>
          <w:szCs w:val="13"/>
          <w:color w:val="auto"/>
        </w:rPr>
      </w:pPr>
      <w:r>
        <w:rPr>
          <w:rFonts w:ascii="Arial" w:cs="Arial" w:eastAsia="Arial" w:hAnsi="Arial"/>
          <w:sz w:val="13"/>
          <w:szCs w:val="13"/>
          <w:u w:val="single" w:color="auto"/>
          <w:color w:val="auto"/>
        </w:rPr>
        <w:t>Termination for Cause, or Termination Upon Death, Disability or Resignation from the Company Without Good Reason</w:t>
      </w:r>
      <w:r>
        <w:rPr>
          <w:rFonts w:ascii="Arial" w:cs="Arial" w:eastAsia="Arial" w:hAnsi="Arial"/>
          <w:sz w:val="13"/>
          <w:szCs w:val="13"/>
          <w:color w:val="auto"/>
        </w:rPr>
        <w:t xml:space="preserve">. If Executive’s employment shall terminate as a result of Executive’s death pursuant to </w:t>
      </w:r>
      <w:r>
        <w:rPr>
          <w:rFonts w:ascii="Arial" w:cs="Arial" w:eastAsia="Arial" w:hAnsi="Arial"/>
          <w:sz w:val="13"/>
          <w:szCs w:val="13"/>
          <w:u w:val="single" w:color="auto"/>
          <w:color w:val="auto"/>
        </w:rPr>
        <w:t>Section 3(a)(i)</w:t>
      </w:r>
      <w:r>
        <w:rPr>
          <w:rFonts w:ascii="Arial" w:cs="Arial" w:eastAsia="Arial" w:hAnsi="Arial"/>
          <w:sz w:val="13"/>
          <w:szCs w:val="13"/>
          <w:color w:val="auto"/>
        </w:rPr>
        <w:t xml:space="preserve"> or Disability pursuant to </w:t>
      </w:r>
      <w:r>
        <w:rPr>
          <w:rFonts w:ascii="Arial" w:cs="Arial" w:eastAsia="Arial" w:hAnsi="Arial"/>
          <w:sz w:val="13"/>
          <w:szCs w:val="13"/>
          <w:u w:val="single" w:color="auto"/>
          <w:color w:val="auto"/>
        </w:rPr>
        <w:t>Section 3(a)(ii)</w:t>
      </w:r>
      <w:r>
        <w:rPr>
          <w:rFonts w:ascii="Arial" w:cs="Arial" w:eastAsia="Arial" w:hAnsi="Arial"/>
          <w:sz w:val="13"/>
          <w:szCs w:val="13"/>
          <w:color w:val="auto"/>
        </w:rPr>
        <w:t xml:space="preserve">, pursuant to </w:t>
      </w:r>
      <w:r>
        <w:rPr>
          <w:rFonts w:ascii="Arial" w:cs="Arial" w:eastAsia="Arial" w:hAnsi="Arial"/>
          <w:sz w:val="13"/>
          <w:szCs w:val="13"/>
          <w:u w:val="single" w:color="auto"/>
          <w:color w:val="auto"/>
        </w:rPr>
        <w:t>Section 3(a)(iii)</w:t>
      </w:r>
      <w:r>
        <w:rPr>
          <w:rFonts w:ascii="Arial" w:cs="Arial" w:eastAsia="Arial" w:hAnsi="Arial"/>
          <w:sz w:val="13"/>
          <w:szCs w:val="13"/>
          <w:color w:val="auto"/>
        </w:rPr>
        <w:t xml:space="preserve"> for Cause, or pursuant to </w:t>
      </w:r>
      <w:r>
        <w:rPr>
          <w:rFonts w:ascii="Arial" w:cs="Arial" w:eastAsia="Arial" w:hAnsi="Arial"/>
          <w:sz w:val="13"/>
          <w:szCs w:val="13"/>
          <w:u w:val="single" w:color="auto"/>
          <w:color w:val="auto"/>
        </w:rPr>
        <w:t>Section 3(a)(vi)</w:t>
      </w:r>
      <w:r>
        <w:rPr>
          <w:rFonts w:ascii="Arial" w:cs="Arial" w:eastAsia="Arial" w:hAnsi="Arial"/>
          <w:sz w:val="13"/>
          <w:szCs w:val="13"/>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3"/>
          <w:szCs w:val="13"/>
          <w:u w:val="single" w:color="auto"/>
          <w:color w:val="auto"/>
        </w:rPr>
        <w:t>Section 3(c)</w:t>
      </w:r>
      <w:r>
        <w:rPr>
          <w:rFonts w:ascii="Arial" w:cs="Arial" w:eastAsia="Arial" w:hAnsi="Arial"/>
          <w:sz w:val="13"/>
          <w:szCs w:val="13"/>
          <w:color w:val="auto"/>
        </w:rPr>
        <w:t>.</w:t>
      </w:r>
    </w:p>
    <w:p>
      <w:pPr>
        <w:spacing w:after="0" w:line="121" w:lineRule="exact"/>
        <w:rPr>
          <w:rFonts w:ascii="Arial" w:cs="Arial" w:eastAsia="Arial" w:hAnsi="Arial"/>
          <w:sz w:val="13"/>
          <w:szCs w:val="13"/>
          <w:color w:val="auto"/>
        </w:rPr>
      </w:pPr>
    </w:p>
    <w:p>
      <w:pPr>
        <w:ind w:left="708" w:hanging="276"/>
        <w:spacing w:after="0"/>
        <w:tabs>
          <w:tab w:leader="none" w:pos="708" w:val="left"/>
        </w:tabs>
        <w:numPr>
          <w:ilvl w:val="1"/>
          <w:numId w:val="50"/>
        </w:numPr>
        <w:rPr>
          <w:rFonts w:ascii="Arial" w:cs="Arial" w:eastAsia="Arial" w:hAnsi="Arial"/>
          <w:sz w:val="13"/>
          <w:szCs w:val="13"/>
          <w:color w:val="auto"/>
        </w:rPr>
      </w:pPr>
      <w:r>
        <w:rPr>
          <w:rFonts w:ascii="Arial" w:cs="Arial" w:eastAsia="Arial" w:hAnsi="Arial"/>
          <w:sz w:val="13"/>
          <w:szCs w:val="13"/>
          <w:u w:val="single" w:color="auto"/>
          <w:color w:val="auto"/>
        </w:rPr>
        <w:t>Termination without Cause, or Resignation from the Company with Good Reason</w:t>
      </w:r>
      <w:r>
        <w:rPr>
          <w:rFonts w:ascii="Arial" w:cs="Arial" w:eastAsia="Arial" w:hAnsi="Arial"/>
          <w:sz w:val="13"/>
          <w:szCs w:val="13"/>
          <w:color w:val="auto"/>
        </w:rPr>
        <w:t xml:space="preserve">. If Executive’s employment terminates without Cause pursuant to </w:t>
      </w:r>
      <w:r>
        <w:rPr>
          <w:rFonts w:ascii="Arial" w:cs="Arial" w:eastAsia="Arial" w:hAnsi="Arial"/>
          <w:sz w:val="13"/>
          <w:szCs w:val="13"/>
          <w:u w:val="single" w:color="auto"/>
          <w:color w:val="auto"/>
        </w:rPr>
        <w:t>Section 3(a)(iv)</w:t>
      </w:r>
      <w:r>
        <w:rPr>
          <w:rFonts w:ascii="Arial" w:cs="Arial" w:eastAsia="Arial" w:hAnsi="Arial"/>
          <w:sz w:val="13"/>
          <w:szCs w:val="13"/>
          <w:color w:val="auto"/>
        </w:rPr>
        <w:t xml:space="preserve">, or pursuant to </w:t>
      </w:r>
      <w:r>
        <w:rPr>
          <w:rFonts w:ascii="Arial" w:cs="Arial" w:eastAsia="Arial" w:hAnsi="Arial"/>
          <w:sz w:val="13"/>
          <w:szCs w:val="13"/>
          <w:u w:val="single" w:color="auto"/>
          <w:color w:val="auto"/>
        </w:rPr>
        <w:t>Section</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68"/>
          </w:cols>
          <w:pgMar w:left="212" w:top="606" w:right="219" w:bottom="1440" w:gutter="0" w:footer="0" w:header="0"/>
        </w:sectPr>
      </w:pPr>
    </w:p>
    <w:bookmarkStart w:id="89" w:name="page90"/>
    <w:bookmarkEnd w:id="89"/>
    <w:p>
      <w:pPr>
        <w:ind w:right="80"/>
        <w:spacing w:after="0" w:line="258" w:lineRule="auto"/>
        <w:rPr>
          <w:sz w:val="20"/>
          <w:szCs w:val="20"/>
          <w:color w:val="auto"/>
        </w:rPr>
      </w:pPr>
      <w:r>
        <w:rPr>
          <w:rFonts w:ascii="Arial" w:cs="Arial" w:eastAsia="Arial" w:hAnsi="Arial"/>
          <w:sz w:val="13"/>
          <w:szCs w:val="13"/>
          <w:u w:val="single" w:color="auto"/>
          <w:color w:val="auto"/>
        </w:rPr>
        <w:t>3(a)(v)</w:t>
      </w:r>
      <w:r>
        <w:rPr>
          <w:rFonts w:ascii="Arial" w:cs="Arial" w:eastAsia="Arial" w:hAnsi="Arial"/>
          <w:sz w:val="13"/>
          <w:szCs w:val="13"/>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and Executive’s continued compliance with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Executive shall receive, in addition to payments and benefits set forth in </w:t>
      </w:r>
      <w:r>
        <w:rPr>
          <w:rFonts w:ascii="Arial" w:cs="Arial" w:eastAsia="Arial" w:hAnsi="Arial"/>
          <w:sz w:val="13"/>
          <w:szCs w:val="13"/>
          <w:u w:val="single" w:color="auto"/>
          <w:color w:val="auto"/>
        </w:rPr>
        <w:t>Section 3(c)</w:t>
      </w:r>
      <w:r>
        <w:rPr>
          <w:rFonts w:ascii="Arial" w:cs="Arial" w:eastAsia="Arial" w:hAnsi="Arial"/>
          <w:sz w:val="13"/>
          <w:szCs w:val="13"/>
          <w:color w:val="auto"/>
        </w:rPr>
        <w:t>, the following:</w:t>
      </w:r>
    </w:p>
    <w:p>
      <w:pPr>
        <w:spacing w:after="0" w:line="121" w:lineRule="exact"/>
        <w:rPr>
          <w:sz w:val="20"/>
          <w:szCs w:val="20"/>
          <w:color w:val="auto"/>
        </w:rPr>
      </w:pPr>
    </w:p>
    <w:p>
      <w:pPr>
        <w:ind w:left="420" w:right="140" w:firstLine="437"/>
        <w:spacing w:after="0" w:line="258" w:lineRule="auto"/>
        <w:tabs>
          <w:tab w:leader="none" w:pos="1097"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3"/>
          <w:szCs w:val="13"/>
          <w:u w:val="single" w:color="auto"/>
          <w:color w:val="auto"/>
        </w:rPr>
        <w:t>Severance Period</w:t>
      </w:r>
      <w:r>
        <w:rPr>
          <w:rFonts w:ascii="Arial" w:cs="Arial" w:eastAsia="Arial" w:hAnsi="Arial"/>
          <w:sz w:val="13"/>
          <w:szCs w:val="13"/>
          <w:color w:val="auto"/>
        </w:rPr>
        <w:t>”) in accordance with the Company’s normal payroll practices, commencing on the Company’s next regular payday that is at least five days following the effective date of the Release (with the first payment including all amounts accrued to that date) (the “</w:t>
      </w:r>
      <w:r>
        <w:rPr>
          <w:rFonts w:ascii="Arial" w:cs="Arial" w:eastAsia="Arial" w:hAnsi="Arial"/>
          <w:sz w:val="13"/>
          <w:szCs w:val="13"/>
          <w:u w:val="single" w:color="auto"/>
          <w:color w:val="auto"/>
        </w:rPr>
        <w:t>Payment Date</w:t>
      </w:r>
      <w:r>
        <w:rPr>
          <w:rFonts w:ascii="Arial" w:cs="Arial" w:eastAsia="Arial" w:hAnsi="Arial"/>
          <w:sz w:val="13"/>
          <w:szCs w:val="13"/>
          <w:color w:val="auto"/>
        </w:rPr>
        <w:t>”);</w:t>
      </w:r>
    </w:p>
    <w:p>
      <w:pPr>
        <w:spacing w:after="0" w:line="121" w:lineRule="exact"/>
        <w:rPr>
          <w:rFonts w:ascii="Arial" w:cs="Arial" w:eastAsia="Arial" w:hAnsi="Arial"/>
          <w:sz w:val="13"/>
          <w:szCs w:val="13"/>
          <w:color w:val="auto"/>
        </w:rPr>
      </w:pPr>
    </w:p>
    <w:p>
      <w:pPr>
        <w:jc w:val="both"/>
        <w:ind w:left="420" w:firstLine="437"/>
        <w:spacing w:after="0" w:line="275" w:lineRule="auto"/>
        <w:tabs>
          <w:tab w:leader="none" w:pos="1134" w:val="left"/>
        </w:tabs>
        <w:numPr>
          <w:ilvl w:val="1"/>
          <w:numId w:val="51"/>
        </w:numPr>
        <w:rPr>
          <w:rFonts w:ascii="Arial" w:cs="Arial" w:eastAsia="Arial" w:hAnsi="Arial"/>
          <w:sz w:val="12"/>
          <w:szCs w:val="12"/>
          <w:color w:val="auto"/>
        </w:rPr>
      </w:pPr>
      <w:r>
        <w:rPr>
          <w:rFonts w:ascii="Arial" w:cs="Arial" w:eastAsia="Arial" w:hAnsi="Arial"/>
          <w:sz w:val="12"/>
          <w:szCs w:val="12"/>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w:t>
      </w:r>
    </w:p>
    <w:p>
      <w:pPr>
        <w:ind w:left="420" w:right="360" w:firstLine="4"/>
        <w:spacing w:after="0" w:line="255" w:lineRule="auto"/>
        <w:tabs>
          <w:tab w:leader="none" w:pos="629"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22" w:lineRule="exact"/>
        <w:rPr>
          <w:rFonts w:ascii="Arial" w:cs="Arial" w:eastAsia="Arial" w:hAnsi="Arial"/>
          <w:sz w:val="13"/>
          <w:szCs w:val="13"/>
          <w:color w:val="auto"/>
        </w:rPr>
      </w:pPr>
    </w:p>
    <w:p>
      <w:pPr>
        <w:ind w:left="420" w:right="40" w:firstLine="437"/>
        <w:spacing w:after="0" w:line="274" w:lineRule="auto"/>
        <w:tabs>
          <w:tab w:leader="none" w:pos="1170" w:val="left"/>
        </w:tabs>
        <w:numPr>
          <w:ilvl w:val="1"/>
          <w:numId w:val="52"/>
        </w:numPr>
        <w:rPr>
          <w:rFonts w:ascii="Arial" w:cs="Arial" w:eastAsia="Arial" w:hAnsi="Arial"/>
          <w:sz w:val="12"/>
          <w:szCs w:val="12"/>
          <w:color w:val="auto"/>
        </w:rPr>
      </w:pPr>
      <w:r>
        <w:rPr>
          <w:rFonts w:ascii="Arial" w:cs="Arial" w:eastAsia="Arial" w:hAnsi="Arial"/>
          <w:sz w:val="12"/>
          <w:szCs w:val="12"/>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2"/>
          <w:szCs w:val="12"/>
          <w:u w:val="single" w:color="auto"/>
          <w:color w:val="auto"/>
        </w:rPr>
        <w:t>COBRA</w:t>
      </w:r>
      <w:r>
        <w:rPr>
          <w:rFonts w:ascii="Arial" w:cs="Arial" w:eastAsia="Arial" w:hAnsi="Arial"/>
          <w:sz w:val="12"/>
          <w:szCs w:val="12"/>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13" w:lineRule="exact"/>
        <w:rPr>
          <w:sz w:val="20"/>
          <w:szCs w:val="20"/>
          <w:color w:val="auto"/>
        </w:rPr>
      </w:pPr>
    </w:p>
    <w:p>
      <w:pPr>
        <w:ind w:right="120" w:firstLine="424"/>
        <w:spacing w:after="0" w:line="238" w:lineRule="auto"/>
        <w:tabs>
          <w:tab w:leader="none" w:pos="699"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3"/>
          <w:szCs w:val="13"/>
          <w:u w:val="single" w:color="auto"/>
          <w:color w:val="auto"/>
        </w:rPr>
        <w:t>Section 3(a)(iv)</w:t>
      </w:r>
      <w:r>
        <w:rPr>
          <w:rFonts w:ascii="Arial" w:cs="Arial" w:eastAsia="Arial" w:hAnsi="Arial"/>
          <w:sz w:val="13"/>
          <w:szCs w:val="13"/>
          <w:color w:val="auto"/>
        </w:rPr>
        <w:t xml:space="preserve">, or pursuant to </w:t>
      </w:r>
      <w:r>
        <w:rPr>
          <w:rFonts w:ascii="Arial" w:cs="Arial" w:eastAsia="Arial" w:hAnsi="Arial"/>
          <w:sz w:val="13"/>
          <w:szCs w:val="13"/>
          <w:u w:val="single" w:color="auto"/>
          <w:color w:val="auto"/>
        </w:rPr>
        <w:t>Section 3(a)(v)</w:t>
      </w:r>
      <w:r>
        <w:rPr>
          <w:rFonts w:ascii="Arial" w:cs="Arial" w:eastAsia="Arial" w:hAnsi="Arial"/>
          <w:sz w:val="13"/>
          <w:szCs w:val="13"/>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Executive shall receive, in addition to the payments and benefits set forth in </w:t>
      </w:r>
      <w:r>
        <w:rPr>
          <w:rFonts w:ascii="Arial" w:cs="Arial" w:eastAsia="Arial" w:hAnsi="Arial"/>
          <w:sz w:val="13"/>
          <w:szCs w:val="13"/>
          <w:u w:val="single" w:color="auto"/>
          <w:color w:val="auto"/>
        </w:rPr>
        <w:t>Section 3(c)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4(b)</w:t>
      </w:r>
      <w:r>
        <w:rPr>
          <w:rFonts w:ascii="Arial" w:cs="Arial" w:eastAsia="Arial" w:hAnsi="Arial"/>
          <w:sz w:val="13"/>
          <w:szCs w:val="13"/>
          <w:color w:val="auto"/>
        </w:rPr>
        <w:t>, immediate vesting of all unvested equity or equity-based awards held by Executive under any Company equity compensation plans.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606" w:right="219" w:bottom="1440" w:gutter="0" w:footer="0" w:header="0"/>
        </w:sectPr>
      </w:pPr>
    </w:p>
    <w:bookmarkStart w:id="90" w:name="page91"/>
    <w:bookmarkEnd w:id="90"/>
    <w:p>
      <w:pPr>
        <w:ind w:left="708" w:hanging="276"/>
        <w:spacing w:after="0"/>
        <w:tabs>
          <w:tab w:leader="none" w:pos="708" w:val="left"/>
        </w:tabs>
        <w:numPr>
          <w:ilvl w:val="1"/>
          <w:numId w:val="54"/>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Notwithstanding anything to the contrary in this Agreement, the provisions of </w:t>
      </w:r>
      <w:r>
        <w:rPr>
          <w:rFonts w:ascii="Arial" w:cs="Arial" w:eastAsia="Arial" w:hAnsi="Arial"/>
          <w:sz w:val="12"/>
          <w:szCs w:val="12"/>
          <w:u w:val="single" w:color="auto"/>
          <w:color w:val="auto"/>
        </w:rPr>
        <w:t>Sections 5</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9</w:t>
      </w:r>
      <w:r>
        <w:rPr>
          <w:rFonts w:ascii="Arial" w:cs="Arial" w:eastAsia="Arial" w:hAnsi="Arial"/>
          <w:sz w:val="12"/>
          <w:szCs w:val="12"/>
          <w:color w:val="auto"/>
        </w:rPr>
        <w:t xml:space="preserve"> will survive the termination of Executive’s employment and the termination of the Term.</w:t>
      </w:r>
    </w:p>
    <w:p>
      <w:pPr>
        <w:spacing w:after="0" w:line="173" w:lineRule="exact"/>
        <w:rPr>
          <w:rFonts w:ascii="Arial" w:cs="Arial" w:eastAsia="Arial" w:hAnsi="Arial"/>
          <w:sz w:val="12"/>
          <w:szCs w:val="12"/>
          <w:color w:val="auto"/>
        </w:rPr>
      </w:pPr>
    </w:p>
    <w:p>
      <w:pPr>
        <w:ind w:left="8" w:right="260" w:hanging="8"/>
        <w:spacing w:after="0" w:line="312" w:lineRule="auto"/>
        <w:tabs>
          <w:tab w:leader="none" w:pos="236" w:val="left"/>
        </w:tabs>
        <w:numPr>
          <w:ilvl w:val="0"/>
          <w:numId w:val="55"/>
        </w:numPr>
        <w:rPr>
          <w:rFonts w:ascii="Arial" w:cs="Arial" w:eastAsia="Arial" w:hAnsi="Arial"/>
          <w:sz w:val="13"/>
          <w:szCs w:val="13"/>
          <w:b w:val="1"/>
          <w:bCs w:val="1"/>
          <w:color w:val="auto"/>
        </w:rPr>
      </w:pPr>
      <w:r>
        <w:rPr>
          <w:rFonts w:ascii="Arial" w:cs="Arial" w:eastAsia="Arial" w:hAnsi="Arial"/>
          <w:sz w:val="12"/>
          <w:szCs w:val="12"/>
          <w:b w:val="1"/>
          <w:bCs w:val="1"/>
          <w:u w:val="single" w:color="auto"/>
          <w:color w:val="auto"/>
        </w:rPr>
        <w:t>Restrictive Covenants</w:t>
      </w:r>
      <w:r>
        <w:rPr>
          <w:rFonts w:ascii="Arial" w:cs="Arial" w:eastAsia="Arial" w:hAnsi="Arial"/>
          <w:sz w:val="12"/>
          <w:szCs w:val="12"/>
          <w:b w:val="1"/>
          <w:bCs w:val="1"/>
          <w:color w:val="auto"/>
        </w:rPr>
        <w:t xml:space="preserve">. </w:t>
      </w:r>
      <w:r>
        <w:rPr>
          <w:rFonts w:ascii="Arial" w:cs="Arial" w:eastAsia="Arial" w:hAnsi="Arial"/>
          <w:sz w:val="12"/>
          <w:szCs w:val="12"/>
          <w:color w:val="auto"/>
        </w:rPr>
        <w:t>As a condition to the effectiveness of this Agreement, Executive will execute and deliver to the Company contemporaneously herewith the Restrictive Covenant Agreement. Executive</w:t>
      </w:r>
      <w:r>
        <w:rPr>
          <w:rFonts w:ascii="Arial" w:cs="Arial" w:eastAsia="Arial" w:hAnsi="Arial"/>
          <w:sz w:val="12"/>
          <w:szCs w:val="12"/>
          <w:b w:val="1"/>
          <w:bCs w:val="1"/>
          <w:color w:val="auto"/>
        </w:rPr>
        <w:t xml:space="preserve"> </w:t>
      </w:r>
      <w:r>
        <w:rPr>
          <w:rFonts w:ascii="Arial" w:cs="Arial" w:eastAsia="Arial" w:hAnsi="Arial"/>
          <w:sz w:val="12"/>
          <w:szCs w:val="12"/>
          <w:color w:val="auto"/>
        </w:rPr>
        <w:t>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13" w:lineRule="exact"/>
        <w:rPr>
          <w:rFonts w:ascii="Arial" w:cs="Arial" w:eastAsia="Arial" w:hAnsi="Arial"/>
          <w:sz w:val="13"/>
          <w:szCs w:val="13"/>
          <w:b w:val="1"/>
          <w:bCs w:val="1"/>
          <w:color w:val="auto"/>
        </w:rPr>
      </w:pPr>
    </w:p>
    <w:p>
      <w:pPr>
        <w:ind w:left="228" w:hanging="228"/>
        <w:spacing w:after="0"/>
        <w:tabs>
          <w:tab w:leader="none" w:pos="228" w:val="left"/>
        </w:tabs>
        <w:numPr>
          <w:ilvl w:val="0"/>
          <w:numId w:val="55"/>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Assignment and Successors</w:t>
      </w:r>
      <w:r>
        <w:rPr>
          <w:rFonts w:ascii="Arial" w:cs="Arial" w:eastAsia="Arial" w:hAnsi="Arial"/>
          <w:sz w:val="13"/>
          <w:szCs w:val="13"/>
          <w:b w:val="1"/>
          <w:bCs w:val="1"/>
          <w:color w:val="auto"/>
        </w:rPr>
        <w:t>.</w:t>
      </w:r>
    </w:p>
    <w:p>
      <w:pPr>
        <w:spacing w:after="0" w:line="149" w:lineRule="exact"/>
        <w:rPr>
          <w:sz w:val="20"/>
          <w:szCs w:val="20"/>
          <w:color w:val="auto"/>
        </w:rPr>
      </w:pPr>
    </w:p>
    <w:p>
      <w:pPr>
        <w:ind w:left="8" w:right="40" w:firstLine="432"/>
        <w:spacing w:after="0" w:line="278" w:lineRule="auto"/>
        <w:rPr>
          <w:sz w:val="20"/>
          <w:szCs w:val="20"/>
          <w:color w:val="auto"/>
        </w:rPr>
      </w:pPr>
      <w:r>
        <w:rPr>
          <w:rFonts w:ascii="Arial" w:cs="Arial" w:eastAsia="Arial" w:hAnsi="Arial"/>
          <w:sz w:val="12"/>
          <w:szCs w:val="12"/>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25" w:lineRule="exact"/>
        <w:rPr>
          <w:sz w:val="20"/>
          <w:szCs w:val="20"/>
          <w:color w:val="auto"/>
        </w:rPr>
      </w:pPr>
    </w:p>
    <w:p>
      <w:pPr>
        <w:ind w:left="228" w:hanging="228"/>
        <w:spacing w:after="0"/>
        <w:tabs>
          <w:tab w:leader="none" w:pos="228" w:val="left"/>
        </w:tabs>
        <w:numPr>
          <w:ilvl w:val="0"/>
          <w:numId w:val="56"/>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Certain Definitions</w:t>
      </w:r>
      <w:r>
        <w:rPr>
          <w:rFonts w:ascii="Arial" w:cs="Arial" w:eastAsia="Arial" w:hAnsi="Arial"/>
          <w:sz w:val="13"/>
          <w:szCs w:val="13"/>
          <w:b w:val="1"/>
          <w:bCs w:val="1"/>
          <w:color w:val="auto"/>
        </w:rPr>
        <w:t>.</w:t>
      </w:r>
    </w:p>
    <w:p>
      <w:pPr>
        <w:spacing w:after="0" w:line="149" w:lineRule="exact"/>
        <w:rPr>
          <w:rFonts w:ascii="Arial" w:cs="Arial" w:eastAsia="Arial" w:hAnsi="Arial"/>
          <w:sz w:val="14"/>
          <w:szCs w:val="14"/>
          <w:b w:val="1"/>
          <w:bCs w:val="1"/>
          <w:color w:val="auto"/>
        </w:rPr>
      </w:pPr>
    </w:p>
    <w:p>
      <w:pPr>
        <w:ind w:left="708" w:hanging="276"/>
        <w:spacing w:after="0"/>
        <w:tabs>
          <w:tab w:leader="none" w:pos="708" w:val="left"/>
        </w:tabs>
        <w:numPr>
          <w:ilvl w:val="1"/>
          <w:numId w:val="56"/>
        </w:numPr>
        <w:rPr>
          <w:rFonts w:ascii="Arial" w:cs="Arial" w:eastAsia="Arial" w:hAnsi="Arial"/>
          <w:sz w:val="13"/>
          <w:szCs w:val="13"/>
          <w:color w:val="auto"/>
        </w:rPr>
      </w:pPr>
      <w:r>
        <w:rPr>
          <w:rFonts w:ascii="Arial" w:cs="Arial" w:eastAsia="Arial" w:hAnsi="Arial"/>
          <w:sz w:val="13"/>
          <w:szCs w:val="13"/>
          <w:u w:val="single" w:color="auto"/>
          <w:color w:val="auto"/>
        </w:rPr>
        <w:t>Cause</w:t>
      </w:r>
      <w:r>
        <w:rPr>
          <w:rFonts w:ascii="Arial" w:cs="Arial" w:eastAsia="Arial" w:hAnsi="Arial"/>
          <w:sz w:val="13"/>
          <w:szCs w:val="13"/>
          <w:color w:val="auto"/>
        </w:rPr>
        <w:t>. The Company shall have “Cause” to terminate Executive’s employment hereunder upon:</w:t>
      </w:r>
    </w:p>
    <w:p>
      <w:pPr>
        <w:spacing w:after="0" w:line="147" w:lineRule="exact"/>
        <w:rPr>
          <w:rFonts w:ascii="Arial" w:cs="Arial" w:eastAsia="Arial" w:hAnsi="Arial"/>
          <w:sz w:val="13"/>
          <w:szCs w:val="13"/>
          <w:color w:val="auto"/>
        </w:rPr>
      </w:pPr>
    </w:p>
    <w:p>
      <w:pPr>
        <w:ind w:left="428" w:right="360" w:firstLine="437"/>
        <w:spacing w:after="0" w:line="314" w:lineRule="auto"/>
        <w:tabs>
          <w:tab w:leader="none" w:pos="1105" w:val="left"/>
        </w:tabs>
        <w:numPr>
          <w:ilvl w:val="2"/>
          <w:numId w:val="56"/>
        </w:numPr>
        <w:rPr>
          <w:rFonts w:ascii="Arial" w:cs="Arial" w:eastAsia="Arial" w:hAnsi="Arial"/>
          <w:sz w:val="12"/>
          <w:szCs w:val="12"/>
          <w:color w:val="auto"/>
        </w:rPr>
      </w:pPr>
      <w:r>
        <w:rPr>
          <w:rFonts w:ascii="Arial" w:cs="Arial" w:eastAsia="Arial" w:hAnsi="Arial"/>
          <w:sz w:val="12"/>
          <w:szCs w:val="12"/>
          <w:color w:val="auto"/>
        </w:rPr>
        <w:t>Executive’s material failure to perform (other than by reason of Disability), or material negligence in the performance of, Executive’s duties and responsibilities to the Company or any of its affiliates which misconduct has not been cured (or cannot be reasonably cured) within thirty (30) days after the Company gives written notice to Executive regarding such misconduct; or</w:t>
      </w:r>
    </w:p>
    <w:p>
      <w:pPr>
        <w:spacing w:after="0" w:line="89" w:lineRule="exact"/>
        <w:rPr>
          <w:rFonts w:ascii="Arial" w:cs="Arial" w:eastAsia="Arial" w:hAnsi="Arial"/>
          <w:sz w:val="12"/>
          <w:szCs w:val="12"/>
          <w:color w:val="auto"/>
        </w:rPr>
      </w:pPr>
    </w:p>
    <w:p>
      <w:pPr>
        <w:ind w:left="1148" w:hanging="283"/>
        <w:spacing w:after="0"/>
        <w:tabs>
          <w:tab w:leader="none" w:pos="1148" w:val="left"/>
        </w:tabs>
        <w:numPr>
          <w:ilvl w:val="2"/>
          <w:numId w:val="56"/>
        </w:numPr>
        <w:rPr>
          <w:rFonts w:ascii="Arial" w:cs="Arial" w:eastAsia="Arial" w:hAnsi="Arial"/>
          <w:sz w:val="13"/>
          <w:szCs w:val="13"/>
          <w:color w:val="auto"/>
        </w:rPr>
      </w:pPr>
      <w:r>
        <w:rPr>
          <w:rFonts w:ascii="Arial" w:cs="Arial" w:eastAsia="Arial" w:hAnsi="Arial"/>
          <w:sz w:val="13"/>
          <w:szCs w:val="13"/>
          <w:color w:val="auto"/>
        </w:rPr>
        <w:t>Executive’s commission of, or indictment or conviction for, any felony or any crime involving dishonesty by Executive;</w:t>
      </w:r>
    </w:p>
    <w:p>
      <w:pPr>
        <w:spacing w:after="0" w:line="147" w:lineRule="exact"/>
        <w:rPr>
          <w:rFonts w:ascii="Arial" w:cs="Arial" w:eastAsia="Arial" w:hAnsi="Arial"/>
          <w:sz w:val="13"/>
          <w:szCs w:val="13"/>
          <w:color w:val="auto"/>
        </w:rPr>
      </w:pPr>
    </w:p>
    <w:p>
      <w:pPr>
        <w:ind w:left="1188" w:hanging="323"/>
        <w:spacing w:after="0"/>
        <w:tabs>
          <w:tab w:leader="none" w:pos="1188" w:val="left"/>
        </w:tabs>
        <w:numPr>
          <w:ilvl w:val="2"/>
          <w:numId w:val="56"/>
        </w:numPr>
        <w:rPr>
          <w:rFonts w:ascii="Arial" w:cs="Arial" w:eastAsia="Arial" w:hAnsi="Arial"/>
          <w:sz w:val="13"/>
          <w:szCs w:val="13"/>
          <w:color w:val="auto"/>
        </w:rPr>
      </w:pPr>
      <w:r>
        <w:rPr>
          <w:rFonts w:ascii="Arial" w:cs="Arial" w:eastAsia="Arial" w:hAnsi="Arial"/>
          <w:sz w:val="13"/>
          <w:szCs w:val="13"/>
          <w:color w:val="auto"/>
        </w:rPr>
        <w:t>Executive’s participation in any fraud against the Company or any of its affiliates;</w:t>
      </w:r>
    </w:p>
    <w:p>
      <w:pPr>
        <w:spacing w:after="0" w:line="147" w:lineRule="exact"/>
        <w:rPr>
          <w:rFonts w:ascii="Arial" w:cs="Arial" w:eastAsia="Arial" w:hAnsi="Arial"/>
          <w:sz w:val="13"/>
          <w:szCs w:val="13"/>
          <w:color w:val="auto"/>
        </w:rPr>
      </w:pPr>
    </w:p>
    <w:p>
      <w:pPr>
        <w:ind w:left="1168" w:hanging="303"/>
        <w:spacing w:after="0"/>
        <w:tabs>
          <w:tab w:leader="none" w:pos="1168" w:val="left"/>
        </w:tabs>
        <w:numPr>
          <w:ilvl w:val="2"/>
          <w:numId w:val="56"/>
        </w:numPr>
        <w:rPr>
          <w:rFonts w:ascii="Arial" w:cs="Arial" w:eastAsia="Arial" w:hAnsi="Arial"/>
          <w:sz w:val="13"/>
          <w:szCs w:val="13"/>
          <w:color w:val="auto"/>
        </w:rPr>
      </w:pPr>
      <w:r>
        <w:rPr>
          <w:rFonts w:ascii="Arial" w:cs="Arial" w:eastAsia="Arial" w:hAnsi="Arial"/>
          <w:sz w:val="13"/>
          <w:szCs w:val="13"/>
          <w:color w:val="auto"/>
        </w:rPr>
        <w:t>Any intentional material damage to any property of the Company or any of its affiliates by Executive;</w:t>
      </w:r>
    </w:p>
    <w:p>
      <w:pPr>
        <w:spacing w:after="0" w:line="147" w:lineRule="exact"/>
        <w:rPr>
          <w:rFonts w:ascii="Arial" w:cs="Arial" w:eastAsia="Arial" w:hAnsi="Arial"/>
          <w:sz w:val="13"/>
          <w:szCs w:val="13"/>
          <w:color w:val="auto"/>
        </w:rPr>
      </w:pPr>
    </w:p>
    <w:p>
      <w:pPr>
        <w:ind w:left="428" w:firstLine="437"/>
        <w:spacing w:after="0" w:line="271" w:lineRule="auto"/>
        <w:tabs>
          <w:tab w:leader="none" w:pos="1134" w:val="left"/>
        </w:tabs>
        <w:numPr>
          <w:ilvl w:val="2"/>
          <w:numId w:val="56"/>
        </w:numPr>
        <w:rPr>
          <w:rFonts w:ascii="Arial" w:cs="Arial" w:eastAsia="Arial" w:hAnsi="Arial"/>
          <w:sz w:val="13"/>
          <w:szCs w:val="13"/>
          <w:color w:val="auto"/>
        </w:rPr>
      </w:pPr>
      <w:r>
        <w:rPr>
          <w:rFonts w:ascii="Arial" w:cs="Arial" w:eastAsia="Arial" w:hAnsi="Arial"/>
          <w:sz w:val="13"/>
          <w:szCs w:val="13"/>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8"/>
          </w:cols>
          <w:pgMar w:left="212" w:top="606" w:right="219" w:bottom="1440" w:gutter="0" w:footer="0" w:header="0"/>
        </w:sectPr>
      </w:pPr>
    </w:p>
    <w:bookmarkStart w:id="91" w:name="page92"/>
    <w:bookmarkEnd w:id="91"/>
    <w:p>
      <w:pPr>
        <w:ind w:left="420" w:right="340" w:firstLine="437"/>
        <w:spacing w:after="0" w:line="271" w:lineRule="auto"/>
        <w:tabs>
          <w:tab w:leader="none" w:pos="1163" w:val="left"/>
        </w:tabs>
        <w:numPr>
          <w:ilvl w:val="1"/>
          <w:numId w:val="57"/>
        </w:numPr>
        <w:rPr>
          <w:rFonts w:ascii="Arial" w:cs="Arial" w:eastAsia="Arial" w:hAnsi="Arial"/>
          <w:sz w:val="13"/>
          <w:szCs w:val="13"/>
          <w:color w:val="auto"/>
        </w:rPr>
      </w:pPr>
      <w:r>
        <w:rPr>
          <w:rFonts w:ascii="Arial" w:cs="Arial" w:eastAsia="Arial" w:hAnsi="Arial"/>
          <w:sz w:val="13"/>
          <w:szCs w:val="13"/>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12" w:lineRule="exact"/>
        <w:rPr>
          <w:rFonts w:ascii="Arial" w:cs="Arial" w:eastAsia="Arial" w:hAnsi="Arial"/>
          <w:sz w:val="13"/>
          <w:szCs w:val="13"/>
          <w:color w:val="auto"/>
        </w:rPr>
      </w:pPr>
    </w:p>
    <w:p>
      <w:pPr>
        <w:ind w:left="700" w:hanging="276"/>
        <w:spacing w:after="0"/>
        <w:tabs>
          <w:tab w:leader="none" w:pos="70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“Change in Control” shall have the meaning set forth in the version of the Selecta Biosciences, Inc. 2016 Incentive Award Plan in effect on the Effective Date.</w:t>
      </w:r>
    </w:p>
    <w:p>
      <w:pPr>
        <w:spacing w:after="0" w:line="147" w:lineRule="exact"/>
        <w:rPr>
          <w:rFonts w:ascii="Arial" w:cs="Arial" w:eastAsia="Arial" w:hAnsi="Arial"/>
          <w:sz w:val="13"/>
          <w:szCs w:val="13"/>
          <w:color w:val="auto"/>
        </w:rPr>
      </w:pPr>
    </w:p>
    <w:p>
      <w:pPr>
        <w:ind w:left="700" w:hanging="276"/>
        <w:spacing w:after="0"/>
        <w:tabs>
          <w:tab w:leader="none" w:pos="70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Code</w:t>
      </w:r>
      <w:r>
        <w:rPr>
          <w:rFonts w:ascii="Arial" w:cs="Arial" w:eastAsia="Arial" w:hAnsi="Arial"/>
          <w:sz w:val="13"/>
          <w:szCs w:val="13"/>
          <w:color w:val="auto"/>
        </w:rPr>
        <w:t>. “Code” shall mean the Internal Revenue Code of 1986, as amended, and the regulations and guidance promulgated thereunder.</w:t>
      </w:r>
    </w:p>
    <w:p>
      <w:pPr>
        <w:spacing w:after="0" w:line="147" w:lineRule="exact"/>
        <w:rPr>
          <w:rFonts w:ascii="Arial" w:cs="Arial" w:eastAsia="Arial" w:hAnsi="Arial"/>
          <w:sz w:val="13"/>
          <w:szCs w:val="13"/>
          <w:color w:val="auto"/>
        </w:rPr>
      </w:pPr>
    </w:p>
    <w:p>
      <w:pPr>
        <w:ind w:right="260" w:firstLine="424"/>
        <w:spacing w:after="0" w:line="271" w:lineRule="auto"/>
        <w:tabs>
          <w:tab w:leader="none" w:pos="706"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Date of Termination</w:t>
      </w:r>
      <w:r>
        <w:rPr>
          <w:rFonts w:ascii="Arial" w:cs="Arial" w:eastAsia="Arial" w:hAnsi="Arial"/>
          <w:sz w:val="13"/>
          <w:szCs w:val="13"/>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3"/>
          <w:szCs w:val="13"/>
          <w:u w:val="single" w:color="auto"/>
          <w:color w:val="auto"/>
        </w:rPr>
        <w:t>Section 3(a)(ii) – (vi)</w:t>
      </w:r>
      <w:r>
        <w:rPr>
          <w:rFonts w:ascii="Arial" w:cs="Arial" w:eastAsia="Arial" w:hAnsi="Arial"/>
          <w:sz w:val="13"/>
          <w:szCs w:val="13"/>
          <w:color w:val="auto"/>
        </w:rPr>
        <w:t xml:space="preserve"> either the date indicated in the Notice of Termination or the date specified by the Company pursuant to </w:t>
      </w:r>
      <w:r>
        <w:rPr>
          <w:rFonts w:ascii="Arial" w:cs="Arial" w:eastAsia="Arial" w:hAnsi="Arial"/>
          <w:sz w:val="13"/>
          <w:szCs w:val="13"/>
          <w:u w:val="single" w:color="auto"/>
          <w:color w:val="auto"/>
        </w:rPr>
        <w:t>Section 3(b)</w:t>
      </w:r>
      <w:r>
        <w:rPr>
          <w:rFonts w:ascii="Arial" w:cs="Arial" w:eastAsia="Arial" w:hAnsi="Arial"/>
          <w:sz w:val="13"/>
          <w:szCs w:val="13"/>
          <w:color w:val="auto"/>
        </w:rPr>
        <w:t>, whichever is earlier.</w:t>
      </w:r>
    </w:p>
    <w:p>
      <w:pPr>
        <w:spacing w:after="0" w:line="112" w:lineRule="exact"/>
        <w:rPr>
          <w:rFonts w:ascii="Arial" w:cs="Arial" w:eastAsia="Arial" w:hAnsi="Arial"/>
          <w:sz w:val="13"/>
          <w:szCs w:val="13"/>
          <w:color w:val="auto"/>
        </w:rPr>
      </w:pPr>
    </w:p>
    <w:p>
      <w:pPr>
        <w:ind w:right="20" w:firstLine="424"/>
        <w:spacing w:after="0" w:line="249" w:lineRule="auto"/>
        <w:tabs>
          <w:tab w:leader="none" w:pos="699"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3"/>
          <w:szCs w:val="13"/>
          <w:i w:val="1"/>
          <w:iCs w:val="1"/>
          <w:color w:val="auto"/>
        </w:rPr>
        <w:t>provided, however</w:t>
      </w:r>
      <w:r>
        <w:rPr>
          <w:rFonts w:ascii="Arial" w:cs="Arial" w:eastAsia="Arial" w:hAnsi="Arial"/>
          <w:sz w:val="13"/>
          <w:szCs w:val="13"/>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28" w:lineRule="exact"/>
        <w:rPr>
          <w:rFonts w:ascii="Arial" w:cs="Arial" w:eastAsia="Arial" w:hAnsi="Arial"/>
          <w:sz w:val="13"/>
          <w:szCs w:val="13"/>
          <w:color w:val="auto"/>
        </w:rPr>
      </w:pPr>
    </w:p>
    <w:p>
      <w:pPr>
        <w:ind w:firstLine="424"/>
        <w:spacing w:after="0" w:line="249" w:lineRule="auto"/>
        <w:tabs>
          <w:tab w:leader="none" w:pos="684"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Good Reason</w:t>
      </w:r>
      <w:r>
        <w:rPr>
          <w:rFonts w:ascii="Arial" w:cs="Arial" w:eastAsia="Arial" w:hAnsi="Arial"/>
          <w:sz w:val="13"/>
          <w:szCs w:val="13"/>
          <w:color w:val="auto"/>
        </w:rPr>
        <w:t>. For the sole purpose of determining Executive’s right to severance payments and benefits as described above, Executive’s resignation will be for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including Executive ceasing to report to the Company’s Chief Executive Officer, (iii) the relocation of Executive’s primary office to a location more than 40 miles from the Boston metropolitan area, (iv) a material breach by the Company of this Agreement or any other written agreement with Executive; (v) the failure of the Board or the Compensation Committee of the Board to approve the Option or the PSUs described in Section 2(g) or (vi) a breach by the Company of any material provision of this Agreement or any other written agreement between Executive and the Company.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606" w:right="199" w:bottom="1440" w:gutter="0" w:footer="0" w:header="0"/>
        </w:sectPr>
      </w:pPr>
    </w:p>
    <w:bookmarkStart w:id="92" w:name="page93"/>
    <w:bookmarkEnd w:id="92"/>
    <w:p>
      <w:pPr>
        <w:ind w:left="228" w:hanging="228"/>
        <w:spacing w:after="0"/>
        <w:tabs>
          <w:tab w:leader="none" w:pos="228" w:val="left"/>
        </w:tabs>
        <w:numPr>
          <w:ilvl w:val="0"/>
          <w:numId w:val="59"/>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Parachute Payments</w:t>
      </w:r>
      <w:r>
        <w:rPr>
          <w:rFonts w:ascii="Arial" w:cs="Arial" w:eastAsia="Arial" w:hAnsi="Arial"/>
          <w:sz w:val="13"/>
          <w:szCs w:val="13"/>
          <w:b w:val="1"/>
          <w:bCs w:val="1"/>
          <w:color w:val="auto"/>
        </w:rPr>
        <w:t>.</w:t>
      </w:r>
    </w:p>
    <w:p>
      <w:pPr>
        <w:spacing w:after="0" w:line="149" w:lineRule="exact"/>
        <w:rPr>
          <w:rFonts w:ascii="Arial" w:cs="Arial" w:eastAsia="Arial" w:hAnsi="Arial"/>
          <w:sz w:val="14"/>
          <w:szCs w:val="14"/>
          <w:b w:val="1"/>
          <w:bCs w:val="1"/>
          <w:color w:val="auto"/>
        </w:rPr>
      </w:pPr>
    </w:p>
    <w:p>
      <w:pPr>
        <w:ind w:left="8" w:firstLine="424"/>
        <w:spacing w:after="0" w:line="273" w:lineRule="auto"/>
        <w:tabs>
          <w:tab w:leader="none" w:pos="707" w:val="left"/>
        </w:tabs>
        <w:numPr>
          <w:ilvl w:val="1"/>
          <w:numId w:val="59"/>
        </w:numPr>
        <w:rPr>
          <w:rFonts w:ascii="Arial" w:cs="Arial" w:eastAsia="Arial" w:hAnsi="Arial"/>
          <w:sz w:val="12"/>
          <w:szCs w:val="12"/>
          <w:color w:val="auto"/>
        </w:rPr>
      </w:pPr>
      <w:r>
        <w:rPr>
          <w:rFonts w:ascii="Arial" w:cs="Arial" w:eastAsia="Arial" w:hAnsi="Arial"/>
          <w:sz w:val="12"/>
          <w:szCs w:val="12"/>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4(c)</w:t>
      </w:r>
      <w:r>
        <w:rPr>
          <w:rFonts w:ascii="Arial" w:cs="Arial" w:eastAsia="Arial" w:hAnsi="Arial"/>
          <w:sz w:val="12"/>
          <w:szCs w:val="12"/>
          <w:color w:val="auto"/>
        </w:rPr>
        <w:t xml:space="preserve"> hereof, being hereinafter referred to as the “</w:t>
      </w:r>
      <w:r>
        <w:rPr>
          <w:rFonts w:ascii="Arial" w:cs="Arial" w:eastAsia="Arial" w:hAnsi="Arial"/>
          <w:sz w:val="12"/>
          <w:szCs w:val="12"/>
          <w:u w:val="single" w:color="auto"/>
          <w:color w:val="auto"/>
        </w:rPr>
        <w:t>Total Payments</w:t>
      </w:r>
      <w:r>
        <w:rPr>
          <w:rFonts w:ascii="Arial" w:cs="Arial" w:eastAsia="Arial" w:hAnsi="Arial"/>
          <w:sz w:val="12"/>
          <w:szCs w:val="12"/>
          <w:color w:val="auto"/>
        </w:rPr>
        <w:t>”), would be subject (in whole or in part) to the excise tax imposed by Section 4999 of the Code (the “</w:t>
      </w:r>
      <w:r>
        <w:rPr>
          <w:rFonts w:ascii="Arial" w:cs="Arial" w:eastAsia="Arial" w:hAnsi="Arial"/>
          <w:sz w:val="12"/>
          <w:szCs w:val="12"/>
          <w:u w:val="single" w:color="auto"/>
          <w:color w:val="auto"/>
        </w:rPr>
        <w:t>Excise Tax</w:t>
      </w:r>
      <w:r>
        <w:rPr>
          <w:rFonts w:ascii="Arial" w:cs="Arial" w:eastAsia="Arial" w:hAnsi="Arial"/>
          <w:sz w:val="12"/>
          <w:szCs w:val="12"/>
          <w:color w:val="auto"/>
        </w:rPr>
        <w:t xml:space="preserve">”), then the Total Payments shall be reduced (in the order provided in </w:t>
      </w:r>
      <w:r>
        <w:rPr>
          <w:rFonts w:ascii="Arial" w:cs="Arial" w:eastAsia="Arial" w:hAnsi="Arial"/>
          <w:sz w:val="12"/>
          <w:szCs w:val="12"/>
          <w:u w:val="single" w:color="auto"/>
          <w:color w:val="auto"/>
        </w:rPr>
        <w:t>Section 8(b)</w:t>
      </w:r>
      <w:r>
        <w:rPr>
          <w:rFonts w:ascii="Arial" w:cs="Arial" w:eastAsia="Arial" w:hAnsi="Arial"/>
          <w:sz w:val="12"/>
          <w:szCs w:val="12"/>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13" w:lineRule="exact"/>
        <w:rPr>
          <w:rFonts w:ascii="Arial" w:cs="Arial" w:eastAsia="Arial" w:hAnsi="Arial"/>
          <w:sz w:val="12"/>
          <w:szCs w:val="12"/>
          <w:color w:val="auto"/>
        </w:rPr>
      </w:pPr>
    </w:p>
    <w:p>
      <w:pPr>
        <w:ind w:left="8" w:right="460" w:firstLine="424"/>
        <w:spacing w:after="0" w:line="275" w:lineRule="auto"/>
        <w:tabs>
          <w:tab w:leader="none" w:pos="714" w:val="left"/>
        </w:tabs>
        <w:numPr>
          <w:ilvl w:val="1"/>
          <w:numId w:val="59"/>
        </w:numPr>
        <w:rPr>
          <w:rFonts w:ascii="Arial" w:cs="Arial" w:eastAsia="Arial" w:hAnsi="Arial"/>
          <w:sz w:val="12"/>
          <w:szCs w:val="12"/>
          <w:color w:val="auto"/>
        </w:rPr>
      </w:pPr>
      <w:r>
        <w:rPr>
          <w:rFonts w:ascii="Arial" w:cs="Arial" w:eastAsia="Arial" w:hAnsi="Arial"/>
          <w:sz w:val="12"/>
          <w:szCs w:val="12"/>
          <w:color w:val="auto"/>
        </w:rPr>
        <w:t>The Total Payments shall be reduced in the following order: (i) reduction on a pro-rata basis of any cash severance payments that are exempt from Section 409A of the Code (“</w:t>
      </w:r>
      <w:r>
        <w:rPr>
          <w:rFonts w:ascii="Arial" w:cs="Arial" w:eastAsia="Arial" w:hAnsi="Arial"/>
          <w:sz w:val="12"/>
          <w:szCs w:val="12"/>
          <w:u w:val="single" w:color="auto"/>
          <w:color w:val="auto"/>
        </w:rPr>
        <w:t>Section 409A</w:t>
      </w:r>
      <w:r>
        <w:rPr>
          <w:rFonts w:ascii="Arial" w:cs="Arial" w:eastAsia="Arial" w:hAnsi="Arial"/>
          <w:sz w:val="12"/>
          <w:szCs w:val="12"/>
          <w:color w:val="auto"/>
        </w:rPr>
        <w:t>”), (ii) reduction on a pro-rata basis of any non-cash severance payments or benefits that are exempt from Section 409A, (iii) reduction on a pro-rata basis of any other payments or benefits that are exempt from</w:t>
      </w:r>
    </w:p>
    <w:p>
      <w:pPr>
        <w:ind w:left="8" w:right="180"/>
        <w:spacing w:after="0" w:line="297" w:lineRule="auto"/>
        <w:rPr>
          <w:rFonts w:ascii="Arial" w:cs="Arial" w:eastAsia="Arial" w:hAnsi="Arial"/>
          <w:sz w:val="12"/>
          <w:szCs w:val="12"/>
          <w:color w:val="auto"/>
        </w:rPr>
      </w:pPr>
      <w:r>
        <w:rPr>
          <w:rFonts w:ascii="Arial" w:cs="Arial" w:eastAsia="Arial" w:hAnsi="Arial"/>
          <w:sz w:val="12"/>
          <w:szCs w:val="12"/>
          <w:color w:val="auto"/>
        </w:rPr>
        <w:t>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98" w:lineRule="exact"/>
        <w:rPr>
          <w:rFonts w:ascii="Arial" w:cs="Arial" w:eastAsia="Arial" w:hAnsi="Arial"/>
          <w:sz w:val="12"/>
          <w:szCs w:val="12"/>
          <w:color w:val="auto"/>
        </w:rPr>
      </w:pPr>
    </w:p>
    <w:p>
      <w:pPr>
        <w:ind w:left="8" w:right="80" w:firstLine="424"/>
        <w:spacing w:after="0" w:line="278" w:lineRule="auto"/>
        <w:tabs>
          <w:tab w:leader="none" w:pos="707" w:val="left"/>
        </w:tabs>
        <w:numPr>
          <w:ilvl w:val="1"/>
          <w:numId w:val="59"/>
        </w:numPr>
        <w:rPr>
          <w:rFonts w:ascii="Arial" w:cs="Arial" w:eastAsia="Arial" w:hAnsi="Arial"/>
          <w:sz w:val="12"/>
          <w:szCs w:val="12"/>
          <w:color w:val="auto"/>
        </w:rPr>
      </w:pPr>
      <w:r>
        <w:rPr>
          <w:rFonts w:ascii="Arial" w:cs="Arial" w:eastAsia="Arial" w:hAnsi="Arial"/>
          <w:sz w:val="12"/>
          <w:szCs w:val="12"/>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2"/>
          <w:szCs w:val="12"/>
          <w:u w:val="single" w:color="auto"/>
          <w:color w:val="auto"/>
        </w:rPr>
        <w:t>Independent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Advisors</w:t>
      </w:r>
      <w:r>
        <w:rPr>
          <w:rFonts w:ascii="Arial" w:cs="Arial" w:eastAsia="Arial" w:hAnsi="Arial"/>
          <w:sz w:val="12"/>
          <w:szCs w:val="12"/>
          <w:color w:val="auto"/>
        </w:rPr>
        <w:t xml:space="preserve">”) to make determinations regarding the application of this </w:t>
      </w:r>
      <w:r>
        <w:rPr>
          <w:rFonts w:ascii="Arial" w:cs="Arial" w:eastAsia="Arial" w:hAnsi="Arial"/>
          <w:sz w:val="12"/>
          <w:szCs w:val="12"/>
          <w:u w:val="single" w:color="auto"/>
          <w:color w:val="auto"/>
        </w:rPr>
        <w:t>Section 8</w:t>
      </w:r>
      <w:r>
        <w:rPr>
          <w:rFonts w:ascii="Arial" w:cs="Arial" w:eastAsia="Arial" w:hAnsi="Arial"/>
          <w:sz w:val="12"/>
          <w:szCs w:val="12"/>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10" w:lineRule="exact"/>
        <w:rPr>
          <w:rFonts w:ascii="Arial" w:cs="Arial" w:eastAsia="Arial" w:hAnsi="Arial"/>
          <w:sz w:val="12"/>
          <w:szCs w:val="12"/>
          <w:color w:val="auto"/>
        </w:rPr>
      </w:pPr>
    </w:p>
    <w:p>
      <w:pPr>
        <w:ind w:left="8" w:right="20" w:firstLine="424"/>
        <w:spacing w:after="0" w:line="252" w:lineRule="auto"/>
        <w:tabs>
          <w:tab w:leader="none" w:pos="714" w:val="left"/>
        </w:tabs>
        <w:numPr>
          <w:ilvl w:val="1"/>
          <w:numId w:val="59"/>
        </w:numPr>
        <w:rPr>
          <w:rFonts w:ascii="Arial" w:cs="Arial" w:eastAsia="Arial" w:hAnsi="Arial"/>
          <w:sz w:val="13"/>
          <w:szCs w:val="13"/>
          <w:color w:val="auto"/>
        </w:rPr>
      </w:pPr>
      <w:r>
        <w:rPr>
          <w:rFonts w:ascii="Arial" w:cs="Arial" w:eastAsia="Arial" w:hAnsi="Arial"/>
          <w:sz w:val="13"/>
          <w:szCs w:val="13"/>
          <w:color w:val="auto"/>
        </w:rPr>
        <w:t xml:space="preserve">If Executive incurs legal fees or other expenses (including expert witness and accounting fees) in an effort to determine the applicability of this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or establish entitlement to or obtain any portion of the Total Payments that have been reduced under this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(collectively, “Legal and Other Expenses”), Executive shall be entitled to payment of or reimbursement for such Legal and Other Expenses in accordance with this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Subject to Sections </w:t>
      </w:r>
      <w:r>
        <w:rPr>
          <w:rFonts w:ascii="Arial" w:cs="Arial" w:eastAsia="Arial" w:hAnsi="Arial"/>
          <w:sz w:val="13"/>
          <w:szCs w:val="13"/>
          <w:u w:val="single" w:color="auto"/>
          <w:color w:val="auto"/>
        </w:rPr>
        <w:t>9(1)(iv)</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9(m)</w:t>
      </w:r>
      <w:r>
        <w:rPr>
          <w:rFonts w:ascii="Arial" w:cs="Arial" w:eastAsia="Arial" w:hAnsi="Arial"/>
          <w:sz w:val="13"/>
          <w:szCs w:val="13"/>
          <w:color w:val="auto"/>
        </w:rPr>
        <w:t xml:space="preserve"> and the other provisions of this </w:t>
      </w:r>
      <w:r>
        <w:rPr>
          <w:rFonts w:ascii="Arial" w:cs="Arial" w:eastAsia="Arial" w:hAnsi="Arial"/>
          <w:sz w:val="13"/>
          <w:szCs w:val="13"/>
          <w:u w:val="single" w:color="auto"/>
          <w:color w:val="auto"/>
        </w:rPr>
        <w:t>Section 8</w:t>
      </w:r>
      <w:r>
        <w:rPr>
          <w:rFonts w:ascii="Arial" w:cs="Arial" w:eastAsia="Arial" w:hAnsi="Arial"/>
          <w:sz w:val="13"/>
          <w:szCs w:val="13"/>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w:t>
      </w: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8"/>
          </w:cols>
          <w:pgMar w:left="212" w:top="620" w:right="199" w:bottom="1440" w:gutter="0" w:footer="0" w:header="0"/>
        </w:sectPr>
      </w:pPr>
    </w:p>
    <w:bookmarkStart w:id="93" w:name="page94"/>
    <w:bookmarkEnd w:id="93"/>
    <w:p>
      <w:pPr>
        <w:ind w:left="8" w:right="20"/>
        <w:spacing w:after="0" w:line="271" w:lineRule="auto"/>
        <w:rPr>
          <w:sz w:val="20"/>
          <w:szCs w:val="20"/>
          <w:color w:val="auto"/>
        </w:rPr>
      </w:pPr>
      <w:r>
        <w:rPr>
          <w:rFonts w:ascii="Arial" w:cs="Arial" w:eastAsia="Arial" w:hAnsi="Arial"/>
          <w:sz w:val="13"/>
          <w:szCs w:val="13"/>
          <w:color w:val="auto"/>
        </w:rPr>
        <w:t>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13" w:lineRule="exact"/>
        <w:rPr>
          <w:sz w:val="20"/>
          <w:szCs w:val="20"/>
          <w:color w:val="auto"/>
        </w:rPr>
      </w:pPr>
    </w:p>
    <w:p>
      <w:pPr>
        <w:ind w:left="8" w:right="40" w:firstLine="424"/>
        <w:spacing w:after="0" w:line="258" w:lineRule="auto"/>
        <w:tabs>
          <w:tab w:leader="none" w:pos="707" w:val="left"/>
        </w:tabs>
        <w:numPr>
          <w:ilvl w:val="1"/>
          <w:numId w:val="60"/>
        </w:numPr>
        <w:rPr>
          <w:rFonts w:ascii="Arial" w:cs="Arial" w:eastAsia="Arial" w:hAnsi="Arial"/>
          <w:sz w:val="13"/>
          <w:szCs w:val="13"/>
          <w:color w:val="auto"/>
        </w:rPr>
      </w:pPr>
      <w:r>
        <w:rPr>
          <w:rFonts w:ascii="Arial" w:cs="Arial" w:eastAsia="Arial" w:hAnsi="Arial"/>
          <w:sz w:val="13"/>
          <w:szCs w:val="13"/>
          <w:color w:val="auto"/>
        </w:rPr>
        <w:t xml:space="preserve">In the event it is later determined that to implement the objective and intent of this </w:t>
      </w:r>
      <w:r>
        <w:rPr>
          <w:rFonts w:ascii="Arial" w:cs="Arial" w:eastAsia="Arial" w:hAnsi="Arial"/>
          <w:sz w:val="13"/>
          <w:szCs w:val="13"/>
          <w:u w:val="single" w:color="auto"/>
          <w:color w:val="auto"/>
        </w:rPr>
        <w:t>Section 8</w:t>
      </w:r>
      <w:r>
        <w:rPr>
          <w:rFonts w:ascii="Arial" w:cs="Arial" w:eastAsia="Arial" w:hAnsi="Arial"/>
          <w:sz w:val="13"/>
          <w:szCs w:val="13"/>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35" w:lineRule="exact"/>
        <w:rPr>
          <w:rFonts w:ascii="Arial" w:cs="Arial" w:eastAsia="Arial" w:hAnsi="Arial"/>
          <w:sz w:val="13"/>
          <w:szCs w:val="13"/>
          <w:color w:val="auto"/>
        </w:rPr>
      </w:pPr>
    </w:p>
    <w:p>
      <w:pPr>
        <w:ind w:left="228" w:hanging="228"/>
        <w:spacing w:after="0"/>
        <w:tabs>
          <w:tab w:leader="none" w:pos="228" w:val="left"/>
        </w:tabs>
        <w:numPr>
          <w:ilvl w:val="0"/>
          <w:numId w:val="61"/>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Miscellaneous Provisions</w:t>
      </w:r>
      <w:r>
        <w:rPr>
          <w:rFonts w:ascii="Arial" w:cs="Arial" w:eastAsia="Arial" w:hAnsi="Arial"/>
          <w:sz w:val="13"/>
          <w:szCs w:val="13"/>
          <w:b w:val="1"/>
          <w:bCs w:val="1"/>
          <w:color w:val="auto"/>
        </w:rPr>
        <w:t>.</w:t>
      </w:r>
    </w:p>
    <w:p>
      <w:pPr>
        <w:spacing w:after="0" w:line="149" w:lineRule="exact"/>
        <w:rPr>
          <w:rFonts w:ascii="Arial" w:cs="Arial" w:eastAsia="Arial" w:hAnsi="Arial"/>
          <w:sz w:val="14"/>
          <w:szCs w:val="14"/>
          <w:b w:val="1"/>
          <w:bCs w:val="1"/>
          <w:color w:val="auto"/>
        </w:rPr>
      </w:pPr>
    </w:p>
    <w:p>
      <w:pPr>
        <w:ind w:left="8" w:right="40" w:firstLine="424"/>
        <w:spacing w:after="0" w:line="258" w:lineRule="auto"/>
        <w:tabs>
          <w:tab w:leader="none" w:pos="707"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21" w:lineRule="exact"/>
        <w:rPr>
          <w:rFonts w:ascii="Arial" w:cs="Arial" w:eastAsia="Arial" w:hAnsi="Arial"/>
          <w:sz w:val="13"/>
          <w:szCs w:val="13"/>
          <w:color w:val="auto"/>
        </w:rPr>
      </w:pPr>
    </w:p>
    <w:p>
      <w:pPr>
        <w:ind w:left="8" w:right="140" w:firstLine="424"/>
        <w:spacing w:after="0" w:line="271" w:lineRule="auto"/>
        <w:tabs>
          <w:tab w:leader="none" w:pos="714"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Validity</w:t>
      </w:r>
      <w:r>
        <w:rPr>
          <w:rFonts w:ascii="Arial" w:cs="Arial" w:eastAsia="Arial" w:hAnsi="Arial"/>
          <w:sz w:val="13"/>
          <w:szCs w:val="13"/>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12" w:lineRule="exact"/>
        <w:rPr>
          <w:rFonts w:ascii="Arial" w:cs="Arial" w:eastAsia="Arial" w:hAnsi="Arial"/>
          <w:sz w:val="13"/>
          <w:szCs w:val="13"/>
          <w:color w:val="auto"/>
        </w:rPr>
      </w:pPr>
    </w:p>
    <w:p>
      <w:pPr>
        <w:ind w:left="8" w:right="480" w:firstLine="424"/>
        <w:spacing w:after="0" w:line="271" w:lineRule="auto"/>
        <w:tabs>
          <w:tab w:leader="none" w:pos="707"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12" w:lineRule="exact"/>
        <w:rPr>
          <w:rFonts w:ascii="Arial" w:cs="Arial" w:eastAsia="Arial" w:hAnsi="Arial"/>
          <w:sz w:val="13"/>
          <w:szCs w:val="13"/>
          <w:color w:val="auto"/>
        </w:rPr>
      </w:pPr>
    </w:p>
    <w:p>
      <w:pPr>
        <w:ind w:left="1108" w:hanging="243"/>
        <w:spacing w:after="0"/>
        <w:tabs>
          <w:tab w:leader="none" w:pos="1108" w:val="left"/>
        </w:tabs>
        <w:numPr>
          <w:ilvl w:val="2"/>
          <w:numId w:val="61"/>
        </w:numPr>
        <w:rPr>
          <w:rFonts w:ascii="Arial" w:cs="Arial" w:eastAsia="Arial" w:hAnsi="Arial"/>
          <w:sz w:val="13"/>
          <w:szCs w:val="13"/>
          <w:color w:val="auto"/>
        </w:rPr>
      </w:pPr>
      <w:r>
        <w:rPr>
          <w:rFonts w:ascii="Arial" w:cs="Arial" w:eastAsia="Arial" w:hAnsi="Arial"/>
          <w:sz w:val="13"/>
          <w:szCs w:val="13"/>
          <w:color w:val="auto"/>
        </w:rPr>
        <w:t>If to the Company, to the General Counsel of the Company at the Company’s headquarters,</w:t>
      </w:r>
    </w:p>
    <w:p>
      <w:pPr>
        <w:spacing w:after="0" w:line="147" w:lineRule="exact"/>
        <w:rPr>
          <w:rFonts w:ascii="Arial" w:cs="Arial" w:eastAsia="Arial" w:hAnsi="Arial"/>
          <w:sz w:val="13"/>
          <w:szCs w:val="13"/>
          <w:color w:val="auto"/>
        </w:rPr>
      </w:pPr>
    </w:p>
    <w:p>
      <w:pPr>
        <w:ind w:left="1148" w:hanging="283"/>
        <w:spacing w:after="0"/>
        <w:tabs>
          <w:tab w:leader="none" w:pos="1148" w:val="left"/>
        </w:tabs>
        <w:numPr>
          <w:ilvl w:val="2"/>
          <w:numId w:val="61"/>
        </w:numPr>
        <w:rPr>
          <w:rFonts w:ascii="Arial" w:cs="Arial" w:eastAsia="Arial" w:hAnsi="Arial"/>
          <w:sz w:val="13"/>
          <w:szCs w:val="13"/>
          <w:color w:val="auto"/>
        </w:rPr>
      </w:pPr>
      <w:r>
        <w:rPr>
          <w:rFonts w:ascii="Arial" w:cs="Arial" w:eastAsia="Arial" w:hAnsi="Arial"/>
          <w:sz w:val="13"/>
          <w:szCs w:val="13"/>
          <w:color w:val="auto"/>
        </w:rPr>
        <w:t>If to Executive, to the last address that the Company has in its personnel records for Executive, or</w:t>
      </w:r>
    </w:p>
    <w:p>
      <w:pPr>
        <w:spacing w:after="0" w:line="147" w:lineRule="exact"/>
        <w:rPr>
          <w:rFonts w:ascii="Arial" w:cs="Arial" w:eastAsia="Arial" w:hAnsi="Arial"/>
          <w:sz w:val="13"/>
          <w:szCs w:val="13"/>
          <w:color w:val="auto"/>
        </w:rPr>
      </w:pPr>
    </w:p>
    <w:p>
      <w:pPr>
        <w:ind w:left="1188" w:hanging="323"/>
        <w:spacing w:after="0"/>
        <w:tabs>
          <w:tab w:leader="none" w:pos="1188" w:val="left"/>
        </w:tabs>
        <w:numPr>
          <w:ilvl w:val="2"/>
          <w:numId w:val="61"/>
        </w:numPr>
        <w:rPr>
          <w:rFonts w:ascii="Arial" w:cs="Arial" w:eastAsia="Arial" w:hAnsi="Arial"/>
          <w:sz w:val="13"/>
          <w:szCs w:val="13"/>
          <w:color w:val="auto"/>
        </w:rPr>
      </w:pPr>
      <w:r>
        <w:rPr>
          <w:rFonts w:ascii="Arial" w:cs="Arial" w:eastAsia="Arial" w:hAnsi="Arial"/>
          <w:sz w:val="13"/>
          <w:szCs w:val="13"/>
          <w:color w:val="auto"/>
        </w:rPr>
        <w:t>At any other address as any Party shall have specified by notice in writing to the other Party.</w:t>
      </w:r>
    </w:p>
    <w:p>
      <w:pPr>
        <w:spacing w:after="0" w:line="147" w:lineRule="exact"/>
        <w:rPr>
          <w:rFonts w:ascii="Arial" w:cs="Arial" w:eastAsia="Arial" w:hAnsi="Arial"/>
          <w:sz w:val="13"/>
          <w:szCs w:val="13"/>
          <w:color w:val="auto"/>
        </w:rPr>
      </w:pPr>
    </w:p>
    <w:p>
      <w:pPr>
        <w:ind w:left="8" w:right="100" w:firstLine="424"/>
        <w:spacing w:after="0" w:line="271" w:lineRule="auto"/>
        <w:tabs>
          <w:tab w:leader="none" w:pos="714"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12" w:lineRule="exact"/>
        <w:rPr>
          <w:rFonts w:ascii="Arial" w:cs="Arial" w:eastAsia="Arial" w:hAnsi="Arial"/>
          <w:sz w:val="13"/>
          <w:szCs w:val="13"/>
          <w:color w:val="auto"/>
        </w:rPr>
      </w:pPr>
    </w:p>
    <w:p>
      <w:pPr>
        <w:ind w:left="8" w:firstLine="424"/>
        <w:spacing w:after="0" w:line="282" w:lineRule="auto"/>
        <w:tabs>
          <w:tab w:leader="none" w:pos="707" w:val="left"/>
        </w:tabs>
        <w:numPr>
          <w:ilvl w:val="1"/>
          <w:numId w:val="61"/>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The terms of this Agreement, the Restrictive Covenant Agreement incorporated herein by reference as set forth in </w:t>
      </w:r>
      <w:r>
        <w:rPr>
          <w:rFonts w:ascii="Arial" w:cs="Arial" w:eastAsia="Arial" w:hAnsi="Arial"/>
          <w:sz w:val="12"/>
          <w:szCs w:val="12"/>
          <w:u w:val="single" w:color="auto"/>
          <w:color w:val="auto"/>
        </w:rPr>
        <w:t>Section 5</w:t>
      </w:r>
      <w:r>
        <w:rPr>
          <w:rFonts w:ascii="Arial" w:cs="Arial" w:eastAsia="Arial" w:hAnsi="Arial"/>
          <w:sz w:val="12"/>
          <w:szCs w:val="12"/>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8"/>
          </w:cols>
          <w:pgMar w:left="212" w:top="606" w:right="219" w:bottom="1440" w:gutter="0" w:footer="0" w:header="0"/>
        </w:sectPr>
      </w:pPr>
    </w:p>
    <w:bookmarkStart w:id="94" w:name="page95"/>
    <w:bookmarkEnd w:id="94"/>
    <w:p>
      <w:pPr>
        <w:ind w:left="680" w:hanging="256"/>
        <w:spacing w:after="0"/>
        <w:tabs>
          <w:tab w:leader="none" w:pos="68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Parties acknowledge that they have or will enter into an Indemnification Agreement in substantially the form attached as Exhibit C hereto.</w:t>
      </w:r>
    </w:p>
    <w:p>
      <w:pPr>
        <w:spacing w:after="0" w:line="147" w:lineRule="exact"/>
        <w:rPr>
          <w:rFonts w:ascii="Arial" w:cs="Arial" w:eastAsia="Arial" w:hAnsi="Arial"/>
          <w:sz w:val="13"/>
          <w:szCs w:val="13"/>
          <w:color w:val="auto"/>
        </w:rPr>
      </w:pPr>
    </w:p>
    <w:p>
      <w:pPr>
        <w:ind w:firstLine="424"/>
        <w:spacing w:after="0" w:line="282" w:lineRule="auto"/>
        <w:tabs>
          <w:tab w:leader="none" w:pos="706"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Amendments; Waivers</w:t>
      </w:r>
      <w:r>
        <w:rPr>
          <w:rFonts w:ascii="Arial" w:cs="Arial" w:eastAsia="Arial" w:hAnsi="Arial"/>
          <w:sz w:val="12"/>
          <w:szCs w:val="12"/>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08" w:lineRule="exact"/>
        <w:rPr>
          <w:rFonts w:ascii="Arial" w:cs="Arial" w:eastAsia="Arial" w:hAnsi="Arial"/>
          <w:sz w:val="12"/>
          <w:szCs w:val="12"/>
          <w:color w:val="auto"/>
        </w:rPr>
      </w:pPr>
    </w:p>
    <w:p>
      <w:pPr>
        <w:ind w:right="500" w:firstLine="424"/>
        <w:spacing w:after="0" w:line="271" w:lineRule="auto"/>
        <w:tabs>
          <w:tab w:leader="none" w:pos="706"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No Inconsistent Actions</w:t>
      </w:r>
      <w:r>
        <w:rPr>
          <w:rFonts w:ascii="Arial" w:cs="Arial" w:eastAsia="Arial" w:hAnsi="Arial"/>
          <w:sz w:val="13"/>
          <w:szCs w:val="13"/>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12" w:lineRule="exact"/>
        <w:rPr>
          <w:rFonts w:ascii="Arial" w:cs="Arial" w:eastAsia="Arial" w:hAnsi="Arial"/>
          <w:sz w:val="13"/>
          <w:szCs w:val="13"/>
          <w:color w:val="auto"/>
        </w:rPr>
      </w:pPr>
    </w:p>
    <w:p>
      <w:pPr>
        <w:ind w:right="80" w:firstLine="424"/>
        <w:spacing w:after="0" w:line="275" w:lineRule="auto"/>
        <w:tabs>
          <w:tab w:leader="none" w:pos="677"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Construction</w:t>
      </w:r>
      <w:r>
        <w:rPr>
          <w:rFonts w:ascii="Arial" w:cs="Arial" w:eastAsia="Arial" w:hAnsi="Arial"/>
          <w:sz w:val="12"/>
          <w:szCs w:val="12"/>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14" w:lineRule="exact"/>
        <w:rPr>
          <w:rFonts w:ascii="Arial" w:cs="Arial" w:eastAsia="Arial" w:hAnsi="Arial"/>
          <w:sz w:val="12"/>
          <w:szCs w:val="12"/>
          <w:color w:val="auto"/>
        </w:rPr>
      </w:pPr>
    </w:p>
    <w:p>
      <w:pPr>
        <w:ind w:right="40" w:firstLine="424"/>
        <w:spacing w:after="0" w:line="282" w:lineRule="auto"/>
        <w:tabs>
          <w:tab w:leader="none" w:pos="677"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Enforcement</w:t>
      </w:r>
      <w:r>
        <w:rPr>
          <w:rFonts w:ascii="Arial" w:cs="Arial" w:eastAsia="Arial" w:hAnsi="Arial"/>
          <w:sz w:val="12"/>
          <w:szCs w:val="12"/>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08" w:lineRule="exact"/>
        <w:rPr>
          <w:rFonts w:ascii="Arial" w:cs="Arial" w:eastAsia="Arial" w:hAnsi="Arial"/>
          <w:sz w:val="12"/>
          <w:szCs w:val="12"/>
          <w:color w:val="auto"/>
        </w:rPr>
      </w:pPr>
    </w:p>
    <w:p>
      <w:pPr>
        <w:ind w:right="160" w:firstLine="424"/>
        <w:spacing w:after="0" w:line="271" w:lineRule="auto"/>
        <w:tabs>
          <w:tab w:leader="none" w:pos="706"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606" w:right="199" w:bottom="1440" w:gutter="0" w:footer="0" w:header="0"/>
        </w:sectPr>
      </w:pPr>
    </w:p>
    <w:bookmarkStart w:id="95" w:name="page96"/>
    <w:bookmarkEnd w:id="95"/>
    <w:p>
      <w:pPr>
        <w:ind w:left="240" w:hanging="236"/>
        <w:spacing w:after="0"/>
        <w:tabs>
          <w:tab w:leader="none" w:pos="240" w:val="left"/>
        </w:tabs>
        <w:numPr>
          <w:ilvl w:val="0"/>
          <w:numId w:val="63"/>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right="180" w:firstLine="437"/>
        <w:spacing w:after="0" w:line="271" w:lineRule="auto"/>
        <w:tabs>
          <w:tab w:leader="none" w:pos="677" w:val="left"/>
        </w:tabs>
        <w:numPr>
          <w:ilvl w:val="1"/>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The intent of the Parties is that the payments and benefits under this Agreement comply with or be exempt from Section 409A and, accordingly, to the maximum extent permitted, this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shall be interpreted to be in compliance therewith.</w:t>
      </w:r>
    </w:p>
    <w:p>
      <w:pPr>
        <w:spacing w:after="0" w:line="112" w:lineRule="exact"/>
        <w:rPr>
          <w:rFonts w:ascii="Arial" w:cs="Arial" w:eastAsia="Arial" w:hAnsi="Arial"/>
          <w:sz w:val="13"/>
          <w:szCs w:val="13"/>
          <w:color w:val="auto"/>
        </w:rPr>
      </w:pPr>
    </w:p>
    <w:p>
      <w:pPr>
        <w:ind w:right="40" w:firstLine="437"/>
        <w:spacing w:after="0" w:line="314" w:lineRule="auto"/>
        <w:tabs>
          <w:tab w:leader="none" w:pos="714"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Separation from Service. </w:t>
      </w:r>
      <w:r>
        <w:rPr>
          <w:rFonts w:ascii="Arial" w:cs="Arial" w:eastAsia="Arial" w:hAnsi="Arial"/>
          <w:sz w:val="12"/>
          <w:szCs w:val="12"/>
          <w:color w:val="auto"/>
        </w:rPr>
        <w:t>For purposes of any compensation or benefits payable to Executive under this Agreement, all references to “termination of employment” and correlative phrases shall be</w:t>
      </w:r>
      <w:r>
        <w:rPr>
          <w:rFonts w:ascii="Arial" w:cs="Arial" w:eastAsia="Arial" w:hAnsi="Arial"/>
          <w:sz w:val="12"/>
          <w:szCs w:val="12"/>
          <w:i w:val="1"/>
          <w:iCs w:val="1"/>
          <w:color w:val="auto"/>
        </w:rPr>
        <w:t xml:space="preserve"> </w:t>
      </w:r>
      <w:r>
        <w:rPr>
          <w:rFonts w:ascii="Arial" w:cs="Arial" w:eastAsia="Arial" w:hAnsi="Arial"/>
          <w:sz w:val="12"/>
          <w:szCs w:val="12"/>
          <w:color w:val="auto"/>
        </w:rPr>
        <w:t>construed to require a “separation from service” (as defined in Section 1.409A-1(h) of the Treasury regulations after giving effect to the presumptions contained therein) (a “</w:t>
      </w:r>
      <w:r>
        <w:rPr>
          <w:rFonts w:ascii="Arial" w:cs="Arial" w:eastAsia="Arial" w:hAnsi="Arial"/>
          <w:sz w:val="12"/>
          <w:szCs w:val="12"/>
          <w:u w:val="single" w:color="auto"/>
          <w:color w:val="auto"/>
        </w:rPr>
        <w:t>Separation from Service</w:t>
      </w:r>
      <w:r>
        <w:rPr>
          <w:rFonts w:ascii="Arial" w:cs="Arial" w:eastAsia="Arial" w:hAnsi="Arial"/>
          <w:sz w:val="12"/>
          <w:szCs w:val="12"/>
          <w:color w:val="auto"/>
        </w:rPr>
        <w:t>”).</w:t>
      </w:r>
    </w:p>
    <w:p>
      <w:pPr>
        <w:spacing w:after="0" w:line="89" w:lineRule="exact"/>
        <w:rPr>
          <w:rFonts w:ascii="Arial" w:cs="Arial" w:eastAsia="Arial" w:hAnsi="Arial"/>
          <w:sz w:val="12"/>
          <w:szCs w:val="12"/>
          <w:color w:val="auto"/>
        </w:rPr>
      </w:pPr>
    </w:p>
    <w:p>
      <w:pPr>
        <w:ind w:firstLine="437"/>
        <w:spacing w:after="0" w:line="251" w:lineRule="auto"/>
        <w:tabs>
          <w:tab w:leader="none" w:pos="762" w:val="left"/>
        </w:tabs>
        <w:numPr>
          <w:ilvl w:val="1"/>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Specified Employee. </w:t>
      </w:r>
      <w:r>
        <w:rPr>
          <w:rFonts w:ascii="Arial" w:cs="Arial" w:eastAsia="Arial" w:hAnsi="Arial"/>
          <w:sz w:val="13"/>
          <w:szCs w:val="13"/>
          <w:color w:val="auto"/>
        </w:rPr>
        <w:t>Notwithstanding anything in this Agreement to the contrary, if Executive is deemed by the Company at the time of Executive’s Separation from Service to be a “specified</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24" w:lineRule="exact"/>
        <w:rPr>
          <w:rFonts w:ascii="Arial" w:cs="Arial" w:eastAsia="Arial" w:hAnsi="Arial"/>
          <w:sz w:val="13"/>
          <w:szCs w:val="13"/>
          <w:color w:val="auto"/>
        </w:rPr>
      </w:pPr>
    </w:p>
    <w:p>
      <w:pPr>
        <w:ind w:right="60" w:firstLine="437"/>
        <w:spacing w:after="0" w:line="254" w:lineRule="auto"/>
        <w:tabs>
          <w:tab w:leader="none" w:pos="755" w:val="left"/>
        </w:tabs>
        <w:numPr>
          <w:ilvl w:val="1"/>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Expense Reimbursements. </w:t>
      </w:r>
      <w:r>
        <w:rPr>
          <w:rFonts w:ascii="Arial" w:cs="Arial" w:eastAsia="Arial" w:hAnsi="Arial"/>
          <w:sz w:val="13"/>
          <w:szCs w:val="13"/>
          <w:color w:val="auto"/>
        </w:rPr>
        <w:t>To the extent that any reimbursements under this Agreement are subject to Section 409A, any such reimbursements payable to Executive shall be paid to Executive no</w:t>
      </w:r>
      <w:r>
        <w:rPr>
          <w:rFonts w:ascii="Arial" w:cs="Arial" w:eastAsia="Arial" w:hAnsi="Arial"/>
          <w:sz w:val="13"/>
          <w:szCs w:val="13"/>
          <w:i w:val="1"/>
          <w:iCs w:val="1"/>
          <w:color w:val="auto"/>
        </w:rPr>
        <w:t xml:space="preserve"> </w:t>
      </w:r>
      <w:r>
        <w:rPr>
          <w:rFonts w:ascii="Arial" w:cs="Arial" w:eastAsia="Arial" w:hAnsi="Arial"/>
          <w:sz w:val="13"/>
          <w:szCs w:val="13"/>
          <w:color w:val="auto"/>
        </w:rPr>
        <w:t>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23" w:lineRule="exact"/>
        <w:rPr>
          <w:rFonts w:ascii="Arial" w:cs="Arial" w:eastAsia="Arial" w:hAnsi="Arial"/>
          <w:sz w:val="13"/>
          <w:szCs w:val="13"/>
          <w:color w:val="auto"/>
        </w:rPr>
      </w:pPr>
    </w:p>
    <w:p>
      <w:pPr>
        <w:ind w:firstLine="437"/>
        <w:spacing w:after="0" w:line="252" w:lineRule="auto"/>
        <w:tabs>
          <w:tab w:leader="none" w:pos="718" w:val="left"/>
        </w:tabs>
        <w:numPr>
          <w:ilvl w:val="1"/>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Installments. </w:t>
      </w:r>
      <w:r>
        <w:rPr>
          <w:rFonts w:ascii="Arial" w:cs="Arial" w:eastAsia="Arial" w:hAnsi="Arial"/>
          <w:sz w:val="13"/>
          <w:szCs w:val="13"/>
          <w:color w:val="auto"/>
        </w:rPr>
        <w:t>Executive’s right to receive any installment payments under this Agreement, including without limitation any continuation salary payments that are payable on Company payroll</w:t>
      </w:r>
      <w:r>
        <w:rPr>
          <w:rFonts w:ascii="Arial" w:cs="Arial" w:eastAsia="Arial" w:hAnsi="Arial"/>
          <w:sz w:val="13"/>
          <w:szCs w:val="13"/>
          <w:i w:val="1"/>
          <w:iCs w:val="1"/>
          <w:color w:val="auto"/>
        </w:rPr>
        <w:t xml:space="preserve"> </w:t>
      </w:r>
      <w:r>
        <w:rPr>
          <w:rFonts w:ascii="Arial" w:cs="Arial" w:eastAsia="Arial" w:hAnsi="Arial"/>
          <w:sz w:val="13"/>
          <w:szCs w:val="13"/>
          <w:color w:val="auto"/>
        </w:rPr>
        <w:t>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289"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020"/>
          </w:cols>
          <w:pgMar w:left="640" w:top="606" w:right="239" w:bottom="1440" w:gutter="0" w:footer="0" w:header="0"/>
        </w:sectPr>
      </w:pPr>
    </w:p>
    <w:bookmarkStart w:id="96" w:name="page97"/>
    <w:bookmarkEnd w:id="96"/>
    <w:p>
      <w:pPr>
        <w:ind w:left="308" w:hanging="308"/>
        <w:spacing w:after="0"/>
        <w:tabs>
          <w:tab w:leader="none" w:pos="308" w:val="left"/>
        </w:tabs>
        <w:numPr>
          <w:ilvl w:val="0"/>
          <w:numId w:val="64"/>
        </w:numPr>
        <w:rPr>
          <w:rFonts w:ascii="Arial" w:cs="Arial" w:eastAsia="Arial" w:hAnsi="Arial"/>
          <w:sz w:val="14"/>
          <w:szCs w:val="14"/>
          <w:b w:val="1"/>
          <w:bCs w:val="1"/>
          <w:color w:val="auto"/>
        </w:rPr>
      </w:pPr>
      <w:r>
        <w:rPr>
          <w:rFonts w:ascii="Arial" w:cs="Arial" w:eastAsia="Arial" w:hAnsi="Arial"/>
          <w:sz w:val="13"/>
          <w:szCs w:val="13"/>
          <w:b w:val="1"/>
          <w:bCs w:val="1"/>
          <w:u w:val="single" w:color="auto"/>
          <w:color w:val="auto"/>
        </w:rPr>
        <w:t>Executive Acknowledgement</w:t>
      </w:r>
      <w:r>
        <w:rPr>
          <w:rFonts w:ascii="Arial" w:cs="Arial" w:eastAsia="Arial" w:hAnsi="Arial"/>
          <w:sz w:val="13"/>
          <w:szCs w:val="13"/>
          <w:b w:val="1"/>
          <w:bCs w:val="1"/>
          <w:color w:val="auto"/>
        </w:rPr>
        <w:t>.</w:t>
      </w:r>
    </w:p>
    <w:p>
      <w:pPr>
        <w:spacing w:after="0" w:line="149" w:lineRule="exact"/>
        <w:rPr>
          <w:sz w:val="20"/>
          <w:szCs w:val="20"/>
          <w:color w:val="auto"/>
        </w:rPr>
      </w:pPr>
    </w:p>
    <w:p>
      <w:pPr>
        <w:ind w:left="8" w:firstLine="432"/>
        <w:spacing w:after="0" w:line="271" w:lineRule="auto"/>
        <w:rPr>
          <w:sz w:val="20"/>
          <w:szCs w:val="20"/>
          <w:color w:val="auto"/>
        </w:rPr>
      </w:pPr>
      <w:r>
        <w:rPr>
          <w:rFonts w:ascii="Arial" w:cs="Arial" w:eastAsia="Arial" w:hAnsi="Arial"/>
          <w:sz w:val="13"/>
          <w:szCs w:val="13"/>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13" w:lineRule="exact"/>
        <w:rPr>
          <w:sz w:val="20"/>
          <w:szCs w:val="20"/>
          <w:color w:val="auto"/>
        </w:rPr>
      </w:pPr>
    </w:p>
    <w:p>
      <w:pPr>
        <w:jc w:val="center"/>
        <w:ind w:right="-16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7"/>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8"/>
          </w:cols>
          <w:pgMar w:left="212" w:top="620" w:right="37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SELECTA BIOSCIENCES, INC.</w:t>
      </w:r>
    </w:p>
    <w:p>
      <w:pPr>
        <w:spacing w:after="0" w:line="200" w:lineRule="exact"/>
        <w:rPr>
          <w:sz w:val="20"/>
          <w:szCs w:val="20"/>
          <w:color w:val="auto"/>
        </w:rPr>
      </w:pPr>
    </w:p>
    <w:p>
      <w:pPr>
        <w:spacing w:after="0" w:line="276" w:lineRule="exact"/>
        <w:rPr>
          <w:sz w:val="20"/>
          <w:szCs w:val="20"/>
          <w:color w:val="auto"/>
        </w:rPr>
      </w:pPr>
    </w:p>
    <w:p>
      <w:pPr>
        <w:ind w:left="4840"/>
        <w:spacing w:after="0"/>
        <w:tabs>
          <w:tab w:leader="none" w:pos="57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20320</wp:posOffset>
            </wp:positionV>
            <wp:extent cx="33286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28670" cy="571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Name: Carsten Brunn, Ph.D.</w:t>
      </w:r>
    </w:p>
    <w:p>
      <w:pPr>
        <w:spacing w:after="0" w:line="40"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EXECUTIVE</w:t>
      </w:r>
    </w:p>
    <w:p>
      <w:pPr>
        <w:spacing w:after="0" w:line="233"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/s/ Elona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20320</wp:posOffset>
            </wp:positionV>
            <wp:extent cx="39065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906520" cy="5715"/>
                    </a:xfrm>
                    <a:prstGeom prst="rect">
                      <a:avLst/>
                    </a:prstGeom>
                    <a:noFill/>
                  </pic:spPr>
                </pic:pic>
              </a:graphicData>
            </a:graphic>
          </wp:anchor>
        </w:drawing>
      </w:r>
    </w:p>
    <w:p>
      <w:pPr>
        <w:spacing w:after="0" w:line="29"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Elona Kogan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819"/>
          </w:cols>
          <w:pgMar w:left="640" w:top="606"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Separation Agreement and Release</w:t>
      </w:r>
    </w:p>
    <w:p>
      <w:pPr>
        <w:spacing w:after="0" w:line="152"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This Separation Agreement and Release (“Agreement”) is made by and between ELONA KOGAN, J.D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Parties have previously entered into that certain Employment Agreement, dated as of _____________, 2019 (the “Employment Agreement”) and that certain Employee Nondisclosure,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Noncompetition and Assignment of Intellectual Property Agreement, dated as of ________, 2019 (the “RCA”); and</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in connection with Executive’s termination of employment with the Company or a subsidiary or affiliate of the Company effective ________, 20__, the Parties wish to resolve any and all disputes,</w:t>
      </w:r>
    </w:p>
    <w:p>
      <w:pPr>
        <w:spacing w:after="0" w:line="25" w:lineRule="exact"/>
        <w:rPr>
          <w:sz w:val="20"/>
          <w:szCs w:val="20"/>
          <w:color w:val="auto"/>
        </w:rPr>
      </w:pPr>
    </w:p>
    <w:p>
      <w:pPr>
        <w:ind w:right="100"/>
        <w:spacing w:after="0" w:line="273" w:lineRule="auto"/>
        <w:rPr>
          <w:sz w:val="20"/>
          <w:szCs w:val="20"/>
          <w:color w:val="auto"/>
        </w:rPr>
      </w:pPr>
      <w:r>
        <w:rPr>
          <w:rFonts w:ascii="Arial" w:cs="Arial" w:eastAsia="Arial" w:hAnsi="Arial"/>
          <w:sz w:val="12"/>
          <w:szCs w:val="12"/>
          <w:color w:val="auto"/>
        </w:rPr>
        <w:t>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severance payments and benefits described in Section 4 of the Employment Agreement, which, pursuant to the Employment Agreement, are conditioned on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Executive’s execution and non-revocation of this Agreement, and in consideration of the mutual promises made herein, the Company and Executive hereby agree as follows:</w:t>
      </w:r>
    </w:p>
    <w:p>
      <w:pPr>
        <w:spacing w:after="0" w:line="66" w:lineRule="exact"/>
        <w:rPr>
          <w:sz w:val="20"/>
          <w:szCs w:val="20"/>
          <w:color w:val="auto"/>
        </w:rPr>
      </w:pPr>
    </w:p>
    <w:p>
      <w:pPr>
        <w:ind w:right="20" w:firstLine="424"/>
        <w:spacing w:after="0" w:line="290" w:lineRule="auto"/>
        <w:tabs>
          <w:tab w:leader="none" w:pos="663"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Severance Payments; Salary and Benefits</w:t>
      </w:r>
      <w:r>
        <w:rPr>
          <w:rFonts w:ascii="Arial" w:cs="Arial" w:eastAsia="Arial" w:hAnsi="Arial"/>
          <w:sz w:val="12"/>
          <w:szCs w:val="12"/>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03" w:lineRule="exact"/>
        <w:rPr>
          <w:rFonts w:ascii="Arial" w:cs="Arial" w:eastAsia="Arial" w:hAnsi="Arial"/>
          <w:sz w:val="12"/>
          <w:szCs w:val="12"/>
          <w:color w:val="auto"/>
        </w:rPr>
      </w:pPr>
    </w:p>
    <w:p>
      <w:pPr>
        <w:ind w:right="60" w:firstLine="424"/>
        <w:spacing w:after="0" w:line="278" w:lineRule="auto"/>
        <w:tabs>
          <w:tab w:leader="none" w:pos="663"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Release of Claims</w:t>
      </w:r>
      <w:r>
        <w:rPr>
          <w:rFonts w:ascii="Arial" w:cs="Arial" w:eastAsia="Arial" w:hAnsi="Arial"/>
          <w:sz w:val="12"/>
          <w:szCs w:val="12"/>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60"/>
          </w:cols>
          <w:pgMar w:left="220" w:top="602" w:right="2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color w:val="auto"/>
        </w:rPr>
        <w:t>Releasees arising from any omissions, acts, facts, or damages that have occurred up until and including the date Executive signs this Agreement, including, without limitation:</w:t>
      </w:r>
    </w:p>
    <w:p>
      <w:pPr>
        <w:spacing w:after="0" w:line="148" w:lineRule="exact"/>
        <w:rPr>
          <w:sz w:val="20"/>
          <w:szCs w:val="20"/>
          <w:color w:val="auto"/>
        </w:rPr>
      </w:pPr>
    </w:p>
    <w:p>
      <w:pPr>
        <w:ind w:left="860"/>
        <w:spacing w:after="0"/>
        <w:tabs>
          <w:tab w:leader="none" w:pos="11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any and all claims relating to or arising from Executive’s employment or service relationship with the Company or any of its direct or indirect subsidiaries or affiliates and the termination of that</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relationship;</w:t>
      </w:r>
    </w:p>
    <w:p>
      <w:pPr>
        <w:spacing w:after="0" w:line="138" w:lineRule="exact"/>
        <w:rPr>
          <w:sz w:val="20"/>
          <w:szCs w:val="20"/>
          <w:color w:val="auto"/>
        </w:rPr>
      </w:pPr>
    </w:p>
    <w:p>
      <w:pPr>
        <w:ind w:right="180" w:firstLine="857"/>
        <w:spacing w:after="0" w:line="314" w:lineRule="auto"/>
        <w:tabs>
          <w:tab w:leader="none" w:pos="1151" w:val="left"/>
        </w:tabs>
        <w:numPr>
          <w:ilvl w:val="0"/>
          <w:numId w:val="66"/>
        </w:numPr>
        <w:rPr>
          <w:rFonts w:ascii="Arial" w:cs="Arial" w:eastAsia="Arial" w:hAnsi="Arial"/>
          <w:sz w:val="12"/>
          <w:szCs w:val="12"/>
          <w:color w:val="auto"/>
        </w:rPr>
      </w:pPr>
      <w:r>
        <w:rPr>
          <w:rFonts w:ascii="Arial" w:cs="Arial" w:eastAsia="Arial" w:hAnsi="Arial"/>
          <w:sz w:val="12"/>
          <w:szCs w:val="1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89" w:lineRule="exact"/>
        <w:rPr>
          <w:rFonts w:ascii="Arial" w:cs="Arial" w:eastAsia="Arial" w:hAnsi="Arial"/>
          <w:sz w:val="12"/>
          <w:szCs w:val="12"/>
          <w:color w:val="auto"/>
        </w:rPr>
      </w:pPr>
    </w:p>
    <w:p>
      <w:pPr>
        <w:jc w:val="both"/>
        <w:ind w:firstLine="857"/>
        <w:spacing w:after="0" w:line="254" w:lineRule="auto"/>
        <w:tabs>
          <w:tab w:leader="none" w:pos="1143"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23" w:lineRule="exact"/>
        <w:rPr>
          <w:rFonts w:ascii="Arial" w:cs="Arial" w:eastAsia="Arial" w:hAnsi="Arial"/>
          <w:sz w:val="13"/>
          <w:szCs w:val="13"/>
          <w:color w:val="auto"/>
        </w:rPr>
      </w:pPr>
    </w:p>
    <w:p>
      <w:pPr>
        <w:ind w:right="140" w:firstLine="857"/>
        <w:spacing w:after="0" w:line="290" w:lineRule="auto"/>
        <w:tabs>
          <w:tab w:leader="none" w:pos="1151" w:val="left"/>
        </w:tabs>
        <w:numPr>
          <w:ilvl w:val="0"/>
          <w:numId w:val="66"/>
        </w:numPr>
        <w:rPr>
          <w:rFonts w:ascii="Arial" w:cs="Arial" w:eastAsia="Arial" w:hAnsi="Arial"/>
          <w:sz w:val="12"/>
          <w:szCs w:val="12"/>
          <w:color w:val="auto"/>
        </w:rPr>
      </w:pPr>
      <w:r>
        <w:rPr>
          <w:rFonts w:ascii="Arial" w:cs="Arial" w:eastAsia="Arial" w:hAnsi="Arial"/>
          <w:sz w:val="12"/>
          <w:szCs w:val="1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03" w:lineRule="exact"/>
        <w:rPr>
          <w:rFonts w:ascii="Arial" w:cs="Arial" w:eastAsia="Arial" w:hAnsi="Arial"/>
          <w:sz w:val="12"/>
          <w:szCs w:val="12"/>
          <w:color w:val="auto"/>
        </w:rPr>
      </w:pPr>
    </w:p>
    <w:p>
      <w:pPr>
        <w:ind w:left="1140" w:hanging="283"/>
        <w:spacing w:after="0"/>
        <w:tabs>
          <w:tab w:leader="none" w:pos="11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and all claims for violation of the federal or any state constitution;</w:t>
      </w:r>
    </w:p>
    <w:p>
      <w:pPr>
        <w:spacing w:after="0" w:line="147" w:lineRule="exact"/>
        <w:rPr>
          <w:rFonts w:ascii="Arial" w:cs="Arial" w:eastAsia="Arial" w:hAnsi="Arial"/>
          <w:sz w:val="13"/>
          <w:szCs w:val="13"/>
          <w:color w:val="auto"/>
        </w:rPr>
      </w:pPr>
    </w:p>
    <w:p>
      <w:pPr>
        <w:ind w:left="1160" w:hanging="303"/>
        <w:spacing w:after="0"/>
        <w:tabs>
          <w:tab w:leader="none" w:pos="11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and all claims arising out of any other laws and regulations relating to employment or employment discrimination;</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any claim for any loss, cost, damage, or expense arising out of any dispute over the non-withholding or other tax treatment of any of the proceeds received by Executive as a result of this</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Agreement;</w:t>
      </w:r>
    </w:p>
    <w:p>
      <w:pPr>
        <w:spacing w:after="0" w:line="137" w:lineRule="exact"/>
        <w:rPr>
          <w:rFonts w:ascii="Arial" w:cs="Arial" w:eastAsia="Arial" w:hAnsi="Arial"/>
          <w:sz w:val="12"/>
          <w:szCs w:val="12"/>
          <w:color w:val="auto"/>
        </w:rPr>
      </w:pPr>
    </w:p>
    <w:p>
      <w:pPr>
        <w:ind w:right="120" w:firstLine="857"/>
        <w:spacing w:after="0" w:line="271" w:lineRule="auto"/>
        <w:tabs>
          <w:tab w:leader="none" w:pos="1151"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and all claims for attorneys’ fees and costs.</w:t>
      </w:r>
    </w:p>
    <w:p>
      <w:pPr>
        <w:spacing w:after="0" w:line="148"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40"/>
          </w:cols>
          <w:pgMar w:left="220" w:top="606" w:right="239" w:bottom="1440" w:gutter="0" w:footer="0" w:header="0"/>
        </w:sectPr>
      </w:pPr>
    </w:p>
    <w:bookmarkStart w:id="100" w:name="page101"/>
    <w:bookmarkEnd w:id="100"/>
    <w:p>
      <w:pPr>
        <w:ind w:left="8" w:right="40"/>
        <w:spacing w:after="0" w:line="275" w:lineRule="auto"/>
        <w:rPr>
          <w:sz w:val="20"/>
          <w:szCs w:val="20"/>
          <w:color w:val="auto"/>
        </w:rPr>
      </w:pPr>
      <w:r>
        <w:rPr>
          <w:rFonts w:ascii="Arial" w:cs="Arial" w:eastAsia="Arial" w:hAnsi="Arial"/>
          <w:sz w:val="12"/>
          <w:szCs w:val="12"/>
          <w:color w:val="auto"/>
        </w:rPr>
        <w:t>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date Executive signs this Agreement.</w:t>
      </w:r>
    </w:p>
    <w:p>
      <w:pPr>
        <w:spacing w:after="0" w:line="114" w:lineRule="exact"/>
        <w:rPr>
          <w:sz w:val="20"/>
          <w:szCs w:val="20"/>
          <w:color w:val="auto"/>
        </w:rPr>
      </w:pPr>
    </w:p>
    <w:p>
      <w:pPr>
        <w:ind w:left="8" w:right="100" w:firstLine="424"/>
        <w:spacing w:after="0" w:line="270" w:lineRule="auto"/>
        <w:tabs>
          <w:tab w:leader="none" w:pos="671" w:val="left"/>
        </w:tabs>
        <w:numPr>
          <w:ilvl w:val="1"/>
          <w:numId w:val="67"/>
        </w:numPr>
        <w:rPr>
          <w:rFonts w:ascii="Arial" w:cs="Arial" w:eastAsia="Arial" w:hAnsi="Arial"/>
          <w:sz w:val="12"/>
          <w:szCs w:val="12"/>
          <w:color w:val="auto"/>
        </w:rPr>
      </w:pPr>
      <w:r>
        <w:rPr>
          <w:rFonts w:ascii="Arial" w:cs="Arial" w:eastAsia="Arial" w:hAnsi="Arial"/>
          <w:sz w:val="12"/>
          <w:szCs w:val="12"/>
          <w:u w:val="single" w:color="auto"/>
          <w:color w:val="auto"/>
        </w:rPr>
        <w:t>Acknowledgment of Waiver of Claims under ADEA</w:t>
      </w:r>
      <w:r>
        <w:rPr>
          <w:rFonts w:ascii="Arial" w:cs="Arial" w:eastAsia="Arial" w:hAnsi="Arial"/>
          <w:sz w:val="12"/>
          <w:szCs w:val="12"/>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w:t>
      </w:r>
    </w:p>
    <w:p>
      <w:pPr>
        <w:spacing w:after="0" w:line="1" w:lineRule="exact"/>
        <w:rPr>
          <w:rFonts w:ascii="Arial" w:cs="Arial" w:eastAsia="Arial" w:hAnsi="Arial"/>
          <w:sz w:val="12"/>
          <w:szCs w:val="12"/>
          <w:color w:val="auto"/>
        </w:rPr>
      </w:pPr>
    </w:p>
    <w:p>
      <w:pPr>
        <w:ind w:left="8" w:hanging="8"/>
        <w:spacing w:after="0" w:line="273" w:lineRule="auto"/>
        <w:tabs>
          <w:tab w:leader="none" w:pos="195" w:val="left"/>
        </w:tabs>
        <w:numPr>
          <w:ilvl w:val="0"/>
          <w:numId w:val="68"/>
        </w:numPr>
        <w:rPr>
          <w:rFonts w:ascii="Arial" w:cs="Arial" w:eastAsia="Arial" w:hAnsi="Arial"/>
          <w:sz w:val="12"/>
          <w:szCs w:val="12"/>
          <w:color w:val="auto"/>
        </w:rPr>
      </w:pPr>
      <w:r>
        <w:rPr>
          <w:rFonts w:ascii="Arial" w:cs="Arial" w:eastAsia="Arial" w:hAnsi="Arial"/>
          <w:sz w:val="12"/>
          <w:szCs w:val="12"/>
          <w:color w:val="auto"/>
        </w:rPr>
        <w:t>Executive has [21/45] days within which to consider this Agreement, and the parties agree that such time period to review this Agreement shall not be extended upon any material or immaterial changes to this Agreement; (c) Executive has 7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14" w:lineRule="exact"/>
        <w:rPr>
          <w:rFonts w:ascii="Arial" w:cs="Arial" w:eastAsia="Arial" w:hAnsi="Arial"/>
          <w:sz w:val="12"/>
          <w:szCs w:val="12"/>
          <w:color w:val="auto"/>
        </w:rPr>
      </w:pPr>
    </w:p>
    <w:p>
      <w:pPr>
        <w:ind w:left="668" w:hanging="236"/>
        <w:spacing w:after="0"/>
        <w:tabs>
          <w:tab w:leader="none" w:pos="668" w:val="left"/>
        </w:tabs>
        <w:numPr>
          <w:ilvl w:val="1"/>
          <w:numId w:val="68"/>
        </w:numPr>
        <w:rPr>
          <w:rFonts w:ascii="Arial" w:cs="Arial" w:eastAsia="Arial" w:hAnsi="Arial"/>
          <w:sz w:val="13"/>
          <w:szCs w:val="13"/>
          <w:color w:val="auto"/>
        </w:rPr>
      </w:pPr>
      <w:r>
        <w:rPr>
          <w:rFonts w:ascii="Arial" w:cs="Arial" w:eastAsia="Arial" w:hAnsi="Arial"/>
          <w:sz w:val="13"/>
          <w:szCs w:val="13"/>
          <w:u w:val="single" w:color="auto"/>
          <w:color w:val="auto"/>
        </w:rPr>
        <w:t>Restrictive Covenants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8" w:right="20" w:firstLine="857"/>
        <w:spacing w:after="0" w:line="282" w:lineRule="auto"/>
        <w:tabs>
          <w:tab w:leader="none" w:pos="1151" w:val="left"/>
        </w:tabs>
        <w:numPr>
          <w:ilvl w:val="2"/>
          <w:numId w:val="68"/>
        </w:numPr>
        <w:rPr>
          <w:rFonts w:ascii="Arial" w:cs="Arial" w:eastAsia="Arial" w:hAnsi="Arial"/>
          <w:sz w:val="12"/>
          <w:szCs w:val="12"/>
          <w:color w:val="auto"/>
        </w:rPr>
      </w:pPr>
      <w:r>
        <w:rPr>
          <w:rFonts w:ascii="Arial" w:cs="Arial" w:eastAsia="Arial" w:hAnsi="Arial"/>
          <w:sz w:val="12"/>
          <w:szCs w:val="12"/>
          <w:color w:val="auto"/>
        </w:rPr>
        <w:t>Executive acknowledges and agrees that the restrictive covenants and other post-termination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by removing Section 6, and each subpart thereto, of the RCA, which shall be of no further force or effect upon the Effective Date (as defined below). Executive represents and warrants that Executive has complied with all provisions of the RCA at all times through the Effective Date.</w:t>
      </w:r>
    </w:p>
    <w:p>
      <w:pPr>
        <w:spacing w:after="0" w:line="108" w:lineRule="exact"/>
        <w:rPr>
          <w:rFonts w:ascii="Arial" w:cs="Arial" w:eastAsia="Arial" w:hAnsi="Arial"/>
          <w:sz w:val="12"/>
          <w:szCs w:val="12"/>
          <w:color w:val="auto"/>
        </w:rPr>
      </w:pPr>
    </w:p>
    <w:p>
      <w:pPr>
        <w:ind w:left="8" w:right="400" w:firstLine="857"/>
        <w:spacing w:after="0" w:line="271" w:lineRule="auto"/>
        <w:tabs>
          <w:tab w:leader="none" w:pos="1159" w:val="left"/>
        </w:tabs>
        <w:numPr>
          <w:ilvl w:val="2"/>
          <w:numId w:val="68"/>
        </w:numPr>
        <w:rPr>
          <w:rFonts w:ascii="Arial" w:cs="Arial" w:eastAsia="Arial" w:hAnsi="Arial"/>
          <w:sz w:val="13"/>
          <w:szCs w:val="13"/>
          <w:color w:val="auto"/>
        </w:rPr>
      </w:pPr>
      <w:r>
        <w:rPr>
          <w:rFonts w:ascii="Arial" w:cs="Arial" w:eastAsia="Arial" w:hAnsi="Arial"/>
          <w:sz w:val="13"/>
          <w:szCs w:val="13"/>
          <w:color w:val="auto"/>
        </w:rPr>
        <w:t>In consideration for the severance payments and benefits set forth in Section 1 of this Agreement, Executive agrees for a period of 12 months after the Effective Date (the “Noncompetition Restricted Period”) to not directly or indirectly, on Executive’s own behalf or for the benefit of any other</w:t>
      </w:r>
    </w:p>
    <w:p>
      <w:pPr>
        <w:spacing w:after="0" w:line="27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68"/>
          </w:cols>
          <w:pgMar w:left="212" w:top="606" w:right="219" w:bottom="1440" w:gutter="0" w:footer="0" w:header="0"/>
        </w:sectPr>
      </w:pPr>
    </w:p>
    <w:bookmarkStart w:id="101" w:name="page102"/>
    <w:bookmarkEnd w:id="101"/>
    <w:p>
      <w:pPr>
        <w:spacing w:after="0" w:line="248" w:lineRule="auto"/>
        <w:rPr>
          <w:sz w:val="20"/>
          <w:szCs w:val="20"/>
          <w:color w:val="auto"/>
        </w:rPr>
      </w:pPr>
      <w:r>
        <w:rPr>
          <w:rFonts w:ascii="Arial" w:cs="Arial" w:eastAsia="Arial" w:hAnsi="Arial"/>
          <w:sz w:val="13"/>
          <w:szCs w:val="13"/>
          <w:color w:val="auto"/>
        </w:rPr>
        <w:t>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being developed, marketed, distributed, planned, sold or otherwise provided by the Company or its affiliates at the time of, or during the 12 months preceding, Executive’s termination from the Company (a “Competing Business”)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Effective Date.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131" w:lineRule="exact"/>
        <w:rPr>
          <w:sz w:val="20"/>
          <w:szCs w:val="20"/>
          <w:color w:val="auto"/>
        </w:rPr>
      </w:pPr>
    </w:p>
    <w:p>
      <w:pPr>
        <w:jc w:val="both"/>
        <w:ind w:right="80" w:firstLine="857"/>
        <w:spacing w:after="0" w:line="315" w:lineRule="auto"/>
        <w:tabs>
          <w:tab w:leader="none" w:pos="1143" w:val="left"/>
        </w:tabs>
        <w:numPr>
          <w:ilvl w:val="1"/>
          <w:numId w:val="69"/>
        </w:numPr>
        <w:rPr>
          <w:rFonts w:ascii="Arial" w:cs="Arial" w:eastAsia="Arial" w:hAnsi="Arial"/>
          <w:sz w:val="11"/>
          <w:szCs w:val="11"/>
          <w:color w:val="auto"/>
        </w:rPr>
      </w:pPr>
      <w:r>
        <w:rPr>
          <w:rFonts w:ascii="Arial" w:cs="Arial" w:eastAsia="Arial" w:hAnsi="Arial"/>
          <w:sz w:val="11"/>
          <w:szCs w:val="11"/>
          <w:color w:val="auto"/>
        </w:rPr>
        <w:t>Executive’s continued compliance with the terms of the RCA (as modified in Section 4(a) above) and the noncompetition obligations set forth in Section 4(b) above (collectively, the “Restrictive Covenants”) is a material condition to receipt of the severance payments and benefits set forth in Section 1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92" w:lineRule="exact"/>
        <w:rPr>
          <w:rFonts w:ascii="Arial" w:cs="Arial" w:eastAsia="Arial" w:hAnsi="Arial"/>
          <w:sz w:val="11"/>
          <w:szCs w:val="11"/>
          <w:color w:val="auto"/>
        </w:rPr>
      </w:pPr>
    </w:p>
    <w:p>
      <w:pPr>
        <w:ind w:firstLine="857"/>
        <w:spacing w:after="0" w:line="314" w:lineRule="auto"/>
        <w:tabs>
          <w:tab w:leader="none" w:pos="1151" w:val="left"/>
        </w:tabs>
        <w:numPr>
          <w:ilvl w:val="1"/>
          <w:numId w:val="69"/>
        </w:numPr>
        <w:rPr>
          <w:rFonts w:ascii="Arial" w:cs="Arial" w:eastAsia="Arial" w:hAnsi="Arial"/>
          <w:sz w:val="12"/>
          <w:szCs w:val="12"/>
          <w:color w:val="auto"/>
        </w:rPr>
      </w:pPr>
      <w:r>
        <w:rPr>
          <w:rFonts w:ascii="Arial" w:cs="Arial" w:eastAsia="Arial" w:hAnsi="Arial"/>
          <w:sz w:val="12"/>
          <w:szCs w:val="12"/>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89" w:lineRule="exact"/>
        <w:rPr>
          <w:rFonts w:ascii="Arial" w:cs="Arial" w:eastAsia="Arial" w:hAnsi="Arial"/>
          <w:sz w:val="12"/>
          <w:szCs w:val="12"/>
          <w:color w:val="auto"/>
        </w:rPr>
      </w:pPr>
    </w:p>
    <w:p>
      <w:pPr>
        <w:ind w:right="120" w:firstLine="424"/>
        <w:spacing w:after="0" w:line="271" w:lineRule="auto"/>
        <w:tabs>
          <w:tab w:leader="none" w:pos="663"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12" w:lineRule="exact"/>
        <w:rPr>
          <w:rFonts w:ascii="Arial" w:cs="Arial" w:eastAsia="Arial" w:hAnsi="Arial"/>
          <w:sz w:val="13"/>
          <w:szCs w:val="13"/>
          <w:color w:val="auto"/>
        </w:rPr>
      </w:pPr>
    </w:p>
    <w:p>
      <w:pPr>
        <w:ind w:left="660" w:hanging="236"/>
        <w:spacing w:after="0"/>
        <w:tabs>
          <w:tab w:leader="none" w:pos="66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No Oral Modification</w:t>
      </w:r>
      <w:r>
        <w:rPr>
          <w:rFonts w:ascii="Arial" w:cs="Arial" w:eastAsia="Arial" w:hAnsi="Arial"/>
          <w:sz w:val="13"/>
          <w:szCs w:val="13"/>
          <w:color w:val="auto"/>
        </w:rPr>
        <w:t>. This Agreement may only be amended in a writing signed by Executive and a duly authorized officer of the Company.</w:t>
      </w:r>
    </w:p>
    <w:p>
      <w:pPr>
        <w:spacing w:after="0" w:line="147" w:lineRule="exact"/>
        <w:rPr>
          <w:rFonts w:ascii="Arial" w:cs="Arial" w:eastAsia="Arial" w:hAnsi="Arial"/>
          <w:sz w:val="13"/>
          <w:szCs w:val="13"/>
          <w:color w:val="auto"/>
        </w:rPr>
      </w:pPr>
    </w:p>
    <w:p>
      <w:pPr>
        <w:ind w:left="660" w:hanging="236"/>
        <w:spacing w:after="0"/>
        <w:tabs>
          <w:tab w:leader="none" w:pos="66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subject to the provisions of Sections 9(a) and 9(c) of the Employment Agreement.</w:t>
      </w:r>
    </w:p>
    <w:p>
      <w:pPr>
        <w:spacing w:after="0" w:line="147" w:lineRule="exact"/>
        <w:rPr>
          <w:rFonts w:ascii="Arial" w:cs="Arial" w:eastAsia="Arial" w:hAnsi="Arial"/>
          <w:sz w:val="13"/>
          <w:szCs w:val="13"/>
          <w:color w:val="auto"/>
        </w:rPr>
      </w:pPr>
    </w:p>
    <w:p>
      <w:pPr>
        <w:ind w:left="660" w:hanging="236"/>
        <w:spacing w:after="0"/>
        <w:tabs>
          <w:tab w:leader="none" w:pos="66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Effective Date</w:t>
      </w:r>
      <w:r>
        <w:rPr>
          <w:rFonts w:ascii="Arial" w:cs="Arial" w:eastAsia="Arial" w:hAnsi="Arial"/>
          <w:sz w:val="13"/>
          <w:szCs w:val="13"/>
          <w:color w:val="auto"/>
        </w:rPr>
        <w:t>. Executive has seven (7) business days after Executive signs this Agreement to revoke it, and this Agreement will become effective on the eighth (8th) business day after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606" w:right="219" w:bottom="1440" w:gutter="0" w:footer="0" w:header="0"/>
        </w:sectPr>
      </w:pPr>
    </w:p>
    <w:bookmarkStart w:id="102" w:name="page103"/>
    <w:bookmarkEnd w:id="102"/>
    <w:p>
      <w:pPr>
        <w:ind w:right="280"/>
        <w:spacing w:after="0" w:line="290" w:lineRule="auto"/>
        <w:rPr>
          <w:sz w:val="20"/>
          <w:szCs w:val="20"/>
          <w:color w:val="auto"/>
        </w:rPr>
      </w:pPr>
      <w:r>
        <w:rPr>
          <w:rFonts w:ascii="Arial" w:cs="Arial" w:eastAsia="Arial" w:hAnsi="Arial"/>
          <w:sz w:val="12"/>
          <w:szCs w:val="12"/>
          <w:color w:val="auto"/>
        </w:rPr>
        <w:t>Executive signed this Agreement (the “Effective Date”), so long as it has been signed by the Parties and has not been revoked by either Party before such date. For the avoidance of doubt, if Executive revokes this Agreement as provided herein, the Parties’ modification to the RCA set forth in Section 4(a) above shall be void and of no effect. Unless the Company has elected or elects to expressly waive Executive’s noncompetition obligations set forth in Section 6(a) of the RCA as provided in Section 10(e) of the RCA, the RCA, including without limitation Section 6 of the RCA, shall remain in full force and effect.</w:t>
      </w:r>
    </w:p>
    <w:p>
      <w:pPr>
        <w:spacing w:after="0" w:line="103" w:lineRule="exact"/>
        <w:rPr>
          <w:sz w:val="20"/>
          <w:szCs w:val="20"/>
          <w:color w:val="auto"/>
        </w:rPr>
      </w:pPr>
    </w:p>
    <w:p>
      <w:pPr>
        <w:ind w:firstLine="424"/>
        <w:spacing w:after="0" w:line="252" w:lineRule="auto"/>
        <w:tabs>
          <w:tab w:leader="none" w:pos="663"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Voluntary Execution of Agreement</w:t>
      </w:r>
      <w:r>
        <w:rPr>
          <w:rFonts w:ascii="Arial" w:cs="Arial" w:eastAsia="Arial" w:hAnsi="Arial"/>
          <w:sz w:val="13"/>
          <w:szCs w:val="13"/>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WITNESS WHEREOF, the Parties have executed this Agreement on the respective dates set forth below.</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EXECUTIVE</w:t>
            </w:r>
          </w:p>
        </w:tc>
      </w:tr>
      <w:tr>
        <w:trPr>
          <w:trHeight w:val="386"/>
        </w:trPr>
        <w:tc>
          <w:tcPr>
            <w:tcW w:w="5440" w:type="dxa"/>
            <w:vAlign w:val="bottom"/>
          </w:tcPr>
          <w:p>
            <w:pPr>
              <w:spacing w:after="0"/>
              <w:rPr>
                <w:sz w:val="20"/>
                <w:szCs w:val="20"/>
                <w:color w:val="auto"/>
              </w:rPr>
            </w:pPr>
            <w:r>
              <w:rPr>
                <w:rFonts w:ascii="Arial" w:cs="Arial" w:eastAsia="Arial" w:hAnsi="Arial"/>
                <w:sz w:val="13"/>
                <w:szCs w:val="13"/>
                <w:color w:val="auto"/>
              </w:rPr>
              <w:t>Dated:</w:t>
            </w: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/s/ Elona Kogan, J.D.</w:t>
            </w:r>
          </w:p>
        </w:tc>
      </w:tr>
      <w:tr>
        <w:trPr>
          <w:trHeight w:val="170"/>
        </w:trPr>
        <w:tc>
          <w:tcPr>
            <w:tcW w:w="5440" w:type="dxa"/>
            <w:vAlign w:val="bottom"/>
          </w:tcPr>
          <w:p>
            <w:pPr>
              <w:spacing w:after="0"/>
              <w:rPr>
                <w:sz w:val="14"/>
                <w:szCs w:val="14"/>
                <w:color w:val="auto"/>
              </w:rPr>
            </w:pPr>
          </w:p>
        </w:tc>
        <w:tc>
          <w:tcPr>
            <w:tcW w:w="5700" w:type="dxa"/>
            <w:vAlign w:val="bottom"/>
            <w:gridSpan w:val="2"/>
          </w:tcPr>
          <w:p>
            <w:pPr>
              <w:ind w:left="20"/>
              <w:spacing w:after="0"/>
              <w:rPr>
                <w:sz w:val="20"/>
                <w:szCs w:val="20"/>
                <w:color w:val="auto"/>
              </w:rPr>
            </w:pPr>
            <w:r>
              <w:rPr>
                <w:rFonts w:ascii="Arial" w:cs="Arial" w:eastAsia="Arial" w:hAnsi="Arial"/>
                <w:sz w:val="13"/>
                <w:szCs w:val="13"/>
                <w:color w:val="auto"/>
              </w:rPr>
              <w:t>ELONA KOGAN, J.D.</w:t>
            </w:r>
          </w:p>
        </w:tc>
      </w:tr>
      <w:tr>
        <w:trPr>
          <w:trHeight w:val="594"/>
        </w:trPr>
        <w:tc>
          <w:tcPr>
            <w:tcW w:w="544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SELECTA BIOSCIENCES, INC.</w:t>
            </w:r>
          </w:p>
        </w:tc>
      </w:tr>
      <w:tr>
        <w:trPr>
          <w:trHeight w:val="413"/>
        </w:trPr>
        <w:tc>
          <w:tcPr>
            <w:tcW w:w="5440" w:type="dxa"/>
            <w:vAlign w:val="bottom"/>
          </w:tcPr>
          <w:p>
            <w:pPr>
              <w:spacing w:after="0"/>
              <w:rPr>
                <w:sz w:val="20"/>
                <w:szCs w:val="20"/>
                <w:color w:val="auto"/>
              </w:rPr>
            </w:pPr>
            <w:r>
              <w:rPr>
                <w:rFonts w:ascii="Arial" w:cs="Arial" w:eastAsia="Arial" w:hAnsi="Arial"/>
                <w:sz w:val="13"/>
                <w:szCs w:val="13"/>
                <w:color w:val="auto"/>
              </w:rPr>
              <w:t>Dated:</w:t>
            </w:r>
          </w:p>
        </w:tc>
        <w:tc>
          <w:tcPr>
            <w:tcW w:w="560" w:type="dxa"/>
            <w:vAlign w:val="bottom"/>
          </w:tcPr>
          <w:p>
            <w:pPr>
              <w:ind w:left="20"/>
              <w:spacing w:after="0"/>
              <w:rPr>
                <w:sz w:val="20"/>
                <w:szCs w:val="20"/>
                <w:color w:val="auto"/>
              </w:rPr>
            </w:pPr>
            <w:r>
              <w:rPr>
                <w:rFonts w:ascii="Arial" w:cs="Arial" w:eastAsia="Arial" w:hAnsi="Arial"/>
                <w:sz w:val="13"/>
                <w:szCs w:val="13"/>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Carsten Brunn, Ph.D.</w:t>
            </w:r>
          </w:p>
        </w:tc>
      </w:tr>
      <w:tr>
        <w:trPr>
          <w:trHeight w:val="170"/>
        </w:trPr>
        <w:tc>
          <w:tcPr>
            <w:tcW w:w="5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Arial" w:cs="Arial" w:eastAsia="Arial" w:hAnsi="Arial"/>
                <w:sz w:val="13"/>
                <w:szCs w:val="13"/>
                <w:color w:val="auto"/>
              </w:rPr>
              <w:t>Name: Carsten Brunn, Ph.D.</w:t>
            </w:r>
          </w:p>
        </w:tc>
      </w:tr>
      <w:tr>
        <w:trPr>
          <w:trHeight w:val="189"/>
        </w:trPr>
        <w:tc>
          <w:tcPr>
            <w:tcW w:w="5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Arial" w:cs="Arial" w:eastAsia="Arial" w:hAnsi="Arial"/>
                <w:sz w:val="13"/>
                <w:szCs w:val="13"/>
                <w:color w:val="auto"/>
              </w:rPr>
              <w:t>Title: President and Chief Executive Officer</w:t>
            </w:r>
          </w:p>
        </w:tc>
      </w:tr>
      <w:tr>
        <w:trPr>
          <w:trHeight w:val="692"/>
        </w:trPr>
        <w:tc>
          <w:tcPr>
            <w:tcW w:w="544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2"/>
                <w:szCs w:val="12"/>
                <w:color w:val="auto"/>
              </w:rPr>
              <w:t>18</w:t>
            </w:r>
          </w:p>
        </w:tc>
        <w:tc>
          <w:tcPr>
            <w:tcW w:w="5140" w:type="dxa"/>
            <w:vAlign w:val="bottom"/>
          </w:tcPr>
          <w:p>
            <w:pPr>
              <w:spacing w:after="0"/>
              <w:rPr>
                <w:sz w:val="24"/>
                <w:szCs w:val="24"/>
                <w:color w:val="auto"/>
              </w:rPr>
            </w:pPr>
          </w:p>
        </w:tc>
      </w:tr>
    </w:tbl>
    <w:p>
      <w:pPr>
        <w:sectPr>
          <w:pgSz w:w="11900" w:h="16838" w:orient="portrait"/>
          <w:cols w:equalWidth="0" w:num="1">
            <w:col w:w="11480"/>
          </w:cols>
          <w:pgMar w:left="220" w:top="606" w:right="1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Employee Nondisclosure, Noncompetition and Assignment of Intellectual Property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[attached]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602" w:right="1440"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3"/>
          <w:szCs w:val="13"/>
          <w:b w:val="1"/>
          <w:bCs w:val="1"/>
          <w:u w:val="single" w:color="auto"/>
          <w:color w:val="auto"/>
        </w:rPr>
        <w:t>EXHIBIT 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Form of Indemnification Agreement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602"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3"/>
          <w:szCs w:val="13"/>
          <w:b w:val="1"/>
          <w:bCs w:val="1"/>
          <w:u w:val="single" w:color="auto"/>
          <w:color w:val="auto"/>
        </w:rPr>
        <w:t>APPENDIX 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Form of Performance-Based Restricted Stock Unit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602"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July 29, 2016</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Dear Ann,</w:t>
      </w:r>
    </w:p>
    <w:p>
      <w:pPr>
        <w:spacing w:after="0" w:line="181" w:lineRule="exact"/>
        <w:rPr>
          <w:sz w:val="20"/>
          <w:szCs w:val="20"/>
          <w:color w:val="auto"/>
        </w:rPr>
      </w:pPr>
    </w:p>
    <w:p>
      <w:pPr>
        <w:ind w:firstLine="432"/>
        <w:spacing w:after="0" w:line="271" w:lineRule="auto"/>
        <w:rPr>
          <w:sz w:val="20"/>
          <w:szCs w:val="20"/>
          <w:color w:val="auto"/>
        </w:rPr>
      </w:pPr>
      <w:r>
        <w:rPr>
          <w:rFonts w:ascii="Arial" w:cs="Arial" w:eastAsia="Arial" w:hAnsi="Arial"/>
          <w:sz w:val="14"/>
          <w:szCs w:val="14"/>
          <w:color w:val="auto"/>
        </w:rPr>
        <w:t>It is with great pleasure that Selecta offers you employment with Selecta Biosciences, Inc. (“</w:t>
      </w:r>
      <w:r>
        <w:rPr>
          <w:rFonts w:ascii="Arial" w:cs="Arial" w:eastAsia="Arial" w:hAnsi="Arial"/>
          <w:sz w:val="14"/>
          <w:szCs w:val="14"/>
          <w:u w:val="single" w:color="auto"/>
          <w:color w:val="auto"/>
        </w:rPr>
        <w:t>Selecta</w:t>
      </w:r>
      <w:r>
        <w:rPr>
          <w:rFonts w:ascii="Arial" w:cs="Arial" w:eastAsia="Arial" w:hAnsi="Arial"/>
          <w:sz w:val="14"/>
          <w:szCs w:val="14"/>
          <w:color w:val="auto"/>
        </w:rPr>
        <w:t>”). Your position will be SEC Reporting Manager reporting directly to David Siewers, CFO. In addition to performing duties and responsibilities associated with the position above, from time-to-time Selecta may assign you other duties and responsibilities consistent with such position. We would like for you to join us as a regular, full-time employee on Tuesday, September 6, 2016.</w:t>
      </w:r>
    </w:p>
    <w:p>
      <w:pPr>
        <w:spacing w:after="0" w:line="139" w:lineRule="exact"/>
        <w:rPr>
          <w:sz w:val="20"/>
          <w:szCs w:val="20"/>
          <w:color w:val="auto"/>
        </w:rPr>
      </w:pPr>
    </w:p>
    <w:p>
      <w:pPr>
        <w:jc w:val="both"/>
        <w:ind w:right="100" w:firstLine="432"/>
        <w:spacing w:after="0" w:line="271" w:lineRule="auto"/>
        <w:rPr>
          <w:sz w:val="20"/>
          <w:szCs w:val="20"/>
          <w:color w:val="auto"/>
        </w:rPr>
      </w:pPr>
      <w:r>
        <w:rPr>
          <w:rFonts w:ascii="Arial" w:cs="Arial" w:eastAsia="Arial" w:hAnsi="Arial"/>
          <w:sz w:val="14"/>
          <w:szCs w:val="14"/>
          <w:color w:val="auto"/>
        </w:rPr>
        <w:t>As a regular, full-time employee of Selecta, it is expected that you will dedicate your professional time, attention, and efforts to the business, technology, and affairs of Selecta. In return, you shall be paid a salary on a bi-weekly basis in the amount of $4,615.38 which is equivalent to $120,000 on an annualized basis. This position is considered an exempt position for purposes of federal and state law, which means that you will not be eligible for overtime time pay for hours actually worked in excess of 40 in a given workweek.</w:t>
      </w:r>
    </w:p>
    <w:p>
      <w:pPr>
        <w:spacing w:after="0" w:line="139" w:lineRule="exact"/>
        <w:rPr>
          <w:sz w:val="20"/>
          <w:szCs w:val="20"/>
          <w:color w:val="auto"/>
        </w:rPr>
      </w:pPr>
    </w:p>
    <w:p>
      <w:pPr>
        <w:ind w:firstLine="432"/>
        <w:spacing w:after="0" w:line="265" w:lineRule="auto"/>
        <w:rPr>
          <w:sz w:val="20"/>
          <w:szCs w:val="20"/>
          <w:color w:val="auto"/>
        </w:rPr>
      </w:pPr>
      <w:r>
        <w:rPr>
          <w:rFonts w:ascii="Arial" w:cs="Arial" w:eastAsia="Arial" w:hAnsi="Arial"/>
          <w:sz w:val="14"/>
          <w:szCs w:val="14"/>
          <w:color w:val="auto"/>
        </w:rPr>
        <w:t>As an opportunity for you to share in the long-term success of Selecta, we intend to recommend to the Board of Directors that you be granted an incentive stock option to purchase 5,100 shares of Selecta’s common stock (the “Option”) at a purchase price equal to the fair market value, on the date of the grant. The Option shall vest over a four-year period, with 25% vesting 12 months from your first day of employment with Selecta, and additional 2.083% vesting in equal monthly portions over the following 36 months, and shall otherwise be subject to the provisions of Selecta’s Stock Incentive Plan.</w:t>
      </w:r>
    </w:p>
    <w:p>
      <w:pPr>
        <w:spacing w:after="0" w:line="145"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As a regular, full-time employee you are eligible to participate in the employee benefit plans which Selecta offers to its employees. Descriptions of the benefit plans currently being offered are attached. These plans may, from time to time, be amended or terminated with or without prior notice.</w:t>
      </w:r>
    </w:p>
    <w:p>
      <w:pPr>
        <w:spacing w:after="0" w:line="128" w:lineRule="exact"/>
        <w:rPr>
          <w:sz w:val="20"/>
          <w:szCs w:val="20"/>
          <w:color w:val="auto"/>
        </w:rPr>
      </w:pPr>
    </w:p>
    <w:p>
      <w:pPr>
        <w:ind w:right="280" w:firstLine="432"/>
        <w:spacing w:after="0" w:line="265" w:lineRule="auto"/>
        <w:rPr>
          <w:sz w:val="20"/>
          <w:szCs w:val="20"/>
          <w:color w:val="auto"/>
        </w:rPr>
      </w:pPr>
      <w:r>
        <w:rPr>
          <w:rFonts w:ascii="Arial" w:cs="Arial" w:eastAsia="Arial" w:hAnsi="Arial"/>
          <w:sz w:val="14"/>
          <w:szCs w:val="14"/>
          <w:color w:val="auto"/>
        </w:rPr>
        <w:t>As a condition of your at-will employment, you will be required to sign the attached Nondisclosure, Noncompetition and Assignment of Intellectual Property Agreement. In addition, the Immigration Reform and Control Act requires employers to verify employment eligibility and identity of new employees. On your first day of employment, you must provide us with appropriate documents to establish your eligibility to work in the United States (</w:t>
      </w:r>
      <w:r>
        <w:rPr>
          <w:rFonts w:ascii="Arial" w:cs="Arial" w:eastAsia="Arial" w:hAnsi="Arial"/>
          <w:sz w:val="14"/>
          <w:szCs w:val="14"/>
          <w:u w:val="single" w:color="auto"/>
          <w:color w:val="auto"/>
        </w:rPr>
        <w:t>e.g.</w:t>
      </w:r>
      <w:r>
        <w:rPr>
          <w:rFonts w:ascii="Arial" w:cs="Arial" w:eastAsia="Arial" w:hAnsi="Arial"/>
          <w:sz w:val="14"/>
          <w:szCs w:val="14"/>
          <w:color w:val="auto"/>
        </w:rPr>
        <w:t>, Social Security Card, Driver’s License, US Passport). We will not be able to employ you if you fail to comply with this requirement.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Selecta maintains a smoke-free, drug-free workplace policy and supports equal employment opportunities for all of its employees.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By accepting this offer, you represent that you are subject to no agreements which might restrict your conduct at Selecta; and that you understand that if you become aware at any time</w:t>
      </w:r>
    </w:p>
    <w:p>
      <w:pPr>
        <w:sectPr>
          <w:pgSz w:w="11900" w:h="16838" w:orient="portrait"/>
          <w:cols w:equalWidth="0" w:num="1">
            <w:col w:w="11460"/>
          </w:cols>
          <w:pgMar w:left="220" w:top="449" w:right="219" w:bottom="1440" w:gutter="0" w:footer="0" w:header="0"/>
        </w:sectPr>
      </w:pPr>
    </w:p>
    <w:bookmarkStart w:id="107" w:name="page108"/>
    <w:bookmarkEnd w:id="107"/>
    <w:p>
      <w:pPr>
        <w:ind w:right="180"/>
        <w:spacing w:after="0" w:line="287" w:lineRule="auto"/>
        <w:rPr>
          <w:sz w:val="20"/>
          <w:szCs w:val="20"/>
          <w:color w:val="auto"/>
        </w:rPr>
      </w:pPr>
      <w:r>
        <w:rPr>
          <w:rFonts w:ascii="Arial" w:cs="Arial" w:eastAsia="Arial" w:hAnsi="Arial"/>
          <w:sz w:val="14"/>
          <w:szCs w:val="14"/>
          <w:color w:val="auto"/>
        </w:rPr>
        <w:t>during your employment with Selecta that you are subject to any agreements which might restrict your conduct at Selecta, you are required to immediately inform Selecta of the existence of such agreements or your employment by Selecta shall be subject to immediate termination.</w:t>
      </w:r>
    </w:p>
    <w:p>
      <w:pPr>
        <w:spacing w:after="0" w:line="128" w:lineRule="exact"/>
        <w:rPr>
          <w:sz w:val="20"/>
          <w:szCs w:val="20"/>
          <w:color w:val="auto"/>
        </w:rPr>
      </w:pPr>
    </w:p>
    <w:p>
      <w:pPr>
        <w:ind w:firstLine="432"/>
        <w:spacing w:after="0" w:line="271" w:lineRule="auto"/>
        <w:rPr>
          <w:sz w:val="20"/>
          <w:szCs w:val="20"/>
          <w:color w:val="auto"/>
        </w:rPr>
      </w:pPr>
      <w:r>
        <w:rPr>
          <w:rFonts w:ascii="Arial" w:cs="Arial" w:eastAsia="Arial" w:hAnsi="Arial"/>
          <w:sz w:val="14"/>
          <w:szCs w:val="14"/>
          <w:color w:val="auto"/>
        </w:rPr>
        <w:t>This letter, together with the Nondisclosure, Noncompetition and Assignment of Intellectual Property Agreement will constitute the entire agreement as to your employment relationship with Selecta. In accepting this offer, you give us assurance that you have not relied on any agreements or representations, express or implied, with respect to your employment, that are not set forth expressly in this letter.</w:t>
      </w:r>
    </w:p>
    <w:p>
      <w:pPr>
        <w:spacing w:after="0" w:line="139" w:lineRule="exact"/>
        <w:rPr>
          <w:sz w:val="20"/>
          <w:szCs w:val="20"/>
          <w:color w:val="auto"/>
        </w:rPr>
      </w:pPr>
    </w:p>
    <w:p>
      <w:pPr>
        <w:ind w:right="660" w:firstLine="432"/>
        <w:spacing w:after="0" w:line="287" w:lineRule="auto"/>
        <w:rPr>
          <w:sz w:val="20"/>
          <w:szCs w:val="20"/>
          <w:color w:val="auto"/>
        </w:rPr>
      </w:pPr>
      <w:r>
        <w:rPr>
          <w:rFonts w:ascii="Arial" w:cs="Arial" w:eastAsia="Arial" w:hAnsi="Arial"/>
          <w:sz w:val="14"/>
          <w:szCs w:val="14"/>
          <w:color w:val="auto"/>
        </w:rPr>
        <w:t>This offer will expire at 5:00 p.m. on Wednesday, August 3, 2016. Please indicate your acceptance of this offer by signing and returning this letter and the attached Nondisclosure, Noncompetition and Assignment of Intellectual Property Agreement. Should you have any questions, please feel free to contact Lynn Sanglier or me.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Ann, I am looking forward to having you join the Selecta team!</w:t>
      </w:r>
    </w:p>
    <w:p>
      <w:pPr>
        <w:spacing w:after="0" w:line="200" w:lineRule="exact"/>
        <w:rPr>
          <w:sz w:val="20"/>
          <w:szCs w:val="20"/>
          <w:color w:val="auto"/>
        </w:rPr>
      </w:pPr>
    </w:p>
    <w:p>
      <w:pPr>
        <w:spacing w:after="0" w:line="251"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line="269"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20955</wp:posOffset>
            </wp:positionV>
            <wp:extent cx="31343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134360" cy="5715"/>
                    </a:xfrm>
                    <a:prstGeom prst="rect">
                      <a:avLst/>
                    </a:prstGeom>
                    <a:noFill/>
                  </pic:spPr>
                </pic:pic>
              </a:graphicData>
            </a:graphic>
          </wp:anchor>
        </w:drawing>
      </w:r>
    </w:p>
    <w:p>
      <w:pPr>
        <w:spacing w:after="0" w:line="26"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David Siewers</w:t>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CFO</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Accepted by:</w:t>
      </w:r>
    </w:p>
    <w:p>
      <w:pPr>
        <w:spacing w:after="0" w:line="253" w:lineRule="exact"/>
        <w:rPr>
          <w:sz w:val="20"/>
          <w:szCs w:val="20"/>
          <w:color w:val="auto"/>
        </w:rPr>
      </w:pPr>
    </w:p>
    <w:p>
      <w:pPr>
        <w:ind w:left="20"/>
        <w:spacing w:after="0"/>
        <w:tabs>
          <w:tab w:leader="none" w:pos="6540" w:val="left"/>
        </w:tabs>
        <w:rPr>
          <w:sz w:val="20"/>
          <w:szCs w:val="20"/>
          <w:color w:val="auto"/>
        </w:rPr>
      </w:pPr>
      <w:r>
        <w:rPr>
          <w:rFonts w:ascii="Arial" w:cs="Arial" w:eastAsia="Arial" w:hAnsi="Arial"/>
          <w:sz w:val="14"/>
          <w:szCs w:val="14"/>
          <w:color w:val="auto"/>
        </w:rPr>
        <w:t>/s/ Ann Donohue</w:t>
      </w:r>
      <w:r>
        <w:rPr>
          <w:sz w:val="20"/>
          <w:szCs w:val="20"/>
          <w:color w:val="auto"/>
        </w:rPr>
        <w:tab/>
      </w:r>
      <w:r>
        <w:rPr>
          <w:rFonts w:ascii="Arial" w:cs="Arial" w:eastAsia="Arial" w:hAnsi="Arial"/>
          <w:sz w:val="12"/>
          <w:szCs w:val="12"/>
          <w:color w:val="auto"/>
        </w:rPr>
        <w:t>Date: July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14007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140075"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Ann Donohue</w:t>
      </w:r>
    </w:p>
    <w:p>
      <w:pPr>
        <w:sectPr>
          <w:pgSz w:w="11900" w:h="16838" w:orient="portrait"/>
          <w:cols w:equalWidth="0" w:num="1">
            <w:col w:w="11380"/>
          </w:cols>
          <w:pgMar w:left="220" w:top="450" w:right="29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auto"/>
        </w:rPr>
        <w:t>November 30, 2017</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Dear Annie,</w:t>
      </w:r>
    </w:p>
    <w:p>
      <w:pPr>
        <w:spacing w:after="0" w:line="154" w:lineRule="exact"/>
        <w:rPr>
          <w:sz w:val="20"/>
          <w:szCs w:val="20"/>
          <w:color w:val="auto"/>
        </w:rPr>
      </w:pPr>
    </w:p>
    <w:p>
      <w:pPr>
        <w:ind w:right="60"/>
        <w:spacing w:after="0" w:line="327" w:lineRule="auto"/>
        <w:rPr>
          <w:sz w:val="20"/>
          <w:szCs w:val="20"/>
          <w:color w:val="auto"/>
        </w:rPr>
      </w:pPr>
      <w:r>
        <w:rPr>
          <w:rFonts w:ascii="Arial" w:cs="Arial" w:eastAsia="Arial" w:hAnsi="Arial"/>
          <w:sz w:val="14"/>
          <w:szCs w:val="14"/>
          <w:color w:val="auto"/>
        </w:rPr>
        <w:t>I am pleased to congratulate you on your promotion to Corporate Controller reporting to John Leaman, CFO and Head of Corporate Strategy effective December 4, 2017. Your new bi-weekly rate will be $5,576.92 which is equivalent to an annual salary in the amount of $145,000.</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The promotional increase will be reflected in your paycheck on December 15, 2017.</w:t>
      </w:r>
    </w:p>
    <w:p>
      <w:pPr>
        <w:spacing w:after="0" w:line="154"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In addition, you will be eligible for a discretionary bonus. The bonus (if any) will be awarded based on objective or subjective criteria established by the Company’s Chief Executive Officer and approved by the Company’s Board of Directors or other such process as established by the company. Your bonus will be targeted at 20% of your annual base salary. Any bonus for a fiscal year will be paid only if you are still employed by the Company at the time of payment.</w:t>
      </w:r>
    </w:p>
    <w:p>
      <w:pPr>
        <w:spacing w:after="0" w:line="167" w:lineRule="exact"/>
        <w:rPr>
          <w:sz w:val="20"/>
          <w:szCs w:val="20"/>
          <w:color w:val="auto"/>
        </w:rPr>
      </w:pPr>
    </w:p>
    <w:p>
      <w:pPr>
        <w:ind w:right="360"/>
        <w:spacing w:after="0" w:line="327" w:lineRule="auto"/>
        <w:rPr>
          <w:sz w:val="20"/>
          <w:szCs w:val="20"/>
          <w:color w:val="auto"/>
        </w:rPr>
      </w:pPr>
      <w:r>
        <w:rPr>
          <w:rFonts w:ascii="Arial" w:cs="Arial" w:eastAsia="Arial" w:hAnsi="Arial"/>
          <w:sz w:val="14"/>
          <w:szCs w:val="14"/>
          <w:color w:val="auto"/>
        </w:rPr>
        <w:t>On behalf of the entire management team, Selecta appreciates your ongoing dedication to the continuing development and growth of the company. This is a well-deserved promotion, and we encourage and inspire you to continue to excel in this new role.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Again, congratulations on your promotion!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/s/ John Leaman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John Leaman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CFO and Head of Corporate Strategy</w:t>
      </w:r>
    </w:p>
    <w:p>
      <w:pPr>
        <w:sectPr>
          <w:pgSz w:w="11900" w:h="16838" w:orient="portrait"/>
          <w:cols w:equalWidth="0" w:num="1">
            <w:col w:w="11300"/>
          </w:cols>
          <w:pgMar w:left="220" w:top="774" w:right="3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 Carsten Brunn, certify that:</w:t>
      </w:r>
    </w:p>
    <w:p>
      <w:pPr>
        <w:spacing w:after="0" w:line="265" w:lineRule="exact"/>
        <w:rPr>
          <w:sz w:val="20"/>
          <w:szCs w:val="20"/>
          <w:color w:val="auto"/>
        </w:rPr>
      </w:pPr>
    </w:p>
    <w:p>
      <w:pPr>
        <w:ind w:left="420" w:hanging="212"/>
        <w:spacing w:after="0"/>
        <w:tabs>
          <w:tab w:leader="none" w:pos="4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Selecta Biosciences, Inc.;</w:t>
      </w:r>
    </w:p>
    <w:p>
      <w:pPr>
        <w:spacing w:after="0" w:line="120" w:lineRule="exact"/>
        <w:rPr>
          <w:rFonts w:ascii="Arial" w:cs="Arial" w:eastAsia="Arial" w:hAnsi="Arial"/>
          <w:sz w:val="13"/>
          <w:szCs w:val="13"/>
          <w:color w:val="auto"/>
        </w:rPr>
      </w:pPr>
    </w:p>
    <w:p>
      <w:pPr>
        <w:ind w:left="420" w:right="220" w:hanging="212"/>
        <w:spacing w:after="0" w:line="271" w:lineRule="auto"/>
        <w:tabs>
          <w:tab w:leader="none" w:pos="4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3"/>
          <w:szCs w:val="13"/>
          <w:color w:val="auto"/>
        </w:rPr>
      </w:pPr>
    </w:p>
    <w:p>
      <w:pPr>
        <w:ind w:left="420" w:right="40" w:hanging="212"/>
        <w:spacing w:after="0" w:line="271" w:lineRule="auto"/>
        <w:tabs>
          <w:tab w:leader="none" w:pos="4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3"/>
          <w:szCs w:val="13"/>
          <w:color w:val="auto"/>
        </w:rPr>
      </w:pPr>
    </w:p>
    <w:p>
      <w:pPr>
        <w:ind w:left="420" w:right="380" w:hanging="212"/>
        <w:spacing w:after="0" w:line="271" w:lineRule="auto"/>
        <w:tabs>
          <w:tab w:leader="none" w:pos="4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3"/>
          <w:szCs w:val="13"/>
          <w:color w:val="auto"/>
        </w:rPr>
      </w:pPr>
    </w:p>
    <w:p>
      <w:pPr>
        <w:ind w:left="860" w:right="80" w:hanging="273"/>
        <w:spacing w:after="0" w:line="271" w:lineRule="auto"/>
        <w:tabs>
          <w:tab w:leader="none" w:pos="8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13"/>
          <w:szCs w:val="13"/>
          <w:color w:val="auto"/>
        </w:rPr>
      </w:pPr>
    </w:p>
    <w:p>
      <w:pPr>
        <w:ind w:left="860" w:right="300" w:hanging="273"/>
        <w:spacing w:after="0" w:line="314" w:lineRule="auto"/>
        <w:tabs>
          <w:tab w:leader="none" w:pos="860"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2"/>
          <w:szCs w:val="12"/>
          <w:color w:val="auto"/>
        </w:rPr>
      </w:pPr>
    </w:p>
    <w:p>
      <w:pPr>
        <w:ind w:left="860" w:right="80" w:hanging="273"/>
        <w:spacing w:after="0" w:line="271" w:lineRule="auto"/>
        <w:tabs>
          <w:tab w:leader="none" w:pos="8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3"/>
          <w:szCs w:val="13"/>
          <w:color w:val="auto"/>
        </w:rPr>
      </w:pPr>
    </w:p>
    <w:p>
      <w:pPr>
        <w:ind w:left="860" w:right="140" w:hanging="273"/>
        <w:spacing w:after="0" w:line="271" w:lineRule="auto"/>
        <w:tabs>
          <w:tab w:leader="none" w:pos="8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rFonts w:ascii="Arial" w:cs="Arial" w:eastAsia="Arial" w:hAnsi="Arial"/>
          <w:sz w:val="13"/>
          <w:szCs w:val="13"/>
          <w:color w:val="auto"/>
        </w:rPr>
      </w:pPr>
    </w:p>
    <w:p>
      <w:pPr>
        <w:ind w:left="420" w:right="580" w:hanging="212"/>
        <w:spacing w:after="0" w:line="271" w:lineRule="auto"/>
        <w:tabs>
          <w:tab w:leader="none" w:pos="4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3"/>
          <w:szCs w:val="13"/>
          <w:color w:val="auto"/>
        </w:rPr>
      </w:pPr>
    </w:p>
    <w:p>
      <w:pPr>
        <w:ind w:left="860" w:right="400" w:hanging="273"/>
        <w:spacing w:after="0" w:line="271" w:lineRule="auto"/>
        <w:tabs>
          <w:tab w:leader="none" w:pos="8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3"/>
          <w:szCs w:val="13"/>
          <w:color w:val="auto"/>
        </w:rPr>
      </w:pPr>
    </w:p>
    <w:p>
      <w:pPr>
        <w:ind w:left="860" w:hanging="273"/>
        <w:spacing w:after="0"/>
        <w:tabs>
          <w:tab w:leader="none" w:pos="8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3"/>
          <w:szCs w:val="13"/>
          <w:color w:val="auto"/>
        </w:rPr>
        <w:t>May 9, 2019</w:t>
      </w:r>
      <w:r>
        <w:rPr>
          <w:sz w:val="20"/>
          <w:szCs w:val="20"/>
          <w:color w:val="auto"/>
        </w:rPr>
        <w:tab/>
      </w:r>
      <w:r>
        <w:rPr>
          <w:rFonts w:ascii="Arial" w:cs="Arial" w:eastAsia="Arial" w:hAnsi="Arial"/>
          <w:sz w:val="11"/>
          <w:szCs w:val="11"/>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20320</wp:posOffset>
            </wp:positionV>
            <wp:extent cx="32086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208655" cy="5715"/>
                    </a:xfrm>
                    <a:prstGeom prst="rect">
                      <a:avLst/>
                    </a:prstGeom>
                    <a:noFill/>
                  </pic:spPr>
                </pic:pic>
              </a:graphicData>
            </a:graphic>
          </wp:anchor>
        </w:drawing>
      </w:r>
    </w:p>
    <w:p>
      <w:pPr>
        <w:spacing w:after="0" w:line="29" w:lineRule="exact"/>
        <w:rPr>
          <w:sz w:val="20"/>
          <w:szCs w:val="20"/>
          <w:color w:val="auto"/>
        </w:rPr>
      </w:pPr>
    </w:p>
    <w:p>
      <w:pPr>
        <w:jc w:val="center"/>
        <w:ind w:left="6440"/>
        <w:spacing w:after="0"/>
        <w:rPr>
          <w:sz w:val="20"/>
          <w:szCs w:val="20"/>
          <w:color w:val="auto"/>
        </w:rPr>
      </w:pPr>
      <w:r>
        <w:rPr>
          <w:rFonts w:ascii="Arial" w:cs="Arial" w:eastAsia="Arial" w:hAnsi="Arial"/>
          <w:sz w:val="13"/>
          <w:szCs w:val="13"/>
          <w:color w:val="auto"/>
        </w:rPr>
        <w:t>Carsten Brunn, Ph.D.</w:t>
      </w:r>
    </w:p>
    <w:p>
      <w:pPr>
        <w:spacing w:after="0" w:line="40" w:lineRule="exact"/>
        <w:rPr>
          <w:sz w:val="20"/>
          <w:szCs w:val="20"/>
          <w:color w:val="auto"/>
        </w:rPr>
      </w:pPr>
    </w:p>
    <w:p>
      <w:pPr>
        <w:jc w:val="center"/>
        <w:ind w:left="6440"/>
        <w:spacing w:after="0"/>
        <w:rPr>
          <w:sz w:val="20"/>
          <w:szCs w:val="20"/>
          <w:color w:val="auto"/>
        </w:rPr>
      </w:pPr>
      <w:r>
        <w:rPr>
          <w:rFonts w:ascii="Arial" w:cs="Arial" w:eastAsia="Arial" w:hAnsi="Arial"/>
          <w:sz w:val="13"/>
          <w:szCs w:val="13"/>
          <w:i w:val="1"/>
          <w:iCs w:val="1"/>
          <w:color w:val="auto"/>
        </w:rPr>
        <w:t>President and Chief Executive Officer, and Director</w:t>
      </w:r>
    </w:p>
    <w:p>
      <w:pPr>
        <w:sectPr>
          <w:pgSz w:w="11900" w:h="16838" w:orient="portrait"/>
          <w:cols w:equalWidth="0" w:num="1">
            <w:col w:w="11480"/>
          </w:cols>
          <w:pgMar w:left="220" w:top="431" w:right="1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 Ann K. Donohue, certify that:</w:t>
      </w:r>
    </w:p>
    <w:p>
      <w:pPr>
        <w:spacing w:after="0" w:line="265" w:lineRule="exact"/>
        <w:rPr>
          <w:sz w:val="20"/>
          <w:szCs w:val="20"/>
          <w:color w:val="auto"/>
        </w:rPr>
      </w:pPr>
    </w:p>
    <w:p>
      <w:pPr>
        <w:ind w:left="420" w:hanging="212"/>
        <w:spacing w:after="0"/>
        <w:tabs>
          <w:tab w:leader="none" w:pos="4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Selecta Biosciences, Inc.;</w:t>
      </w:r>
    </w:p>
    <w:p>
      <w:pPr>
        <w:spacing w:after="0" w:line="120" w:lineRule="exact"/>
        <w:rPr>
          <w:rFonts w:ascii="Arial" w:cs="Arial" w:eastAsia="Arial" w:hAnsi="Arial"/>
          <w:sz w:val="13"/>
          <w:szCs w:val="13"/>
          <w:color w:val="auto"/>
        </w:rPr>
      </w:pPr>
    </w:p>
    <w:p>
      <w:pPr>
        <w:ind w:left="420" w:right="220" w:hanging="212"/>
        <w:spacing w:after="0" w:line="271" w:lineRule="auto"/>
        <w:tabs>
          <w:tab w:leader="none" w:pos="4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3"/>
          <w:szCs w:val="13"/>
          <w:color w:val="auto"/>
        </w:rPr>
      </w:pPr>
    </w:p>
    <w:p>
      <w:pPr>
        <w:ind w:left="420" w:right="40" w:hanging="212"/>
        <w:spacing w:after="0" w:line="271" w:lineRule="auto"/>
        <w:tabs>
          <w:tab w:leader="none" w:pos="4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3"/>
          <w:szCs w:val="13"/>
          <w:color w:val="auto"/>
        </w:rPr>
      </w:pPr>
    </w:p>
    <w:p>
      <w:pPr>
        <w:ind w:left="420" w:right="380" w:hanging="212"/>
        <w:spacing w:after="0" w:line="271" w:lineRule="auto"/>
        <w:tabs>
          <w:tab w:leader="none" w:pos="4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3"/>
          <w:szCs w:val="13"/>
          <w:color w:val="auto"/>
        </w:rPr>
      </w:pPr>
    </w:p>
    <w:p>
      <w:pPr>
        <w:ind w:left="860" w:right="80" w:hanging="273"/>
        <w:spacing w:after="0" w:line="271" w:lineRule="auto"/>
        <w:tabs>
          <w:tab w:leader="none" w:pos="8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13"/>
          <w:szCs w:val="13"/>
          <w:color w:val="auto"/>
        </w:rPr>
      </w:pPr>
    </w:p>
    <w:p>
      <w:pPr>
        <w:ind w:left="860" w:right="300" w:hanging="273"/>
        <w:spacing w:after="0" w:line="314" w:lineRule="auto"/>
        <w:tabs>
          <w:tab w:leader="none" w:pos="8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2"/>
          <w:szCs w:val="12"/>
          <w:color w:val="auto"/>
        </w:rPr>
      </w:pPr>
    </w:p>
    <w:p>
      <w:pPr>
        <w:ind w:left="860" w:right="80" w:hanging="273"/>
        <w:spacing w:after="0" w:line="271" w:lineRule="auto"/>
        <w:tabs>
          <w:tab w:leader="none" w:pos="8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3"/>
          <w:szCs w:val="13"/>
          <w:color w:val="auto"/>
        </w:rPr>
      </w:pPr>
    </w:p>
    <w:p>
      <w:pPr>
        <w:ind w:left="860" w:right="140" w:hanging="273"/>
        <w:spacing w:after="0" w:line="271" w:lineRule="auto"/>
        <w:tabs>
          <w:tab w:leader="none" w:pos="8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rFonts w:ascii="Arial" w:cs="Arial" w:eastAsia="Arial" w:hAnsi="Arial"/>
          <w:sz w:val="13"/>
          <w:szCs w:val="13"/>
          <w:color w:val="auto"/>
        </w:rPr>
      </w:pPr>
    </w:p>
    <w:p>
      <w:pPr>
        <w:ind w:left="420" w:right="580" w:hanging="212"/>
        <w:spacing w:after="0" w:line="271" w:lineRule="auto"/>
        <w:tabs>
          <w:tab w:leader="none" w:pos="4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3"/>
          <w:szCs w:val="13"/>
          <w:color w:val="auto"/>
        </w:rPr>
      </w:pPr>
    </w:p>
    <w:p>
      <w:pPr>
        <w:ind w:left="860" w:right="400" w:hanging="273"/>
        <w:spacing w:after="0" w:line="271" w:lineRule="auto"/>
        <w:tabs>
          <w:tab w:leader="none" w:pos="8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3"/>
          <w:szCs w:val="13"/>
          <w:color w:val="auto"/>
        </w:rPr>
      </w:pPr>
    </w:p>
    <w:p>
      <w:pPr>
        <w:ind w:left="860" w:hanging="273"/>
        <w:spacing w:after="0"/>
        <w:tabs>
          <w:tab w:leader="none" w:pos="8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80"/>
          </w:cols>
          <w:pgMar w:left="220" w:top="431" w:right="199" w:bottom="1440" w:gutter="0" w:footer="0" w:header="0"/>
        </w:sectPr>
      </w:pPr>
    </w:p>
    <w:bookmarkStart w:id="111" w:name="page112"/>
    <w:bookmarkEnd w:id="111"/>
    <w:p>
      <w:pPr>
        <w:spacing w:after="0"/>
        <w:tabs>
          <w:tab w:leader="none" w:pos="8120" w:val="left"/>
        </w:tabs>
        <w:rPr>
          <w:sz w:val="20"/>
          <w:szCs w:val="20"/>
          <w:color w:val="auto"/>
        </w:rPr>
      </w:pPr>
      <w:r>
        <w:rPr>
          <w:rFonts w:ascii="Arial" w:cs="Arial" w:eastAsia="Arial" w:hAnsi="Arial"/>
          <w:sz w:val="13"/>
          <w:szCs w:val="13"/>
          <w:color w:val="auto"/>
        </w:rPr>
        <w:t>May 9, 2019</w:t>
      </w:r>
      <w:r>
        <w:rPr>
          <w:sz w:val="20"/>
          <w:szCs w:val="20"/>
          <w:color w:val="auto"/>
        </w:rPr>
        <w:tab/>
      </w:r>
      <w:r>
        <w:rPr>
          <w:rFonts w:ascii="Arial" w:cs="Arial" w:eastAsia="Arial" w:hAnsi="Arial"/>
          <w:sz w:val="10"/>
          <w:szCs w:val="10"/>
          <w:color w:val="auto"/>
        </w:rPr>
        <w:t>/s/ Ann K. Donohue,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20320</wp:posOffset>
            </wp:positionV>
            <wp:extent cx="34258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425825" cy="5715"/>
                    </a:xfrm>
                    <a:prstGeom prst="rect">
                      <a:avLst/>
                    </a:prstGeom>
                    <a:noFill/>
                  </pic:spPr>
                </pic:pic>
              </a:graphicData>
            </a:graphic>
          </wp:anchor>
        </w:drawing>
      </w:r>
    </w:p>
    <w:p>
      <w:pPr>
        <w:spacing w:after="0" w:line="30" w:lineRule="exact"/>
        <w:rPr>
          <w:sz w:val="20"/>
          <w:szCs w:val="20"/>
          <w:color w:val="auto"/>
        </w:rPr>
      </w:pPr>
    </w:p>
    <w:p>
      <w:pPr>
        <w:ind w:left="8200"/>
        <w:spacing w:after="0"/>
        <w:rPr>
          <w:sz w:val="20"/>
          <w:szCs w:val="20"/>
          <w:color w:val="auto"/>
        </w:rPr>
      </w:pPr>
      <w:r>
        <w:rPr>
          <w:rFonts w:ascii="Arial" w:cs="Arial" w:eastAsia="Arial" w:hAnsi="Arial"/>
          <w:sz w:val="12"/>
          <w:szCs w:val="12"/>
          <w:color w:val="auto"/>
        </w:rPr>
        <w:t>Ann K. Donohue, CPA</w:t>
      </w:r>
    </w:p>
    <w:p>
      <w:pPr>
        <w:spacing w:after="0" w:line="42" w:lineRule="exact"/>
        <w:rPr>
          <w:sz w:val="20"/>
          <w:szCs w:val="20"/>
          <w:color w:val="auto"/>
        </w:rPr>
      </w:pPr>
    </w:p>
    <w:p>
      <w:pPr>
        <w:ind w:left="8500"/>
        <w:spacing w:after="0"/>
        <w:rPr>
          <w:sz w:val="20"/>
          <w:szCs w:val="20"/>
          <w:color w:val="auto"/>
        </w:rPr>
      </w:pPr>
      <w:r>
        <w:rPr>
          <w:rFonts w:ascii="Arial" w:cs="Arial" w:eastAsia="Arial" w:hAnsi="Arial"/>
          <w:sz w:val="12"/>
          <w:szCs w:val="12"/>
          <w:i w:val="1"/>
          <w:iCs w:val="1"/>
          <w:color w:val="auto"/>
        </w:rPr>
        <w:t>Controller</w:t>
      </w:r>
    </w:p>
    <w:p>
      <w:pPr>
        <w:spacing w:after="0" w:line="42" w:lineRule="exact"/>
        <w:rPr>
          <w:sz w:val="20"/>
          <w:szCs w:val="20"/>
          <w:color w:val="auto"/>
        </w:rPr>
      </w:pPr>
    </w:p>
    <w:p>
      <w:pPr>
        <w:ind w:left="8180"/>
        <w:spacing w:after="0"/>
        <w:rPr>
          <w:sz w:val="20"/>
          <w:szCs w:val="20"/>
          <w:color w:val="auto"/>
        </w:rPr>
      </w:pPr>
      <w:r>
        <w:rPr>
          <w:rFonts w:ascii="Arial" w:cs="Arial" w:eastAsia="Arial" w:hAnsi="Arial"/>
          <w:sz w:val="12"/>
          <w:szCs w:val="12"/>
          <w:i w:val="1"/>
          <w:iCs w:val="1"/>
          <w:color w:val="auto"/>
        </w:rPr>
        <w:t>(principal financial and</w:t>
      </w:r>
    </w:p>
    <w:p>
      <w:pPr>
        <w:spacing w:after="0" w:line="15" w:lineRule="exact"/>
        <w:rPr>
          <w:sz w:val="20"/>
          <w:szCs w:val="20"/>
          <w:color w:val="auto"/>
        </w:rPr>
      </w:pPr>
    </w:p>
    <w:p>
      <w:pPr>
        <w:jc w:val="right"/>
        <w:ind w:right="759"/>
        <w:spacing w:after="0"/>
        <w:rPr>
          <w:sz w:val="20"/>
          <w:szCs w:val="20"/>
          <w:color w:val="auto"/>
        </w:rPr>
      </w:pPr>
      <w:r>
        <w:rPr>
          <w:rFonts w:ascii="Arial" w:cs="Arial" w:eastAsia="Arial" w:hAnsi="Arial"/>
          <w:sz w:val="12"/>
          <w:szCs w:val="12"/>
          <w:i w:val="1"/>
          <w:iCs w:val="1"/>
          <w:color w:val="auto"/>
        </w:rPr>
        <w:t>principal accounting officer)</w:t>
      </w:r>
    </w:p>
    <w:p>
      <w:pPr>
        <w:sectPr>
          <w:pgSz w:w="11900" w:h="16838" w:orient="portrait"/>
          <w:cols w:equalWidth="0" w:num="1">
            <w:col w:w="10219"/>
          </w:cols>
          <w:pgMar w:left="240" w:top="732"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32.1</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18 U.S.C. SECTION 1350,</w:t>
      </w:r>
    </w:p>
    <w:p>
      <w:pPr>
        <w:spacing w:after="0" w:line="4"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AS ADOPTED PURSUANT TO</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I, Carsten Brunn, President and Chief Executive Officer of Selecta Biosciences, Inc. (the “Company”), hereby certify, pursuant to 18 U.S.C. §1350, as adopted pursuant to §906 of the Sarbanes-Oxley Act of 2002, that, to the best of my knowledge:</w:t>
      </w:r>
    </w:p>
    <w:p>
      <w:pPr>
        <w:spacing w:after="0" w:line="230" w:lineRule="exact"/>
        <w:rPr>
          <w:sz w:val="20"/>
          <w:szCs w:val="20"/>
          <w:color w:val="auto"/>
        </w:rPr>
      </w:pPr>
    </w:p>
    <w:p>
      <w:pPr>
        <w:ind w:left="420" w:right="20" w:hanging="212"/>
        <w:spacing w:after="0" w:line="271" w:lineRule="auto"/>
        <w:tabs>
          <w:tab w:leader="none" w:pos="4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period ended March 31, 2019 (the “Report”) fully complies with the requirements of Section 13(a) or 15(d) of the Securities Exchange Act of 1934, as amended; and</w:t>
      </w:r>
    </w:p>
    <w:p>
      <w:pPr>
        <w:spacing w:after="0" w:line="85" w:lineRule="exact"/>
        <w:rPr>
          <w:rFonts w:ascii="Arial" w:cs="Arial" w:eastAsia="Arial" w:hAnsi="Arial"/>
          <w:sz w:val="13"/>
          <w:szCs w:val="13"/>
          <w:color w:val="auto"/>
        </w:rPr>
      </w:pPr>
    </w:p>
    <w:p>
      <w:pPr>
        <w:ind w:left="420" w:hanging="212"/>
        <w:spacing w:after="0"/>
        <w:tabs>
          <w:tab w:leader="none" w:pos="4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01"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3"/>
          <w:szCs w:val="13"/>
          <w:color w:val="auto"/>
        </w:rPr>
        <w:t>May 9, 2019</w:t>
      </w:r>
      <w:r>
        <w:rPr>
          <w:sz w:val="20"/>
          <w:szCs w:val="20"/>
          <w:color w:val="auto"/>
        </w:rPr>
        <w:tab/>
      </w:r>
      <w:r>
        <w:rPr>
          <w:rFonts w:ascii="Arial" w:cs="Arial" w:eastAsia="Arial" w:hAnsi="Arial"/>
          <w:sz w:val="11"/>
          <w:szCs w:val="11"/>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20320</wp:posOffset>
            </wp:positionV>
            <wp:extent cx="32086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08655" cy="5715"/>
                    </a:xfrm>
                    <a:prstGeom prst="rect">
                      <a:avLst/>
                    </a:prstGeom>
                    <a:noFill/>
                  </pic:spPr>
                </pic:pic>
              </a:graphicData>
            </a:graphic>
          </wp:anchor>
        </w:drawing>
      </w:r>
    </w:p>
    <w:p>
      <w:pPr>
        <w:spacing w:after="0" w:line="29" w:lineRule="exact"/>
        <w:rPr>
          <w:sz w:val="20"/>
          <w:szCs w:val="20"/>
          <w:color w:val="auto"/>
        </w:rPr>
      </w:pPr>
    </w:p>
    <w:p>
      <w:pPr>
        <w:jc w:val="center"/>
        <w:ind w:left="6440"/>
        <w:spacing w:after="0"/>
        <w:rPr>
          <w:sz w:val="20"/>
          <w:szCs w:val="20"/>
          <w:color w:val="auto"/>
        </w:rPr>
      </w:pPr>
      <w:r>
        <w:rPr>
          <w:rFonts w:ascii="Arial" w:cs="Arial" w:eastAsia="Arial" w:hAnsi="Arial"/>
          <w:sz w:val="13"/>
          <w:szCs w:val="13"/>
          <w:color w:val="auto"/>
        </w:rPr>
        <w:t>Carsten Brunn, Ph.D.</w:t>
      </w:r>
    </w:p>
    <w:p>
      <w:pPr>
        <w:spacing w:after="0" w:line="40" w:lineRule="exact"/>
        <w:rPr>
          <w:sz w:val="20"/>
          <w:szCs w:val="20"/>
          <w:color w:val="auto"/>
        </w:rPr>
      </w:pPr>
    </w:p>
    <w:p>
      <w:pPr>
        <w:jc w:val="center"/>
        <w:ind w:left="6440"/>
        <w:spacing w:after="0"/>
        <w:rPr>
          <w:sz w:val="20"/>
          <w:szCs w:val="20"/>
          <w:color w:val="auto"/>
        </w:rPr>
      </w:pPr>
      <w:r>
        <w:rPr>
          <w:rFonts w:ascii="Arial" w:cs="Arial" w:eastAsia="Arial" w:hAnsi="Arial"/>
          <w:sz w:val="13"/>
          <w:szCs w:val="13"/>
          <w:i w:val="1"/>
          <w:iCs w:val="1"/>
          <w:color w:val="auto"/>
        </w:rPr>
        <w:t>President and Chief Executive Officer, and Director</w:t>
      </w:r>
    </w:p>
    <w:p>
      <w:pPr>
        <w:sectPr>
          <w:pgSz w:w="11900" w:h="16838" w:orient="portrait"/>
          <w:cols w:equalWidth="0" w:num="1">
            <w:col w:w="11480"/>
          </w:cols>
          <w:pgMar w:left="220" w:top="431" w:right="1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auto"/>
        </w:rPr>
        <w:t>Exhibit 32.2</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18 U.S.C. SECTION 1350,</w:t>
      </w:r>
    </w:p>
    <w:p>
      <w:pPr>
        <w:spacing w:after="0" w:line="4"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AS ADOPTED PURSUANT TO</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I, Ann K. Donohue, Controller of Selecta Biosciences, Inc. (the “Company”), hereby certify, pursuant to 18 U.S.C. §1350, as adopted pursuant to §906 of the Sarbanes-Oxley Act of 2002, that, to the best of my knowledge:</w:t>
      </w:r>
    </w:p>
    <w:p>
      <w:pPr>
        <w:spacing w:after="0" w:line="86" w:lineRule="exact"/>
        <w:rPr>
          <w:sz w:val="20"/>
          <w:szCs w:val="20"/>
          <w:color w:val="auto"/>
        </w:rPr>
      </w:pPr>
    </w:p>
    <w:p>
      <w:pPr>
        <w:ind w:left="420" w:right="20" w:hanging="212"/>
        <w:spacing w:after="0" w:line="271" w:lineRule="auto"/>
        <w:tabs>
          <w:tab w:leader="none" w:pos="4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period ended March 31, 2019 (the “Report”) fully complies with the requirements of Section 13(a) or 15(d) of the Securities Exchange Act of 1934, as amended; and</w:t>
      </w:r>
    </w:p>
    <w:p>
      <w:pPr>
        <w:spacing w:after="0" w:line="85" w:lineRule="exact"/>
        <w:rPr>
          <w:rFonts w:ascii="Arial" w:cs="Arial" w:eastAsia="Arial" w:hAnsi="Arial"/>
          <w:sz w:val="13"/>
          <w:szCs w:val="13"/>
          <w:color w:val="auto"/>
        </w:rPr>
      </w:pPr>
    </w:p>
    <w:p>
      <w:pPr>
        <w:ind w:left="420" w:hanging="212"/>
        <w:spacing w:after="0"/>
        <w:tabs>
          <w:tab w:leader="none" w:pos="4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10" w:lineRule="exact"/>
        <w:rPr>
          <w:sz w:val="20"/>
          <w:szCs w:val="20"/>
          <w:color w:val="auto"/>
        </w:rPr>
      </w:pPr>
    </w:p>
    <w:p>
      <w:pPr>
        <w:ind w:left="20"/>
        <w:spacing w:after="0"/>
        <w:tabs>
          <w:tab w:leader="none" w:pos="8360" w:val="left"/>
        </w:tabs>
        <w:rPr>
          <w:sz w:val="20"/>
          <w:szCs w:val="20"/>
          <w:color w:val="auto"/>
        </w:rPr>
      </w:pPr>
      <w:r>
        <w:rPr>
          <w:rFonts w:ascii="Arial" w:cs="Arial" w:eastAsia="Arial" w:hAnsi="Arial"/>
          <w:sz w:val="13"/>
          <w:szCs w:val="13"/>
          <w:color w:val="auto"/>
        </w:rPr>
        <w:t>May 9, 2019</w:t>
      </w:r>
      <w:r>
        <w:rPr>
          <w:sz w:val="20"/>
          <w:szCs w:val="20"/>
          <w:color w:val="auto"/>
        </w:rPr>
        <w:tab/>
      </w:r>
      <w:r>
        <w:rPr>
          <w:rFonts w:ascii="Arial" w:cs="Arial" w:eastAsia="Arial" w:hAnsi="Arial"/>
          <w:sz w:val="11"/>
          <w:szCs w:val="11"/>
          <w:color w:val="auto"/>
        </w:rPr>
        <w:t>/s/ Ann K. Donohue,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20320</wp:posOffset>
            </wp:positionV>
            <wp:extent cx="31343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134360" cy="5715"/>
                    </a:xfrm>
                    <a:prstGeom prst="rect">
                      <a:avLst/>
                    </a:prstGeom>
                    <a:noFill/>
                  </pic:spPr>
                </pic:pic>
              </a:graphicData>
            </a:graphic>
          </wp:anchor>
        </w:drawing>
      </w:r>
    </w:p>
    <w:p>
      <w:pPr>
        <w:spacing w:after="0" w:line="30" w:lineRule="exact"/>
        <w:rPr>
          <w:sz w:val="20"/>
          <w:szCs w:val="20"/>
          <w:color w:val="auto"/>
        </w:rPr>
      </w:pPr>
    </w:p>
    <w:p>
      <w:pPr>
        <w:ind w:left="8460"/>
        <w:spacing w:after="0"/>
        <w:rPr>
          <w:sz w:val="20"/>
          <w:szCs w:val="20"/>
          <w:color w:val="auto"/>
        </w:rPr>
      </w:pPr>
      <w:r>
        <w:rPr>
          <w:rFonts w:ascii="Arial" w:cs="Arial" w:eastAsia="Arial" w:hAnsi="Arial"/>
          <w:sz w:val="12"/>
          <w:szCs w:val="12"/>
          <w:color w:val="auto"/>
        </w:rPr>
        <w:t>Ann K. Donohue, CPA</w:t>
      </w:r>
    </w:p>
    <w:p>
      <w:pPr>
        <w:spacing w:after="0" w:line="42" w:lineRule="exact"/>
        <w:rPr>
          <w:sz w:val="20"/>
          <w:szCs w:val="20"/>
          <w:color w:val="auto"/>
        </w:rPr>
      </w:pPr>
    </w:p>
    <w:p>
      <w:pPr>
        <w:ind w:left="8760"/>
        <w:spacing w:after="0"/>
        <w:rPr>
          <w:sz w:val="20"/>
          <w:szCs w:val="20"/>
          <w:color w:val="auto"/>
        </w:rPr>
      </w:pPr>
      <w:r>
        <w:rPr>
          <w:rFonts w:ascii="Arial" w:cs="Arial" w:eastAsia="Arial" w:hAnsi="Arial"/>
          <w:sz w:val="12"/>
          <w:szCs w:val="12"/>
          <w:i w:val="1"/>
          <w:iCs w:val="1"/>
          <w:color w:val="auto"/>
        </w:rPr>
        <w:t>Controller</w:t>
      </w:r>
    </w:p>
    <w:p>
      <w:pPr>
        <w:spacing w:after="0" w:line="42" w:lineRule="exact"/>
        <w:rPr>
          <w:sz w:val="20"/>
          <w:szCs w:val="20"/>
          <w:color w:val="auto"/>
        </w:rPr>
      </w:pPr>
    </w:p>
    <w:p>
      <w:pPr>
        <w:ind w:left="8440"/>
        <w:spacing w:after="0"/>
        <w:rPr>
          <w:sz w:val="20"/>
          <w:szCs w:val="20"/>
          <w:color w:val="auto"/>
        </w:rPr>
      </w:pPr>
      <w:r>
        <w:rPr>
          <w:rFonts w:ascii="Arial" w:cs="Arial" w:eastAsia="Arial" w:hAnsi="Arial"/>
          <w:sz w:val="12"/>
          <w:szCs w:val="12"/>
          <w:i w:val="1"/>
          <w:iCs w:val="1"/>
          <w:color w:val="auto"/>
        </w:rPr>
        <w:t>(principal financial and</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2"/>
          <w:szCs w:val="12"/>
          <w:i w:val="1"/>
          <w:iCs w:val="1"/>
          <w:color w:val="auto"/>
        </w:rPr>
        <w:t>principal accounting officer)</w:t>
      </w: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2"/>
    </w:lvl>
  </w:abstractNum>
  <w:abstractNum w:abstractNumId="4">
    <w:nsid w:val="2D517796"/>
    <w:multiLevelType w:val="hybridMultilevel"/>
    <w:lvl w:ilvl="0">
      <w:lvlJc w:val="left"/>
      <w:lvlText w:val="(%1)"/>
      <w:numFmt w:val="lowerRoman"/>
      <w:start w:val="5"/>
    </w:lvl>
  </w:abstractNum>
  <w:abstractNum w:abstractNumId="5">
    <w:nsid w:val="580BD78F"/>
    <w:multiLevelType w:val="hybridMultilevel"/>
    <w:lvl w:ilvl="0">
      <w:lvlJc w:val="left"/>
      <w:lvlText w:val="%1."/>
      <w:numFmt w:val="decimal"/>
      <w:start w:val="11"/>
    </w:lvl>
  </w:abstractNum>
  <w:abstractNum w:abstractNumId="6">
    <w:nsid w:val="153EA438"/>
    <w:multiLevelType w:val="hybridMultilevel"/>
    <w:lvl w:ilvl="0">
      <w:lvlJc w:val="left"/>
      <w:lvlText w:val="%1."/>
      <w:numFmt w:val="decimal"/>
      <w:start w:val="12"/>
    </w:lvl>
  </w:abstractNum>
  <w:abstractNum w:abstractNumId="7">
    <w:nsid w:val="3855585C"/>
    <w:multiLevelType w:val="hybridMultilevel"/>
    <w:lvl w:ilvl="0">
      <w:lvlJc w:val="left"/>
      <w:lvlText w:val="%1."/>
      <w:numFmt w:val="decimal"/>
      <w:start w:val="13"/>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lowerRoman"/>
      <w:start w:val="1"/>
    </w:lvl>
  </w:abstractNum>
  <w:abstractNum w:abstractNumId="10">
    <w:nsid w:val="2A487CB0"/>
    <w:multiLevelType w:val="hybridMultilevel"/>
    <w:lvl w:ilvl="0">
      <w:lvlJc w:val="left"/>
      <w:lvlText w:val="%1."/>
      <w:numFmt w:val="decimal"/>
      <w:start w:val="15"/>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upperLetter"/>
      <w:start w:val="1"/>
    </w:lvl>
  </w:abstractNum>
  <w:abstractNum w:abstractNumId="43">
    <w:nsid w:val="15B5AF5C"/>
    <w:multiLevelType w:val="hybridMultilevel"/>
    <w:lvl w:ilvl="0">
      <w:lvlJc w:val="left"/>
      <w:lvlText w:val="%1."/>
      <w:numFmt w:val="decimal"/>
      <w:start w:val="1"/>
    </w:lvl>
    <w:lvl w:ilvl="1">
      <w:lvlJc w:val="left"/>
      <w:lvlText w:val="(%2)"/>
      <w:numFmt w:val="lowerLetter"/>
      <w:start w:val="1"/>
    </w:lvl>
  </w:abstractNum>
  <w:abstractNum w:abstractNumId="44">
    <w:nsid w:val="741226BB"/>
    <w:multiLevelType w:val="hybridMultilevel"/>
    <w:lvl w:ilvl="0">
      <w:lvlJc w:val="left"/>
      <w:lvlText w:val="%1."/>
      <w:numFmt w:val="decimal"/>
      <w:start w:val="2"/>
    </w:lvl>
    <w:lvl w:ilvl="1">
      <w:lvlJc w:val="left"/>
      <w:lvlText w:val="(%2)"/>
      <w:numFmt w:val="lowerLetter"/>
      <w:start w:val="1"/>
    </w:lvl>
  </w:abstractNum>
  <w:abstractNum w:abstractNumId="45">
    <w:nsid w:val="D34B6A8"/>
    <w:multiLevelType w:val="hybridMultilevel"/>
    <w:lvl w:ilvl="0">
      <w:lvlJc w:val="left"/>
      <w:lvlText w:val="%1"/>
      <w:numFmt w:val="decimal"/>
      <w:start w:val="1"/>
    </w:lvl>
    <w:lvl w:ilvl="1">
      <w:lvlJc w:val="left"/>
      <w:lvlText w:val="(%2)"/>
      <w:numFmt w:val="lowerLetter"/>
      <w:start w:val="8"/>
    </w:lvl>
  </w:abstractNum>
  <w:abstractNum w:abstractNumId="46">
    <w:nsid w:val="10233C99"/>
    <w:multiLevelType w:val="hybridMultilevel"/>
    <w:lvl w:ilvl="0">
      <w:lvlJc w:val="left"/>
      <w:lvlText w:val="%1."/>
      <w:numFmt w:val="decimal"/>
      <w:start w:val="3"/>
    </w:lvl>
    <w:lvl w:ilvl="1">
      <w:lvlJc w:val="left"/>
      <w:lvlText w:val="%2"/>
      <w:numFmt w:val="lowerLetter"/>
      <w:start w:val="1"/>
    </w:lvl>
  </w:abstractNum>
  <w:abstractNum w:abstractNumId="47">
    <w:nsid w:val="3F6AB60F"/>
    <w:multiLevelType w:val="hybridMultilevel"/>
    <w:lvl w:ilvl="0">
      <w:lvlJc w:val="left"/>
      <w:lvlText w:val="(%1)"/>
      <w:numFmt w:val="lowerLetter"/>
      <w:start w:val="1"/>
    </w:lvl>
    <w:lvl w:ilvl="1">
      <w:lvlJc w:val="left"/>
      <w:lvlText w:val="(%2)"/>
      <w:numFmt w:val="lowerRoman"/>
      <w:start w:val="1"/>
    </w:lvl>
  </w:abstractNum>
  <w:abstractNum w:abstractNumId="48">
    <w:nsid w:val="61574095"/>
    <w:multiLevelType w:val="hybridMultilevel"/>
    <w:lvl w:ilvl="0">
      <w:lvlJc w:val="left"/>
      <w:lvlText w:val="(%1)"/>
      <w:numFmt w:val="decimal"/>
      <w:start w:val="40"/>
    </w:lvl>
    <w:lvl w:ilvl="1">
      <w:lvlJc w:val="left"/>
      <w:lvlText w:val="(%2)"/>
      <w:numFmt w:val="lowerLetter"/>
      <w:start w:val="3"/>
    </w:lvl>
  </w:abstractNum>
  <w:abstractNum w:abstractNumId="49">
    <w:nsid w:val="7E0C57B1"/>
    <w:multiLevelType w:val="hybridMultilevel"/>
    <w:lvl w:ilvl="0">
      <w:lvlJc w:val="left"/>
      <w:lvlText w:val="%1."/>
      <w:numFmt w:val="decimal"/>
      <w:start w:val="4"/>
    </w:lvl>
    <w:lvl w:ilvl="1">
      <w:lvlJc w:val="left"/>
      <w:lvlText w:val="(%2)"/>
      <w:numFmt w:val="lowerLetter"/>
      <w:start w:val="1"/>
    </w:lvl>
  </w:abstractNum>
  <w:abstractNum w:abstractNumId="50">
    <w:nsid w:val="77AE35EB"/>
    <w:multiLevelType w:val="hybridMultilevel"/>
    <w:lvl w:ilvl="0">
      <w:lvlJc w:val="left"/>
      <w:lvlText w:val="%1"/>
      <w:numFmt w:val="upperLetter"/>
      <w:start w:val="1"/>
    </w:lvl>
    <w:lvl w:ilvl="1">
      <w:lvlJc w:val="left"/>
      <w:lvlText w:val="(%2)"/>
      <w:numFmt w:val="lowerRoman"/>
      <w:start w:val="1"/>
    </w:lvl>
  </w:abstractNum>
  <w:abstractNum w:abstractNumId="51">
    <w:nsid w:val="579BE4F1"/>
    <w:multiLevelType w:val="hybridMultilevel"/>
    <w:lvl w:ilvl="0">
      <w:lvlJc w:val="left"/>
      <w:lvlText w:val="(%1)"/>
      <w:numFmt w:val="upperLetter"/>
      <w:start w:val="2"/>
    </w:lvl>
    <w:lvl w:ilvl="1">
      <w:lvlJc w:val="left"/>
      <w:lvlText w:val="(%2)"/>
      <w:numFmt w:val="lowerRoman"/>
      <w:start w:val="3"/>
    </w:lvl>
  </w:abstractNum>
  <w:abstractNum w:abstractNumId="52">
    <w:nsid w:val="310C50B3"/>
    <w:multiLevelType w:val="hybridMultilevel"/>
    <w:lvl w:ilvl="0">
      <w:lvlJc w:val="left"/>
      <w:lvlText w:val="(%1)"/>
      <w:numFmt w:val="lowerLetter"/>
      <w:start w:val="3"/>
    </w:lvl>
  </w:abstractNum>
  <w:abstractNum w:abstractNumId="53">
    <w:nsid w:val="5FF87E05"/>
    <w:multiLevelType w:val="hybridMultilevel"/>
    <w:lvl w:ilvl="0">
      <w:lvlJc w:val="left"/>
      <w:lvlText w:val="%1"/>
      <w:numFmt w:val="decimal"/>
      <w:start w:val="1"/>
    </w:lvl>
    <w:lvl w:ilvl="1">
      <w:lvlJc w:val="left"/>
      <w:lvlText w:val="(%2)"/>
      <w:numFmt w:val="lowerLetter"/>
      <w:start w:val="4"/>
    </w:lvl>
  </w:abstractNum>
  <w:abstractNum w:abstractNumId="54">
    <w:nsid w:val="2F305DEF"/>
    <w:multiLevelType w:val="hybridMultilevel"/>
    <w:lvl w:ilvl="0">
      <w:lvlJc w:val="left"/>
      <w:lvlText w:val="%1."/>
      <w:numFmt w:val="decimal"/>
      <w:start w:val="5"/>
    </w:lvl>
    <w:lvl w:ilvl="1">
      <w:lvlJc w:val="left"/>
      <w:lvlText w:val="%2"/>
      <w:numFmt w:val="lowerLetter"/>
      <w:start w:val="1"/>
    </w:lvl>
  </w:abstractNum>
  <w:abstractNum w:abstractNumId="55">
    <w:nsid w:val="25A70BF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
    <w:nsid w:val="1DBABF00"/>
    <w:multiLevelType w:val="hybridMultilevel"/>
    <w:lvl w:ilvl="0">
      <w:lvlJc w:val="left"/>
      <w:lvlText w:val="%1"/>
      <w:numFmt w:val="lowerLetter"/>
      <w:start w:val="1"/>
    </w:lvl>
    <w:lvl w:ilvl="1">
      <w:lvlJc w:val="left"/>
      <w:lvlText w:val="(%2)"/>
      <w:numFmt w:val="lowerRoman"/>
      <w:start w:val="6"/>
    </w:lvl>
  </w:abstractNum>
  <w:abstractNum w:abstractNumId="57">
    <w:nsid w:val="4AD084E9"/>
    <w:multiLevelType w:val="hybridMultilevel"/>
    <w:lvl w:ilvl="0">
      <w:lvlJc w:val="left"/>
      <w:lvlText w:val="(%1)"/>
      <w:numFmt w:val="lowerLetter"/>
      <w:start w:val="2"/>
    </w:lvl>
    <w:lvl w:ilvl="1">
      <w:lvlJc w:val="left"/>
      <w:lvlText w:val="%2"/>
      <w:numFmt w:val="lowerRoman"/>
      <w:start w:val="1"/>
    </w:lvl>
  </w:abstractNum>
  <w:abstractNum w:abstractNumId="58">
    <w:nsid w:val="1F48EAA1"/>
    <w:multiLevelType w:val="hybridMultilevel"/>
    <w:lvl w:ilvl="0">
      <w:lvlJc w:val="left"/>
      <w:lvlText w:val="%1."/>
      <w:numFmt w:val="decimal"/>
      <w:start w:val="8"/>
    </w:lvl>
    <w:lvl w:ilvl="1">
      <w:lvlJc w:val="left"/>
      <w:lvlText w:val="(%2)"/>
      <w:numFmt w:val="lowerLetter"/>
      <w:start w:val="1"/>
    </w:lvl>
  </w:abstractNum>
  <w:abstractNum w:abstractNumId="59">
    <w:nsid w:val="1381823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0">
    <w:nsid w:val="5DB70AE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1">
    <w:nsid w:val="100F8FCA"/>
    <w:multiLevelType w:val="hybridMultilevel"/>
    <w:lvl w:ilvl="0">
      <w:lvlJc w:val="left"/>
      <w:lvlText w:val="(%1)"/>
      <w:numFmt w:val="lowerLetter"/>
      <w:start w:val="6"/>
    </w:lvl>
  </w:abstractNum>
  <w:abstractNum w:abstractNumId="62">
    <w:nsid w:val="6590700B"/>
    <w:multiLevelType w:val="hybridMultilevel"/>
    <w:lvl w:ilvl="0">
      <w:lvlJc w:val="left"/>
      <w:lvlText w:val="(%1)"/>
      <w:numFmt w:val="lowerLetter"/>
      <w:start w:val="12"/>
    </w:lvl>
    <w:lvl w:ilvl="1">
      <w:lvlJc w:val="left"/>
      <w:lvlText w:val="(%2)"/>
      <w:numFmt w:val="lowerRoman"/>
      <w:start w:val="1"/>
    </w:lvl>
  </w:abstractNum>
  <w:abstractNum w:abstractNumId="63">
    <w:nsid w:val="15014ACB"/>
    <w:multiLevelType w:val="hybridMultilevel"/>
    <w:lvl w:ilvl="0">
      <w:lvlJc w:val="left"/>
      <w:lvlText w:val="%1."/>
      <w:numFmt w:val="decimal"/>
      <w:start w:val="10"/>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lowerLetter"/>
      <w:start w:val="2"/>
    </w:lvl>
  </w:abstractNum>
  <w:abstractNum w:abstractNumId="66">
    <w:nsid w:val="799D024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7">
    <w:nsid w:val="6B94764"/>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68">
    <w:nsid w:val="42C296BD"/>
    <w:multiLevelType w:val="hybridMultilevel"/>
    <w:lvl w:ilvl="0">
      <w:lvlJc w:val="left"/>
      <w:lvlText w:val="%1"/>
      <w:numFmt w:val="decimal"/>
      <w:start w:val="1"/>
    </w:lvl>
    <w:lvl w:ilvl="1">
      <w:lvlJc w:val="left"/>
      <w:lvlText w:val="(%2)"/>
      <w:numFmt w:val="lowerLetter"/>
      <w:start w:val="3"/>
    </w:lvl>
  </w:abstractNum>
  <w:abstractNum w:abstractNumId="69">
    <w:nsid w:val="168E121F"/>
    <w:multiLevelType w:val="hybridMultilevel"/>
    <w:lvl w:ilvl="0">
      <w:lvlJc w:val="left"/>
      <w:lvlText w:val="%1."/>
      <w:numFmt w:val="decimal"/>
      <w:start w:val="5"/>
    </w:lvl>
    <w:lvl w:ilvl="1">
      <w:lvlJc w:val="left"/>
      <w:lvlText w:val="%2"/>
      <w:numFmt w:val="lowerLetter"/>
      <w:start w:val="1"/>
    </w:lvl>
  </w:abstractNum>
  <w:abstractNum w:abstractNumId="70">
    <w:nsid w:val="1EBA5D23"/>
    <w:multiLevelType w:val="hybridMultilevel"/>
    <w:lvl w:ilvl="0">
      <w:lvlJc w:val="left"/>
      <w:lvlText w:val="%1."/>
      <w:numFmt w:val="decimal"/>
      <w:start w:val="9"/>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4" Type="http://schemas.openxmlformats.org/officeDocument/2006/relationships/hyperlink" Target="http://www.sec.gov/Archives/edgar/data/1453687/000110465916129891/a16-14002_1ex3d1.htm" TargetMode="External"/><Relationship Id="rId15" Type="http://schemas.openxmlformats.org/officeDocument/2006/relationships/hyperlink" Target="http://www.sec.gov/Archives/edgar/data/1453687/000110465916129891/a16-14002_1ex3d2.htm" TargetMode="External"/><Relationship Id="rId16" Type="http://schemas.openxmlformats.org/officeDocument/2006/relationships/hyperlink" Target="http://www.sec.gov/Archives/edgar/data/1453687/000145368719000036/selectabiosciencess-8_mar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2019-12-28T12:45:37Z</dcterms:created>
  <dcterms:modified xsi:type="dcterms:W3CDTF">2019-12-28T12:45:37Z</dcterms:modified>
</cp:coreProperties>
</file>