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left="64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left="640"/>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left="640"/>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5260"/>
        <w:spacing w:after="0"/>
        <w:rPr>
          <w:sz w:val="20"/>
          <w:szCs w:val="20"/>
          <w:color w:val="auto"/>
        </w:rPr>
      </w:pPr>
      <w:r>
        <w:rPr>
          <w:rFonts w:ascii="Arial" w:cs="Arial" w:eastAsia="Arial" w:hAnsi="Arial"/>
          <w:sz w:val="29"/>
          <w:szCs w:val="29"/>
          <w:b w:val="1"/>
          <w:bCs w:val="1"/>
          <w:color w:val="auto"/>
        </w:rPr>
        <w:t>FORM 10-Q</w:t>
      </w:r>
    </w:p>
    <w:p>
      <w:pPr>
        <w:spacing w:after="0" w:line="30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6" w:lineRule="exact"/>
        <w:rPr>
          <w:rFonts w:ascii="MS PGothic" w:cs="MS PGothic" w:eastAsia="MS PGothic" w:hAnsi="MS PGothic"/>
          <w:sz w:val="20"/>
          <w:szCs w:val="20"/>
          <w:color w:val="auto"/>
        </w:rPr>
      </w:pPr>
    </w:p>
    <w:p>
      <w:pPr>
        <w:ind w:left="40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ind w:left="590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7" w:lineRule="exact"/>
        <w:rPr>
          <w:sz w:val="24"/>
          <w:szCs w:val="24"/>
          <w:color w:val="auto"/>
        </w:rPr>
      </w:pPr>
    </w:p>
    <w:p>
      <w:pPr>
        <w:jc w:val="center"/>
        <w:ind w:left="600"/>
        <w:spacing w:after="0"/>
        <w:rPr>
          <w:sz w:val="20"/>
          <w:szCs w:val="20"/>
          <w:color w:val="auto"/>
        </w:rPr>
      </w:pPr>
      <w:r>
        <w:rPr>
          <w:rFonts w:ascii="Arial" w:cs="Arial" w:eastAsia="Arial" w:hAnsi="Arial"/>
          <w:sz w:val="18"/>
          <w:szCs w:val="18"/>
          <w:b w:val="1"/>
          <w:bCs w:val="1"/>
          <w:color w:val="auto"/>
        </w:rPr>
        <w:t>Commission File Number: 001-37798</w:t>
      </w:r>
    </w:p>
    <w:p>
      <w:pPr>
        <w:spacing w:after="0" w:line="27" w:lineRule="exact"/>
        <w:rPr>
          <w:sz w:val="24"/>
          <w:szCs w:val="24"/>
          <w:color w:val="auto"/>
        </w:rPr>
      </w:pPr>
    </w:p>
    <w:p>
      <w:pPr>
        <w:jc w:val="center"/>
        <w:ind w:left="640"/>
        <w:spacing w:after="0"/>
        <w:rPr>
          <w:sz w:val="20"/>
          <w:szCs w:val="20"/>
          <w:color w:val="auto"/>
        </w:rPr>
      </w:pPr>
      <w:r>
        <w:rPr>
          <w:rFonts w:ascii="Arial" w:cs="Arial" w:eastAsia="Arial" w:hAnsi="Arial"/>
          <w:sz w:val="43"/>
          <w:szCs w:val="43"/>
          <w:color w:val="auto"/>
        </w:rPr>
        <w:t>Selecta Biosciences, Inc.</w:t>
      </w:r>
    </w:p>
    <w:p>
      <w:pPr>
        <w:spacing w:after="0" w:line="2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(Exact Name of Registrant as Specified in its Charter)</w:t>
      </w:r>
    </w:p>
    <w:p>
      <w:pPr>
        <w:spacing w:after="0" w:line="147" w:lineRule="exact"/>
        <w:rPr>
          <w:sz w:val="24"/>
          <w:szCs w:val="24"/>
          <w:color w:val="auto"/>
        </w:rPr>
      </w:pPr>
    </w:p>
    <w:tbl>
      <w:tblPr>
        <w:tblLayout w:type="fixed"/>
        <w:tblInd w:w="320" w:type="dxa"/>
        <w:tblCellMar>
          <w:top w:w="0" w:type="dxa"/>
          <w:left w:w="0" w:type="dxa"/>
          <w:bottom w:w="0" w:type="dxa"/>
          <w:right w:w="0" w:type="dxa"/>
        </w:tblCellMar>
      </w:tblPr>
      <w:tr>
        <w:trPr>
          <w:trHeight w:val="256"/>
        </w:trPr>
        <w:tc>
          <w:tcPr>
            <w:tcW w:w="5900" w:type="dxa"/>
            <w:vAlign w:val="bottom"/>
          </w:tcPr>
          <w:p>
            <w:pPr>
              <w:jc w:val="center"/>
              <w:ind w:right="941"/>
              <w:spacing w:after="0"/>
              <w:rPr>
                <w:sz w:val="20"/>
                <w:szCs w:val="20"/>
                <w:color w:val="auto"/>
              </w:rPr>
            </w:pPr>
            <w:r>
              <w:rPr>
                <w:rFonts w:ascii="Arial" w:cs="Arial" w:eastAsia="Arial" w:hAnsi="Arial"/>
                <w:sz w:val="20"/>
                <w:szCs w:val="20"/>
                <w:b w:val="1"/>
                <w:bCs w:val="1"/>
                <w:color w:val="auto"/>
                <w:w w:val="88"/>
              </w:rPr>
              <w:t>Delaware</w:t>
            </w:r>
          </w:p>
        </w:tc>
        <w:tc>
          <w:tcPr>
            <w:tcW w:w="3900" w:type="dxa"/>
            <w:vAlign w:val="bottom"/>
          </w:tcPr>
          <w:p>
            <w:pPr>
              <w:jc w:val="right"/>
              <w:ind w:right="861"/>
              <w:spacing w:after="0"/>
              <w:rPr>
                <w:sz w:val="20"/>
                <w:szCs w:val="20"/>
                <w:color w:val="auto"/>
              </w:rPr>
            </w:pPr>
            <w:r>
              <w:rPr>
                <w:rFonts w:ascii="Arial" w:cs="Arial" w:eastAsia="Arial" w:hAnsi="Arial"/>
                <w:sz w:val="20"/>
                <w:szCs w:val="20"/>
                <w:b w:val="1"/>
                <w:bCs w:val="1"/>
                <w:color w:val="auto"/>
              </w:rPr>
              <w:t>26-1622110</w:t>
            </w:r>
          </w:p>
        </w:tc>
      </w:tr>
      <w:tr>
        <w:trPr>
          <w:trHeight w:val="284"/>
        </w:trPr>
        <w:tc>
          <w:tcPr>
            <w:tcW w:w="5900" w:type="dxa"/>
            <w:vAlign w:val="bottom"/>
          </w:tcPr>
          <w:p>
            <w:pPr>
              <w:jc w:val="center"/>
              <w:ind w:right="941"/>
              <w:spacing w:after="0"/>
              <w:rPr>
                <w:sz w:val="20"/>
                <w:szCs w:val="20"/>
                <w:color w:val="auto"/>
              </w:rPr>
            </w:pPr>
            <w:r>
              <w:rPr>
                <w:rFonts w:ascii="Arial" w:cs="Arial" w:eastAsia="Arial" w:hAnsi="Arial"/>
                <w:sz w:val="20"/>
                <w:szCs w:val="20"/>
                <w:color w:val="auto"/>
                <w:w w:val="91"/>
              </w:rPr>
              <w:t>(State or Other Jurisdiction of Incorporation or Organization)</w:t>
            </w:r>
          </w:p>
        </w:tc>
        <w:tc>
          <w:tcPr>
            <w:tcW w:w="3900" w:type="dxa"/>
            <w:vAlign w:val="bottom"/>
          </w:tcPr>
          <w:p>
            <w:pPr>
              <w:jc w:val="center"/>
              <w:ind w:left="921"/>
              <w:spacing w:after="0"/>
              <w:rPr>
                <w:sz w:val="20"/>
                <w:szCs w:val="20"/>
                <w:color w:val="auto"/>
              </w:rPr>
            </w:pPr>
            <w:r>
              <w:rPr>
                <w:rFonts w:ascii="Arial" w:cs="Arial" w:eastAsia="Arial" w:hAnsi="Arial"/>
                <w:sz w:val="20"/>
                <w:szCs w:val="20"/>
                <w:color w:val="auto"/>
                <w:w w:val="93"/>
              </w:rPr>
              <w:t>(I.R.S. Employer Identification No.)</w:t>
            </w:r>
          </w:p>
        </w:tc>
      </w:tr>
      <w:tr>
        <w:trPr>
          <w:trHeight w:val="567"/>
        </w:trPr>
        <w:tc>
          <w:tcPr>
            <w:tcW w:w="5900" w:type="dxa"/>
            <w:vAlign w:val="bottom"/>
          </w:tcPr>
          <w:p>
            <w:pPr>
              <w:jc w:val="center"/>
              <w:ind w:right="941"/>
              <w:spacing w:after="0"/>
              <w:rPr>
                <w:sz w:val="20"/>
                <w:szCs w:val="20"/>
                <w:color w:val="auto"/>
              </w:rPr>
            </w:pPr>
            <w:r>
              <w:rPr>
                <w:rFonts w:ascii="Arial" w:cs="Arial" w:eastAsia="Arial" w:hAnsi="Arial"/>
                <w:sz w:val="20"/>
                <w:szCs w:val="20"/>
                <w:b w:val="1"/>
                <w:bCs w:val="1"/>
                <w:color w:val="auto"/>
                <w:w w:val="91"/>
              </w:rPr>
              <w:t>480 Arsenal Way</w:t>
            </w:r>
          </w:p>
        </w:tc>
        <w:tc>
          <w:tcPr>
            <w:tcW w:w="3900" w:type="dxa"/>
            <w:vAlign w:val="bottom"/>
          </w:tcPr>
          <w:p>
            <w:pPr>
              <w:spacing w:after="0"/>
              <w:rPr>
                <w:sz w:val="24"/>
                <w:szCs w:val="24"/>
                <w:color w:val="auto"/>
              </w:rPr>
            </w:pPr>
          </w:p>
        </w:tc>
      </w:tr>
      <w:tr>
        <w:trPr>
          <w:trHeight w:val="284"/>
        </w:trPr>
        <w:tc>
          <w:tcPr>
            <w:tcW w:w="5900" w:type="dxa"/>
            <w:vAlign w:val="bottom"/>
          </w:tcPr>
          <w:p>
            <w:pPr>
              <w:jc w:val="center"/>
              <w:ind w:right="941"/>
              <w:spacing w:after="0"/>
              <w:rPr>
                <w:sz w:val="20"/>
                <w:szCs w:val="20"/>
                <w:color w:val="auto"/>
              </w:rPr>
            </w:pPr>
            <w:r>
              <w:rPr>
                <w:rFonts w:ascii="Arial" w:cs="Arial" w:eastAsia="Arial" w:hAnsi="Arial"/>
                <w:sz w:val="20"/>
                <w:szCs w:val="20"/>
                <w:b w:val="1"/>
                <w:bCs w:val="1"/>
                <w:color w:val="auto"/>
                <w:w w:val="95"/>
              </w:rPr>
              <w:t>Watertown, MA</w:t>
            </w:r>
          </w:p>
        </w:tc>
        <w:tc>
          <w:tcPr>
            <w:tcW w:w="3900" w:type="dxa"/>
            <w:vAlign w:val="bottom"/>
          </w:tcPr>
          <w:p>
            <w:pPr>
              <w:jc w:val="right"/>
              <w:ind w:right="1081"/>
              <w:spacing w:after="0"/>
              <w:rPr>
                <w:sz w:val="20"/>
                <w:szCs w:val="20"/>
                <w:color w:val="auto"/>
              </w:rPr>
            </w:pPr>
            <w:r>
              <w:rPr>
                <w:rFonts w:ascii="Arial" w:cs="Arial" w:eastAsia="Arial" w:hAnsi="Arial"/>
                <w:sz w:val="20"/>
                <w:szCs w:val="20"/>
                <w:b w:val="1"/>
                <w:bCs w:val="1"/>
                <w:color w:val="auto"/>
              </w:rPr>
              <w:t>02472</w:t>
            </w:r>
          </w:p>
        </w:tc>
      </w:tr>
      <w:tr>
        <w:trPr>
          <w:trHeight w:val="284"/>
        </w:trPr>
        <w:tc>
          <w:tcPr>
            <w:tcW w:w="5900" w:type="dxa"/>
            <w:vAlign w:val="bottom"/>
          </w:tcPr>
          <w:p>
            <w:pPr>
              <w:jc w:val="center"/>
              <w:ind w:right="941"/>
              <w:spacing w:after="0"/>
              <w:rPr>
                <w:sz w:val="20"/>
                <w:szCs w:val="20"/>
                <w:color w:val="auto"/>
              </w:rPr>
            </w:pPr>
            <w:r>
              <w:rPr>
                <w:rFonts w:ascii="Arial" w:cs="Arial" w:eastAsia="Arial" w:hAnsi="Arial"/>
                <w:sz w:val="20"/>
                <w:szCs w:val="20"/>
                <w:color w:val="auto"/>
                <w:w w:val="91"/>
              </w:rPr>
              <w:t>(Address Of Principal Executive Offices)</w:t>
            </w:r>
          </w:p>
        </w:tc>
        <w:tc>
          <w:tcPr>
            <w:tcW w:w="3900" w:type="dxa"/>
            <w:vAlign w:val="bottom"/>
          </w:tcPr>
          <w:p>
            <w:pPr>
              <w:jc w:val="center"/>
              <w:ind w:left="921"/>
              <w:spacing w:after="0"/>
              <w:rPr>
                <w:sz w:val="20"/>
                <w:szCs w:val="20"/>
                <w:color w:val="auto"/>
              </w:rPr>
            </w:pPr>
            <w:r>
              <w:rPr>
                <w:rFonts w:ascii="Arial" w:cs="Arial" w:eastAsia="Arial" w:hAnsi="Arial"/>
                <w:sz w:val="20"/>
                <w:szCs w:val="20"/>
                <w:color w:val="auto"/>
                <w:w w:val="93"/>
              </w:rPr>
              <w:t>(Zip Code)</w:t>
            </w:r>
          </w:p>
        </w:tc>
      </w:tr>
    </w:tbl>
    <w:p>
      <w:pPr>
        <w:spacing w:after="0" w:line="230" w:lineRule="exact"/>
        <w:rPr>
          <w:sz w:val="24"/>
          <w:szCs w:val="24"/>
          <w:color w:val="auto"/>
        </w:rPr>
      </w:pPr>
    </w:p>
    <w:p>
      <w:pPr>
        <w:jc w:val="center"/>
        <w:ind w:left="640"/>
        <w:spacing w:after="0"/>
        <w:rPr>
          <w:sz w:val="20"/>
          <w:szCs w:val="20"/>
          <w:color w:val="auto"/>
        </w:rPr>
      </w:pPr>
      <w:r>
        <w:rPr>
          <w:rFonts w:ascii="Arial" w:cs="Arial" w:eastAsia="Arial" w:hAnsi="Arial"/>
          <w:sz w:val="20"/>
          <w:szCs w:val="20"/>
          <w:b w:val="1"/>
          <w:bCs w:val="1"/>
          <w:color w:val="auto"/>
        </w:rPr>
        <w:t>617-923-1400</w:t>
      </w:r>
    </w:p>
    <w:p>
      <w:pPr>
        <w:spacing w:after="0" w:line="22" w:lineRule="exact"/>
        <w:rPr>
          <w:sz w:val="24"/>
          <w:szCs w:val="24"/>
          <w:color w:val="auto"/>
        </w:rPr>
      </w:pPr>
    </w:p>
    <w:p>
      <w:pPr>
        <w:jc w:val="center"/>
        <w:ind w:left="640"/>
        <w:spacing w:after="0"/>
        <w:rPr>
          <w:sz w:val="20"/>
          <w:szCs w:val="20"/>
          <w:color w:val="auto"/>
        </w:rPr>
      </w:pPr>
      <w:r>
        <w:rPr>
          <w:rFonts w:ascii="Arial" w:cs="Arial" w:eastAsia="Arial" w:hAnsi="Arial"/>
          <w:sz w:val="20"/>
          <w:szCs w:val="20"/>
          <w:color w:val="auto"/>
        </w:rPr>
        <w:t>(Registrant’s Telephone Number, Including Area Code)</w:t>
      </w:r>
    </w:p>
    <w:p>
      <w:pPr>
        <w:spacing w:after="0" w:line="213" w:lineRule="exact"/>
        <w:rPr>
          <w:sz w:val="24"/>
          <w:szCs w:val="24"/>
          <w:color w:val="auto"/>
        </w:rPr>
      </w:pPr>
    </w:p>
    <w:p>
      <w:pPr>
        <w:ind w:left="660" w:right="20"/>
        <w:spacing w:after="0" w:line="244" w:lineRule="exact"/>
        <w:rPr>
          <w:sz w:val="20"/>
          <w:szCs w:val="20"/>
          <w:color w:val="auto"/>
        </w:rPr>
      </w:pPr>
      <w:r>
        <w:rPr>
          <w:rFonts w:ascii="Arial" w:cs="Arial" w:eastAsia="Arial" w:hAnsi="Arial"/>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20"/>
          <w:szCs w:val="20"/>
          <w:color w:val="auto"/>
        </w:rPr>
        <w:t xml:space="preserve"> No </w:t>
      </w:r>
      <w:r>
        <w:rPr>
          <w:rFonts w:ascii="MS PGothic" w:cs="MS PGothic" w:eastAsia="MS PGothic" w:hAnsi="MS PGothic"/>
          <w:sz w:val="20"/>
          <w:szCs w:val="20"/>
          <w:color w:val="auto"/>
        </w:rPr>
        <w:t>☐</w:t>
      </w:r>
    </w:p>
    <w:p>
      <w:pPr>
        <w:spacing w:after="0" w:line="188" w:lineRule="exact"/>
        <w:rPr>
          <w:sz w:val="24"/>
          <w:szCs w:val="24"/>
          <w:color w:val="auto"/>
        </w:rPr>
      </w:pPr>
    </w:p>
    <w:p>
      <w:pPr>
        <w:ind w:left="660"/>
        <w:spacing w:after="0" w:line="24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ind w:left="660" w:right="60"/>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33" w:right="359" w:bottom="1440" w:gutter="0" w:footer="0" w:header="0"/>
        </w:sectPr>
      </w:pPr>
    </w:p>
    <w:p>
      <w:pPr>
        <w:spacing w:after="0" w:line="108" w:lineRule="exact"/>
        <w:rPr>
          <w:sz w:val="24"/>
          <w:szCs w:val="24"/>
          <w:color w:val="auto"/>
        </w:rPr>
      </w:pPr>
    </w:p>
    <w:p>
      <w:pPr>
        <w:ind w:left="17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03" w:lineRule="exact"/>
        <w:rPr>
          <w:sz w:val="24"/>
          <w:szCs w:val="24"/>
          <w:color w:val="auto"/>
        </w:rPr>
      </w:pPr>
    </w:p>
    <w:p>
      <w:pPr>
        <w:sectPr>
          <w:pgSz w:w="11900" w:h="16838" w:orient="portrait"/>
          <w:cols w:equalWidth="0" w:num="2">
            <w:col w:w="7200" w:space="720"/>
            <w:col w:w="3380"/>
          </w:cols>
          <w:pgMar w:left="240" w:top="233" w:right="359" w:bottom="1440" w:gutter="0" w:footer="0" w:header="0"/>
          <w:type w:val="continuous"/>
        </w:sectPr>
      </w:pPr>
    </w:p>
    <w:p>
      <w:pPr>
        <w:ind w:left="18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6760" w:space="720"/>
            <w:col w:w="3820"/>
          </w:cols>
          <w:pgMar w:left="240" w:top="233" w:right="359" w:bottom="1440" w:gutter="0" w:footer="0" w:header="0"/>
          <w:type w:val="continuous"/>
        </w:sectPr>
      </w:pPr>
    </w:p>
    <w:p>
      <w:pPr>
        <w:spacing w:after="0" w:line="6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10, 2016 the registrant had 18,190,180 shares of common stock, par value $0.0001 per share, outstanding.</w:t>
      </w:r>
    </w:p>
    <w:p>
      <w:pPr>
        <w:sectPr>
          <w:pgSz w:w="11900" w:h="16838" w:orient="portrait"/>
          <w:cols w:equalWidth="0" w:num="1">
            <w:col w:w="11300"/>
          </w:cols>
          <w:pgMar w:left="240" w:top="23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8"/>
              </w:rPr>
              <w:t>SELECTA BIOSCIENCES, INC.</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00" w:type="dxa"/>
            <w:vAlign w:val="bottom"/>
            <w:gridSpan w:val="12"/>
          </w:tcPr>
          <w:p>
            <w:pPr>
              <w:jc w:val="center"/>
              <w:ind w:right="31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1060" w:type="dxa"/>
            <w:vAlign w:val="bottom"/>
            <w:gridSpan w:val="4"/>
            <w:vMerge w:val="restart"/>
          </w:tcPr>
          <w:p>
            <w:pPr>
              <w:spacing w:after="0"/>
              <w:rPr>
                <w:sz w:val="4"/>
                <w:szCs w:val="4"/>
                <w:color w:val="auto"/>
              </w:rPr>
            </w:pPr>
          </w:p>
        </w:tc>
        <w:tc>
          <w:tcPr>
            <w:tcW w:w="1620" w:type="dxa"/>
            <w:vAlign w:val="bottom"/>
            <w:gridSpan w:val="5"/>
            <w:vMerge w:val="restart"/>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1500" w:type="dxa"/>
            <w:vAlign w:val="bottom"/>
            <w:gridSpan w:val="4"/>
            <w:vMerge w:val="restart"/>
          </w:tcPr>
          <w:p>
            <w:pPr>
              <w:spacing w:after="0"/>
              <w:rPr>
                <w:sz w:val="4"/>
                <w:szCs w:val="4"/>
                <w:color w:val="auto"/>
              </w:rPr>
            </w:pPr>
          </w:p>
        </w:tc>
        <w:tc>
          <w:tcPr>
            <w:tcW w:w="2940" w:type="dxa"/>
            <w:vAlign w:val="bottom"/>
            <w:tcBorders>
              <w:top w:val="single" w:sz="8" w:color="0000EE"/>
              <w:bottom w:val="single" w:sz="8" w:color="0000EE"/>
            </w:tcBorders>
            <w:gridSpan w:val="6"/>
            <w:vMerge w:val="restart"/>
          </w:tcPr>
          <w:p>
            <w:pPr>
              <w:spacing w:after="0"/>
              <w:rPr>
                <w:sz w:val="4"/>
                <w:szCs w:val="4"/>
                <w:color w:val="auto"/>
              </w:rPr>
            </w:pPr>
          </w:p>
        </w:tc>
        <w:tc>
          <w:tcPr>
            <w:tcW w:w="3160" w:type="dxa"/>
            <w:vAlign w:val="bottom"/>
            <w:gridSpan w:val="6"/>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vMerge w:val="continue"/>
          </w:tcPr>
          <w:p>
            <w:pPr>
              <w:spacing w:after="0"/>
              <w:rPr>
                <w:sz w:val="24"/>
                <w:szCs w:val="24"/>
                <w:color w:val="auto"/>
              </w:rPr>
            </w:pPr>
          </w:p>
        </w:tc>
        <w:tc>
          <w:tcPr>
            <w:tcW w:w="1060" w:type="dxa"/>
            <w:vAlign w:val="bottom"/>
            <w:gridSpan w:val="4"/>
            <w:vMerge w:val="continue"/>
          </w:tcPr>
          <w:p>
            <w:pPr>
              <w:spacing w:after="0"/>
              <w:rPr>
                <w:sz w:val="24"/>
                <w:szCs w:val="24"/>
                <w:color w:val="auto"/>
              </w:rPr>
            </w:pPr>
          </w:p>
        </w:tc>
        <w:tc>
          <w:tcPr>
            <w:tcW w:w="1620" w:type="dxa"/>
            <w:vAlign w:val="bottom"/>
            <w:tcBorders>
              <w:bottom w:val="single" w:sz="8" w:color="0000EE"/>
            </w:tcBorders>
            <w:gridSpan w:val="5"/>
            <w:vMerge w:val="continue"/>
          </w:tcPr>
          <w:p>
            <w:pPr>
              <w:spacing w:after="0"/>
              <w:rPr>
                <w:sz w:val="24"/>
                <w:szCs w:val="24"/>
                <w:color w:val="auto"/>
              </w:rPr>
            </w:pPr>
          </w:p>
        </w:tc>
        <w:tc>
          <w:tcPr>
            <w:tcW w:w="1500" w:type="dxa"/>
            <w:vAlign w:val="bottom"/>
            <w:gridSpan w:val="4"/>
            <w:vMerge w:val="continue"/>
          </w:tcPr>
          <w:p>
            <w:pPr>
              <w:spacing w:after="0"/>
              <w:rPr>
                <w:sz w:val="24"/>
                <w:szCs w:val="24"/>
                <w:color w:val="auto"/>
              </w:rPr>
            </w:pPr>
          </w:p>
        </w:tc>
        <w:tc>
          <w:tcPr>
            <w:tcW w:w="2940" w:type="dxa"/>
            <w:vAlign w:val="bottom"/>
            <w:gridSpan w:val="6"/>
            <w:vMerge w:val="continue"/>
          </w:tcPr>
          <w:p>
            <w:pPr>
              <w:spacing w:after="0"/>
              <w:rPr>
                <w:sz w:val="24"/>
                <w:szCs w:val="24"/>
                <w:color w:val="auto"/>
              </w:rPr>
            </w:pPr>
          </w:p>
        </w:tc>
        <w:tc>
          <w:tcPr>
            <w:tcW w:w="316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40" w:type="dxa"/>
            <w:vAlign w:val="bottom"/>
            <w:tcBorders>
              <w:bottom w:val="single" w:sz="8" w:color="0000EE"/>
            </w:tcBorders>
            <w:gridSpan w:val="17"/>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Consolidated Balance Sheets as of September 30, 2016 (unaudited) and December 31, 2015</w:t>
              </w:r>
            </w:hyperlink>
          </w:p>
        </w:tc>
        <w:tc>
          <w:tcPr>
            <w:tcW w:w="2280" w:type="dxa"/>
            <w:vAlign w:val="bottom"/>
            <w:gridSpan w:val="4"/>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21"/>
          </w:tcPr>
          <w:p>
            <w:pPr>
              <w:spacing w:after="0"/>
              <w:rPr>
                <w:rFonts w:ascii="Arial" w:cs="Arial" w:eastAsia="Arial" w:hAnsi="Arial"/>
                <w:sz w:val="18"/>
                <w:szCs w:val="18"/>
                <w:b w:val="1"/>
                <w:bCs w:val="1"/>
                <w:color w:val="0000EE"/>
                <w:w w:val="95"/>
              </w:rPr>
            </w:pPr>
            <w:hyperlink w:anchor="page5">
              <w:r>
                <w:rPr>
                  <w:rFonts w:ascii="Arial" w:cs="Arial" w:eastAsia="Arial" w:hAnsi="Arial"/>
                  <w:sz w:val="18"/>
                  <w:szCs w:val="18"/>
                  <w:b w:val="1"/>
                  <w:bCs w:val="1"/>
                  <w:color w:val="0000EE"/>
                  <w:w w:val="95"/>
                </w:rPr>
                <w:t>Consolidated Statements of Operations  and Comprehensive Loss for the Three Months and Nine Months ended</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September 30, 2016 and 2015 (unaudited)</w:t>
              </w:r>
            </w:hyperlink>
          </w:p>
        </w:tc>
        <w:tc>
          <w:tcPr>
            <w:tcW w:w="598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21"/>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Statements of Redeemable Convertible Preferred Stock and Stockholders’ Equity (Deficit)</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80" w:type="dxa"/>
            <w:vAlign w:val="bottom"/>
            <w:tcBorders>
              <w:bottom w:val="single" w:sz="8" w:color="0000EE"/>
            </w:tcBorders>
            <w:gridSpan w:val="19"/>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Statements of Cash Flows for the Nine Months ended September 30, 2016 and 2015 (unaudited)</w:t>
              </w:r>
            </w:hyperlink>
          </w:p>
        </w:tc>
        <w:tc>
          <w:tcPr>
            <w:tcW w:w="84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7">
              <w:r>
                <w:rPr>
                  <w:rFonts w:ascii="Arial" w:cs="Arial" w:eastAsia="Arial" w:hAnsi="Arial"/>
                  <w:sz w:val="18"/>
                  <w:szCs w:val="18"/>
                  <w:b w:val="1"/>
                  <w:bCs w:val="1"/>
                  <w:color w:val="0000EE"/>
                  <w:w w:val="79"/>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20" w:type="dxa"/>
            <w:vAlign w:val="bottom"/>
            <w:gridSpan w:val="21"/>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Notes to Consolidated Financial Statements (unaudited)</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Item 2.</w:t>
              </w:r>
            </w:hyperlink>
          </w:p>
        </w:tc>
        <w:tc>
          <w:tcPr>
            <w:tcW w:w="1060" w:type="dxa"/>
            <w:vAlign w:val="bottom"/>
            <w:gridSpan w:val="4"/>
          </w:tcPr>
          <w:p>
            <w:pPr>
              <w:spacing w:after="0"/>
              <w:rPr>
                <w:sz w:val="24"/>
                <w:szCs w:val="24"/>
                <w:color w:val="auto"/>
              </w:rPr>
            </w:pPr>
          </w:p>
        </w:tc>
        <w:tc>
          <w:tcPr>
            <w:tcW w:w="6840" w:type="dxa"/>
            <w:vAlign w:val="bottom"/>
            <w:gridSpan w:val="16"/>
          </w:tcPr>
          <w:p>
            <w:pPr>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Management’s Discussion and Analysis of Financial Condition and Results of Operations</w:t>
              </w:r>
            </w:hyperlink>
          </w:p>
        </w:tc>
        <w:tc>
          <w:tcPr>
            <w:tcW w:w="2380" w:type="dxa"/>
            <w:vAlign w:val="bottom"/>
            <w:gridSpan w:val="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3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3.</w:t>
              </w:r>
            </w:hyperlink>
          </w:p>
        </w:tc>
        <w:tc>
          <w:tcPr>
            <w:tcW w:w="1060" w:type="dxa"/>
            <w:vAlign w:val="bottom"/>
            <w:gridSpan w:val="4"/>
          </w:tcPr>
          <w:p>
            <w:pPr>
              <w:spacing w:after="0"/>
              <w:rPr>
                <w:sz w:val="24"/>
                <w:szCs w:val="24"/>
                <w:color w:val="auto"/>
              </w:rPr>
            </w:pPr>
          </w:p>
        </w:tc>
        <w:tc>
          <w:tcPr>
            <w:tcW w:w="6840" w:type="dxa"/>
            <w:vAlign w:val="bottom"/>
            <w:gridSpan w:val="16"/>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Quantitative and Qualitative Disclosures about Market Risk</w:t>
              </w:r>
            </w:hyperlink>
          </w:p>
        </w:tc>
        <w:tc>
          <w:tcPr>
            <w:tcW w:w="2380" w:type="dxa"/>
            <w:vAlign w:val="bottom"/>
            <w:gridSpan w:val="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40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340" w:type="dxa"/>
            <w:vAlign w:val="bottom"/>
            <w:tcBorders>
              <w:left w:val="single" w:sz="8" w:color="0000EE"/>
            </w:tcBorders>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2">
              <w:r>
                <w:rPr>
                  <w:rFonts w:ascii="Arial" w:cs="Arial" w:eastAsia="Arial" w:hAnsi="Arial"/>
                  <w:sz w:val="18"/>
                  <w:szCs w:val="18"/>
                  <w:b w:val="1"/>
                  <w:bCs w:val="1"/>
                  <w:color w:val="0000EE"/>
                  <w:w w:val="91"/>
                </w:rPr>
                <w:t>Item 4.</w:t>
              </w:r>
            </w:hyperlink>
          </w:p>
        </w:tc>
        <w:tc>
          <w:tcPr>
            <w:tcW w:w="1060" w:type="dxa"/>
            <w:vAlign w:val="bottom"/>
            <w:gridSpan w:val="4"/>
          </w:tcPr>
          <w:p>
            <w:pPr>
              <w:spacing w:after="0"/>
              <w:rPr>
                <w:sz w:val="24"/>
                <w:szCs w:val="24"/>
                <w:color w:val="auto"/>
              </w:rPr>
            </w:pPr>
          </w:p>
        </w:tc>
        <w:tc>
          <w:tcPr>
            <w:tcW w:w="4580" w:type="dxa"/>
            <w:vAlign w:val="bottom"/>
            <w:gridSpan w:val="13"/>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Controls and Procedures</w:t>
              </w:r>
            </w:hyperlink>
          </w:p>
        </w:tc>
        <w:tc>
          <w:tcPr>
            <w:tcW w:w="4640" w:type="dxa"/>
            <w:vAlign w:val="bottom"/>
            <w:gridSpan w:val="8"/>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41</w:t>
              </w:r>
            </w:hyperlink>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330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2">
              <w:r>
                <w:rPr>
                  <w:rFonts w:ascii="Arial" w:cs="Arial" w:eastAsia="Arial" w:hAnsi="Arial"/>
                  <w:sz w:val="18"/>
                  <w:szCs w:val="18"/>
                  <w:b w:val="1"/>
                  <w:bCs w:val="1"/>
                  <w:color w:val="0000EE"/>
                  <w:w w:val="91"/>
                </w:rPr>
                <w:t>Item 1.</w:t>
              </w:r>
            </w:hyperlink>
          </w:p>
        </w:tc>
        <w:tc>
          <w:tcPr>
            <w:tcW w:w="1060" w:type="dxa"/>
            <w:vAlign w:val="bottom"/>
            <w:gridSpan w:val="4"/>
          </w:tcPr>
          <w:p>
            <w:pPr>
              <w:spacing w:after="0"/>
              <w:rPr>
                <w:sz w:val="24"/>
                <w:szCs w:val="24"/>
                <w:color w:val="auto"/>
              </w:rPr>
            </w:pPr>
          </w:p>
        </w:tc>
        <w:tc>
          <w:tcPr>
            <w:tcW w:w="9220" w:type="dxa"/>
            <w:vAlign w:val="bottom"/>
            <w:gridSpan w:val="21"/>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Legal Proceedings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700" w:type="dxa"/>
            <w:vAlign w:val="bottom"/>
            <w:gridSpan w:val="2"/>
          </w:tcPr>
          <w:p>
            <w:pPr>
              <w:spacing w:after="0"/>
              <w:rPr>
                <w:rFonts w:ascii="Arial" w:cs="Arial" w:eastAsia="Arial" w:hAnsi="Arial"/>
                <w:sz w:val="18"/>
                <w:szCs w:val="18"/>
                <w:b w:val="1"/>
                <w:bCs w:val="1"/>
                <w:color w:val="0000EE"/>
                <w:w w:val="97"/>
              </w:rPr>
            </w:pPr>
            <w:hyperlink w:anchor="page42">
              <w:r>
                <w:rPr>
                  <w:rFonts w:ascii="Arial" w:cs="Arial" w:eastAsia="Arial" w:hAnsi="Arial"/>
                  <w:sz w:val="18"/>
                  <w:szCs w:val="18"/>
                  <w:b w:val="1"/>
                  <w:bCs w:val="1"/>
                  <w:color w:val="0000EE"/>
                  <w:w w:val="97"/>
                </w:rPr>
                <w:t>Item 1A.</w:t>
              </w:r>
            </w:hyperlink>
          </w:p>
        </w:tc>
        <w:tc>
          <w:tcPr>
            <w:tcW w:w="900" w:type="dxa"/>
            <w:vAlign w:val="bottom"/>
            <w:gridSpan w:val="3"/>
          </w:tcPr>
          <w:p>
            <w:pPr>
              <w:spacing w:after="0"/>
              <w:rPr>
                <w:sz w:val="24"/>
                <w:szCs w:val="24"/>
                <w:color w:val="auto"/>
              </w:rPr>
            </w:pPr>
          </w:p>
        </w:tc>
        <w:tc>
          <w:tcPr>
            <w:tcW w:w="980" w:type="dxa"/>
            <w:vAlign w:val="bottom"/>
            <w:gridSpan w:val="2"/>
          </w:tcPr>
          <w:p>
            <w:pPr>
              <w:spacing w:after="0"/>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Risk Factors</w:t>
              </w:r>
            </w:hyperlink>
          </w:p>
        </w:tc>
        <w:tc>
          <w:tcPr>
            <w:tcW w:w="8240" w:type="dxa"/>
            <w:vAlign w:val="bottom"/>
            <w:gridSpan w:val="19"/>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81">
              <w:r>
                <w:rPr>
                  <w:rFonts w:ascii="Arial" w:cs="Arial" w:eastAsia="Arial" w:hAnsi="Arial"/>
                  <w:sz w:val="18"/>
                  <w:szCs w:val="18"/>
                  <w:b w:val="1"/>
                  <w:bCs w:val="1"/>
                  <w:color w:val="0000EE"/>
                  <w:w w:val="91"/>
                </w:rPr>
                <w:t>Item 2.</w:t>
              </w:r>
            </w:hyperlink>
          </w:p>
        </w:tc>
        <w:tc>
          <w:tcPr>
            <w:tcW w:w="160" w:type="dxa"/>
            <w:vAlign w:val="bottom"/>
          </w:tcPr>
          <w:p>
            <w:pPr>
              <w:spacing w:after="0"/>
              <w:rPr>
                <w:sz w:val="24"/>
                <w:szCs w:val="24"/>
                <w:color w:val="auto"/>
              </w:rPr>
            </w:pPr>
          </w:p>
        </w:tc>
        <w:tc>
          <w:tcPr>
            <w:tcW w:w="900" w:type="dxa"/>
            <w:vAlign w:val="bottom"/>
            <w:gridSpan w:val="3"/>
          </w:tcPr>
          <w:p>
            <w:pPr>
              <w:spacing w:after="0"/>
              <w:rPr>
                <w:sz w:val="24"/>
                <w:szCs w:val="24"/>
                <w:color w:val="auto"/>
              </w:rPr>
            </w:pPr>
          </w:p>
        </w:tc>
        <w:tc>
          <w:tcPr>
            <w:tcW w:w="4580" w:type="dxa"/>
            <w:vAlign w:val="bottom"/>
            <w:gridSpan w:val="13"/>
          </w:tcPr>
          <w:p>
            <w:pPr>
              <w:spacing w:after="0"/>
              <w:rPr>
                <w:rFonts w:ascii="Arial" w:cs="Arial" w:eastAsia="Arial" w:hAnsi="Arial"/>
                <w:sz w:val="18"/>
                <w:szCs w:val="18"/>
                <w:b w:val="1"/>
                <w:bCs w:val="1"/>
                <w:color w:val="0000EE"/>
                <w:w w:val="87"/>
              </w:rPr>
            </w:pPr>
            <w:hyperlink w:anchor="page81">
              <w:r>
                <w:rPr>
                  <w:rFonts w:ascii="Arial" w:cs="Arial" w:eastAsia="Arial" w:hAnsi="Arial"/>
                  <w:sz w:val="18"/>
                  <w:szCs w:val="18"/>
                  <w:b w:val="1"/>
                  <w:bCs w:val="1"/>
                  <w:color w:val="0000EE"/>
                  <w:w w:val="87"/>
                </w:rPr>
                <w:t>Unregistered Sales of Equity Securities and Use of Proceeds</w:t>
              </w:r>
            </w:hyperlink>
          </w:p>
        </w:tc>
        <w:tc>
          <w:tcPr>
            <w:tcW w:w="4640" w:type="dxa"/>
            <w:vAlign w:val="bottom"/>
            <w:gridSpan w:val="8"/>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80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82">
              <w:r>
                <w:rPr>
                  <w:rFonts w:ascii="Arial" w:cs="Arial" w:eastAsia="Arial" w:hAnsi="Arial"/>
                  <w:sz w:val="18"/>
                  <w:szCs w:val="18"/>
                  <w:b w:val="1"/>
                  <w:bCs w:val="1"/>
                  <w:color w:val="0000EE"/>
                  <w:w w:val="91"/>
                </w:rPr>
                <w:t>Item 3.</w:t>
              </w:r>
            </w:hyperlink>
          </w:p>
        </w:tc>
        <w:tc>
          <w:tcPr>
            <w:tcW w:w="1060" w:type="dxa"/>
            <w:vAlign w:val="bottom"/>
            <w:gridSpan w:val="4"/>
          </w:tcPr>
          <w:p>
            <w:pPr>
              <w:spacing w:after="0"/>
              <w:rPr>
                <w:sz w:val="24"/>
                <w:szCs w:val="24"/>
                <w:color w:val="auto"/>
              </w:rPr>
            </w:pPr>
          </w:p>
        </w:tc>
        <w:tc>
          <w:tcPr>
            <w:tcW w:w="4580" w:type="dxa"/>
            <w:vAlign w:val="bottom"/>
            <w:gridSpan w:val="13"/>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Defaults Upon Senior Securities</w:t>
              </w:r>
            </w:hyperlink>
          </w:p>
        </w:tc>
        <w:tc>
          <w:tcPr>
            <w:tcW w:w="4640" w:type="dxa"/>
            <w:vAlign w:val="bottom"/>
            <w:gridSpan w:val="8"/>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81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7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82">
              <w:r>
                <w:rPr>
                  <w:rFonts w:ascii="Arial" w:cs="Arial" w:eastAsia="Arial" w:hAnsi="Arial"/>
                  <w:sz w:val="18"/>
                  <w:szCs w:val="18"/>
                  <w:b w:val="1"/>
                  <w:bCs w:val="1"/>
                  <w:color w:val="0000EE"/>
                  <w:w w:val="91"/>
                </w:rPr>
                <w:t>Item 4.</w:t>
              </w:r>
            </w:hyperlink>
          </w:p>
        </w:tc>
        <w:tc>
          <w:tcPr>
            <w:tcW w:w="1060" w:type="dxa"/>
            <w:vAlign w:val="bottom"/>
            <w:gridSpan w:val="4"/>
          </w:tcPr>
          <w:p>
            <w:pPr>
              <w:spacing w:after="0"/>
              <w:rPr>
                <w:sz w:val="24"/>
                <w:szCs w:val="24"/>
                <w:color w:val="auto"/>
              </w:rPr>
            </w:pPr>
          </w:p>
        </w:tc>
        <w:tc>
          <w:tcPr>
            <w:tcW w:w="1840" w:type="dxa"/>
            <w:vAlign w:val="bottom"/>
            <w:gridSpan w:val="6"/>
          </w:tcPr>
          <w:p>
            <w:pPr>
              <w:spacing w:after="0"/>
              <w:rPr>
                <w:rFonts w:ascii="Arial" w:cs="Arial" w:eastAsia="Arial" w:hAnsi="Arial"/>
                <w:sz w:val="18"/>
                <w:szCs w:val="18"/>
                <w:b w:val="1"/>
                <w:bCs w:val="1"/>
                <w:color w:val="0000EE"/>
                <w:w w:val="87"/>
              </w:rPr>
            </w:pPr>
            <w:hyperlink w:anchor="page82">
              <w:r>
                <w:rPr>
                  <w:rFonts w:ascii="Arial" w:cs="Arial" w:eastAsia="Arial" w:hAnsi="Arial"/>
                  <w:sz w:val="18"/>
                  <w:szCs w:val="18"/>
                  <w:b w:val="1"/>
                  <w:bCs w:val="1"/>
                  <w:color w:val="0000EE"/>
                  <w:w w:val="87"/>
                </w:rPr>
                <w:t>Mine Safety Disclosures</w:t>
              </w:r>
            </w:hyperlink>
          </w:p>
        </w:tc>
        <w:tc>
          <w:tcPr>
            <w:tcW w:w="600" w:type="dxa"/>
            <w:vAlign w:val="bottom"/>
            <w:gridSpan w:val="2"/>
          </w:tcPr>
          <w:p>
            <w:pPr>
              <w:spacing w:after="0"/>
              <w:rPr>
                <w:sz w:val="24"/>
                <w:szCs w:val="24"/>
                <w:color w:val="auto"/>
              </w:rPr>
            </w:pPr>
          </w:p>
        </w:tc>
        <w:tc>
          <w:tcPr>
            <w:tcW w:w="6780" w:type="dxa"/>
            <w:vAlign w:val="bottom"/>
            <w:gridSpan w:val="1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81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82">
              <w:r>
                <w:rPr>
                  <w:rFonts w:ascii="Arial" w:cs="Arial" w:eastAsia="Arial" w:hAnsi="Arial"/>
                  <w:sz w:val="18"/>
                  <w:szCs w:val="18"/>
                  <w:b w:val="1"/>
                  <w:bCs w:val="1"/>
                  <w:color w:val="0000EE"/>
                  <w:w w:val="91"/>
                </w:rPr>
                <w:t>Item 5.</w:t>
              </w:r>
            </w:hyperlink>
          </w:p>
        </w:tc>
        <w:tc>
          <w:tcPr>
            <w:tcW w:w="1060" w:type="dxa"/>
            <w:vAlign w:val="bottom"/>
            <w:gridSpan w:val="4"/>
          </w:tcPr>
          <w:p>
            <w:pPr>
              <w:spacing w:after="0"/>
              <w:rPr>
                <w:sz w:val="24"/>
                <w:szCs w:val="24"/>
                <w:color w:val="auto"/>
              </w:rPr>
            </w:pPr>
          </w:p>
        </w:tc>
        <w:tc>
          <w:tcPr>
            <w:tcW w:w="1840" w:type="dxa"/>
            <w:vAlign w:val="bottom"/>
            <w:gridSpan w:val="6"/>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Other Information</w:t>
              </w:r>
            </w:hyperlink>
          </w:p>
        </w:tc>
        <w:tc>
          <w:tcPr>
            <w:tcW w:w="7380" w:type="dxa"/>
            <w:vAlign w:val="bottom"/>
            <w:gridSpan w:val="1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81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78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82">
              <w:r>
                <w:rPr>
                  <w:rFonts w:ascii="Arial" w:cs="Arial" w:eastAsia="Arial" w:hAnsi="Arial"/>
                  <w:sz w:val="18"/>
                  <w:szCs w:val="18"/>
                  <w:b w:val="1"/>
                  <w:bCs w:val="1"/>
                  <w:color w:val="0000EE"/>
                  <w:w w:val="91"/>
                </w:rPr>
                <w:t>Item 6.</w:t>
              </w:r>
            </w:hyperlink>
          </w:p>
        </w:tc>
        <w:tc>
          <w:tcPr>
            <w:tcW w:w="1060" w:type="dxa"/>
            <w:vAlign w:val="bottom"/>
            <w:gridSpan w:val="4"/>
          </w:tcPr>
          <w:p>
            <w:pPr>
              <w:spacing w:after="0"/>
              <w:rPr>
                <w:sz w:val="24"/>
                <w:szCs w:val="24"/>
                <w:color w:val="auto"/>
              </w:rPr>
            </w:pPr>
          </w:p>
        </w:tc>
        <w:tc>
          <w:tcPr>
            <w:tcW w:w="1440" w:type="dxa"/>
            <w:vAlign w:val="bottom"/>
            <w:gridSpan w:val="4"/>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Exhibits</w:t>
              </w:r>
            </w:hyperlink>
          </w:p>
        </w:tc>
        <w:tc>
          <w:tcPr>
            <w:tcW w:w="7780" w:type="dxa"/>
            <w:vAlign w:val="bottom"/>
            <w:gridSpan w:val="1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81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5"/>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82</w:t>
              </w:r>
            </w:hyperlink>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80" w:type="dxa"/>
            <w:vAlign w:val="bottom"/>
            <w:gridSpan w:val="12"/>
          </w:tcPr>
          <w:p>
            <w:pPr>
              <w:ind w:left="40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and plans to exercise our right to acquire the development programs under our collaboration agreement with Sanofi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39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383"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00" w:lineRule="exact"/>
        <w:rPr>
          <w:sz w:val="20"/>
          <w:szCs w:val="20"/>
          <w:color w:val="auto"/>
        </w:rPr>
      </w:pPr>
    </w:p>
    <w:p>
      <w:pPr>
        <w:spacing w:after="0" w:line="241"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38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400"/>
          </w:cols>
          <w:pgMar w:left="240" w:top="125" w:right="259" w:bottom="5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25" w:right="259" w:bottom="55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32,337</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Short term deposits and investments</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19,788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4,125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824</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38,913</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Restricted cash and other deposits</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1,566</w:t>
            </w:r>
          </w:p>
        </w:tc>
      </w:tr>
      <w:tr>
        <w:trPr>
          <w:trHeight w:val="223"/>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85,779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42,824</w:t>
            </w: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3,378</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payable, current portion</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revenue, current portion</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1,313</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Contingently repayable grant funding</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7,290</w:t>
            </w:r>
          </w:p>
        </w:tc>
      </w:tr>
      <w:tr>
        <w:trPr>
          <w:trHeight w:val="276"/>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rent and lease incentive</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payable, net of current portion</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11,855</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2,295</w:t>
            </w:r>
          </w:p>
        </w:tc>
      </w:tr>
      <w:tr>
        <w:trPr>
          <w:trHeight w:val="270"/>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r>
      <w:tr>
        <w:trPr>
          <w:trHeight w:val="21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20,336</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21,835</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(Notes 8 and 13)</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Redeemable Convertible Preferred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Series A redeemable convertible preferred stock, $0.0001 par value; 0 and 2,589,868 shares authorized; 0 and 2,589,868 shares issued and outstanding;</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of September 30, 2016 and December 31, 2015 respectively.</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3,644</w:t>
            </w: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1"/>
              </w:rPr>
              <w:t>Series B redeemable convertible preferred stock, $0.0001 par value; 0 and 7,437,325 shares authorized; 0 and 7,437,325 shares issued and outstanding;</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as of September 30, 2016 and December 31, 2015 respectively.</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21,448</w:t>
            </w: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Series C redeemable convertible preferred stock, $0.0001 par value; 0 and 5,000,002 shares authorized; 0 and 5,000,002 shares issued and outstanding;</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of September 30, 2016 and December 31, 2015 respectively.</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20,178</w:t>
            </w: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1"/>
              </w:rPr>
              <w:t>Series D redeemable convertible preferred stock, $0.0001 par value; 0 and 8,166,662 shares authorized; 0 and 8,099,994 shares issued and outstanding;</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as of September 30, 2016 and December 31, 2015 respectively.</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42,902</w:t>
            </w: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Series SRN redeemable convertible preferred stock, $0.0001 par value; 0 and 5,611,112 shares authorized; 0 and 2,111,109 shares issued and</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as of September 30, 2016 and December 31, 2015 respectively.</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12,082</w:t>
            </w: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1"/>
              </w:rPr>
              <w:t>Series E redeemable convertible preferred stock, $0.0001 par value; 0 and 9,030,654 shares authorized; 0 and 8,888,888 shares issued and outstanding;</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as of September 30, 2016 and December 31, 2015 respectively.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37,228</w:t>
            </w: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redeemable convertible preferred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137,482</w:t>
            </w:r>
          </w:p>
        </w:tc>
      </w:tr>
      <w:tr>
        <w:trPr>
          <w:trHeight w:val="244"/>
        </w:trPr>
        <w:tc>
          <w:tcPr>
            <w:tcW w:w="8800" w:type="dxa"/>
            <w:vAlign w:val="bottom"/>
          </w:tcPr>
          <w:p>
            <w:pPr>
              <w:ind w:left="40"/>
              <w:spacing w:after="0"/>
              <w:rPr>
                <w:sz w:val="20"/>
                <w:szCs w:val="20"/>
                <w:color w:val="auto"/>
              </w:rPr>
            </w:pPr>
            <w:r>
              <w:rPr>
                <w:rFonts w:ascii="Arial" w:cs="Arial" w:eastAsia="Arial" w:hAnsi="Arial"/>
                <w:sz w:val="14"/>
                <w:szCs w:val="14"/>
                <w:color w:val="auto"/>
              </w:rPr>
              <w:t>Stockholders’ equity (deficit):</w:t>
            </w: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Preferred stock, $0.0001 par value; 10,000,000 and 0 shares authorized; 0 shares issued and outstanding at September 30, 2016 and December 31,</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2015, respectively.</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7"/>
              </w:rPr>
              <w:t>Common stock, $0.0001 par value; 200,000,000 and 62,164,377 shares authorized at September 30, 2016 and December 31, 2015 respectively;</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w w:val="91"/>
              </w:rPr>
              <w:t>18,190,180 and 2,180,976 shares issued, 18,188,313 and 2,173,399 shares outstanding as of September 30, 2016 and December 31, 2015, respectively.</w:t>
            </w: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207,489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(137,493)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(111,508)</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 (deficit)</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65,443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(116,493)</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redeemable convertible preferred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85,779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42,824</w:t>
            </w:r>
          </w:p>
        </w:tc>
      </w:tr>
      <w:tr>
        <w:trPr>
          <w:trHeight w:val="217"/>
        </w:trPr>
        <w:tc>
          <w:tcPr>
            <w:tcW w:w="10060" w:type="dxa"/>
            <w:vAlign w:val="bottom"/>
            <w:gridSpan w:val="3"/>
          </w:tcPr>
          <w:p>
            <w:pPr>
              <w:ind w:left="2720"/>
              <w:spacing w:after="0"/>
              <w:rPr>
                <w:sz w:val="20"/>
                <w:szCs w:val="20"/>
                <w:color w:val="auto"/>
              </w:rPr>
            </w:pPr>
            <w:r>
              <w:rPr>
                <w:rFonts w:ascii="Arial" w:cs="Arial" w:eastAsia="Arial" w:hAnsi="Arial"/>
                <w:sz w:val="18"/>
                <w:szCs w:val="18"/>
                <w:i w:val="1"/>
                <w:iCs w:val="1"/>
                <w:color w:val="auto"/>
                <w:w w:val="93"/>
              </w:rPr>
              <w:t>The accompanying notes are an integral part of these unaudited consolidated financial statements.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08"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408"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25"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(Unaudited, amounts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and collaboration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6,305</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transaction gain (loss),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Unrealized gain (loss) on securities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(18,325)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of redeemable convertible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(23,284)</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8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7"/>
        </w:trPr>
        <w:tc>
          <w:tcPr>
            <w:tcW w:w="562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18,108,014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2,159,658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7,881,625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2,144,731</w:t>
            </w:r>
          </w:p>
        </w:tc>
      </w:tr>
    </w:tbl>
    <w:p>
      <w:pPr>
        <w:spacing w:after="0" w:line="229"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4"/>
              </w:rPr>
              <w:t>Series A</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Series B</w:t>
            </w:r>
          </w:p>
        </w:tc>
        <w:tc>
          <w:tcPr>
            <w:tcW w:w="110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4"/>
              </w:rPr>
              <w:t>Series C</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Series D</w:t>
            </w:r>
          </w:p>
        </w:tc>
        <w:tc>
          <w:tcPr>
            <w:tcW w:w="11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5"/>
              </w:rPr>
              <w:t>Series SRN</w:t>
            </w:r>
          </w:p>
        </w:tc>
        <w:tc>
          <w:tcPr>
            <w:tcW w:w="112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6"/>
              </w:rPr>
              <w:t>Series E</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11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6"/>
              </w:rPr>
              <w:t>redeemable</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11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redeemable</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Accumulated</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11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9"/>
              </w:rPr>
              <w:t>convertible</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11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convertible</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3"/>
          </w:tcPr>
          <w:p>
            <w:pPr>
              <w:ind w:left="40"/>
              <w:spacing w:after="0"/>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7"/>
              </w:rPr>
              <w:t>other</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1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preferred stock</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1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0"/>
              </w:rPr>
              <w:t>preferred stock</w:t>
            </w:r>
          </w:p>
        </w:tc>
        <w:tc>
          <w:tcPr>
            <w:tcW w:w="112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080" w:type="dxa"/>
            <w:vAlign w:val="bottom"/>
            <w:gridSpan w:val="4"/>
          </w:tcPr>
          <w:p>
            <w:pPr>
              <w:ind w:left="18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23"/>
                <w:szCs w:val="23"/>
                <w:color w:val="auto"/>
              </w:rPr>
            </w:pPr>
          </w:p>
        </w:tc>
        <w:tc>
          <w:tcPr>
            <w:tcW w:w="560" w:type="dxa"/>
            <w:vAlign w:val="bottom"/>
            <w:gridSpan w:val="2"/>
          </w:tcPr>
          <w:p>
            <w:pPr>
              <w:ind w:left="20"/>
              <w:spacing w:after="0" w:line="115" w:lineRule="exact"/>
              <w:rPr>
                <w:sz w:val="20"/>
                <w:szCs w:val="20"/>
                <w:color w:val="auto"/>
              </w:rPr>
            </w:pPr>
            <w:r>
              <w:rPr>
                <w:rFonts w:ascii="Arial" w:cs="Arial" w:eastAsia="Arial" w:hAnsi="Arial"/>
                <w:sz w:val="10"/>
                <w:szCs w:val="10"/>
                <w:b w:val="1"/>
                <w:bCs w:val="1"/>
                <w:color w:val="auto"/>
              </w:rPr>
              <w:t>paid</w:t>
            </w:r>
            <w:r>
              <w:rPr>
                <w:rFonts w:ascii="MS PGothic" w:cs="MS PGothic" w:eastAsia="MS PGothic" w:hAnsi="MS PGothic"/>
                <w:sz w:val="10"/>
                <w:szCs w:val="10"/>
                <w:b w:val="1"/>
                <w:bCs w:val="1"/>
                <w:color w:val="auto"/>
              </w:rPr>
              <w:t>‑</w:t>
            </w:r>
            <w:r>
              <w:rPr>
                <w:rFonts w:ascii="Arial" w:cs="Arial" w:eastAsia="Arial" w:hAnsi="Arial"/>
                <w:sz w:val="10"/>
                <w:szCs w:val="10"/>
                <w:b w:val="1"/>
                <w:bCs w:val="1"/>
                <w:color w:val="auto"/>
              </w:rPr>
              <w:t>In</w:t>
            </w:r>
          </w:p>
        </w:tc>
        <w:tc>
          <w:tcPr>
            <w:tcW w:w="760" w:type="dxa"/>
            <w:vAlign w:val="bottom"/>
            <w:gridSpan w:val="3"/>
          </w:tcPr>
          <w:p>
            <w:pPr>
              <w:ind w:left="40"/>
              <w:spacing w:after="0"/>
              <w:rPr>
                <w:sz w:val="20"/>
                <w:szCs w:val="20"/>
                <w:color w:val="auto"/>
              </w:rPr>
            </w:pPr>
            <w:r>
              <w:rPr>
                <w:rFonts w:ascii="Arial" w:cs="Arial" w:eastAsia="Arial" w:hAnsi="Arial"/>
                <w:sz w:val="10"/>
                <w:szCs w:val="10"/>
                <w:b w:val="1"/>
                <w:bCs w:val="1"/>
                <w:color w:val="auto"/>
              </w:rPr>
              <w:t>Accumulated</w:t>
            </w:r>
          </w:p>
        </w:tc>
        <w:tc>
          <w:tcPr>
            <w:tcW w:w="7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7"/>
              </w:rPr>
              <w:t>comprehensive</w:t>
            </w: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w w:val="90"/>
              </w:rPr>
              <w:t>Stockholders’</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right"/>
              <w:ind w:right="131"/>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52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51"/>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jc w:val="right"/>
              <w:ind w:right="71"/>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3"/>
          </w:tcPr>
          <w:p>
            <w:pPr>
              <w:ind w:left="8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jc w:val="right"/>
              <w:ind w:right="51"/>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0"/>
                <w:szCs w:val="10"/>
                <w:b w:val="1"/>
                <w:bCs w:val="1"/>
                <w:color w:val="auto"/>
              </w:rPr>
              <w:t>deficit</w:t>
            </w:r>
          </w:p>
        </w:tc>
        <w:tc>
          <w:tcPr>
            <w:tcW w:w="14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77"/>
              </w:rPr>
              <w:t>loss</w:t>
            </w:r>
          </w:p>
        </w:tc>
        <w:tc>
          <w:tcPr>
            <w:tcW w:w="120" w:type="dxa"/>
            <w:vAlign w:val="bottom"/>
          </w:tcPr>
          <w:p>
            <w:pPr>
              <w:spacing w:after="0"/>
              <w:rPr>
                <w:sz w:val="10"/>
                <w:szCs w:val="10"/>
                <w:color w:val="auto"/>
              </w:rPr>
            </w:pPr>
          </w:p>
        </w:tc>
        <w:tc>
          <w:tcPr>
            <w:tcW w:w="540" w:type="dxa"/>
            <w:vAlign w:val="bottom"/>
          </w:tcPr>
          <w:p>
            <w:pPr>
              <w:jc w:val="right"/>
              <w:ind w:right="111"/>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6"/>
        </w:trPr>
        <w:tc>
          <w:tcPr>
            <w:tcW w:w="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Balance at</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December 31,</w:t>
            </w: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w w:val="98"/>
              </w:rPr>
              <w:t>2,589,868</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36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w w:val="87"/>
              </w:rPr>
              <w:t>3,644</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98"/>
              </w:rPr>
              <w:t>7,437,325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84"/>
              </w:rPr>
              <w:t>21,448</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w w:val="98"/>
              </w:rPr>
              <w:t>5,000,002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91"/>
              </w:rPr>
              <w:t>20,178</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w w:val="98"/>
              </w:rPr>
              <w:t>8,099,994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84"/>
              </w:rPr>
              <w:t>42,902</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98"/>
              </w:rPr>
              <w:t>2,111,109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91"/>
              </w:rPr>
              <w:t>12,082</w:t>
            </w: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98"/>
              </w:rPr>
              <w:t>8,888,888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84"/>
              </w:rPr>
              <w:t>37,228</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2,173,399</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6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(111,508)</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(4,986)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(116,493)</w:t>
            </w:r>
          </w:p>
        </w:tc>
        <w:tc>
          <w:tcPr>
            <w:tcW w:w="0" w:type="dxa"/>
            <w:vAlign w:val="bottom"/>
          </w:tcPr>
          <w:p>
            <w:pPr>
              <w:spacing w:after="0"/>
              <w:rPr>
                <w:sz w:val="1"/>
                <w:szCs w:val="1"/>
                <w:color w:val="auto"/>
              </w:rPr>
            </w:pPr>
          </w:p>
        </w:tc>
      </w:tr>
      <w:tr>
        <w:trPr>
          <w:trHeight w:val="150"/>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2015</w:t>
            </w:r>
          </w:p>
        </w:tc>
        <w:tc>
          <w:tcPr>
            <w:tcW w:w="52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0" w:type="dxa"/>
            <w:vAlign w:val="bottom"/>
            <w:tcBorders>
              <w:top w:val="single" w:sz="8" w:color="CCEEFF"/>
            </w:tcBorders>
          </w:tcPr>
          <w:p>
            <w:pPr>
              <w:ind w:left="40"/>
              <w:spacing w:after="0"/>
              <w:rPr>
                <w:sz w:val="20"/>
                <w:szCs w:val="20"/>
                <w:color w:val="auto"/>
              </w:rPr>
            </w:pPr>
            <w:r>
              <w:rPr>
                <w:rFonts w:ascii="Arial" w:cs="Arial" w:eastAsia="Arial" w:hAnsi="Arial"/>
                <w:sz w:val="10"/>
                <w:szCs w:val="10"/>
                <w:color w:val="auto"/>
              </w:rPr>
              <w:t>Vesting of</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restricted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 w:type="dxa"/>
            <w:vAlign w:val="bottom"/>
          </w:tcPr>
          <w:p>
            <w:pPr>
              <w:ind w:left="40"/>
              <w:spacing w:after="0"/>
              <w:rPr>
                <w:sz w:val="20"/>
                <w:szCs w:val="20"/>
                <w:color w:val="auto"/>
              </w:rPr>
            </w:pPr>
            <w:r>
              <w:rPr>
                <w:rFonts w:ascii="Arial" w:cs="Arial" w:eastAsia="Arial" w:hAnsi="Arial"/>
                <w:sz w:val="10"/>
                <w:szCs w:val="10"/>
                <w:color w:val="auto"/>
              </w:rPr>
              <w:t>common stock</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6,647</w:t>
            </w:r>
          </w:p>
        </w:tc>
        <w:tc>
          <w:tcPr>
            <w:tcW w:w="16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common stock</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upon exercise 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options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25,210</w:t>
            </w: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48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47"/>
        </w:trPr>
        <w:tc>
          <w:tcPr>
            <w:tcW w:w="800" w:type="dxa"/>
            <w:vAlign w:val="bottom"/>
          </w:tcPr>
          <w:p>
            <w:pPr>
              <w:ind w:left="4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compensation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 w:type="dxa"/>
            <w:vAlign w:val="bottom"/>
          </w:tcPr>
          <w:p>
            <w:pPr>
              <w:ind w:left="40"/>
              <w:spacing w:after="0"/>
              <w:rPr>
                <w:sz w:val="20"/>
                <w:szCs w:val="20"/>
                <w:color w:val="auto"/>
              </w:rPr>
            </w:pPr>
            <w:r>
              <w:rPr>
                <w:rFonts w:ascii="Arial" w:cs="Arial" w:eastAsia="Arial" w:hAnsi="Arial"/>
                <w:sz w:val="10"/>
                <w:szCs w:val="10"/>
                <w:color w:val="auto"/>
              </w:rPr>
              <w:t>expense</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1,281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1,281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Accretion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w w:val="95"/>
              </w:rPr>
              <w:t>preferred stock to</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6"/>
              </w:rPr>
              <w:t>redemption value</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75</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449</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446</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1,131</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913</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1,552</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(708)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(3,858)</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(4,566)</w:t>
            </w:r>
          </w:p>
        </w:tc>
        <w:tc>
          <w:tcPr>
            <w:tcW w:w="0" w:type="dxa"/>
            <w:vAlign w:val="bottom"/>
          </w:tcPr>
          <w:p>
            <w:pPr>
              <w:spacing w:after="0"/>
              <w:rPr>
                <w:sz w:val="1"/>
                <w:szCs w:val="1"/>
                <w:color w:val="auto"/>
              </w:rPr>
            </w:pPr>
          </w:p>
        </w:tc>
      </w:tr>
      <w:tr>
        <w:trPr>
          <w:trHeight w:val="147"/>
        </w:trPr>
        <w:tc>
          <w:tcPr>
            <w:tcW w:w="800" w:type="dxa"/>
            <w:vAlign w:val="bottom"/>
          </w:tcPr>
          <w:p>
            <w:pPr>
              <w:ind w:left="40"/>
              <w:spacing w:after="0"/>
              <w:rPr>
                <w:sz w:val="20"/>
                <w:szCs w:val="20"/>
                <w:color w:val="auto"/>
              </w:rPr>
            </w:pPr>
            <w:r>
              <w:rPr>
                <w:rFonts w:ascii="Arial" w:cs="Arial" w:eastAsia="Arial" w:hAnsi="Arial"/>
                <w:sz w:val="10"/>
                <w:szCs w:val="10"/>
                <w:color w:val="auto"/>
              </w:rPr>
              <w:t>Exercise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00" w:type="dxa"/>
            <w:vAlign w:val="bottom"/>
          </w:tcPr>
          <w:p>
            <w:pPr>
              <w:ind w:left="40"/>
              <w:spacing w:after="0"/>
              <w:rPr>
                <w:sz w:val="20"/>
                <w:szCs w:val="20"/>
                <w:color w:val="auto"/>
              </w:rPr>
            </w:pPr>
            <w:r>
              <w:rPr>
                <w:rFonts w:ascii="Arial" w:cs="Arial" w:eastAsia="Arial" w:hAnsi="Arial"/>
                <w:sz w:val="10"/>
                <w:szCs w:val="10"/>
                <w:color w:val="auto"/>
                <w:w w:val="93"/>
              </w:rPr>
              <w:t>common warrants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567,306</w:t>
            </w:r>
          </w:p>
        </w:tc>
        <w:tc>
          <w:tcPr>
            <w:tcW w:w="16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Conversion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w w:val="99"/>
              </w:rPr>
              <w:t>convertible stock</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upon listing</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9"/>
              </w:rPr>
              <w:t>(2,589,868)</w:t>
            </w: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81"/>
              </w:rPr>
              <w:t>(3,719)</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(7,437,325)</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(21,897)</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9"/>
              </w:rPr>
              <w:t>(5,000,002)</w:t>
            </w:r>
          </w:p>
        </w:tc>
        <w:tc>
          <w:tcPr>
            <w:tcW w:w="4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(20,624)</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(8,099,994)</w:t>
            </w:r>
          </w:p>
        </w:tc>
        <w:tc>
          <w:tcPr>
            <w:tcW w:w="5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(44,033)</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(2,111,109)</w:t>
            </w:r>
          </w:p>
        </w:tc>
        <w:tc>
          <w:tcPr>
            <w:tcW w:w="4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(12,995)</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89"/>
              </w:rPr>
              <w:t>(8,888,888)</w:t>
            </w:r>
          </w:p>
        </w:tc>
        <w:tc>
          <w:tcPr>
            <w:tcW w:w="4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(38,780)</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1"/>
              </w:rPr>
              <w:t>10,126,118</w:t>
            </w:r>
          </w:p>
        </w:tc>
        <w:tc>
          <w:tcPr>
            <w:tcW w:w="1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88"/>
              </w:rPr>
              <w:t>142,047</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142,048</w:t>
            </w:r>
          </w:p>
        </w:tc>
        <w:tc>
          <w:tcPr>
            <w:tcW w:w="0" w:type="dxa"/>
            <w:vAlign w:val="bottom"/>
          </w:tcPr>
          <w:p>
            <w:pPr>
              <w:spacing w:after="0"/>
              <w:rPr>
                <w:sz w:val="1"/>
                <w:szCs w:val="1"/>
                <w:color w:val="auto"/>
              </w:rPr>
            </w:pPr>
          </w:p>
        </w:tc>
      </w:tr>
      <w:tr>
        <w:trPr>
          <w:trHeight w:val="147"/>
        </w:trPr>
        <w:tc>
          <w:tcPr>
            <w:tcW w:w="800" w:type="dxa"/>
            <w:vAlign w:val="bottom"/>
          </w:tcPr>
          <w:p>
            <w:pPr>
              <w:ind w:left="4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common stock,</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Initial public</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offering net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 w:type="dxa"/>
            <w:vAlign w:val="bottom"/>
          </w:tcPr>
          <w:p>
            <w:pPr>
              <w:ind w:left="40"/>
              <w:spacing w:after="0"/>
              <w:rPr>
                <w:sz w:val="20"/>
                <w:szCs w:val="20"/>
                <w:color w:val="auto"/>
              </w:rPr>
            </w:pPr>
            <w:r>
              <w:rPr>
                <w:rFonts w:ascii="Arial" w:cs="Arial" w:eastAsia="Arial" w:hAnsi="Arial"/>
                <w:sz w:val="10"/>
                <w:szCs w:val="10"/>
                <w:color w:val="auto"/>
              </w:rPr>
              <w:t>issuance costs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5,289,633</w:t>
            </w:r>
          </w:p>
        </w:tc>
        <w:tc>
          <w:tcPr>
            <w:tcW w:w="16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64,501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64,501</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Conversion of</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w w:val="92"/>
              </w:rPr>
              <w:t>series D preferred</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stock warrants</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into warrants for</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the purchase 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common stock</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189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47"/>
        </w:trPr>
        <w:tc>
          <w:tcPr>
            <w:tcW w:w="800" w:type="dxa"/>
            <w:vAlign w:val="bottom"/>
          </w:tcPr>
          <w:p>
            <w:pPr>
              <w:ind w:left="40"/>
              <w:spacing w:after="0"/>
              <w:rPr>
                <w:sz w:val="20"/>
                <w:szCs w:val="20"/>
                <w:color w:val="auto"/>
              </w:rPr>
            </w:pPr>
            <w:r>
              <w:rPr>
                <w:rFonts w:ascii="Arial" w:cs="Arial" w:eastAsia="Arial" w:hAnsi="Arial"/>
                <w:sz w:val="10"/>
                <w:szCs w:val="10"/>
                <w:color w:val="auto"/>
              </w:rPr>
              <w:t>Conversion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w w:val="93"/>
              </w:rPr>
              <w:t>series E preferred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stock warrants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into warrants for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the purchase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 w:type="dxa"/>
            <w:vAlign w:val="bottom"/>
          </w:tcPr>
          <w:p>
            <w:pPr>
              <w:ind w:left="40"/>
              <w:spacing w:after="0"/>
              <w:rPr>
                <w:sz w:val="20"/>
                <w:szCs w:val="20"/>
                <w:color w:val="auto"/>
              </w:rPr>
            </w:pPr>
            <w:r>
              <w:rPr>
                <w:rFonts w:ascii="Arial" w:cs="Arial" w:eastAsia="Arial" w:hAnsi="Arial"/>
                <w:sz w:val="10"/>
                <w:szCs w:val="10"/>
                <w:color w:val="auto"/>
              </w:rPr>
              <w:t>common stock</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114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114</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Currency</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translation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rPr>
              <w:t>adjustment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416</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416</w:t>
            </w:r>
          </w:p>
        </w:tc>
        <w:tc>
          <w:tcPr>
            <w:tcW w:w="0" w:type="dxa"/>
            <w:vAlign w:val="bottom"/>
          </w:tcPr>
          <w:p>
            <w:pPr>
              <w:spacing w:after="0"/>
              <w:rPr>
                <w:sz w:val="1"/>
                <w:szCs w:val="1"/>
                <w:color w:val="auto"/>
              </w:rPr>
            </w:pPr>
          </w:p>
        </w:tc>
      </w:tr>
      <w:tr>
        <w:trPr>
          <w:trHeight w:val="147"/>
        </w:trPr>
        <w:tc>
          <w:tcPr>
            <w:tcW w:w="800" w:type="dxa"/>
            <w:vAlign w:val="bottom"/>
          </w:tcPr>
          <w:p>
            <w:pPr>
              <w:ind w:left="40"/>
              <w:spacing w:after="0"/>
              <w:rPr>
                <w:sz w:val="20"/>
                <w:szCs w:val="20"/>
                <w:color w:val="auto"/>
              </w:rPr>
            </w:pPr>
            <w:r>
              <w:rPr>
                <w:rFonts w:ascii="Arial" w:cs="Arial" w:eastAsia="Arial" w:hAnsi="Arial"/>
                <w:sz w:val="10"/>
                <w:szCs w:val="10"/>
                <w:color w:val="auto"/>
                <w:w w:val="99"/>
              </w:rPr>
              <w:t>Unrealized gains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tcPr>
          <w:p>
            <w:pPr>
              <w:ind w:left="40"/>
              <w:spacing w:after="0"/>
              <w:rPr>
                <w:sz w:val="20"/>
                <w:szCs w:val="20"/>
                <w:color w:val="auto"/>
              </w:rPr>
            </w:pPr>
            <w:r>
              <w:rPr>
                <w:rFonts w:ascii="Arial" w:cs="Arial" w:eastAsia="Arial" w:hAnsi="Arial"/>
                <w:sz w:val="10"/>
                <w:szCs w:val="10"/>
                <w:color w:val="auto"/>
              </w:rPr>
              <w:t>(losses) 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 w:type="dxa"/>
            <w:vAlign w:val="bottom"/>
          </w:tcPr>
          <w:p>
            <w:pPr>
              <w:ind w:left="40"/>
              <w:spacing w:after="0"/>
              <w:rPr>
                <w:sz w:val="20"/>
                <w:szCs w:val="20"/>
                <w:color w:val="auto"/>
              </w:rPr>
            </w:pPr>
            <w:r>
              <w:rPr>
                <w:rFonts w:ascii="Arial" w:cs="Arial" w:eastAsia="Arial" w:hAnsi="Arial"/>
                <w:sz w:val="10"/>
                <w:szCs w:val="10"/>
                <w:color w:val="auto"/>
              </w:rPr>
              <w:t>securities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270"/>
        </w:trPr>
        <w:tc>
          <w:tcPr>
            <w:tcW w:w="800" w:type="dxa"/>
            <w:vAlign w:val="bottom"/>
          </w:tcPr>
          <w:p>
            <w:pPr>
              <w:ind w:left="40"/>
              <w:spacing w:after="0"/>
              <w:rPr>
                <w:sz w:val="20"/>
                <w:szCs w:val="20"/>
                <w:color w:val="auto"/>
              </w:rPr>
            </w:pPr>
            <w:r>
              <w:rPr>
                <w:rFonts w:ascii="Arial" w:cs="Arial" w:eastAsia="Arial" w:hAnsi="Arial"/>
                <w:sz w:val="10"/>
                <w:szCs w:val="10"/>
                <w:color w:val="auto"/>
              </w:rPr>
              <w:t>Net loss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3"/>
                <w:szCs w:val="2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(22,127)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(22,127)</w:t>
            </w:r>
          </w:p>
        </w:tc>
        <w:tc>
          <w:tcPr>
            <w:tcW w:w="0" w:type="dxa"/>
            <w:vAlign w:val="bottom"/>
          </w:tcPr>
          <w:p>
            <w:pPr>
              <w:spacing w:after="0"/>
              <w:rPr>
                <w:sz w:val="1"/>
                <w:szCs w:val="1"/>
                <w:color w:val="auto"/>
              </w:rPr>
            </w:pPr>
          </w:p>
        </w:tc>
      </w:tr>
      <w:tr>
        <w:trPr>
          <w:trHeight w:val="26"/>
        </w:trPr>
        <w:tc>
          <w:tcPr>
            <w:tcW w:w="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Balance at</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September 30,</w:t>
            </w: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36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1"/>
              </w:rPr>
              <w:t>18,188,313</w:t>
            </w: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6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w w:val="88"/>
              </w:rPr>
              <w:t>207,489</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(137,493)</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(4,554)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65,443</w:t>
            </w:r>
          </w:p>
        </w:tc>
        <w:tc>
          <w:tcPr>
            <w:tcW w:w="0" w:type="dxa"/>
            <w:vAlign w:val="bottom"/>
          </w:tcPr>
          <w:p>
            <w:pPr>
              <w:spacing w:after="0"/>
              <w:rPr>
                <w:sz w:val="1"/>
                <w:szCs w:val="1"/>
                <w:color w:val="auto"/>
              </w:rPr>
            </w:pPr>
          </w:p>
        </w:tc>
      </w:tr>
      <w:tr>
        <w:trPr>
          <w:trHeight w:val="144"/>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2016 (unaudited)</w:t>
            </w: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2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40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(Unaudited, amounts in thousands)</w:t>
      </w:r>
    </w:p>
    <w:p>
      <w:pPr>
        <w:spacing w:after="0" w:line="365"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(22,127)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(18,325)</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9020" w:type="dxa"/>
            <w:vAlign w:val="bottom"/>
          </w:tcPr>
          <w:p>
            <w:pPr>
              <w:ind w:left="26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Change in fair value of redeemable convertible preferred stock warrant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Restricted cash and other deposits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Contingently repayable grant funding</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(14,823)</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Maturities of short term government obligations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9020" w:type="dxa"/>
            <w:vAlign w:val="bottom"/>
          </w:tcPr>
          <w:p>
            <w:pPr>
              <w:ind w:left="40"/>
              <w:spacing w:after="0"/>
              <w:rPr>
                <w:sz w:val="20"/>
                <w:szCs w:val="20"/>
                <w:color w:val="auto"/>
              </w:rPr>
            </w:pPr>
            <w:r>
              <w:rPr>
                <w:rFonts w:ascii="Arial" w:cs="Arial" w:eastAsia="Arial" w:hAnsi="Arial"/>
                <w:sz w:val="14"/>
                <w:szCs w:val="14"/>
                <w:color w:val="auto"/>
              </w:rPr>
              <w:t>Purchase of short term investments</w:t>
            </w:r>
          </w:p>
        </w:tc>
        <w:tc>
          <w:tcPr>
            <w:tcW w:w="28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(23,318)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74"/>
        </w:trPr>
        <w:tc>
          <w:tcPr>
            <w:tcW w:w="9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96"/>
        </w:trPr>
        <w:tc>
          <w:tcPr>
            <w:tcW w:w="90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(16,896)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Net proceeds from issuance of preferred stock and warrants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32,669</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Vesting of restricted stock</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Principle payments on loan payable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IPO costs paid</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Issuance of convertible note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7,092</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Initial Public Offering, net of underwriters' discounts and commissions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68,871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Exercise of stock options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64,867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38,220</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5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20,922</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32,337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37,514</w:t>
            </w:r>
          </w:p>
        </w:tc>
        <w:tc>
          <w:tcPr>
            <w:tcW w:w="0" w:type="dxa"/>
            <w:vAlign w:val="bottom"/>
          </w:tcPr>
          <w:p>
            <w:pPr>
              <w:spacing w:after="0"/>
              <w:rPr>
                <w:sz w:val="1"/>
                <w:szCs w:val="1"/>
                <w:color w:val="auto"/>
              </w:rPr>
            </w:pPr>
          </w:p>
        </w:tc>
      </w:tr>
      <w:tr>
        <w:trPr>
          <w:trHeight w:val="238"/>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Cash paid during the year for:</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38"/>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Supplemental noncash investing and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not yet paid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90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Reclassification of deferred IPO costs from non-current assets to additional paid-in capital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dividends and accretion of preferred stock to redemption value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4,959</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Conversion of bridge loans into Series E preferred</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7,288</w:t>
            </w:r>
          </w:p>
        </w:tc>
        <w:tc>
          <w:tcPr>
            <w:tcW w:w="0" w:type="dxa"/>
            <w:vAlign w:val="bottom"/>
          </w:tcPr>
          <w:p>
            <w:pPr>
              <w:spacing w:after="0"/>
              <w:rPr>
                <w:sz w:val="1"/>
                <w:szCs w:val="1"/>
                <w:color w:val="auto"/>
              </w:rPr>
            </w:pPr>
          </w:p>
        </w:tc>
      </w:tr>
      <w:tr>
        <w:trPr>
          <w:trHeight w:val="197"/>
        </w:trPr>
        <w:tc>
          <w:tcPr>
            <w:tcW w:w="90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Unrealized gain on marketable securities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902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r>
        <w:rPr>
          <w:rFonts w:ascii="Arial" w:cs="Arial" w:eastAsia="Arial" w:hAnsi="Arial"/>
          <w:sz w:val="18"/>
          <w:szCs w:val="18"/>
          <w:b w:val="1"/>
          <w:bCs w:val="1"/>
          <w:color w:val="auto"/>
        </w:rPr>
        <w:t>.</w:t>
      </w:r>
    </w:p>
    <w:p>
      <w:pPr>
        <w:sectPr>
          <w:pgSz w:w="11900" w:h="16838" w:orient="portrait"/>
          <w:cols w:equalWidth="0" w:num="1">
            <w:col w:w="11420"/>
          </w:cols>
          <w:pgMar w:left="240" w:top="125"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2015 and Unaudited Three and Nine Months Ended September 30, 2016 and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200" w:lineRule="exact"/>
        <w:rPr>
          <w:sz w:val="20"/>
          <w:szCs w:val="20"/>
          <w:color w:val="auto"/>
        </w:rPr>
      </w:pPr>
    </w:p>
    <w:p>
      <w:pPr>
        <w:spacing w:after="0" w:line="2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200" w:lineRule="exact"/>
        <w:rPr>
          <w:sz w:val="20"/>
          <w:szCs w:val="20"/>
          <w:color w:val="auto"/>
        </w:rPr>
      </w:pPr>
    </w:p>
    <w:p>
      <w:pPr>
        <w:spacing w:after="0" w:line="20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0" w:lineRule="exact"/>
        <w:rPr>
          <w:sz w:val="20"/>
          <w:szCs w:val="20"/>
          <w:color w:val="auto"/>
        </w:rPr>
      </w:pPr>
    </w:p>
    <w:p>
      <w:pPr>
        <w:spacing w:after="0" w:line="20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initial public offering (“IPO”), the Company’s Board of Directors and stockholders approved a one-for-3.9 reverse stock split of the Company’s common stock. The reverse stock split became effective June 7, 2016. All share and per share amounts in these condensed interim financial statements and notes thereto have been retroactively adjusted for all periods presented to give effect to this reverse stock split, including reclassifying an amount equal to the reduction in par value of common stock to additional paid-in capital.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On June 21, 2016 the Company completed an IPO of its common stock and issued and sold 5,000,000 shares of common stock at a price to the public of</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IPO on June 27, 2016, all outstanding shares of the Company’s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00" w:lineRule="exact"/>
        <w:rPr>
          <w:sz w:val="20"/>
          <w:szCs w:val="20"/>
          <w:color w:val="auto"/>
        </w:rPr>
      </w:pPr>
    </w:p>
    <w:p>
      <w:pPr>
        <w:spacing w:after="0" w:line="24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consolidated financial statements for the three and nine months ended September 30, 2016 and 2015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2015 included in the Company’s final prospectus filed under the Securities Act of 1933, as amended, with the SEC pursuant to Rule 424(b)(4) on June 23, 2016.</w:t>
      </w:r>
    </w:p>
    <w:p>
      <w:pPr>
        <w:spacing w:after="0" w:line="38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unaudited interim financial statements have been prepared on the same basis as the audited consolidated financial statements. In the opinion of management, the accompanying unaudited interim consolidated financial statements contain all</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adjustments that are necessary for a fair statement of the Company’s financial statements for the three and nine months ended September 30, 2016 and 2015 and its cash flows for the nine months ended September 30, 2016 and 2015. Such adjustments are of a normal and recurring nature. The results of operations for the three and nine months ended September 30, 2016 are not necessarily indicative of the results of operations that may be expected for the year ending December 31, 2016.</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0" w:lineRule="exact"/>
        <w:rPr>
          <w:sz w:val="20"/>
          <w:szCs w:val="20"/>
          <w:color w:val="auto"/>
        </w:rPr>
      </w:pPr>
    </w:p>
    <w:p>
      <w:pPr>
        <w:spacing w:after="0" w:line="2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incurred losses since inception and negative cash flows from operating activities. As of September 30, 2016 and December 31, 2015, the Company had an accumulated deficit of $137.5 million and $111.5 million, respectively. The Company’s cash and cash equivalents as of September 30, 2016 and December 31, 2015, includes $2.8 million and $3.0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00" w:lineRule="exact"/>
        <w:rPr>
          <w:sz w:val="20"/>
          <w:szCs w:val="20"/>
          <w:color w:val="auto"/>
        </w:rPr>
      </w:pPr>
    </w:p>
    <w:p>
      <w:pPr>
        <w:spacing w:after="0" w:line="24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September 30, 2016,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84" w:lineRule="exact"/>
        <w:rPr>
          <w:sz w:val="20"/>
          <w:szCs w:val="20"/>
          <w:color w:val="auto"/>
        </w:rPr>
      </w:pPr>
    </w:p>
    <w:p>
      <w:pPr>
        <w:ind w:right="7860" w:firstLine="8"/>
        <w:spacing w:after="0" w:line="75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00" w:lineRule="exact"/>
        <w:rPr>
          <w:sz w:val="20"/>
          <w:szCs w:val="20"/>
          <w:color w:val="auto"/>
        </w:rPr>
      </w:pPr>
    </w:p>
    <w:p>
      <w:pPr>
        <w:spacing w:after="0" w:line="24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functional currency of Selecta (RUS) is the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0" w:lineRule="exact"/>
        <w:rPr>
          <w:sz w:val="20"/>
          <w:szCs w:val="20"/>
          <w:color w:val="auto"/>
        </w:rPr>
      </w:pP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3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management made significant estimates and assumptions in determining the fair value of its common stock for those periods reported prior to the completion of the IPO. The Company utilized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included estimates and assumptions that require the Company’s judgment. These estimates and assumptions included a number of objective and subjective factors, including external market conditions affecting the biotechnology industry sector,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Short Term Investments</w:t>
      </w:r>
    </w:p>
    <w:p>
      <w:pPr>
        <w:spacing w:after="0" w:line="200" w:lineRule="exact"/>
        <w:rPr>
          <w:sz w:val="20"/>
          <w:szCs w:val="20"/>
          <w:color w:val="auto"/>
        </w:rPr>
      </w:pPr>
    </w:p>
    <w:p>
      <w:pPr>
        <w:spacing w:after="0" w:line="245" w:lineRule="exact"/>
        <w:rPr>
          <w:sz w:val="20"/>
          <w:szCs w:val="20"/>
          <w:color w:val="auto"/>
        </w:rPr>
      </w:pPr>
    </w:p>
    <w:p>
      <w:pPr>
        <w:ind w:right="260"/>
        <w:spacing w:after="0" w:line="220" w:lineRule="exact"/>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investments as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0" w:lineRule="exact"/>
        <w:rPr>
          <w:sz w:val="20"/>
          <w:szCs w:val="20"/>
          <w:color w:val="auto"/>
        </w:rPr>
      </w:pP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39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37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00" w:lineRule="exact"/>
        <w:rPr>
          <w:sz w:val="20"/>
          <w:szCs w:val="20"/>
          <w:color w:val="auto"/>
        </w:rPr>
      </w:pPr>
    </w:p>
    <w:p>
      <w:pPr>
        <w:spacing w:after="0" w:line="24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rubles and U.S. dollars. As of September 30, 2016, the Company maintained approximately $3.1 million in Russian bank accounts, of which $2.8 million was held in U.S. dollars.</w:t>
      </w:r>
    </w:p>
    <w:p>
      <w:pPr>
        <w:spacing w:after="0" w:line="381"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8"/>
          <w:szCs w:val="18"/>
          <w:color w:val="auto"/>
        </w:rPr>
        <w:t>‑</w:t>
      </w:r>
      <w:r>
        <w:rPr>
          <w:rFonts w:ascii="Arial" w:cs="Arial" w:eastAsia="Arial" w:hAnsi="Arial"/>
          <w:sz w:val="18"/>
          <w:szCs w:val="18"/>
          <w:color w:val="auto"/>
        </w:rPr>
        <w:t>known and supported non</w:t>
      </w:r>
      <w:r>
        <w:rPr>
          <w:rFonts w:ascii="MS PGothic" w:cs="MS PGothic" w:eastAsia="MS PGothic" w:hAnsi="MS PGothic"/>
          <w:sz w:val="18"/>
          <w:szCs w:val="18"/>
          <w:color w:val="auto"/>
        </w:rPr>
        <w:t>‑</w:t>
      </w:r>
      <w:r>
        <w:rPr>
          <w:rFonts w:ascii="Arial" w:cs="Arial" w:eastAsia="Arial" w:hAnsi="Arial"/>
          <w:sz w:val="18"/>
          <w:szCs w:val="18"/>
          <w:color w:val="auto"/>
        </w:rPr>
        <w:t>profit organizations. The Company did not have any off balance sheet arrangements as of September 30, 2016 and December 31, 2015.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0" w:lineRule="exact"/>
        <w:rPr>
          <w:sz w:val="20"/>
          <w:szCs w:val="20"/>
          <w:color w:val="auto"/>
        </w:rPr>
      </w:pPr>
    </w:p>
    <w:p>
      <w:pPr>
        <w:spacing w:after="0" w:line="245"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w:t>
      </w:r>
    </w:p>
    <w:p>
      <w:pPr>
        <w:spacing w:after="0" w:line="200" w:lineRule="exact"/>
        <w:rPr>
          <w:sz w:val="20"/>
          <w:szCs w:val="20"/>
          <w:color w:val="auto"/>
        </w:rPr>
      </w:pPr>
    </w:p>
    <w:p>
      <w:pPr>
        <w:spacing w:after="0" w:line="220" w:lineRule="exact"/>
        <w:rPr>
          <w:sz w:val="20"/>
          <w:szCs w:val="20"/>
          <w:color w:val="auto"/>
        </w:rPr>
      </w:pPr>
    </w:p>
    <w:p>
      <w:pPr>
        <w:ind w:right="28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387"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39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3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363"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nine months ended September 30, 2016 or the year ended December 31, 2015.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0" w:lineRule="exact"/>
        <w:rPr>
          <w:sz w:val="20"/>
          <w:szCs w:val="20"/>
          <w:color w:val="auto"/>
        </w:rPr>
      </w:pPr>
    </w:p>
    <w:p>
      <w:pPr>
        <w:spacing w:after="0" w:line="245" w:lineRule="exact"/>
        <w:rPr>
          <w:sz w:val="20"/>
          <w:szCs w:val="20"/>
          <w:color w:val="auto"/>
        </w:rPr>
      </w:pPr>
    </w:p>
    <w:p>
      <w:pPr>
        <w:ind w:right="140"/>
        <w:spacing w:after="0" w:line="219" w:lineRule="exact"/>
        <w:rPr>
          <w:sz w:val="20"/>
          <w:szCs w:val="20"/>
          <w:color w:val="auto"/>
        </w:rPr>
      </w:pPr>
      <w:r>
        <w:rPr>
          <w:rFonts w:ascii="Arial" w:cs="Arial" w:eastAsia="Arial" w:hAnsi="Arial"/>
          <w:sz w:val="17"/>
          <w:szCs w:val="17"/>
          <w:color w:val="auto"/>
        </w:rPr>
        <w:t>Property and equipment are recorded at cost and depreciated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1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00" w:lineRule="exact"/>
        <w:rPr>
          <w:sz w:val="20"/>
          <w:szCs w:val="20"/>
          <w:color w:val="auto"/>
        </w:rPr>
      </w:pPr>
    </w:p>
    <w:p>
      <w:pPr>
        <w:spacing w:after="0" w:line="245" w:lineRule="exact"/>
        <w:rPr>
          <w:sz w:val="20"/>
          <w:szCs w:val="20"/>
          <w:color w:val="auto"/>
        </w:rPr>
      </w:pPr>
    </w:p>
    <w:p>
      <w:pPr>
        <w:ind w:right="140"/>
        <w:spacing w:after="0" w:line="219" w:lineRule="exact"/>
        <w:rPr>
          <w:sz w:val="20"/>
          <w:szCs w:val="20"/>
          <w:color w:val="auto"/>
        </w:rPr>
      </w:pPr>
      <w:r>
        <w:rPr>
          <w:rFonts w:ascii="Arial" w:cs="Arial" w:eastAsia="Arial" w:hAnsi="Arial"/>
          <w:sz w:val="16"/>
          <w:szCs w:val="16"/>
          <w:color w:val="auto"/>
        </w:rPr>
        <w:t>The Company periodically evaluates its long</w:t>
      </w:r>
      <w:r>
        <w:rPr>
          <w:rFonts w:ascii="MS PGothic" w:cs="MS PGothic" w:eastAsia="MS PGothic" w:hAnsi="MS PGothic"/>
          <w:sz w:val="16"/>
          <w:szCs w:val="16"/>
          <w:color w:val="auto"/>
        </w:rPr>
        <w:t>‑</w:t>
      </w:r>
      <w:r>
        <w:rPr>
          <w:rFonts w:ascii="Arial" w:cs="Arial" w:eastAsia="Arial" w:hAnsi="Arial"/>
          <w:sz w:val="16"/>
          <w:szCs w:val="16"/>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through September 30, 2016.</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00" w:lineRule="exact"/>
        <w:rPr>
          <w:sz w:val="20"/>
          <w:szCs w:val="20"/>
          <w:color w:val="auto"/>
        </w:rPr>
      </w:pPr>
    </w:p>
    <w:p>
      <w:pPr>
        <w:spacing w:after="0" w:line="24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Company’s revenue is primarily generated from research grants in both the United States and Russia, and, prior to its termination, a license and research collaboration agreement with Sanofi. The Company recognizes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revenue is recognized when all of the following criteria are met:</w:t>
      </w:r>
    </w:p>
    <w:p>
      <w:pPr>
        <w:spacing w:after="0" w:line="397"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Collectability is reasonably assured.</w:t>
      </w:r>
    </w:p>
    <w:p>
      <w:pPr>
        <w:spacing w:after="0" w:line="200" w:lineRule="exact"/>
        <w:rPr>
          <w:sz w:val="20"/>
          <w:szCs w:val="20"/>
          <w:color w:val="auto"/>
        </w:rPr>
      </w:pPr>
    </w:p>
    <w:p>
      <w:pPr>
        <w:spacing w:after="0" w:line="24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00" w:lineRule="exact"/>
        <w:rPr>
          <w:sz w:val="20"/>
          <w:szCs w:val="20"/>
          <w:color w:val="auto"/>
        </w:rPr>
      </w:pPr>
    </w:p>
    <w:p>
      <w:pPr>
        <w:spacing w:after="0" w:line="2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When evaluating multiple element arrangements such as the agreement with Sanofi discussed in Note 13,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381"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The Company determines the estimated selling price for deliverables within each agreement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w:t>
      </w:r>
      <w:r>
        <w:rPr>
          <w:rFonts w:ascii="MS PGothic" w:cs="MS PGothic" w:eastAsia="MS PGothic" w:hAnsi="MS PGothic"/>
          <w:sz w:val="16"/>
          <w:szCs w:val="16"/>
          <w:color w:val="auto"/>
        </w:rPr>
        <w:t>‑</w:t>
      </w:r>
      <w:r>
        <w:rPr>
          <w:rFonts w:ascii="Arial" w:cs="Arial" w:eastAsia="Arial" w:hAnsi="Arial"/>
          <w:sz w:val="16"/>
          <w:szCs w:val="16"/>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200" w:lineRule="exact"/>
        <w:rPr>
          <w:sz w:val="20"/>
          <w:szCs w:val="20"/>
          <w:color w:val="auto"/>
        </w:rPr>
      </w:pPr>
    </w:p>
    <w:p>
      <w:pPr>
        <w:spacing w:after="0" w:line="219"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Company may receive upfront payments when licensing its intellectual property in conjunction with a research and development agreement. When management believes the license to its intellectual property does not have stand</w:t>
      </w:r>
      <w:r>
        <w:rPr>
          <w:rFonts w:ascii="MS PGothic" w:cs="MS PGothic" w:eastAsia="MS PGothic" w:hAnsi="MS PGothic"/>
          <w:sz w:val="17"/>
          <w:szCs w:val="17"/>
          <w:color w:val="auto"/>
        </w:rPr>
        <w:t>‑</w:t>
      </w:r>
      <w:r>
        <w:rPr>
          <w:rFonts w:ascii="Arial" w:cs="Arial" w:eastAsia="Arial" w:hAnsi="Arial"/>
          <w:sz w:val="17"/>
          <w:szCs w:val="17"/>
          <w:color w:val="auto"/>
        </w:rPr>
        <w:t>alone value from the other deliverables to be provided in the arrangement, the Company generally recognizes revenue attributed to the license over the Company’s contractual or estimated performance period. When management believes the license to its intellectual property has stand</w:t>
      </w:r>
      <w:r>
        <w:rPr>
          <w:rFonts w:ascii="MS PGothic" w:cs="MS PGothic" w:eastAsia="MS PGothic" w:hAnsi="MS PGothic"/>
          <w:sz w:val="17"/>
          <w:szCs w:val="17"/>
          <w:color w:val="auto"/>
        </w:rPr>
        <w:t>‑</w:t>
      </w:r>
      <w:r>
        <w:rPr>
          <w:rFonts w:ascii="Arial" w:cs="Arial" w:eastAsia="Arial" w:hAnsi="Arial"/>
          <w:sz w:val="17"/>
          <w:szCs w:val="17"/>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00" w:lineRule="exact"/>
        <w:rPr>
          <w:sz w:val="20"/>
          <w:szCs w:val="20"/>
          <w:color w:val="auto"/>
        </w:rPr>
      </w:pPr>
    </w:p>
    <w:p>
      <w:pPr>
        <w:spacing w:after="0" w:line="245"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color w:val="auto"/>
        </w:rPr>
        <w:t>Grant revenue is generally recognized as the related research and development work is performed. Grant arrangements frequently include payment milestones which the Company has judged to be non</w:t>
      </w:r>
      <w:r>
        <w:rPr>
          <w:rFonts w:ascii="MS PGothic" w:cs="MS PGothic" w:eastAsia="MS PGothic" w:hAnsi="MS PGothic"/>
          <w:sz w:val="16"/>
          <w:szCs w:val="16"/>
          <w:color w:val="auto"/>
        </w:rPr>
        <w:t>‑</w:t>
      </w:r>
      <w:r>
        <w:rPr>
          <w:rFonts w:ascii="Arial" w:cs="Arial" w:eastAsia="Arial" w:hAnsi="Arial"/>
          <w:sz w:val="16"/>
          <w:szCs w:val="16"/>
          <w:color w:val="auto"/>
        </w:rPr>
        <w:t>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Amounts received prior to satisfying the above revenue recognition criteria are recorded as deferred revenue in the accompanying consolidated balance sheets.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00" w:lineRule="exact"/>
        <w:rPr>
          <w:sz w:val="20"/>
          <w:szCs w:val="20"/>
          <w:color w:val="auto"/>
        </w:rPr>
      </w:pPr>
    </w:p>
    <w:p>
      <w:pPr>
        <w:spacing w:after="0" w:line="245"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00" w:lineRule="exact"/>
        <w:rPr>
          <w:sz w:val="20"/>
          <w:szCs w:val="20"/>
          <w:color w:val="auto"/>
        </w:rPr>
      </w:pPr>
    </w:p>
    <w:p>
      <w:pPr>
        <w:spacing w:after="0" w:line="24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jc w:val="both"/>
        <w:ind w:right="80"/>
        <w:spacing w:after="0" w:line="221" w:lineRule="exact"/>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be realized.</w:t>
      </w:r>
    </w:p>
    <w:p>
      <w:pPr>
        <w:spacing w:after="0" w:line="200" w:lineRule="exact"/>
        <w:rPr>
          <w:sz w:val="20"/>
          <w:szCs w:val="20"/>
          <w:color w:val="auto"/>
        </w:rPr>
      </w:pPr>
    </w:p>
    <w:p>
      <w:pPr>
        <w:spacing w:after="0" w:line="218"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200" w:lineRule="exact"/>
        <w:rPr>
          <w:sz w:val="20"/>
          <w:szCs w:val="20"/>
          <w:color w:val="auto"/>
        </w:rPr>
      </w:pPr>
    </w:p>
    <w:p>
      <w:pPr>
        <w:spacing w:after="0" w:line="245"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The Company has issued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w:t>
      </w:r>
      <w:r>
        <w:rPr>
          <w:rFonts w:ascii="MS PGothic" w:cs="MS PGothic" w:eastAsia="MS PGothic" w:hAnsi="MS PGothic"/>
          <w:sz w:val="17"/>
          <w:szCs w:val="17"/>
          <w:color w:val="auto"/>
        </w:rPr>
        <w:t>‑</w:t>
      </w:r>
      <w:r>
        <w:rPr>
          <w:rFonts w:ascii="Arial" w:cs="Arial" w:eastAsia="Arial" w:hAnsi="Arial"/>
          <w:sz w:val="17"/>
          <w:szCs w:val="17"/>
          <w:color w:val="auto"/>
        </w:rPr>
        <w:t>measured. These warrants are valued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(“Black</w:t>
      </w:r>
      <w:r>
        <w:rPr>
          <w:rFonts w:ascii="MS PGothic" w:cs="MS PGothic" w:eastAsia="MS PGothic" w:hAnsi="MS PGothic"/>
          <w:sz w:val="17"/>
          <w:szCs w:val="17"/>
          <w:color w:val="auto"/>
        </w:rPr>
        <w:t>‑</w:t>
      </w:r>
      <w:r>
        <w:rPr>
          <w:rFonts w:ascii="Arial" w:cs="Arial" w:eastAsia="Arial" w:hAnsi="Arial"/>
          <w:sz w:val="17"/>
          <w:szCs w:val="17"/>
          <w:color w:val="auto"/>
        </w:rPr>
        <w:t>Scholes”).</w:t>
      </w:r>
    </w:p>
    <w:p>
      <w:pPr>
        <w:spacing w:after="0" w:line="200" w:lineRule="exact"/>
        <w:rPr>
          <w:sz w:val="20"/>
          <w:szCs w:val="20"/>
          <w:color w:val="auto"/>
        </w:rPr>
      </w:pPr>
    </w:p>
    <w:p>
      <w:pPr>
        <w:spacing w:after="0" w:line="21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connection with the automatic conversion of the Company’s convertible preferred stock, which occurred upon the closing of the IPO on June 27, 2016, the preferred stock warrants became warrants to purchase common stock. The Company performed the final mark to market adjustment on the preferred stock warrant using the fair value of the underlying common shares of $14.00 per share on June 27, 2016 and recorded the change in fair value in other income (expense), net in the consolidated statement of operations and comprehensive loss. The preferred stock warrant liability was then reclassified to additional paid-in-capital as the preferred stock warrants became warrants to purchase common stock.</w:t>
      </w:r>
    </w:p>
    <w:p>
      <w:pPr>
        <w:spacing w:after="0" w:line="3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00" w:lineRule="exact"/>
        <w:rPr>
          <w:sz w:val="20"/>
          <w:szCs w:val="20"/>
          <w:color w:val="auto"/>
        </w:rPr>
      </w:pPr>
    </w:p>
    <w:p>
      <w:pPr>
        <w:spacing w:after="0" w:line="245" w:lineRule="exact"/>
        <w:rPr>
          <w:sz w:val="20"/>
          <w:szCs w:val="20"/>
          <w:color w:val="auto"/>
        </w:rPr>
      </w:pPr>
    </w:p>
    <w:p>
      <w:pPr>
        <w:ind w:right="80"/>
        <w:spacing w:after="0" w:line="219" w:lineRule="exact"/>
        <w:rPr>
          <w:sz w:val="20"/>
          <w:szCs w:val="20"/>
          <w:color w:val="auto"/>
        </w:rPr>
      </w:pPr>
      <w:r>
        <w:rPr>
          <w:rFonts w:ascii="Arial" w:cs="Arial" w:eastAsia="Arial" w:hAnsi="Arial"/>
          <w:sz w:val="17"/>
          <w:szCs w:val="17"/>
          <w:color w:val="auto"/>
        </w:rPr>
        <w:t>The Company accounts for all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granted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employees using a fair value method.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employees is measured at the grant date fair value of stock option grants and is recognized over the requisite service period of the awards, usually the vesting period,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net of estimated forfeitures.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non</w:t>
      </w:r>
      <w:r>
        <w:rPr>
          <w:rFonts w:ascii="MS PGothic" w:cs="MS PGothic" w:eastAsia="MS PGothic" w:hAnsi="MS PGothic"/>
          <w:sz w:val="17"/>
          <w:szCs w:val="17"/>
          <w:color w:val="auto"/>
        </w:rPr>
        <w:t>‑</w:t>
      </w:r>
      <w:r>
        <w:rPr>
          <w:rFonts w:ascii="Arial" w:cs="Arial" w:eastAsia="Arial" w:hAnsi="Arial"/>
          <w:sz w:val="17"/>
          <w:szCs w:val="17"/>
          <w:color w:val="auto"/>
        </w:rPr>
        <w:t>employees are subject to revaluation over their vesting terms. The Company reduces recorded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recognized in the financial statements is based on awards that are ultimately expected to vest.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0" w:lineRule="exact"/>
        <w:rPr>
          <w:sz w:val="20"/>
          <w:szCs w:val="20"/>
          <w:color w:val="auto"/>
        </w:rPr>
      </w:pPr>
    </w:p>
    <w:p>
      <w:pPr>
        <w:spacing w:after="0" w:line="245" w:lineRule="exact"/>
        <w:rPr>
          <w:sz w:val="20"/>
          <w:szCs w:val="20"/>
          <w:color w:val="auto"/>
        </w:rPr>
      </w:pPr>
    </w:p>
    <w:p>
      <w:pPr>
        <w:ind w:right="320"/>
        <w:spacing w:after="0" w:line="220" w:lineRule="exact"/>
        <w:rPr>
          <w:sz w:val="20"/>
          <w:szCs w:val="20"/>
          <w:color w:val="auto"/>
        </w:rPr>
      </w:pPr>
      <w:r>
        <w:rPr>
          <w:rFonts w:ascii="Arial" w:cs="Arial" w:eastAsia="Arial" w:hAnsi="Arial"/>
          <w:sz w:val="16"/>
          <w:szCs w:val="16"/>
          <w:color w:val="auto"/>
        </w:rPr>
        <w:t>Comprehensive loss is defined as the change in the equity of a business entity during a period from transactions and other events and circumstances from non</w:t>
      </w:r>
      <w:r>
        <w:rPr>
          <w:rFonts w:ascii="MS PGothic" w:cs="MS PGothic" w:eastAsia="MS PGothic" w:hAnsi="MS PGothic"/>
          <w:sz w:val="16"/>
          <w:szCs w:val="16"/>
          <w:color w:val="auto"/>
        </w:rPr>
        <w:t>‑</w:t>
      </w:r>
      <w:r>
        <w:rPr>
          <w:rFonts w:ascii="Arial" w:cs="Arial" w:eastAsia="Arial" w:hAnsi="Arial"/>
          <w:sz w:val="16"/>
          <w:szCs w:val="16"/>
          <w:color w:val="auto"/>
        </w:rPr>
        <w:t>owner sources. It includes all changes in equity during a period except those resulting from investments by owners and distributions to owners. Comprehensive loss consists of both: (i) all components of net loss and (ii) all components of comprehensive loss other than net loss, referred to as other comprehensive loss. For all periods presented, other comprehensive loss is comprised solely of foreign currency translation adjustments.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0" w:lineRule="exact"/>
        <w:rPr>
          <w:sz w:val="20"/>
          <w:szCs w:val="20"/>
          <w:color w:val="auto"/>
        </w:rPr>
      </w:pPr>
    </w:p>
    <w:p>
      <w:pPr>
        <w:spacing w:after="0" w:line="245"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7"/>
          <w:szCs w:val="17"/>
          <w:color w:val="auto"/>
        </w:rPr>
        <w:t>‑</w:t>
      </w:r>
      <w:r>
        <w:rPr>
          <w:rFonts w:ascii="Arial" w:cs="Arial" w:eastAsia="Arial" w:hAnsi="Arial"/>
          <w:sz w:val="17"/>
          <w:szCs w:val="17"/>
          <w:color w:val="auto"/>
        </w:rPr>
        <w:t>dilutive and basic and diluted loss per share have been the same.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00" w:lineRule="exact"/>
        <w:rPr>
          <w:sz w:val="20"/>
          <w:szCs w:val="20"/>
          <w:color w:val="auto"/>
        </w:rPr>
      </w:pPr>
    </w:p>
    <w:p>
      <w:pPr>
        <w:spacing w:after="0" w:line="245" w:lineRule="exact"/>
        <w:rPr>
          <w:sz w:val="20"/>
          <w:szCs w:val="20"/>
          <w:color w:val="auto"/>
        </w:rPr>
      </w:pPr>
    </w:p>
    <w:p>
      <w:pPr>
        <w:ind w:right="40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00" w:lineRule="exact"/>
        <w:rPr>
          <w:sz w:val="20"/>
          <w:szCs w:val="20"/>
          <w:color w:val="auto"/>
        </w:rPr>
      </w:pPr>
    </w:p>
    <w:p>
      <w:pPr>
        <w:spacing w:after="0" w:line="2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September 30, 2016 and December 31, 2015, the Company was not a party to any litigation that could have a material adverse effect on the Company’s business, financial position, results of operations or cash flows.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spacing w:after="0" w:line="245" w:lineRule="exact"/>
        <w:rPr>
          <w:sz w:val="20"/>
          <w:szCs w:val="20"/>
          <w:color w:val="auto"/>
        </w:rPr>
      </w:pPr>
    </w:p>
    <w:p>
      <w:pPr>
        <w:ind w:right="100"/>
        <w:spacing w:after="0" w:line="218" w:lineRule="exact"/>
        <w:rPr>
          <w:sz w:val="20"/>
          <w:szCs w:val="20"/>
          <w:color w:val="auto"/>
        </w:rPr>
      </w:pPr>
      <w:r>
        <w:rPr>
          <w:rFonts w:ascii="Arial" w:cs="Arial" w:eastAsia="Arial" w:hAnsi="Arial"/>
          <w:sz w:val="16"/>
          <w:szCs w:val="16"/>
          <w:color w:val="auto"/>
        </w:rPr>
        <w:t>In May 2014, the FASB issued ASU No. 2014</w:t>
      </w:r>
      <w:r>
        <w:rPr>
          <w:rFonts w:ascii="MS PGothic" w:cs="MS PGothic" w:eastAsia="MS PGothic" w:hAnsi="MS PGothic"/>
          <w:sz w:val="16"/>
          <w:szCs w:val="16"/>
          <w:color w:val="auto"/>
        </w:rPr>
        <w:t>‑</w:t>
      </w:r>
      <w:r>
        <w:rPr>
          <w:rFonts w:ascii="Arial" w:cs="Arial" w:eastAsia="Arial" w:hAnsi="Arial"/>
          <w:sz w:val="16"/>
          <w:szCs w:val="16"/>
          <w:color w:val="auto"/>
        </w:rPr>
        <w:t xml:space="preserve">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w:t>
      </w:r>
      <w:r>
        <w:rPr>
          <w:rFonts w:ascii="MS PGothic" w:cs="MS PGothic" w:eastAsia="MS PGothic" w:hAnsi="MS PGothic"/>
          <w:sz w:val="16"/>
          <w:szCs w:val="16"/>
          <w:color w:val="auto"/>
        </w:rPr>
        <w:t>‑</w:t>
      </w:r>
      <w:r>
        <w:rPr>
          <w:rFonts w:ascii="Arial" w:cs="Arial" w:eastAsia="Arial" w:hAnsi="Arial"/>
          <w:sz w:val="16"/>
          <w:szCs w:val="16"/>
          <w:color w:val="auto"/>
        </w:rPr>
        <w:t>9”), which amends the guidance for revenue recognition to replace numerous industry</w:t>
      </w:r>
      <w:r>
        <w:rPr>
          <w:rFonts w:ascii="MS PGothic" w:cs="MS PGothic" w:eastAsia="MS PGothic" w:hAnsi="MS PGothic"/>
          <w:sz w:val="16"/>
          <w:szCs w:val="16"/>
          <w:color w:val="auto"/>
        </w:rPr>
        <w:t>‑</w:t>
      </w:r>
      <w:r>
        <w:rPr>
          <w:rFonts w:ascii="Arial" w:cs="Arial" w:eastAsia="Arial" w:hAnsi="Arial"/>
          <w:sz w:val="16"/>
          <w:szCs w:val="16"/>
          <w:color w:val="auto"/>
        </w:rPr>
        <w:t xml:space="preserve"> specific requirements. ASU 2014</w:t>
      </w:r>
      <w:r>
        <w:rPr>
          <w:rFonts w:ascii="MS PGothic" w:cs="MS PGothic" w:eastAsia="MS PGothic" w:hAnsi="MS PGothic"/>
          <w:sz w:val="16"/>
          <w:szCs w:val="16"/>
          <w:color w:val="auto"/>
        </w:rPr>
        <w:t>‑</w:t>
      </w:r>
      <w:r>
        <w:rPr>
          <w:rFonts w:ascii="Arial" w:cs="Arial" w:eastAsia="Arial" w:hAnsi="Arial"/>
          <w:sz w:val="16"/>
          <w:szCs w:val="16"/>
          <w:color w:val="auto"/>
        </w:rPr>
        <w:t>9 implements a five</w:t>
      </w:r>
      <w:r>
        <w:rPr>
          <w:rFonts w:ascii="MS PGothic" w:cs="MS PGothic" w:eastAsia="MS PGothic" w:hAnsi="MS PGothic"/>
          <w:sz w:val="16"/>
          <w:szCs w:val="16"/>
          <w:color w:val="auto"/>
        </w:rPr>
        <w:t>‑</w:t>
      </w:r>
      <w:r>
        <w:rPr>
          <w:rFonts w:ascii="Arial" w:cs="Arial" w:eastAsia="Arial" w:hAnsi="Arial"/>
          <w:sz w:val="16"/>
          <w:szCs w:val="16"/>
          <w:color w:val="auto"/>
        </w:rPr>
        <w:t>step process for customer contract revenue recognition that focuses on transfer of control, as opposed to transfer of risk and rewards. ASU 2014</w:t>
      </w:r>
      <w:r>
        <w:rPr>
          <w:rFonts w:ascii="MS PGothic" w:cs="MS PGothic" w:eastAsia="MS PGothic" w:hAnsi="MS PGothic"/>
          <w:sz w:val="16"/>
          <w:szCs w:val="16"/>
          <w:color w:val="auto"/>
        </w:rPr>
        <w:t>‑</w:t>
      </w:r>
      <w:r>
        <w:rPr>
          <w:rFonts w:ascii="Arial" w:cs="Arial" w:eastAsia="Arial" w:hAnsi="Arial"/>
          <w:sz w:val="16"/>
          <w:szCs w:val="16"/>
          <w:color w:val="auto"/>
        </w:rPr>
        <w:t>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w:t>
      </w:r>
      <w:r>
        <w:rPr>
          <w:rFonts w:ascii="MS PGothic" w:cs="MS PGothic" w:eastAsia="MS PGothic" w:hAnsi="MS PGothic"/>
          <w:sz w:val="16"/>
          <w:szCs w:val="16"/>
          <w:color w:val="auto"/>
        </w:rPr>
        <w:t>‑</w:t>
      </w:r>
      <w:r>
        <w:rPr>
          <w:rFonts w:ascii="Arial" w:cs="Arial" w:eastAsia="Arial" w:hAnsi="Arial"/>
          <w:sz w:val="16"/>
          <w:szCs w:val="16"/>
          <w:color w:val="auto"/>
        </w:rPr>
        <w:t>9 are effective for reporting periods beginning after December 15, 2017. Early adoption is permitted, but not before December 15, 2016. Entities can transition to the standard either retrospectively or as a cumulative</w:t>
      </w:r>
      <w:r>
        <w:rPr>
          <w:rFonts w:ascii="MS PGothic" w:cs="MS PGothic" w:eastAsia="MS PGothic" w:hAnsi="MS PGothic"/>
          <w:sz w:val="16"/>
          <w:szCs w:val="16"/>
          <w:color w:val="auto"/>
        </w:rPr>
        <w:t>‑</w:t>
      </w:r>
      <w:r>
        <w:rPr>
          <w:rFonts w:ascii="Arial" w:cs="Arial" w:eastAsia="Arial" w:hAnsi="Arial"/>
          <w:sz w:val="16"/>
          <w:szCs w:val="16"/>
          <w:color w:val="auto"/>
        </w:rPr>
        <w:t>effect adjustment as of the date of adoption. The Company is currently in the process of evaluating the effect the adoption of ASU 2014</w:t>
      </w:r>
      <w:r>
        <w:rPr>
          <w:rFonts w:ascii="MS PGothic" w:cs="MS PGothic" w:eastAsia="MS PGothic" w:hAnsi="MS PGothic"/>
          <w:sz w:val="16"/>
          <w:szCs w:val="16"/>
          <w:color w:val="auto"/>
        </w:rPr>
        <w:t>‑</w:t>
      </w:r>
      <w:r>
        <w:rPr>
          <w:rFonts w:ascii="Arial" w:cs="Arial" w:eastAsia="Arial" w:hAnsi="Arial"/>
          <w:sz w:val="16"/>
          <w:szCs w:val="16"/>
          <w:color w:val="auto"/>
        </w:rPr>
        <w:t>9 may have on its financial statements.</w:t>
      </w:r>
    </w:p>
    <w:p>
      <w:pPr>
        <w:spacing w:after="0" w:line="200" w:lineRule="exact"/>
        <w:rPr>
          <w:sz w:val="20"/>
          <w:szCs w:val="20"/>
          <w:color w:val="auto"/>
        </w:rPr>
      </w:pPr>
    </w:p>
    <w:p>
      <w:pPr>
        <w:spacing w:after="0" w:line="219"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In August 2014, the FASB issued ASU 2014-15, Presentation of Financial Statements—Going Concern. ASU 2014-15 requires management of all entities to evaluate whether there are conditions and events that raise substantial doubt about the entity’s ability to continue as a going concern within one year after the financial statements are issued, and to make certain disclosures if it concludes that substantial doubt exists or when its plans alleviate substantial doubt about the entity’s ability to continue as a going concern. ASU 2014-15 is effective for the Company for annual reporting periods beginning in 2016 and for interim reporting periods starting in the first quarter of 2017. The Company is currently evaluating the impact that the standard will have on the financial statements, and has not yet determined what effect, if any, the impact of adoption will be.</w:t>
      </w:r>
    </w:p>
    <w:p>
      <w:pPr>
        <w:spacing w:after="0" w:line="395"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In February 2016, FASB issued ASU No.2016</w:t>
      </w:r>
      <w:r>
        <w:rPr>
          <w:rFonts w:ascii="MS PGothic" w:cs="MS PGothic" w:eastAsia="MS PGothic" w:hAnsi="MS PGothic"/>
          <w:sz w:val="17"/>
          <w:szCs w:val="17"/>
          <w:color w:val="auto"/>
        </w:rPr>
        <w:t>‑</w:t>
      </w:r>
      <w:r>
        <w:rPr>
          <w:rFonts w:ascii="Arial" w:cs="Arial" w:eastAsia="Arial" w:hAnsi="Arial"/>
          <w:sz w:val="17"/>
          <w:szCs w:val="17"/>
          <w:color w:val="auto"/>
        </w:rPr>
        <w:t xml:space="preserve">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w:t>
      </w:r>
      <w:r>
        <w:rPr>
          <w:rFonts w:ascii="MS PGothic" w:cs="MS PGothic" w:eastAsia="MS PGothic" w:hAnsi="MS PGothic"/>
          <w:sz w:val="17"/>
          <w:szCs w:val="17"/>
          <w:color w:val="auto"/>
        </w:rPr>
        <w:t>‑</w:t>
      </w:r>
      <w:r>
        <w:rPr>
          <w:rFonts w:ascii="Arial" w:cs="Arial" w:eastAsia="Arial" w:hAnsi="Arial"/>
          <w:sz w:val="17"/>
          <w:szCs w:val="17"/>
          <w:color w:val="auto"/>
        </w:rPr>
        <w:t>2”). ASU 2016</w:t>
      </w:r>
      <w:r>
        <w:rPr>
          <w:rFonts w:ascii="MS PGothic" w:cs="MS PGothic" w:eastAsia="MS PGothic" w:hAnsi="MS PGothic"/>
          <w:sz w:val="17"/>
          <w:szCs w:val="17"/>
          <w:color w:val="auto"/>
        </w:rPr>
        <w:t>‑</w:t>
      </w:r>
      <w:r>
        <w:rPr>
          <w:rFonts w:ascii="Arial" w:cs="Arial" w:eastAsia="Arial" w:hAnsi="Arial"/>
          <w:sz w:val="17"/>
          <w:szCs w:val="17"/>
          <w:color w:val="auto"/>
        </w:rPr>
        <w:t>2 requires a lessee to separate the lease components from the non</w:t>
      </w:r>
      <w:r>
        <w:rPr>
          <w:rFonts w:ascii="MS PGothic" w:cs="MS PGothic" w:eastAsia="MS PGothic" w:hAnsi="MS PGothic"/>
          <w:sz w:val="17"/>
          <w:szCs w:val="17"/>
          <w:color w:val="auto"/>
        </w:rPr>
        <w:t>‑</w:t>
      </w:r>
      <w:r>
        <w:rPr>
          <w:rFonts w:ascii="Arial" w:cs="Arial" w:eastAsia="Arial" w:hAnsi="Arial"/>
          <w:sz w:val="17"/>
          <w:szCs w:val="17"/>
          <w:color w:val="auto"/>
        </w:rPr>
        <w:t>lease components in a contract and recognize in the statement of financial position a liability to make lease payments (the lease liability) and a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 representing its right to use the underlying asset for the lease term. It also aligns lease accounting for lessors with the revenue recognition guidance in ASU 2014</w:t>
      </w:r>
      <w:r>
        <w:rPr>
          <w:rFonts w:ascii="MS PGothic" w:cs="MS PGothic" w:eastAsia="MS PGothic" w:hAnsi="MS PGothic"/>
          <w:sz w:val="17"/>
          <w:szCs w:val="17"/>
          <w:color w:val="auto"/>
        </w:rPr>
        <w:t>‑</w:t>
      </w:r>
      <w:r>
        <w:rPr>
          <w:rFonts w:ascii="Arial" w:cs="Arial" w:eastAsia="Arial" w:hAnsi="Arial"/>
          <w:sz w:val="17"/>
          <w:szCs w:val="17"/>
          <w:color w:val="auto"/>
        </w:rPr>
        <w:t>9. ASU 2016</w:t>
      </w:r>
      <w:r>
        <w:rPr>
          <w:rFonts w:ascii="MS PGothic" w:cs="MS PGothic" w:eastAsia="MS PGothic" w:hAnsi="MS PGothic"/>
          <w:sz w:val="17"/>
          <w:szCs w:val="17"/>
          <w:color w:val="auto"/>
        </w:rPr>
        <w:t>‑</w:t>
      </w:r>
      <w:r>
        <w:rPr>
          <w:rFonts w:ascii="Arial" w:cs="Arial" w:eastAsia="Arial" w:hAnsi="Arial"/>
          <w:sz w:val="17"/>
          <w:szCs w:val="17"/>
          <w:color w:val="auto"/>
        </w:rPr>
        <w:t>2 is effective for fiscal years beginning after December 15, 2018, including interim periods within those fiscal years, and is to be applied at the beginning of the earliest period presented using a modified retrospective approach.</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125" w:right="2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March 2016, the FASB issued ASU 2016-9, Improvements to Employee Share-Based Payment Accounting,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The Company is evaluating the impact that the adoption of this standard will have on its financial statements.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2016 and December 31, 2015, the Company’s available-for-sale marketable securities consisted of debt securities issued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corporate debt securities.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available-for-sale marketable securities by major type of security as of September 30, 2016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5"/>
          </w:tcPr>
          <w:p>
            <w:pPr>
              <w:ind w:left="78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4"/>
                <w:szCs w:val="14"/>
                <w:color w:val="auto"/>
              </w:rPr>
            </w:pPr>
          </w:p>
        </w:tc>
        <w:tc>
          <w:tcPr>
            <w:tcW w:w="1180" w:type="dxa"/>
            <w:vAlign w:val="bottom"/>
          </w:tcPr>
          <w:p>
            <w:pPr>
              <w:jc w:val="right"/>
              <w:ind w:right="117"/>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Gains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19,804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19,804</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5"/>
          </w:tcPr>
          <w:p>
            <w:pPr>
              <w:ind w:left="8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4"/>
                <w:szCs w:val="14"/>
                <w:color w:val="auto"/>
              </w:rPr>
            </w:pPr>
          </w:p>
        </w:tc>
        <w:tc>
          <w:tcPr>
            <w:tcW w:w="1180" w:type="dxa"/>
            <w:vAlign w:val="bottom"/>
          </w:tcPr>
          <w:p>
            <w:pPr>
              <w:jc w:val="right"/>
              <w:ind w:right="117"/>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3,516</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3,516</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All available-for-sale marketable securities are classified in the Company’s Condensed Balance Sheets as Short term deposits and investments.</w:t>
      </w:r>
    </w:p>
    <w:p>
      <w:pPr>
        <w:spacing w:after="0" w:line="200" w:lineRule="exact"/>
        <w:rPr>
          <w:sz w:val="20"/>
          <w:szCs w:val="20"/>
          <w:color w:val="auto"/>
        </w:rPr>
      </w:pPr>
    </w:p>
    <w:p>
      <w:pPr>
        <w:spacing w:after="0" w:line="25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classifies its marketable debt securities based on their contractual maturity dates. As of September 30, 2016, the Company’s marketable debt securities mature at various dates through August 2017. The fair values and amortized cost of marketable debt securities by contractual maturity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22"/>
                <w:szCs w:val="22"/>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w w:val="94"/>
              </w:rPr>
              <w:t>Amortized Cost</w:t>
            </w:r>
          </w:p>
        </w:tc>
      </w:tr>
      <w:tr>
        <w:trPr>
          <w:trHeight w:val="243"/>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19,788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19,804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3,516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3,516</w:t>
            </w:r>
          </w:p>
        </w:tc>
      </w:tr>
      <w:tr>
        <w:trPr>
          <w:trHeight w:val="27"/>
        </w:trPr>
        <w:tc>
          <w:tcPr>
            <w:tcW w:w="5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2016 the Company held a total of 11 out of 13 positions that were in an unrealized loss position, none of which had been in an unrealized loss position for 12 months or greater. Based on the Company’s review of these securities, the Company believes that the cost basis of its available-for-sale marketable securities is recoverable and that, therefore, it had no other-than-temporary impairments on these securities as of September 30, 2016. The Company does not intend to sell these debt securities and the Company believes it is not more likely than not that it will be required to sell these securities before the recovery of their amortized cost basis, which may be maturity.</w:t>
      </w:r>
    </w:p>
    <w:p>
      <w:pPr>
        <w:sectPr>
          <w:pgSz w:w="11900" w:h="16838" w:orient="portrait"/>
          <w:cols w:equalWidth="0" w:num="1">
            <w:col w:w="11420"/>
          </w:cols>
          <w:pgMar w:left="240" w:top="125" w:right="2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149"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00" w:lineRule="exact"/>
        <w:rPr>
          <w:sz w:val="20"/>
          <w:szCs w:val="20"/>
          <w:color w:val="auto"/>
        </w:rPr>
      </w:pPr>
    </w:p>
    <w:p>
      <w:pPr>
        <w:spacing w:after="0" w:line="245"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Because the Company has reported a net loss attributable to common stockholders for all periods presented, basic and diluted net loss per share attributable to common stockholders are the same for those periods.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217"/>
        </w:trPr>
        <w:tc>
          <w:tcPr>
            <w:tcW w:w="6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53"/>
        </w:trPr>
        <w:tc>
          <w:tcPr>
            <w:tcW w:w="65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11"/>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8"/>
                <w:szCs w:val="18"/>
                <w:color w:val="auto"/>
              </w:rPr>
            </w:pPr>
          </w:p>
        </w:tc>
      </w:tr>
      <w:tr>
        <w:trPr>
          <w:trHeight w:val="39"/>
        </w:trPr>
        <w:tc>
          <w:tcPr>
            <w:tcW w:w="6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(7,728)</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(5,725)</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(22,127)</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(18,325)</w:t>
            </w:r>
          </w:p>
        </w:tc>
      </w:tr>
      <w:tr>
        <w:trPr>
          <w:trHeight w:val="47"/>
        </w:trPr>
        <w:tc>
          <w:tcPr>
            <w:tcW w:w="6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accretion on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(4,959)</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loss attributable to common stockholders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(7,561)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(26,693)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(23,284)</w:t>
            </w:r>
          </w:p>
        </w:tc>
      </w:tr>
      <w:tr>
        <w:trPr>
          <w:trHeight w:val="40"/>
        </w:trPr>
        <w:tc>
          <w:tcPr>
            <w:tcW w:w="65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6520" w:type="dxa"/>
            <w:vAlign w:val="bottom"/>
          </w:tcPr>
          <w:p>
            <w:pPr>
              <w:ind w:left="40"/>
              <w:spacing w:after="0" w:line="184" w:lineRule="exact"/>
              <w:rPr>
                <w:sz w:val="20"/>
                <w:szCs w:val="20"/>
                <w:color w:val="auto"/>
              </w:rPr>
            </w:pPr>
            <w:r>
              <w:rPr>
                <w:rFonts w:ascii="Arial" w:cs="Arial" w:eastAsia="Arial" w:hAnsi="Arial"/>
                <w:sz w:val="16"/>
                <w:szCs w:val="16"/>
                <w:color w:val="auto"/>
              </w:rPr>
              <w:t>Weighted</w:t>
            </w:r>
            <w:r>
              <w:rPr>
                <w:rFonts w:ascii="MS PGothic" w:cs="MS PGothic" w:eastAsia="MS PGothic" w:hAnsi="MS PGothic"/>
                <w:sz w:val="16"/>
                <w:szCs w:val="16"/>
                <w:color w:val="auto"/>
              </w:rPr>
              <w:t>‑</w:t>
            </w:r>
            <w:r>
              <w:rPr>
                <w:rFonts w:ascii="Arial" w:cs="Arial" w:eastAsia="Arial" w:hAnsi="Arial"/>
                <w:sz w:val="16"/>
                <w:szCs w:val="16"/>
                <w:color w:val="auto"/>
              </w:rPr>
              <w:t>average common shares outstanding—basic and diluted</w:t>
            </w:r>
          </w:p>
        </w:tc>
        <w:tc>
          <w:tcPr>
            <w:tcW w:w="200" w:type="dxa"/>
            <w:vAlign w:val="bottom"/>
          </w:tcPr>
          <w:p>
            <w:pPr>
              <w:spacing w:after="0"/>
              <w:rPr>
                <w:sz w:val="19"/>
                <w:szCs w:val="19"/>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18,108,014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w w:val="92"/>
              </w:rPr>
              <w:t>2,159,658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7,881,625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2,144,731</w:t>
            </w:r>
          </w:p>
        </w:tc>
      </w:tr>
      <w:tr>
        <w:trPr>
          <w:trHeight w:val="47"/>
        </w:trPr>
        <w:tc>
          <w:tcPr>
            <w:tcW w:w="65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7"/>
        </w:trPr>
        <w:tc>
          <w:tcPr>
            <w:tcW w:w="65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Potential common shares issuable upon conversion of warrants to purchase common stock and stock options that are excluded from the computation of diluted weighted average shares outstanding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8920" w:type="dxa"/>
            <w:vAlign w:val="bottom"/>
          </w:tcPr>
          <w:p>
            <w:pPr>
              <w:spacing w:after="0"/>
              <w:rPr>
                <w:sz w:val="22"/>
                <w:szCs w:val="22"/>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196"/>
        </w:trPr>
        <w:tc>
          <w:tcPr>
            <w:tcW w:w="8920" w:type="dxa"/>
            <w:vAlign w:val="bottom"/>
          </w:tcPr>
          <w:p>
            <w:pPr>
              <w:spacing w:after="0"/>
              <w:rPr>
                <w:sz w:val="17"/>
                <w:szCs w:val="17"/>
                <w:color w:val="auto"/>
              </w:rPr>
            </w:pPr>
          </w:p>
        </w:tc>
        <w:tc>
          <w:tcPr>
            <w:tcW w:w="164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7"/>
                <w:szCs w:val="17"/>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64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6,872,090</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Stock options to purchase common stock</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2,140,295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w w:val="92"/>
              </w:rPr>
              <w:t>2,165,187</w:t>
            </w:r>
          </w:p>
        </w:tc>
      </w:tr>
      <w:tr>
        <w:trPr>
          <w:trHeight w:val="27"/>
        </w:trPr>
        <w:tc>
          <w:tcPr>
            <w:tcW w:w="8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warrants to purchase common stock</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113,795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17,888</w:t>
            </w:r>
          </w:p>
        </w:tc>
      </w:tr>
      <w:tr>
        <w:trPr>
          <w:trHeight w:val="271"/>
        </w:trPr>
        <w:tc>
          <w:tcPr>
            <w:tcW w:w="8920" w:type="dxa"/>
            <w:vAlign w:val="bottom"/>
          </w:tcPr>
          <w:p>
            <w:pPr>
              <w:ind w:left="2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2,254,090</w:t>
            </w:r>
          </w:p>
        </w:tc>
        <w:tc>
          <w:tcPr>
            <w:tcW w:w="12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2"/>
              </w:rPr>
              <w:t>9,055,165</w:t>
            </w: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September 30, 2016 and December 31, 2015 and indicate the level within the fair value hierarchy where each measurement is classified. Below is a summary of assets measured at fair value on a recurring basis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included in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r>
      <w:tr>
        <w:trPr>
          <w:trHeight w:val="243"/>
        </w:trPr>
        <w:tc>
          <w:tcPr>
            <w:tcW w:w="6960" w:type="dxa"/>
            <w:vAlign w:val="bottom"/>
          </w:tcPr>
          <w:p>
            <w:pPr>
              <w:ind w:left="80"/>
              <w:spacing w:after="0"/>
              <w:rPr>
                <w:sz w:val="20"/>
                <w:szCs w:val="20"/>
                <w:color w:val="auto"/>
              </w:rPr>
            </w:pPr>
            <w:r>
              <w:rPr>
                <w:rFonts w:ascii="Arial" w:cs="Arial" w:eastAsia="Arial" w:hAnsi="Arial"/>
                <w:sz w:val="18"/>
                <w:szCs w:val="18"/>
                <w:color w:val="auto"/>
              </w:rPr>
              <w:t>Tri-party repurchase agreements, included in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32,000</w:t>
            </w:r>
          </w:p>
        </w:tc>
      </w:tr>
      <w:tr>
        <w:trPr>
          <w:trHeight w:val="27"/>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obligations, included in investments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Corporate bonds, included in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19,788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19,788</w:t>
            </w:r>
          </w:p>
        </w:tc>
      </w:tr>
      <w:tr>
        <w:trPr>
          <w:trHeight w:val="27"/>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Warrants to purchase redeemable convertible preferred stock, included in other long term</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obligations, included in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14,486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US Treasury obligations, included in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3,516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 included in investments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40"/>
              <w:spacing w:after="0"/>
              <w:rPr>
                <w:sz w:val="20"/>
                <w:szCs w:val="20"/>
                <w:color w:val="auto"/>
              </w:rPr>
            </w:pPr>
            <w:r>
              <w:rPr>
                <w:rFonts w:ascii="Arial" w:cs="Arial" w:eastAsia="Arial" w:hAnsi="Arial"/>
                <w:sz w:val="18"/>
                <w:szCs w:val="18"/>
                <w:color w:val="auto"/>
                <w:w w:val="97"/>
              </w:rPr>
              <w:t>Warrants to purchase redeemable convertible preferred stock, included in other long term</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290</w:t>
            </w: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September 30, 2016, all cash and cash equivalent investments where held in money market funds and tri-party repurchase agreements which are collateralized by government securities for an amount not less than 102% of their value. All reverse repurchase agreements are tri-party and have maturities of three months or less at the time of investment.</w:t>
      </w:r>
    </w:p>
    <w:p>
      <w:pPr>
        <w:spacing w:after="0" w:line="3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December 31, 2015 the average maturity for the US Treasury obligations was 106 days. Fair value of US Treasury obligations approximates amortized value.</w:t>
      </w:r>
    </w:p>
    <w:p>
      <w:pPr>
        <w:spacing w:after="0" w:line="306" w:lineRule="exact"/>
        <w:rPr>
          <w:sz w:val="20"/>
          <w:szCs w:val="20"/>
          <w:color w:val="auto"/>
        </w:rPr>
      </w:pPr>
    </w:p>
    <w:p>
      <w:pPr>
        <w:ind w:right="100"/>
        <w:spacing w:after="0" w:line="221" w:lineRule="exact"/>
        <w:rPr>
          <w:sz w:val="20"/>
          <w:szCs w:val="20"/>
          <w:color w:val="auto"/>
        </w:rPr>
      </w:pPr>
      <w:r>
        <w:rPr>
          <w:rFonts w:ascii="Arial" w:cs="Arial" w:eastAsia="Arial" w:hAnsi="Arial"/>
          <w:sz w:val="18"/>
          <w:szCs w:val="18"/>
          <w:color w:val="auto"/>
        </w:rPr>
        <w:t>In July 2015, the Company issued warrants for the purchase of 80,813 shares of common stock at an exercise price of $17.55 in connection with the issuance of convertible notes. These warrants expire three years from date of issuance. Common stock warrants are classified as permanent equity which are initially recorded at issuance date fair value and are not subsequently re</w:t>
      </w:r>
      <w:r>
        <w:rPr>
          <w:rFonts w:ascii="MS PGothic" w:cs="MS PGothic" w:eastAsia="MS PGothic" w:hAnsi="MS PGothic"/>
          <w:sz w:val="18"/>
          <w:szCs w:val="18"/>
          <w:color w:val="auto"/>
        </w:rPr>
        <w:t>‑</w:t>
      </w:r>
      <w:r>
        <w:rPr>
          <w:rFonts w:ascii="Arial" w:cs="Arial" w:eastAsia="Arial" w:hAnsi="Arial"/>
          <w:sz w:val="18"/>
          <w:szCs w:val="18"/>
          <w:color w:val="auto"/>
        </w:rPr>
        <w:t>measured.</w:t>
      </w:r>
    </w:p>
    <w:p>
      <w:pPr>
        <w:spacing w:after="0" w:line="3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August 2013 and July 2014, in conjunction with the execution of a loan and security agreement (Note 9), the Company issued warrants to the lenders for the purchase of up to 66,668 shares of the Company’s Series D redeemable convertible preferred stock (“Series D Preferred”) at an exercise price of $4.50 per share. At the IPO, these warrants were converted to warrants to purchase 17,888 of common stock at an exercise price of $16.77. These warrants are classified as permanent equity in the accompanying consolidated balance sheets and will expire four years from the date of issuance.</w:t>
      </w:r>
    </w:p>
    <w:p>
      <w:pPr>
        <w:spacing w:after="0" w:line="3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2015, in conjunction with the execution of a loan and security agreement (Note 9), the Company issued warrants to the lenders for the purchase of up to 37,978 shares of the Company’s Series E Preferred at an exercise price of $4.50 per share. At the IPO, these warrants were converted to warrants to purchase 15,094 of common stock at an exercise price of $11.32. These warrants are classified as permanent equity in the accompanying consolidated balance sheets and will expire four years from the date of issuance.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equipment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409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P,P&amp;E—Construction in process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2,029</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Depreciation expense for the three months ended September 30, 2016 and 2015 was $0.1 million and $0.2 million respectively and for the nine months ended September 30, 2016 and 2015, was $0.5 million and $0.9 million,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Legal</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portion of deferred rent and lease incentive</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405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patent fees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external research and development costs</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1,649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3,378</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0" w:lineRule="exact"/>
        <w:rPr>
          <w:sz w:val="20"/>
          <w:szCs w:val="20"/>
          <w:color w:val="auto"/>
        </w:rPr>
      </w:pPr>
    </w:p>
    <w:p>
      <w:pPr>
        <w:spacing w:after="0" w:line="245"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The Company has a non</w:t>
      </w:r>
      <w:r>
        <w:rPr>
          <w:rFonts w:ascii="MS PGothic" w:cs="MS PGothic" w:eastAsia="MS PGothic" w:hAnsi="MS PGothic"/>
          <w:sz w:val="18"/>
          <w:szCs w:val="18"/>
          <w:color w:val="auto"/>
        </w:rPr>
        <w:t>‑</w:t>
      </w:r>
      <w:r>
        <w:rPr>
          <w:rFonts w:ascii="Arial" w:cs="Arial" w:eastAsia="Arial" w:hAnsi="Arial"/>
          <w:sz w:val="18"/>
          <w:szCs w:val="18"/>
          <w:color w:val="auto"/>
        </w:rPr>
        <w:t>cancellable operating lease for its laboratory and office space located in Watertown, Massachusetts.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0" w:lineRule="exact"/>
        <w:rPr>
          <w:sz w:val="20"/>
          <w:szCs w:val="20"/>
          <w:color w:val="auto"/>
        </w:rPr>
      </w:pP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3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w:t>
      </w:r>
    </w:p>
    <w:p>
      <w:pPr>
        <w:spacing w:after="0" w:line="34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subleased a portion of its facility to a tenant with a term that would have expired in March 2017. In March 2015, the tenant terminated the sublease and vacated the space. The sublease amount from the tenant was recorded as a reduction of lease expense and totaled $0.2 million for the year ended December 31, 2015.</w:t>
      </w:r>
    </w:p>
    <w:p>
      <w:pPr>
        <w:spacing w:after="0" w:line="3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August 2016, the Company signed an amendment to the operating lease, which extends the lease term of the Company's laboratory and office space through March 31, 2020. The lease agreement includes a rent escalation clause, and accordingly, rent expense is being recognized on a straight-line basis over the lease term.</w:t>
      </w:r>
    </w:p>
    <w:p>
      <w:pPr>
        <w:spacing w:after="0" w:line="3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Deferred rent and lease incentive liability totaled $0.2 million and $0.5 million as of September 30, 2016 and December 31, 2015, respectively. Included in that amount, the current portion of deferred rent and lease incentive liability is classified as accrued expenses and was less than $0.1 million at September 30, 2016 and $0.4 million at December 31, 2015, respectively.</w:t>
      </w:r>
    </w:p>
    <w:p>
      <w:pPr>
        <w:spacing w:after="0" w:line="39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00" w:lineRule="exact"/>
        <w:rPr>
          <w:sz w:val="20"/>
          <w:szCs w:val="20"/>
          <w:color w:val="auto"/>
        </w:rPr>
      </w:pPr>
    </w:p>
    <w:p>
      <w:pPr>
        <w:spacing w:after="0" w:line="24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Rent expense, net of sublease payments, for the three months ended September 30, 2016 and September 30, 2015 was $0.4 million, and $0.5 million respectively, and for the nine months ended September 30, 2016 and September 30, 2015 was $1.1 million and $1.0 million, respectively.</w:t>
      </w:r>
    </w:p>
    <w:p>
      <w:pPr>
        <w:sectPr>
          <w:pgSz w:w="11900" w:h="16838" w:orient="portrait"/>
          <w:cols w:equalWidth="0" w:num="1">
            <w:col w:w="11420"/>
          </w:cols>
          <w:pgMar w:left="240" w:top="125" w:right="239" w:bottom="6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636"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2015, the future minimum lease payments under the lease, as amended by the lease amendment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1,291</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5,376</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As permitted under Delaware law, the Company indemnifies its directors for certain events or occurrences while the director is, or was, serving at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request in such capacity. The term of the indemnification is for the director’s lifetime. The maximum potential amount of future payments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could be required to make is unlimited; however, the Company has directors’ insurance coverage that limits its exposure and enables it to recover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any future amounts paid. The Company also has indemnification arrangements under certain of its facility leases that require it to indemnify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 against certain costs, expenses, fines, suits, claims, demands, liabilities, and actions directly resulting from certain breaches, violations,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performance of any covenant or condition of the Company’s lease. The term of the indemnification is for the term of the related lease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potential amount of future payments the Company could be required to make under these indemnification agreements is unlimited. To date,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not experienced any material losses related to any of its indemnification obligations, and no material claims with respect thereto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The Company does not expect significant claims related to these indemnification obligations and, accordingly, has concluded that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these obligations is negligible, and no related reserves have been established.</w:t>
      </w:r>
    </w:p>
    <w:p>
      <w:pPr>
        <w:spacing w:after="0" w:line="200" w:lineRule="exact"/>
        <w:rPr>
          <w:sz w:val="20"/>
          <w:szCs w:val="20"/>
          <w:color w:val="auto"/>
        </w:rPr>
      </w:pPr>
    </w:p>
    <w:p>
      <w:pPr>
        <w:spacing w:after="0" w:line="2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200" w:lineRule="exact"/>
        <w:rPr>
          <w:sz w:val="20"/>
          <w:szCs w:val="20"/>
          <w:color w:val="auto"/>
        </w:rPr>
      </w:pPr>
    </w:p>
    <w:p>
      <w:pPr>
        <w:spacing w:after="0" w:line="399" w:lineRule="exact"/>
        <w:rPr>
          <w:sz w:val="20"/>
          <w:szCs w:val="20"/>
          <w:color w:val="auto"/>
        </w:rPr>
      </w:pPr>
    </w:p>
    <w:p>
      <w:pPr>
        <w:ind w:right="10480" w:firstLine="8"/>
        <w:spacing w:after="0" w:line="566"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Debt Term Loans</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 As of September 30, 2016 and December 31, 2015, the outstanding principal balance under the Term Loans was $12.0 million.</w:t>
      </w:r>
    </w:p>
    <w:p>
      <w:pPr>
        <w:spacing w:after="0" w:line="179"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According to ASC 470</w:t>
      </w:r>
      <w:r>
        <w:rPr>
          <w:rFonts w:ascii="MS PGothic" w:cs="MS PGothic" w:eastAsia="MS PGothic" w:hAnsi="MS PGothic"/>
          <w:sz w:val="16"/>
          <w:szCs w:val="16"/>
          <w:color w:val="auto"/>
        </w:rPr>
        <w:t>‑</w:t>
      </w:r>
      <w:r>
        <w:rPr>
          <w:rFonts w:ascii="Arial" w:cs="Arial" w:eastAsia="Arial" w:hAnsi="Arial"/>
          <w:sz w:val="16"/>
          <w:szCs w:val="16"/>
          <w:color w:val="auto"/>
        </w:rPr>
        <w:t>50</w:t>
      </w:r>
      <w:r>
        <w:rPr>
          <w:rFonts w:ascii="MS PGothic" w:cs="MS PGothic" w:eastAsia="MS PGothic" w:hAnsi="MS PGothic"/>
          <w:sz w:val="16"/>
          <w:szCs w:val="16"/>
          <w:color w:val="auto"/>
        </w:rPr>
        <w:t>‑</w:t>
      </w:r>
      <w:r>
        <w:rPr>
          <w:rFonts w:ascii="Arial" w:cs="Arial" w:eastAsia="Arial" w:hAnsi="Arial"/>
          <w:sz w:val="16"/>
          <w:szCs w:val="16"/>
          <w:color w:val="auto"/>
        </w:rPr>
        <w:t>40, the refinancing and modification of the prior debt in a non</w:t>
      </w:r>
      <w:r>
        <w:rPr>
          <w:rFonts w:ascii="MS PGothic" w:cs="MS PGothic" w:eastAsia="MS PGothic" w:hAnsi="MS PGothic"/>
          <w:sz w:val="16"/>
          <w:szCs w:val="16"/>
          <w:color w:val="auto"/>
        </w:rPr>
        <w:t>‑</w:t>
      </w:r>
      <w:r>
        <w:rPr>
          <w:rFonts w:ascii="Arial" w:cs="Arial" w:eastAsia="Arial" w:hAnsi="Arial"/>
          <w:sz w:val="16"/>
          <w:szCs w:val="16"/>
          <w:color w:val="auto"/>
        </w:rPr>
        <w:t>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8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17,888 shares of the Company’s common stock. Additionally, with the refinancing of the Term Loans at December 31, 2015, the Company granted the lenders 37,978 shares of the Company’s Series E Preferred which also was converted at the IPO to warrants to purchase 15,094 shares of Company’s common stock. The initial grant date fair value of the warrants of $0.1 million, $0.1 million and $0.1 million for each issuance respectively, was recorded as a loan discount.</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Term Loan discounts are amortized as additional interest expense over the term of the loans. Interest expense for the three months ended September 30, 2016 and 2015 totaled $0.3 million and $0.1 million, respectively, and for the nine months ended September 30, 2016 and 2015 was $0.9 million and $0.5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on the Term Loans as of December 31, 2015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08342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972</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5,318</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Total debt payments</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14,988</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Less: Debt discount and deferred charges</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issuance costs</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Loans payable, net of current portion</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11,855</w:t>
            </w:r>
          </w:p>
        </w:tc>
      </w:tr>
      <w:tr>
        <w:trPr>
          <w:trHeight w:val="34"/>
        </w:trPr>
        <w:tc>
          <w:tcPr>
            <w:tcW w:w="9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10). The difference between the carrying value and accrued interest of the convertible notes that were converted and the combined fair value of the Series E Preferred shares and common stock warrants issued were negligible. There was no interest expense related to the convertible notes for the three and nine months ended September 30, 2016, and $0.1 million and $0.3 million for the three and nine months ended September 30, 2015, respectively.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Preferred Stock with a $0.0001 par value to investors for cash or as settlement for outstanding debt under convertible notes.</w:t>
      </w:r>
    </w:p>
    <w:p>
      <w:pPr>
        <w:spacing w:after="0" w:line="23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had issued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April 2014 and August 2014, the Company issued an additional 3,211,105 shares of Series D Preferred at $4.50 per share for total net proceeds of</w:t>
      </w:r>
    </w:p>
    <w:p>
      <w:pPr>
        <w:spacing w:after="0" w:line="35" w:lineRule="exact"/>
        <w:rPr>
          <w:sz w:val="20"/>
          <w:szCs w:val="20"/>
          <w:color w:val="auto"/>
        </w:rPr>
      </w:pPr>
    </w:p>
    <w:p>
      <w:pPr>
        <w:ind w:right="60"/>
        <w:spacing w:after="0" w:line="216" w:lineRule="exact"/>
        <w:rPr>
          <w:sz w:val="20"/>
          <w:szCs w:val="20"/>
          <w:color w:val="auto"/>
        </w:rPr>
      </w:pPr>
      <w:r>
        <w:rPr>
          <w:rFonts w:ascii="Arial" w:cs="Arial" w:eastAsia="Arial" w:hAnsi="Arial"/>
          <w:sz w:val="16"/>
          <w:szCs w:val="16"/>
          <w:color w:val="auto"/>
        </w:rPr>
        <w:t>$14,349,239. In July 2014, the Company issued 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$16.77 per share, the elimination of a time</w:t>
      </w:r>
      <w:r>
        <w:rPr>
          <w:rFonts w:ascii="MS PGothic" w:cs="MS PGothic" w:eastAsia="MS PGothic" w:hAnsi="MS PGothic"/>
          <w:sz w:val="16"/>
          <w:szCs w:val="16"/>
          <w:color w:val="auto"/>
        </w:rPr>
        <w:t>‑</w:t>
      </w:r>
      <w:r>
        <w:rPr>
          <w:rFonts w:ascii="Arial" w:cs="Arial" w:eastAsia="Arial" w:hAnsi="Arial"/>
          <w:sz w:val="16"/>
          <w:szCs w:val="16"/>
          <w:color w:val="auto"/>
        </w:rPr>
        <w:t>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 and the amended Series SRN Preferred shares were recorded at their fair value of $4.50 per share. The difference of $1.5 million was recorded as additional paid in capital.</w:t>
      </w:r>
    </w:p>
    <w:p>
      <w:pPr>
        <w:spacing w:after="0" w:line="20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9).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outstanding shares of the Company’s convertible preferred stock automatically converted into 10,126,118 shares of the Company’s common stock upon the closing of the IPO on June 27,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voting, dividend and liquidation rights of the common stockholders are subject to and qualified by the rights, powers and preferences of the Preferred Stock. The common stock has the following characteristics: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September 30, 2016, no dividends have been declared or paid on common stock.</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w:t>
      </w:r>
      <w:r>
        <w:rPr>
          <w:rFonts w:ascii="MS PGothic" w:cs="MS PGothic" w:eastAsia="MS PGothic" w:hAnsi="MS PGothic"/>
          <w:sz w:val="18"/>
          <w:szCs w:val="18"/>
          <w:color w:val="auto"/>
        </w:rPr>
        <w:t>‑</w:t>
      </w:r>
      <w:r>
        <w:rPr>
          <w:rFonts w:ascii="Arial" w:cs="Arial" w:eastAsia="Arial" w:hAnsi="Arial"/>
          <w:sz w:val="18"/>
          <w:szCs w:val="18"/>
          <w:color w:val="auto"/>
        </w:rPr>
        <w:t>converted basis.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12"/>
              <w:spacing w:after="0"/>
              <w:rPr>
                <w:sz w:val="20"/>
                <w:szCs w:val="20"/>
                <w:color w:val="auto"/>
              </w:rPr>
            </w:pPr>
            <w:r>
              <w:rPr>
                <w:rFonts w:ascii="Arial" w:cs="Arial" w:eastAsia="Arial" w:hAnsi="Arial"/>
                <w:sz w:val="14"/>
                <w:szCs w:val="14"/>
                <w:b w:val="1"/>
                <w:bCs w:val="1"/>
                <w:color w:val="auto"/>
              </w:rPr>
              <w:t>Periods ending</w:t>
            </w:r>
          </w:p>
        </w:tc>
      </w:tr>
      <w:tr>
        <w:trPr>
          <w:trHeight w:val="264"/>
        </w:trPr>
        <w:tc>
          <w:tcPr>
            <w:tcW w:w="790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790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1700" w:type="dxa"/>
            <w:vAlign w:val="bottom"/>
          </w:tcPr>
          <w:p>
            <w:pPr>
              <w:spacing w:after="0"/>
              <w:rPr>
                <w:sz w:val="22"/>
                <w:szCs w:val="22"/>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of Series A Preferred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664,068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Conversion of Series B Preferred</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1,907,006</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of Series C Preferred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1,282,051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Conversion of Series D Preferred</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2,191,412</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of Series SRN Preferred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1,798,433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Conversion of Series E Preferred</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2,662,885</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warrants</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113,795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651,618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Shares available for future stock incentive awards</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783,494</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100,034</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outstanding common stock options</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2,140,295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1,569,379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3,037,584</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12,826,886</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The Company maintained the 2008 Stock Incentive Plan (the “2008 Plan”) for employees, consultants, advisors, and directors. The 2008 Plan provided for the granting of incentive and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and restricted stock awards as determined by the Board. As of September 30, 2016, a total of 2,213,412 shares of common stock are authorized for grants under the 2008 Plan with 10,163 shares available for future grant. All stock options granted under the 2008 Plan may be exercised into restricted stock subject to forfeiture provisions upon termination.</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The 2008 Plan provided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2008 Plan vest over periods as determined by the Board, which are generally four years and with terms that generally expire ten years from the grant date. The fair value of each option award was estimated on the grant date using Black</w:t>
      </w:r>
      <w:r>
        <w:rPr>
          <w:rFonts w:ascii="MS PGothic" w:cs="MS PGothic" w:eastAsia="MS PGothic" w:hAnsi="MS PGothic"/>
          <w:sz w:val="16"/>
          <w:szCs w:val="16"/>
          <w:color w:val="auto"/>
        </w:rPr>
        <w:t>‑</w:t>
      </w:r>
      <w:r>
        <w:rPr>
          <w:rFonts w:ascii="Arial" w:cs="Arial" w:eastAsia="Arial" w:hAnsi="Arial"/>
          <w:sz w:val="16"/>
          <w:szCs w:val="16"/>
          <w:color w:val="auto"/>
        </w:rPr>
        <w:t>Scholes. Expected volatilities were based on historical volatilities from guideline companies, since there was no active market for the Company’s common stock. The Company used the “simplified” method to estimate the expected life of options granted and are expected to be outstanding.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used is the rate for a U.S. Treasury zero coupon issue with a remaining life consistent with the options expected life on the grant date. The Company has not paid, and does not expect to pay, any cash dividends in the foreseeable future. Forfeitures were estimated at the time of grant and were adjusted, if necessary, in subsequent periods if actual forfeitures differed from those estimates. The Company had estimated a forfeitures rate of 10% based on historical attrition trends. The Company records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only on the awards that are expected to vest.</w:t>
      </w:r>
    </w:p>
    <w:p>
      <w:pPr>
        <w:spacing w:after="0" w:line="2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the S-1 registration date of May 24, 2016, the Company ceased granting awards under the 2008 Plan; however, awards issued under the 2008 Plan remain subject to the terms of the applicable 2008 Plan agreement.</w:t>
      </w:r>
    </w:p>
    <w:p>
      <w:pPr>
        <w:spacing w:after="0" w:line="170" w:lineRule="exact"/>
        <w:rPr>
          <w:sz w:val="20"/>
          <w:szCs w:val="20"/>
          <w:color w:val="auto"/>
        </w:rPr>
      </w:pPr>
    </w:p>
    <w:p>
      <w:pPr>
        <w:jc w:val="both"/>
        <w:ind w:right="60"/>
        <w:spacing w:after="0" w:line="221"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and restricted stock awards as determined by the Board. As of September 30, 2016, a total of 1,210,256 shares of common stock are authorized for grants under the 2016 Plan with 783,494 shares available for future grant.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2016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2016 Plan vest over periods as determined by the Board, which are generally four years and with terms that generally expire ten years from the grant date.</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7, 2016, the Company’s stockholders approved the 2016 Employee Stock Purchase Plan (the “ESPP”), which became effective June 21, 2016. A total of 173,076 shares of common stock were reserved for issuance under the ESPP. In addition, the number of shares of common stock that may be issued under the ESPP will automatically increase on the first day of each calendar year, beginning in 2017 and ending in and including 2026, by an amount equal to</w:t>
      </w:r>
    </w:p>
    <w:p>
      <w:pPr>
        <w:ind w:right="240" w:firstLine="8"/>
        <w:spacing w:after="0" w:line="261"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1% of the number of shares of the Company’s common stock outstanding on the last day of the applicable preceding calendar year and (ii) such smaller number of shares as is determined by the Company’s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for employee stock option grants issued for the nine month period ended September 30, 2016 and in 2015:</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4"/>
              </w:rPr>
              <w:t>Nine Months Ended</w:t>
            </w:r>
          </w:p>
        </w:tc>
      </w:tr>
      <w:tr>
        <w:trPr>
          <w:trHeight w:val="270"/>
        </w:trPr>
        <w:tc>
          <w:tcPr>
            <w:tcW w:w="8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23"/>
                <w:szCs w:val="23"/>
                <w:color w:val="auto"/>
              </w:rPr>
            </w:pPr>
          </w:p>
        </w:tc>
      </w:tr>
      <w:tr>
        <w:trPr>
          <w:trHeight w:val="276"/>
        </w:trPr>
        <w:tc>
          <w:tcPr>
            <w:tcW w:w="8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3"/>
              </w:rPr>
              <w:t>2015</w:t>
            </w: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260" w:type="dxa"/>
            <w:vAlign w:val="bottom"/>
          </w:tcPr>
          <w:p>
            <w:pPr>
              <w:spacing w:after="0"/>
              <w:rPr>
                <w:sz w:val="21"/>
                <w:szCs w:val="21"/>
                <w:color w:val="auto"/>
              </w:rPr>
            </w:pP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6.00</w:t>
            </w:r>
          </w:p>
        </w:tc>
      </w:tr>
      <w:tr>
        <w:trPr>
          <w:trHeight w:val="27"/>
        </w:trPr>
        <w:tc>
          <w:tcPr>
            <w:tcW w:w="8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84.60%</w:t>
            </w: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Weighted-average fair value of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1.41</w:t>
            </w:r>
          </w:p>
        </w:tc>
      </w:tr>
    </w:tbl>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resulting weighted average grant date fair value of stock options granted to employees during the nine months ended September 30, 2016 and year ended December 31, 2015 was $9.79 and $5.03, respectively. The aggregate intrinsic value of stock options exercised during the nine months ended September 30, 2016 and year ended December 31, 2015 was $0.1 million and $0.3 million, respectively.</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September 30, 2016 and December 31, 2015, total unrecognized compensation expense related to unvested employee stock options was $5.5 million and $2.3 million, respectively, which is expected to be recognized over a weighted average period of 3.2 years and 3.1 years, respectively.</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weighted average assumptions used for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are as follows:</w:t>
      </w:r>
    </w:p>
    <w:p>
      <w:pPr>
        <w:spacing w:after="0" w:line="379"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23495</wp:posOffset>
            </wp:positionV>
            <wp:extent cx="1440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r>
      <w:tr>
        <w:trPr>
          <w:trHeight w:val="250"/>
        </w:trPr>
        <w:tc>
          <w:tcPr>
            <w:tcW w:w="8920" w:type="dxa"/>
            <w:vAlign w:val="bottom"/>
            <w:tcBorders>
              <w:bottom w:val="single" w:sz="8" w:color="CCEEFF"/>
            </w:tcBorders>
            <w:shd w:val="clear" w:color="auto" w:fill="CCEEFF"/>
          </w:tcPr>
          <w:p>
            <w:pPr>
              <w:ind w:left="4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6.36</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right"/>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96.75%</w:t>
            </w:r>
          </w:p>
        </w:tc>
      </w:tr>
    </w:tbl>
    <w:p>
      <w:pPr>
        <w:spacing w:after="0" w:line="256" w:lineRule="exact"/>
        <w:rPr>
          <w:sz w:val="20"/>
          <w:szCs w:val="20"/>
          <w:color w:val="auto"/>
        </w:rPr>
      </w:pPr>
    </w:p>
    <w:p>
      <w:pPr>
        <w:ind w:right="320"/>
        <w:spacing w:after="0" w:line="221" w:lineRule="exact"/>
        <w:rPr>
          <w:sz w:val="20"/>
          <w:szCs w:val="20"/>
          <w:color w:val="auto"/>
        </w:rPr>
      </w:pPr>
      <w:r>
        <w:rPr>
          <w:rFonts w:ascii="Arial" w:cs="Arial" w:eastAsia="Arial" w:hAnsi="Arial"/>
          <w:sz w:val="18"/>
          <w:szCs w:val="18"/>
          <w:color w:val="auto"/>
        </w:rPr>
        <w:t>The unvested options held by non</w:t>
      </w:r>
      <w:r>
        <w:rPr>
          <w:rFonts w:ascii="MS PGothic" w:cs="MS PGothic" w:eastAsia="MS PGothic" w:hAnsi="MS PGothic"/>
          <w:sz w:val="18"/>
          <w:szCs w:val="18"/>
          <w:color w:val="auto"/>
        </w:rPr>
        <w:t>‑</w:t>
      </w:r>
      <w:r>
        <w:rPr>
          <w:rFonts w:ascii="Arial" w:cs="Arial" w:eastAsia="Arial" w:hAnsi="Arial"/>
          <w:sz w:val="18"/>
          <w:szCs w:val="18"/>
          <w:color w:val="auto"/>
        </w:rPr>
        <w:t>employees are revalued using the Company’s estimate of fair value on each vesting and reporting date through the remaining vesting period. Non</w:t>
      </w:r>
      <w:r>
        <w:rPr>
          <w:rFonts w:ascii="MS PGothic" w:cs="MS PGothic" w:eastAsia="MS PGothic" w:hAnsi="MS PGothic"/>
          <w:sz w:val="18"/>
          <w:szCs w:val="18"/>
          <w:color w:val="auto"/>
        </w:rPr>
        <w:t>‑</w:t>
      </w:r>
      <w:r>
        <w:rPr>
          <w:rFonts w:ascii="Arial" w:cs="Arial" w:eastAsia="Arial" w:hAnsi="Arial"/>
          <w:sz w:val="18"/>
          <w:szCs w:val="18"/>
          <w:color w:val="auto"/>
        </w:rPr>
        <w:t>employee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$0.2 million and $0.4 million was recorded during the nine months ended September 30, 2016 and for the year ended December 31, 2015, respectively.</w:t>
      </w:r>
    </w:p>
    <w:p>
      <w:pPr>
        <w:spacing w:after="0" w:line="202"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As of September 30, 2016 and December 31, 2015,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$1.0 million and $0.1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Plan and the 2016 Plan since December 31,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center"/>
              <w:ind w:right="28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23"/>
                <w:szCs w:val="23"/>
                <w:color w:val="auto"/>
              </w:rPr>
            </w:pPr>
          </w:p>
        </w:tc>
        <w:tc>
          <w:tcPr>
            <w:tcW w:w="1360" w:type="dxa"/>
            <w:vAlign w:val="bottom"/>
          </w:tcPr>
          <w:p>
            <w:pPr>
              <w:jc w:val="right"/>
              <w:ind w:right="395"/>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7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40" w:type="dxa"/>
            <w:vAlign w:val="bottom"/>
          </w:tcPr>
          <w:p>
            <w:pPr>
              <w:spacing w:after="0"/>
              <w:rPr>
                <w:sz w:val="23"/>
                <w:szCs w:val="23"/>
                <w:color w:val="auto"/>
              </w:rPr>
            </w:pPr>
          </w:p>
        </w:tc>
        <w:tc>
          <w:tcPr>
            <w:tcW w:w="1360" w:type="dxa"/>
            <w:vAlign w:val="bottom"/>
          </w:tcPr>
          <w:p>
            <w:pPr>
              <w:jc w:val="right"/>
              <w:ind w:right="275"/>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492"/>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24"/>
                <w:szCs w:val="24"/>
                <w:color w:val="auto"/>
              </w:rPr>
            </w:pPr>
          </w:p>
        </w:tc>
        <w:tc>
          <w:tcPr>
            <w:tcW w:w="1360" w:type="dxa"/>
            <w:vAlign w:val="bottom"/>
          </w:tcPr>
          <w:p>
            <w:pPr>
              <w:jc w:val="right"/>
              <w:ind w:right="275"/>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Employee</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1,247,160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3,130</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511,039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(21,088)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1,727,987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12,004</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at September 30, 2016</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805,229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8,493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and expected to vest at September 30, 2016</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1,315,411</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11,582</w:t>
            </w:r>
          </w:p>
        </w:tc>
      </w:tr>
      <w:tr>
        <w:trPr>
          <w:trHeight w:val="237"/>
        </w:trPr>
        <w:tc>
          <w:tcPr>
            <w:tcW w:w="4700" w:type="dxa"/>
            <w:vAlign w:val="bottom"/>
            <w:tcBorders>
              <w:bottom w:val="single" w:sz="8" w:color="CCEEFF"/>
            </w:tcBorders>
            <w:shd w:val="clear" w:color="auto" w:fill="CCEEFF"/>
          </w:tcPr>
          <w:p>
            <w:pPr>
              <w:ind w:left="40"/>
              <w:spacing w:after="0" w:line="207"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Employee</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322,220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1,288</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98,718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(5,085)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412,307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4,176</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at September 30, 2016</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325,519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at September 30, 2016</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412,097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4,176</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has a repurchase provision whereby the Company has the right to 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As of September 30, 2016 and December 31, 2015, the remaining liability was less than $0.1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Total fair value of restricted shares that vested during the nine month period ended September 30, 2016 was less than $0.1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award activity of the 2008 Plan and the 2016 Plan since December 31,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9"/>
              <w:spacing w:after="0" w:line="161" w:lineRule="exact"/>
              <w:rPr>
                <w:sz w:val="20"/>
                <w:szCs w:val="20"/>
                <w:color w:val="auto"/>
              </w:rPr>
            </w:pPr>
            <w:r>
              <w:rPr>
                <w:rFonts w:ascii="Arial" w:cs="Arial" w:eastAsia="Arial" w:hAnsi="Arial"/>
                <w:sz w:val="14"/>
                <w:szCs w:val="14"/>
                <w:b w:val="1"/>
                <w:bCs w:val="1"/>
                <w:color w:val="auto"/>
                <w:w w:val="92"/>
              </w:rPr>
              <w:t>Weighted</w:t>
            </w:r>
            <w:r>
              <w:rPr>
                <w:rFonts w:ascii="MS PGothic" w:cs="MS PGothic" w:eastAsia="MS PGothic" w:hAnsi="MS PGothic"/>
                <w:sz w:val="14"/>
                <w:szCs w:val="14"/>
                <w:b w:val="1"/>
                <w:bCs w:val="1"/>
                <w:color w:val="auto"/>
                <w:w w:val="92"/>
              </w:rPr>
              <w:t>‑</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276"/>
        </w:trPr>
        <w:tc>
          <w:tcPr>
            <w:tcW w:w="4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4"/>
                <w:szCs w:val="24"/>
                <w:color w:val="auto"/>
              </w:rPr>
            </w:pPr>
          </w:p>
        </w:tc>
        <w:tc>
          <w:tcPr>
            <w:tcW w:w="9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as of December 31, 2015</w:t>
            </w:r>
          </w:p>
        </w:tc>
        <w:tc>
          <w:tcPr>
            <w:tcW w:w="60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Issued</w:t>
            </w:r>
          </w:p>
        </w:tc>
        <w:tc>
          <w:tcPr>
            <w:tcW w:w="6080" w:type="dxa"/>
            <w:vAlign w:val="bottom"/>
            <w:gridSpan w:val="2"/>
          </w:tcPr>
          <w:p>
            <w:pPr>
              <w:jc w:val="right"/>
              <w:ind w:right="36"/>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9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Unvested as of September 30, 2016</w:t>
            </w:r>
          </w:p>
        </w:tc>
        <w:tc>
          <w:tcPr>
            <w:tcW w:w="49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920" w:type="dxa"/>
            <w:vAlign w:val="bottom"/>
            <w:vMerge w:val="restart"/>
          </w:tcPr>
          <w:p>
            <w:pPr>
              <w:jc w:val="right"/>
              <w:ind w:right="3130"/>
              <w:spacing w:after="0"/>
              <w:rPr>
                <w:sz w:val="20"/>
                <w:szCs w:val="20"/>
                <w:color w:val="auto"/>
              </w:rPr>
            </w:pPr>
            <w:r>
              <w:rPr>
                <w:rFonts w:ascii="Arial" w:cs="Arial" w:eastAsia="Arial" w:hAnsi="Arial"/>
                <w:sz w:val="18"/>
                <w:szCs w:val="18"/>
                <w:color w:val="auto"/>
              </w:rPr>
              <w:t>23</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September 30, 2016 and December 31, 2015, total unrecognized compensation expense related to restricted stock awards was less than $0.1 million, which the Company expects to recognize over a weighted average period of approximately 0.25 years and 1.0 years, respectively.</w:t>
      </w: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common stock in the following expense categories of its consolidated statements of operations and comprehensive loss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9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9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8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548</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1"/>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869</w:t>
            </w:r>
          </w:p>
        </w:tc>
      </w:tr>
    </w:tbl>
    <w:p>
      <w:pPr>
        <w:spacing w:after="0" w:line="225" w:lineRule="exact"/>
        <w:rPr>
          <w:sz w:val="20"/>
          <w:szCs w:val="20"/>
          <w:color w:val="auto"/>
        </w:rPr>
      </w:pPr>
    </w:p>
    <w:p>
      <w:pPr>
        <w:ind w:right="8920" w:firstLine="8"/>
        <w:spacing w:after="0" w:line="566"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Sanofi Collaboration Agreement</w:t>
      </w:r>
    </w:p>
    <w:p>
      <w:pPr>
        <w:spacing w:after="0" w:line="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November 27, 2012, the Company and Sanofi entered into a license and research collaboration agreement focused on the identification and development of vaccines against food allergies (the “Sanofi Agreement”). Under the arrangement, the Company agreed to perform research to identify an initial vaccine candidate for development and commercialization by Sanofi under an exclusive license.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Sanofi Agreement, the Company received an upfront payment of $2.0 million for the initial indication in November 2012 and an additional payment of $3.0 million in August 2013. In November 2014, Sanofi exercised the option to include celiac disease as an additional indication, and in May 2015, the Sanofi Agreement was amended to add terms specific to the celiac disease indication and to terminate Sanofi's right to exercise its option for any additional indications. Sanofi paid the Company an additional $2.0 million upon the exercise of the option in May 2015 and an additional $1.0 million in July 2016 upon attaining the first milestone for the celiac disease indication. To date, Sanofi has paid the Company $8.0 million in the aggregate under the Sanofi Agreement.</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authorized by Sanofi or permitted under the Sanofi Agreement, during the term of the Sanofi Agreement, exclusivity obligations prevent the Company from researching, developing, or commercializing products in these indications or granting third party licenses under the intellectual property rights and technologies licensed to Sanofi for use in these indications.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identified the deliverables under the arrangement as the license, the research necessary to identify the development candidate, and participation of the Joint Research Committee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revenue in the amount of $0.2 million and $0.5 million for the three months ended September 30, 2016 and 2015, respectively, and $0.6 million and $1.5 million for the nine months ended September 30, 2016 and 2015,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Sanofi Collaboration Agreement</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On November 9, 2016, the Company received written notice from Sanofi that Sanofi has elected to terminate in its entirety the Sanofi Agreement. The termination of the Sanofi Agreement will be effective on May 8, 2017, or the Termination Date, which is six months from the date of the notice.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discussed above, Sanofi has paid the Company $8.0 million in the aggregate under the Sanofi Agreement to date. The Company would have been eligible to receive additional development-based, regulatory-based and sales-based milestone payments and tiered royalties on net sales of any approved product generated by the collaboration had the Sanofi Agreement not been terminated. As of September 30, 2016, the Company had $2.2 million of deferred revenue associated with the Sanofi Agreement, which is expected to be recognized within the termination period.</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Upon timely exercise by the Company, all rights granted to Sanofi will terminate and revert to the Company effective on the Termination Date, and Sanofi is required to grant to the Company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 The exclusivity obligations discussed above will also expire on the Termination Date.</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intends to exercise its right to acquire the development programs under the Sanofi Agreement. The Company will be solely responsible for performing and funding any development and clinical trial activities relating to further development of vaccine candidates that it chooses to undertake after the Termination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and Collaboration Agreements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has entered into other research and collaboration agreements in 2016 and 2015 for which the Company recognized revenue of zero and $0.3 million for the three months ended September 30, 2016 and 2015, respectively, and $0.1 million and $0.4 million for the nine months ended September 30,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NIH</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two grants through the NIH. The first grant, for an aggregate amount of $8.1 million, was awarded in May 2014 to support research in the development of a next generation vaccine for smoking cessation and relapse prevention. The Company recognized revenue in the amount of $0.7 million and $0.5 million for the three months ended September 30, 2016 and 2015, respectively, and $3.7 million and $1.5 million for the nine months ended September 30, 2016 and 2015, respectively under the arrangement.</w:t>
      </w:r>
    </w:p>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second grant is for an aggregate amount of $0.2 million, which was awarded in September 2015 for the development of nanoparticles for immune tolerance to factor VIII. The Company recognized revenue in an amount less than $0.1 million for the three and nine months ended September 30, 2016 related to this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JDRF grant is a joint grant with Sanofi entered into in September 2014 for $0.4 million to conduct Type 1 Diabetes research. The Company recognized revenue in the amount of less than $0.1 million and zero for the three months ended September 30, 2016 and 2015, respectively, and $0.1 million and $0.2 million for the nine months ended September 30, 2016 and 2015, respectively, related to this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 and Melinda Gates Foundation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is recognized on a proportional performance basis as it relates to employee time expended on the research, along with reimbursement for external costs directly related to, and approved, by the grant terms. The Company recognized revenue in the amount of $0.1 million and $0.3 million for the three months ended September 30, 2016 and 2015, respectively, and $0.4 million and $0.3 million for the nine months ended September 30, 2016 and 2015, respectively, related to this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Minpromtorg</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the clinical trial was delayed or terminated prior to completion. As a result of the penalty provision, the Company concluded the amounts received under the agreement were not fixed or determinable. In 2014, the Company terminated its plan to conduct the clinical trial in Russia subjecting the Company to the penalty obligation.</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2015, the Company received an executed final settlement agreement from Minpromtorg that included the repayment of funds previously received by the Company totaling $0.2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Through September 30, 2016, the Company received payments totaling approximately $1.4 million.</w:t>
      </w:r>
    </w:p>
    <w:p>
      <w:pPr>
        <w:spacing w:after="0" w:line="17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first audit period expired on December 31, 2015, and as a result $0.4 million of revenue was recognized for the year ended December 31, 2015. The second audit expired during the nine months ended September 30, 2016, and as a result $0.2 million of revenue was recognized for the nine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Skolkovo</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has received from Skolkovo $1.8 million through the nine months ended September 30, 2016.</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14.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part of the Series B Preferred and Series D Preferred financings (as described in Note 10), the Company’s landlord (the “Landlord”) purchased 49,254 shares of Series B Preferred at $2.0303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10). The Landlord paid the same price as the price paid by other investors in each of these Preferred Stock purchases. At the IPO, all preferred stock was converted to common stock.</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totaling $0.1 million during each of the three months ended September 30, 2016 and 2015, and $0.2 million for each of the nine months ended September 30, 2016 and 2015.</w:t>
      </w:r>
    </w:p>
    <w:p>
      <w:pPr>
        <w:spacing w:after="0" w:line="200" w:lineRule="exact"/>
        <w:rPr>
          <w:sz w:val="20"/>
          <w:szCs w:val="20"/>
          <w:color w:val="auto"/>
        </w:rPr>
      </w:pPr>
    </w:p>
    <w:p>
      <w:pPr>
        <w:spacing w:after="0" w:line="399"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License Agreements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MIT</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On November 25, 2008, the Company entered into an Exclusive Patent License agreement with the Massachusetts Institute of Technology (“MIT”). The Company received an exclusive royalty</w:t>
      </w:r>
      <w:r>
        <w:rPr>
          <w:rFonts w:ascii="MS PGothic" w:cs="MS PGothic" w:eastAsia="MS PGothic" w:hAnsi="MS PGothic"/>
          <w:sz w:val="18"/>
          <w:szCs w:val="18"/>
          <w:color w:val="auto"/>
        </w:rPr>
        <w:t>‑</w:t>
      </w:r>
      <w:r>
        <w:rPr>
          <w:rFonts w:ascii="Arial" w:cs="Arial" w:eastAsia="Arial" w:hAnsi="Arial"/>
          <w:sz w:val="18"/>
          <w:szCs w:val="18"/>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8"/>
          <w:szCs w:val="18"/>
          <w:color w:val="auto"/>
        </w:rPr>
        <w:t>‑</w:t>
      </w:r>
      <w:r>
        <w:rPr>
          <w:rFonts w:ascii="Arial" w:cs="Arial" w:eastAsia="Arial" w:hAnsi="Arial"/>
          <w:sz w:val="18"/>
          <w:szCs w:val="18"/>
          <w:color w:val="auto"/>
        </w:rPr>
        <w:t>cross</w:t>
      </w:r>
      <w:r>
        <w:rPr>
          <w:rFonts w:ascii="MS PGothic" w:cs="MS PGothic" w:eastAsia="MS PGothic" w:hAnsi="MS PGothic"/>
          <w:sz w:val="18"/>
          <w:szCs w:val="18"/>
          <w:color w:val="auto"/>
        </w:rPr>
        <w:t>‑</w:t>
      </w:r>
      <w:r>
        <w:rPr>
          <w:rFonts w:ascii="Arial" w:cs="Arial" w:eastAsia="Arial" w:hAnsi="Arial"/>
          <w:sz w:val="18"/>
          <w:szCs w:val="18"/>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8"/>
          <w:szCs w:val="18"/>
          <w:color w:val="auto"/>
        </w:rPr>
        <w:t>‑</w:t>
      </w:r>
      <w:r>
        <w:rPr>
          <w:rFonts w:ascii="Arial" w:cs="Arial" w:eastAsia="Arial" w:hAnsi="Arial"/>
          <w:sz w:val="18"/>
          <w:szCs w:val="18"/>
          <w:color w:val="auto"/>
        </w:rPr>
        <w:t>time expense in 2008.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 License. Pursuant to the 3SBio License, the Company was granted an exclusive license to certain 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20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6"/>
          <w:szCs w:val="16"/>
          <w:color w:val="auto"/>
        </w:rPr>
        <w:t>‑</w:t>
      </w:r>
      <w:r>
        <w:rPr>
          <w:rFonts w:ascii="Arial" w:cs="Arial" w:eastAsia="Arial" w:hAnsi="Arial"/>
          <w:sz w:val="16"/>
          <w:szCs w:val="16"/>
          <w:color w:val="auto"/>
        </w:rPr>
        <w:t>based payments under the 3SBio License.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and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related to the pegsiticase component of products at percentages ranging from the low</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mid single digits for products containing the Company’s SVP technology, and a range of no more than ten percent points from the mid</w:t>
      </w:r>
      <w:r>
        <w:rPr>
          <w:rFonts w:ascii="MS PGothic" w:cs="MS PGothic" w:eastAsia="MS PGothic" w:hAnsi="MS PGothic"/>
          <w:sz w:val="16"/>
          <w:szCs w:val="16"/>
          <w:color w:val="auto"/>
        </w:rPr>
        <w:t>‑</w:t>
      </w:r>
      <w:r>
        <w:rPr>
          <w:rFonts w:ascii="Arial" w:cs="Arial" w:eastAsia="Arial" w:hAnsi="Arial"/>
          <w:sz w:val="16"/>
          <w:szCs w:val="16"/>
          <w:color w:val="auto"/>
        </w:rPr>
        <w:t>single digits to low double</w:t>
      </w:r>
      <w:r>
        <w:rPr>
          <w:rFonts w:ascii="MS PGothic" w:cs="MS PGothic" w:eastAsia="MS PGothic" w:hAnsi="MS PGothic"/>
          <w:sz w:val="16"/>
          <w:szCs w:val="16"/>
          <w:color w:val="auto"/>
        </w:rPr>
        <w:t>‑</w:t>
      </w:r>
      <w:r>
        <w:rPr>
          <w:rFonts w:ascii="Arial" w:cs="Arial" w:eastAsia="Arial" w:hAnsi="Arial"/>
          <w:sz w:val="16"/>
          <w:szCs w:val="16"/>
          <w:color w:val="auto"/>
        </w:rPr>
        <w:t>digits for products without the Company’s SVP technology. The Company will pay these royalties to 3SBio, subject to specified reductions,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and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until the later of (i) the date that all of the patent rights for that product have expired in that country, or (ii) a specified number of years from the first commercial sale of such product in such country.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In May 2016, the Company entered into a license agreement with the Massachusetts Eye and Ear Infirmary and The Schepens Eye Research Institute, Inc., (collectively, “MEE”)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MEE, for use of Anc80 gene therapy vectors for gene augmentation therapies expressing certain target sequences.</w:t>
      </w:r>
    </w:p>
    <w:p>
      <w:pPr>
        <w:spacing w:after="0" w:line="20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Pursuant to the MEE Agreement, the Company agreed to pay MEE a license fee in the low six figures, annual license maintenance fees ranging from the mid</w:t>
      </w:r>
      <w:r>
        <w:rPr>
          <w:rFonts w:ascii="MS PGothic" w:cs="MS PGothic" w:eastAsia="MS PGothic" w:hAnsi="MS PGothic"/>
          <w:sz w:val="16"/>
          <w:szCs w:val="16"/>
          <w:color w:val="auto"/>
        </w:rPr>
        <w:t>‑</w:t>
      </w:r>
      <w:r>
        <w:rPr>
          <w:rFonts w:ascii="Arial" w:cs="Arial" w:eastAsia="Arial" w:hAnsi="Arial"/>
          <w:sz w:val="16"/>
          <w:szCs w:val="16"/>
          <w:color w:val="auto"/>
        </w:rPr>
        <w:t>twenty thousands to mid</w:t>
      </w:r>
      <w:r>
        <w:rPr>
          <w:rFonts w:ascii="MS PGothic" w:cs="MS PGothic" w:eastAsia="MS PGothic" w:hAnsi="MS PGothic"/>
          <w:sz w:val="16"/>
          <w:szCs w:val="16"/>
          <w:color w:val="auto"/>
        </w:rPr>
        <w:t>‑</w:t>
      </w:r>
      <w:r>
        <w:rPr>
          <w:rFonts w:ascii="Arial" w:cs="Arial" w:eastAsia="Arial" w:hAnsi="Arial"/>
          <w:sz w:val="16"/>
          <w:szCs w:val="16"/>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basis, totaling up to an aggregate of between $4,175,000 to $37,025,000 and sales milestones on a licensed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basis, totaling up to an aggregate of between $50,000,000 to $70,000,000; tiered royalties on a licensed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equal to a percentage of net sales ranging from mid</w:t>
      </w:r>
      <w:r>
        <w:rPr>
          <w:rFonts w:ascii="MS PGothic" w:cs="MS PGothic" w:eastAsia="MS PGothic" w:hAnsi="MS PGothic"/>
          <w:sz w:val="16"/>
          <w:szCs w:val="16"/>
          <w:color w:val="auto"/>
        </w:rPr>
        <w:t>‑</w:t>
      </w:r>
      <w:r>
        <w:rPr>
          <w:rFonts w:ascii="Arial" w:cs="Arial" w:eastAsia="Arial" w:hAnsi="Arial"/>
          <w:sz w:val="16"/>
          <w:szCs w:val="16"/>
          <w:color w:val="auto"/>
        </w:rPr>
        <w:t>single digits to mid</w:t>
      </w:r>
      <w:r>
        <w:rPr>
          <w:rFonts w:ascii="MS PGothic" w:cs="MS PGothic" w:eastAsia="MS PGothic" w:hAnsi="MS PGothic"/>
          <w:sz w:val="16"/>
          <w:szCs w:val="16"/>
          <w:color w:val="auto"/>
        </w:rPr>
        <w:t>‑</w:t>
      </w:r>
      <w:r>
        <w:rPr>
          <w:rFonts w:ascii="Arial" w:cs="Arial" w:eastAsia="Arial" w:hAnsi="Arial"/>
          <w:sz w:val="16"/>
          <w:szCs w:val="16"/>
          <w:color w:val="auto"/>
        </w:rPr>
        <w:t>teens, subject to the prevalence of the targeted disease and certain reductions; and a percentage, in a range expected to be in the mid</w:t>
      </w:r>
      <w:r>
        <w:rPr>
          <w:rFonts w:ascii="MS PGothic" w:cs="MS PGothic" w:eastAsia="MS PGothic" w:hAnsi="MS PGothic"/>
          <w:sz w:val="16"/>
          <w:szCs w:val="16"/>
          <w:color w:val="auto"/>
        </w:rPr>
        <w:t>‑</w:t>
      </w:r>
      <w:r>
        <w:rPr>
          <w:rFonts w:ascii="Arial" w:cs="Arial" w:eastAsia="Arial" w:hAnsi="Arial"/>
          <w:sz w:val="16"/>
          <w:szCs w:val="16"/>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6"/>
          <w:szCs w:val="16"/>
          <w:color w:val="auto"/>
        </w:rPr>
        <w:t>‑</w:t>
      </w:r>
      <w:r>
        <w:rPr>
          <w:rFonts w:ascii="Arial" w:cs="Arial" w:eastAsia="Arial" w:hAnsi="Arial"/>
          <w:sz w:val="16"/>
          <w:szCs w:val="16"/>
          <w:color w:val="auto"/>
        </w:rPr>
        <w:t>six figures to mid</w:t>
      </w:r>
      <w:r>
        <w:rPr>
          <w:rFonts w:ascii="MS PGothic" w:cs="MS PGothic" w:eastAsia="MS PGothic" w:hAnsi="MS PGothic"/>
          <w:sz w:val="16"/>
          <w:szCs w:val="16"/>
          <w:color w:val="auto"/>
        </w:rPr>
        <w:t>‑</w:t>
      </w:r>
      <w:r>
        <w:rPr>
          <w:rFonts w:ascii="Arial" w:cs="Arial" w:eastAsia="Arial" w:hAnsi="Arial"/>
          <w:sz w:val="16"/>
          <w:szCs w:val="16"/>
          <w:color w:val="auto"/>
        </w:rPr>
        <w:t>six figures, depending on the prevalence of the targeted disease.</w:t>
      </w:r>
    </w:p>
    <w:p>
      <w:pPr>
        <w:spacing w:after="0" w:line="208"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provide for any income taxes in any of the three or nine month periods ended September 30, 2016 or 2015.</w:t>
      </w:r>
    </w:p>
    <w:p>
      <w:pPr>
        <w:spacing w:after="0" w:line="200" w:lineRule="exact"/>
        <w:rPr>
          <w:sz w:val="20"/>
          <w:szCs w:val="20"/>
          <w:color w:val="auto"/>
        </w:rPr>
      </w:pPr>
    </w:p>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U.S. net deferred tax assets. As required by the provisions of ASC 740, Income Taxes, management has determined that it is more-likely-than-not that the Company will not utilize the benefits of federal and state U.S. net deferred tax assets for financial reporting purposes. Accordingly, the net deferred tax assets are subject to a valuation allowance at September 30, 2016 and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401(k) Savings Plan</w:t>
      </w:r>
    </w:p>
    <w:p>
      <w:pPr>
        <w:spacing w:after="0" w:line="229" w:lineRule="exact"/>
        <w:rPr>
          <w:sz w:val="20"/>
          <w:szCs w:val="20"/>
          <w:color w:val="auto"/>
        </w:rPr>
      </w:pPr>
    </w:p>
    <w:p>
      <w:pPr>
        <w:ind w:right="100"/>
        <w:spacing w:after="0" w:line="220" w:lineRule="exact"/>
        <w:rPr>
          <w:sz w:val="20"/>
          <w:szCs w:val="20"/>
          <w:color w:val="auto"/>
        </w:rPr>
      </w:pPr>
      <w:r>
        <w:rPr>
          <w:rFonts w:ascii="Arial" w:cs="Arial" w:eastAsia="Arial" w:hAnsi="Arial"/>
          <w:sz w:val="17"/>
          <w:szCs w:val="17"/>
          <w:color w:val="auto"/>
        </w:rPr>
        <w:t>The Company maintains a defined</w:t>
      </w:r>
      <w:r>
        <w:rPr>
          <w:rFonts w:ascii="MS PGothic" w:cs="MS PGothic" w:eastAsia="MS PGothic" w:hAnsi="MS PGothic"/>
          <w:sz w:val="17"/>
          <w:szCs w:val="17"/>
          <w:color w:val="auto"/>
        </w:rPr>
        <w:t>‑</w:t>
      </w:r>
      <w:r>
        <w:rPr>
          <w:rFonts w:ascii="Arial" w:cs="Arial" w:eastAsia="Arial" w:hAnsi="Arial"/>
          <w:sz w:val="17"/>
          <w:szCs w:val="17"/>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20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Contributions by the Company totaling less than $0.1 million for the three months ended September 30, 2016 and 2015, and $0.1 million for each of the nine months ended September 30, 2016 and 2015, have been recorded in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previously disclosed in our Current Report on Form 8-K, filed with the SEC on November 10, 2016, and as discussed in Note 13, on November 9, 2016, we received written notice from Sanofi that Sanofi has elected to terminate in its entirety the Sanofi Agreement. The termination of the Sanofi Agreement will be effective on May 8, 2017, which is six months from the date of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 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We are a clinical</w:t>
      </w:r>
      <w:r>
        <w:rPr>
          <w:rFonts w:ascii="MS PGothic" w:cs="MS PGothic" w:eastAsia="MS PGothic" w:hAnsi="MS PGothic"/>
          <w:sz w:val="17"/>
          <w:szCs w:val="17"/>
          <w:color w:val="auto"/>
        </w:rPr>
        <w:t>‑</w:t>
      </w:r>
      <w:r>
        <w:rPr>
          <w:rFonts w:ascii="Arial" w:cs="Arial" w:eastAsia="Arial" w:hAnsi="Arial"/>
          <w:sz w:val="17"/>
          <w:szCs w:val="17"/>
          <w:color w:val="auto"/>
        </w:rPr>
        <w:t>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w:t>
      </w:r>
      <w:r>
        <w:rPr>
          <w:rFonts w:ascii="MS PGothic" w:cs="MS PGothic" w:eastAsia="MS PGothic" w:hAnsi="MS PGothic"/>
          <w:sz w:val="17"/>
          <w:szCs w:val="17"/>
          <w:color w:val="auto"/>
        </w:rPr>
        <w:t>‑</w:t>
      </w:r>
      <w:r>
        <w:rPr>
          <w:rFonts w:ascii="Arial" w:cs="Arial" w:eastAsia="Arial" w:hAnsi="Arial"/>
          <w:sz w:val="17"/>
          <w:szCs w:val="17"/>
          <w:color w:val="auto"/>
        </w:rPr>
        <w:t>specific immune tolerance to mitigate the formation of anti</w:t>
      </w:r>
      <w:r>
        <w:rPr>
          <w:rFonts w:ascii="MS PGothic" w:cs="MS PGothic" w:eastAsia="MS PGothic" w:hAnsi="MS PGothic"/>
          <w:sz w:val="17"/>
          <w:szCs w:val="17"/>
          <w:color w:val="auto"/>
        </w:rPr>
        <w:t>‑</w:t>
      </w:r>
      <w:r>
        <w:rPr>
          <w:rFonts w:ascii="Arial" w:cs="Arial" w:eastAsia="Arial" w:hAnsi="Arial"/>
          <w:sz w:val="17"/>
          <w:szCs w:val="17"/>
          <w:color w:val="auto"/>
        </w:rPr>
        <w:t>drug antibodies, or ADAs, in response to life</w:t>
      </w:r>
      <w:r>
        <w:rPr>
          <w:rFonts w:ascii="MS PGothic" w:cs="MS PGothic" w:eastAsia="MS PGothic" w:hAnsi="MS PGothic"/>
          <w:sz w:val="17"/>
          <w:szCs w:val="17"/>
          <w:color w:val="auto"/>
        </w:rPr>
        <w:t>‑</w:t>
      </w:r>
      <w:r>
        <w:rPr>
          <w:rFonts w:ascii="Arial" w:cs="Arial" w:eastAsia="Arial" w:hAnsi="Arial"/>
          <w:sz w:val="17"/>
          <w:szCs w:val="17"/>
          <w:color w:val="auto"/>
        </w:rPr>
        <w:t>sustaining biologic drugs. We believe our SVP technology has the potential for broad applications to both enhance existing biologic drugs and enable novel therapies. Our lead product candidate, SEL</w:t>
      </w:r>
      <w:r>
        <w:rPr>
          <w:rFonts w:ascii="MS PGothic" w:cs="MS PGothic" w:eastAsia="MS PGothic" w:hAnsi="MS PGothic"/>
          <w:sz w:val="17"/>
          <w:szCs w:val="17"/>
          <w:color w:val="auto"/>
        </w:rPr>
        <w:t>‑</w:t>
      </w:r>
      <w:r>
        <w:rPr>
          <w:rFonts w:ascii="Arial" w:cs="Arial" w:eastAsia="Arial" w:hAnsi="Arial"/>
          <w:sz w:val="17"/>
          <w:szCs w:val="17"/>
          <w:color w:val="auto"/>
        </w:rPr>
        <w:t>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w:t>
      </w:r>
      <w:r>
        <w:rPr>
          <w:rFonts w:ascii="MS PGothic" w:cs="MS PGothic" w:eastAsia="MS PGothic" w:hAnsi="MS PGothic"/>
          <w:sz w:val="17"/>
          <w:szCs w:val="17"/>
          <w:color w:val="auto"/>
        </w:rPr>
        <w:t>‑</w:t>
      </w:r>
      <w:r>
        <w:rPr>
          <w:rFonts w:ascii="Arial" w:cs="Arial" w:eastAsia="Arial" w:hAnsi="Arial"/>
          <w:sz w:val="17"/>
          <w:szCs w:val="17"/>
          <w:color w:val="auto"/>
        </w:rPr>
        <w:t>212 is currently in a comprehensive Phase 1/2 clinical program. The Phase 1/2 clinical program is comprised of two Phase 1 clinical trials and a Phase 2 clinical trial, which commenced in October 2016, and is designed to evaluate the ability of SEL</w:t>
      </w:r>
      <w:r>
        <w:rPr>
          <w:rFonts w:ascii="MS PGothic" w:cs="MS PGothic" w:eastAsia="MS PGothic" w:hAnsi="MS PGothic"/>
          <w:sz w:val="17"/>
          <w:szCs w:val="17"/>
          <w:color w:val="auto"/>
        </w:rPr>
        <w:t>‑</w:t>
      </w:r>
      <w:r>
        <w:rPr>
          <w:rFonts w:ascii="Arial" w:cs="Arial" w:eastAsia="Arial" w:hAnsi="Arial"/>
          <w:sz w:val="17"/>
          <w:szCs w:val="17"/>
          <w:color w:val="auto"/>
        </w:rPr>
        <w:t>212 to control uric acid levels and mitigate the formation of ADAs. Based on preliminary data from our ongoing Phase 1b clinical trial, we believe that SEL</w:t>
      </w:r>
      <w:r>
        <w:rPr>
          <w:rFonts w:ascii="MS PGothic" w:cs="MS PGothic" w:eastAsia="MS PGothic" w:hAnsi="MS PGothic"/>
          <w:sz w:val="17"/>
          <w:szCs w:val="17"/>
          <w:color w:val="auto"/>
        </w:rPr>
        <w:t>‑</w:t>
      </w:r>
      <w:r>
        <w:rPr>
          <w:rFonts w:ascii="Arial" w:cs="Arial" w:eastAsia="Arial" w:hAnsi="Arial"/>
          <w:sz w:val="17"/>
          <w:szCs w:val="17"/>
          <w:color w:val="auto"/>
        </w:rPr>
        <w:t>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fourth quarter of 2016.</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inception, we have incurred significant operating losses. We incurred net losses of $7.7 million and $5.7 million for the three months ended September 30, 2016 and 2015, and $22.1 million and $18.3 million for the nine months ended September 30, 2016 and 2015 respectively. As of September 30, 2016, we had an accumulated deficit of $137.5 million. We expect to continue incurring significant expenses and operating losses for at least the next several years as we:</w:t>
      </w:r>
    </w:p>
    <w:p>
      <w:pPr>
        <w:spacing w:after="0" w:line="187" w:lineRule="exact"/>
        <w:rPr>
          <w:sz w:val="20"/>
          <w:szCs w:val="20"/>
          <w:color w:val="auto"/>
        </w:rPr>
      </w:pPr>
    </w:p>
    <w:p>
      <w:pPr>
        <w:ind w:left="240" w:hanging="232"/>
        <w:spacing w:after="0" w:line="207" w:lineRule="exact"/>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and expand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225" w:lineRule="exact"/>
        <w:rPr>
          <w:rFonts w:ascii="Arial" w:cs="Arial" w:eastAsia="Arial" w:hAnsi="Arial"/>
          <w:sz w:val="18"/>
          <w:szCs w:val="18"/>
          <w:color w:val="auto"/>
        </w:rPr>
      </w:pPr>
    </w:p>
    <w:p>
      <w:pPr>
        <w:ind w:left="340" w:right="60" w:hanging="332"/>
        <w:spacing w:after="0" w:line="223" w:lineRule="exact"/>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378"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operational and financial personnel, to execute our business plan;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340" w:right="46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3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In November 2016, we received written notice from Sanofi that Sanofi has elected to terminate in its entirety the license and research collaboration agreement focused on the identification and development of vaccines focused against food allergies that was entered into by the Company and Sanofi in November 2012 (the “Sanofi Agreement”), and as a result of the termination we do not expect to receive any further collaboration payments related to the Sanofi Agreement.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13 to our consolidated financial statements included elsewhere in this Quarterly Report on Form 10-Q.</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compensation and benefits for full</w:t>
      </w:r>
      <w:r>
        <w:rPr>
          <w:rFonts w:ascii="MS PGothic" w:cs="MS PGothic" w:eastAsia="MS PGothic" w:hAnsi="MS PGothic"/>
          <w:sz w:val="18"/>
          <w:szCs w:val="18"/>
          <w:color w:val="auto"/>
        </w:rPr>
        <w:t>‑</w:t>
      </w:r>
      <w:r>
        <w:rPr>
          <w:rFonts w:ascii="Arial" w:cs="Arial" w:eastAsia="Arial" w:hAnsi="Arial"/>
          <w:sz w:val="18"/>
          <w:szCs w:val="18"/>
          <w:color w:val="auto"/>
        </w:rPr>
        <w:t>time research and development employees, an allocation of facilities expenses, overhead expenses, manufacturing process</w:t>
      </w:r>
      <w:r>
        <w:rPr>
          <w:rFonts w:ascii="MS PGothic" w:cs="MS PGothic" w:eastAsia="MS PGothic" w:hAnsi="MS PGothic"/>
          <w:sz w:val="18"/>
          <w:szCs w:val="18"/>
          <w:color w:val="auto"/>
        </w:rPr>
        <w:t>‑</w:t>
      </w:r>
      <w:r>
        <w:rPr>
          <w:rFonts w:ascii="Arial" w:cs="Arial" w:eastAsia="Arial" w:hAnsi="Arial"/>
          <w:sz w:val="18"/>
          <w:szCs w:val="18"/>
          <w:color w:val="auto"/>
        </w:rPr>
        <w:t>development and scale</w:t>
      </w:r>
      <w:r>
        <w:rPr>
          <w:rFonts w:ascii="MS PGothic" w:cs="MS PGothic" w:eastAsia="MS PGothic" w:hAnsi="MS PGothic"/>
          <w:sz w:val="18"/>
          <w:szCs w:val="18"/>
          <w:color w:val="auto"/>
        </w:rPr>
        <w:t>‑</w:t>
      </w:r>
      <w:r>
        <w:rPr>
          <w:rFonts w:ascii="Arial" w:cs="Arial" w:eastAsia="Arial" w:hAnsi="Arial"/>
          <w:sz w:val="18"/>
          <w:szCs w:val="18"/>
          <w:color w:val="auto"/>
        </w:rPr>
        <w:t>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206"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and primarily include contract manufacturing organization, or CMO, and CRO</w:t>
      </w:r>
      <w:r>
        <w:rPr>
          <w:rFonts w:ascii="MS PGothic" w:cs="MS PGothic" w:eastAsia="MS PGothic" w:hAnsi="MS PGothic"/>
          <w:sz w:val="17"/>
          <w:szCs w:val="17"/>
          <w:color w:val="auto"/>
        </w:rPr>
        <w:t>‑</w:t>
      </w:r>
      <w:r>
        <w:rPr>
          <w:rFonts w:ascii="Arial" w:cs="Arial" w:eastAsia="Arial" w:hAnsi="Arial"/>
          <w:sz w:val="17"/>
          <w:szCs w:val="17"/>
          <w:color w:val="auto"/>
        </w:rPr>
        <w:t>related costs, and internal research and development costs, which are primarily compensation expenses for our research and development employees, lab supplies, analytical testing, allocated overhead costs and other related expenses. As we expand the clinical development of SEL</w:t>
      </w:r>
      <w:r>
        <w:rPr>
          <w:rFonts w:ascii="MS PGothic" w:cs="MS PGothic" w:eastAsia="MS PGothic" w:hAnsi="MS PGothic"/>
          <w:sz w:val="17"/>
          <w:szCs w:val="17"/>
          <w:color w:val="auto"/>
        </w:rPr>
        <w:t>‑</w:t>
      </w:r>
      <w:r>
        <w:rPr>
          <w:rFonts w:ascii="Arial" w:cs="Arial" w:eastAsia="Arial" w:hAnsi="Arial"/>
          <w:sz w:val="17"/>
          <w:szCs w:val="17"/>
          <w:color w:val="auto"/>
        </w:rPr>
        <w:t>212, we expect our research and development expenses to increase. In addition, as a result of the termination of the Sanofi Agreement, we intend to exercise our right to acquire the development programs under the Sanofi Agreement. This exercise itself does not require the payment of any consideration to Sanofi. We will be solely responsible for performing and funding any development and clinical trial activities relating to further development of vaccine candidates that we choose to undertake after the termination date of the agreement. We have incurred a total of $94.1 million in research and development expenses from inception through September 30, 2016, with a majority of the expenses being spent on the development of SEL</w:t>
      </w:r>
      <w:r>
        <w:rPr>
          <w:rFonts w:ascii="MS PGothic" w:cs="MS PGothic" w:eastAsia="MS PGothic" w:hAnsi="MS PGothic"/>
          <w:sz w:val="17"/>
          <w:szCs w:val="17"/>
          <w:color w:val="auto"/>
        </w:rPr>
        <w:t>‑</w:t>
      </w:r>
      <w:r>
        <w:rPr>
          <w:rFonts w:ascii="Arial" w:cs="Arial" w:eastAsia="Arial" w:hAnsi="Arial"/>
          <w:sz w:val="17"/>
          <w:szCs w:val="17"/>
          <w:color w:val="auto"/>
        </w:rPr>
        <w:t>212 and a prior nicotine vaccine, and the remainder being spent on our various discovery and preclinical stage product candidate programs and the general expansion of our technology.</w:t>
      </w:r>
    </w:p>
    <w:p>
      <w:pPr>
        <w:spacing w:after="0" w:line="202"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to further advance our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preclinical and earlier stage research and development projects. The successful development of our clinical and preclinical product candidates is highly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uncertain. At this time, we cannot reasonably estimate the nature, timing or costs of the efforts that will be necessary to complete the development of</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timelines, the probability of success and development costs can differ materially from our expectations. For example, if the FDA or another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regulatory authority were to require us to conduct clinical trials beyond those which we currently expect will be required for the completion of clinical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of a product candidate, or if we experience significant delays in enrollment in any of our clinical trials, we could be required to expend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significant additional financial resources and time to complete any clinical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research and development expenses during the periods indicated (in thousands, except percentages):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24"/>
                <w:szCs w:val="24"/>
                <w:color w:val="auto"/>
              </w:rPr>
            </w:pPr>
          </w:p>
        </w:tc>
        <w:tc>
          <w:tcPr>
            <w:tcW w:w="122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30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080" w:type="dxa"/>
            <w:vAlign w:val="bottom"/>
          </w:tcPr>
          <w:p>
            <w:pPr>
              <w:ind w:left="40"/>
              <w:spacing w:after="0"/>
              <w:rPr>
                <w:sz w:val="20"/>
                <w:szCs w:val="20"/>
                <w:color w:val="auto"/>
              </w:rPr>
            </w:pPr>
            <w:r>
              <w:rPr>
                <w:rFonts w:ascii="Arial" w:cs="Arial" w:eastAsia="Arial" w:hAnsi="Arial"/>
                <w:sz w:val="18"/>
                <w:szCs w:val="18"/>
                <w:color w:val="auto"/>
              </w:rPr>
              <w:t>External research and development</w:t>
            </w:r>
          </w:p>
        </w:tc>
        <w:tc>
          <w:tcPr>
            <w:tcW w:w="220" w:type="dxa"/>
            <w:vAlign w:val="bottom"/>
          </w:tcPr>
          <w:p>
            <w:pPr>
              <w:spacing w:after="0"/>
              <w:rPr>
                <w:sz w:val="18"/>
                <w:szCs w:val="18"/>
                <w:color w:val="auto"/>
              </w:rPr>
            </w:pPr>
          </w:p>
        </w:tc>
        <w:tc>
          <w:tcPr>
            <w:tcW w:w="176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SEL-212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080" w:type="dxa"/>
            <w:vAlign w:val="bottom"/>
          </w:tcPr>
          <w:p>
            <w:pPr>
              <w:ind w:left="280"/>
              <w:spacing w:after="0"/>
              <w:rPr>
                <w:sz w:val="20"/>
                <w:szCs w:val="20"/>
                <w:color w:val="auto"/>
              </w:rPr>
            </w:pPr>
            <w:r>
              <w:rPr>
                <w:rFonts w:ascii="Arial" w:cs="Arial" w:eastAsia="Arial" w:hAnsi="Arial"/>
                <w:sz w:val="18"/>
                <w:szCs w:val="18"/>
                <w:color w:val="auto"/>
              </w:rPr>
              <w:t>Discovery and preclinical stage</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80"/>
              <w:spacing w:after="0"/>
              <w:rPr>
                <w:sz w:val="20"/>
                <w:szCs w:val="20"/>
                <w:color w:val="auto"/>
              </w:rPr>
            </w:pPr>
            <w:r>
              <w:rPr>
                <w:rFonts w:ascii="Arial" w:cs="Arial" w:eastAsia="Arial" w:hAnsi="Arial"/>
                <w:sz w:val="18"/>
                <w:szCs w:val="18"/>
                <w:color w:val="auto"/>
              </w:rPr>
              <w:t>product programs, collectively</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1,976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 research and development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11,303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2,324</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1"/>
        </w:trPr>
        <w:tc>
          <w:tcPr>
            <w:tcW w:w="3080" w:type="dxa"/>
            <w:vAlign w:val="bottom"/>
          </w:tcPr>
          <w:p>
            <w:pPr>
              <w:ind w:left="40"/>
              <w:spacing w:after="0"/>
              <w:rPr>
                <w:sz w:val="20"/>
                <w:szCs w:val="20"/>
                <w:color w:val="auto"/>
              </w:rPr>
            </w:pPr>
            <w:r>
              <w:rPr>
                <w:rFonts w:ascii="Arial" w:cs="Arial" w:eastAsia="Arial" w:hAnsi="Arial"/>
                <w:sz w:val="18"/>
                <w:szCs w:val="18"/>
                <w:color w:val="auto"/>
                <w:w w:val="88"/>
              </w:rPr>
              <w:t>Total research and development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6,021</w:t>
            </w: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18,669</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15,769</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2,900</w:t>
            </w:r>
          </w:p>
        </w:tc>
        <w:tc>
          <w:tcPr>
            <w:tcW w:w="24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General and administrative expenses consist primarily of salaries and related benefits, including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related to our executive, finance, business development and support functions. Other general and administrative expenses include facility</w:t>
      </w:r>
      <w:r>
        <w:rPr>
          <w:rFonts w:ascii="MS PGothic" w:cs="MS PGothic" w:eastAsia="MS PGothic" w:hAnsi="MS PGothic"/>
          <w:sz w:val="17"/>
          <w:szCs w:val="17"/>
          <w:color w:val="auto"/>
        </w:rPr>
        <w:t>‑</w:t>
      </w:r>
      <w:r>
        <w:rPr>
          <w:rFonts w:ascii="Arial" w:cs="Arial" w:eastAsia="Arial" w:hAnsi="Arial"/>
          <w:sz w:val="17"/>
          <w:szCs w:val="17"/>
          <w:color w:val="auto"/>
        </w:rPr>
        <w:t>related costs not otherwise allocated to research and development expenses, travel expenses for our general and administrative personnel and professional fees for auditing, tax and corporate legal services, including intellectual property</w:t>
      </w:r>
      <w:r>
        <w:rPr>
          <w:rFonts w:ascii="MS PGothic" w:cs="MS PGothic" w:eastAsia="MS PGothic" w:hAnsi="MS PGothic"/>
          <w:sz w:val="17"/>
          <w:szCs w:val="17"/>
          <w:color w:val="auto"/>
        </w:rPr>
        <w:t>‑</w:t>
      </w:r>
      <w:r>
        <w:rPr>
          <w:rFonts w:ascii="Arial" w:cs="Arial" w:eastAsia="Arial" w:hAnsi="Arial"/>
          <w:sz w:val="17"/>
          <w:szCs w:val="17"/>
          <w:color w:val="auto"/>
        </w:rPr>
        <w:t>related legal services. We expect that our general and administrative expenses will increase in future periods, reflecting an expanding infrastructure and increased professional fees associated with being a public reporting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 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three and nine months ended September 30, 2016 and 2015 was de minimis.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The functional currency of our Russian subsidiary is the ruble. In addition to holding cash denominated in rubles, our Russian bank accounts also hold cash balances denominated in U.S. dollars to facilitate payments to be settled in U.S. dollars or other currencies. At September 30, 2016 and December 31, 2015, we maintained cash of $3.1 million and $3.8 million, respectively, in Russian banks, of which $2.8 million and $3.0 million was denominated in U.S. dollars for the periods ended September 30, 2016 and December 31, 2015, respectively. The amounts denominated in U.S. dollars and used in transacting the day to day operations are subject to transaction gains and losses, which are reported as incurred.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compared to the three months ended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September 30, 2016 and 2015 (in thousands,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3"/>
            <w:vMerge w:val="restart"/>
          </w:tcPr>
          <w:p>
            <w:pPr>
              <w:jc w:val="center"/>
              <w:ind w:left="277"/>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891</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w:t>
            </w:r>
          </w:p>
        </w:tc>
        <w:tc>
          <w:tcPr>
            <w:tcW w:w="2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1,048</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1,607</w:t>
            </w:r>
          </w:p>
        </w:tc>
        <w:tc>
          <w:tcPr>
            <w:tcW w:w="2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three months ended September 30, 2016, total revenue decreased by $0.6 million, or 35%, as compared to the same period in the prior year. Of this decrease, $0.4 million was due to lower revenue from the Sanofi food allergy collaboration and $0.4 million was due to lower revenue from our other grants and collaborations, all based on the timing of our research efforts, partially offset by $0.2 million increase related to a National Institute on Drug Abuse grant, or NIDA grant. As a result of Sanofi’s termination of the Sanofi Agreement, we do not expect any future payments related to the Sanofi Agreement. However, the $2.2 million in deferred revenues that are recorded as of September 30, 2016, will be recognized into revenue within the termination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September 30, 2016 and 2015 (in thousands, except percentages):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vMerge w:val="restart"/>
          </w:tcPr>
          <w:p>
            <w:pPr>
              <w:jc w:val="center"/>
              <w:ind w:left="162"/>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6,021</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5,483</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rPr>
              <w:t>538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three months ended September 30, 2016, our research and development expenses increased by $0.5 million, or 10%, as compared to the same period in the prior year. The increase is primarily due to (i) incremental headcount and consulting costs of $0.4 million required to support the preparation and implementation of the SEL-212 clinical trial, (ii) $0.3 million increase in stock compensation expense and (iii) $0.2 million increase in insurance and other expenses, offset by a reduction of $0.3 million in toxicology and clinical expenses and $0.1 million in facility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September 30, 2016 and 2015 (in thousands, except percentages):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vMerge w:val="restart"/>
          </w:tcPr>
          <w:p>
            <w:pPr>
              <w:jc w:val="center"/>
              <w:ind w:left="162"/>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2,495</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2,195</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rPr>
              <w:t>300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the three months ended September 30, 2016, our general and administrative expenses increased $0.3 million, or 14%, as compared to the same period in the prior year, primarily due to an increase of $0.3 million in consulting fees for market research and investor relations, and an increase of $0.3 million of other expenses, offset by a $0.3 million decrease in patent expense based on timing of filing and claim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changed less than $0.1 million during the three months ended September 30, 2016 as compared to the prior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gain (loss)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recognized a foreign currency loss of less than $0.1 million during the three months ended September 30, 2016 and a foreign currency gain of $0.7 million during the three months ended September 30, 2015, reflecting the fluctuation of the U.S. dollar to the ruble from the beginning to the end of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expense was $0.3 million for each of the three months ended September 30, 2016 and 2015, representing interest expense and amortization of the carrying costs of our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three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the nine months ended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nine months ended September 30, 2016 and 2015 (in thousands, except percentages):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Nine Months Ended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3"/>
            <w:vMerge w:val="restart"/>
          </w:tcPr>
          <w:p>
            <w:pPr>
              <w:jc w:val="center"/>
              <w:ind w:left="317"/>
              <w:spacing w:after="0"/>
              <w:rPr>
                <w:sz w:val="20"/>
                <w:szCs w:val="20"/>
                <w:color w:val="auto"/>
              </w:rPr>
            </w:pPr>
            <w:r>
              <w:rPr>
                <w:rFonts w:ascii="Arial" w:cs="Arial" w:eastAsia="Arial" w:hAnsi="Arial"/>
                <w:sz w:val="14"/>
                <w:szCs w:val="14"/>
                <w:b w:val="1"/>
                <w:bCs w:val="1"/>
                <w:color w:val="auto"/>
                <w:w w:val="91"/>
              </w:rPr>
              <w:t>Increase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88"/>
              </w:rPr>
              <w:t>(decrease)</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4,492</w:t>
            </w: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1,987</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Collaboration revenue</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1,890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5,153</w:t>
            </w: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3,877</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nine months ended September 30, 2016, total revenue increased by $1.3 million, or 33%, as compared to the same period in the prior year, primarily due to increased research and development activities, resulting in an increase of $2.3 million of revenue recognized during the period from the NIDA grant and $0.2 million from our other grants, offset by reductions of $1.0 million from our Sanofi associated collaborations and $0.2 million associated with our other various collaborations.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nine months ended September 30, 2016 and 2015 (in thousands, except percentages):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vMerge w:val="restart"/>
          </w:tcPr>
          <w:p>
            <w:pPr>
              <w:jc w:val="center"/>
              <w:ind w:left="202"/>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18,669</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15,769</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rPr>
              <w:t>2,900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During the nine months ended September 30, 2016, our total research and development expenses increased by $2.9 million, or 18%, from the same period in the prior year, reflecting (i) $2.1 million of increased costs associated with the advancement of SEL-212 into clinical trials and incremental NIH grant costs,</w:t>
      </w:r>
    </w:p>
    <w:p>
      <w:pPr>
        <w:ind w:right="320" w:firstLine="8"/>
        <w:spacing w:after="0" w:line="255"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 million of increased stock compensation expense, (iii) $0.3 million of higher insurance and facilities costs, (iv) $0.4 million for lab supplies and external costs associated with our other pipeline projects and (v) $0.1 million of increased other expenses, offset by a reduction of one time license fees of $0.4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nine months ended September 30, 2016 and 2015 (in thousands, except percentages):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Nine Months Ended</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vMerge w:val="restart"/>
          </w:tcPr>
          <w:p>
            <w:pPr>
              <w:jc w:val="center"/>
              <w:ind w:left="162"/>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7,294</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6,305</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rPr>
              <w:t>989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nine months ended September 30, 2016, our general and administrative expenses increased by $1.0 million, or 16%, as compared to the prior year period due to (i) $0.4 million increase in patent filing costs, (ii) $0.3 million increase in consulting fees for market research and investor relations, (iii) of $0.4 million increase in professional fees and headcount growth to support public company filing and internal control requirements, (iv) $0.2 million increase for travel costs in support of the IPO and (v) $0.1 million of other expenses, offset by $0.4 million in reduced depreciation.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Change in investment income was less than $0.1 million during the nine months ended September 30, 2016 as compared to the same period in the prior year based on cash and cash equivalent balances held in interest bearing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gain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recognized a foreign currency loss of $0.4 million during the nine months ended September 30, 2016 as compared to the $0.6 million gain recognized during the nine months ended September 30, 2015 reflecting the continued fluctuations of the U.S. dollar to the ruble occurring between the two comparative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was $0.9 million during the nine months ended September 30, 2016, as compared to $0.8 million for the same period in the prior year. The increase was primarily due to the incremental borrowing against the credit facility effective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nine months ended September 30, 2016 and 2015 was de minimis.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23" w:lineRule="exact"/>
        <w:rPr>
          <w:sz w:val="20"/>
          <w:szCs w:val="20"/>
          <w:color w:val="auto"/>
        </w:rPr>
      </w:pPr>
      <w:r>
        <w:rPr>
          <w:rFonts w:ascii="Arial" w:cs="Arial" w:eastAsia="Arial" w:hAnsi="Arial"/>
          <w:sz w:val="18"/>
          <w:szCs w:val="18"/>
          <w:color w:val="auto"/>
        </w:rPr>
        <w:t>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our inception through September 30, 2016, we had raised an aggregate of $220.9 million to fund our operations, of which $118.5 million was from the sale of preferred stock, $9.3 million was from government grants and $14.3 million was from borrowings under our credit facility, $14.3 million was through our collaborations and license agreements, and $64.5 million in combined net proceeds from our initial public offering in June 2016, and the underwriters' exercise in part of their option to purchase additional shares of our common stock in July 2016.</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September 30, 2016, our cash and cash equivalents were $59.5 million, of which $3.1 million was held by our Russian subsidiary designated solely for use in its operations including $0.3 million of restricted cash. Our Russian subsidiary cash is consolidated for financial reporting purposes.</w:t>
      </w:r>
    </w:p>
    <w:p>
      <w:pPr>
        <w:spacing w:after="0" w:line="14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to our existing cash and cash equivalents, we receive research and development funding pursuant to our research grants. In November 2016, we received written notice from Sanofi that Sanofi has elected to terminate in its entirety the Sanofi Agreement. Currently, funding from research grants and payments under our remaining collaboration agreements represent our only source of committed external funds.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August 2013, we entered into a credit facility with Oxford Finance, LLC, or Oxford, and Pacific Western Bank, as successor in interest to Square 1 Bank, as co</w:t>
      </w:r>
      <w:r>
        <w:rPr>
          <w:rFonts w:ascii="MS PGothic" w:cs="MS PGothic" w:eastAsia="MS PGothic" w:hAnsi="MS PGothic"/>
          <w:sz w:val="18"/>
          <w:szCs w:val="18"/>
          <w:color w:val="auto"/>
        </w:rPr>
        <w:t>‑</w:t>
      </w:r>
      <w:r>
        <w:rPr>
          <w:rFonts w:ascii="Arial" w:cs="Arial" w:eastAsia="Arial" w:hAnsi="Arial"/>
          <w:sz w:val="18"/>
          <w:szCs w:val="18"/>
          <w:color w:val="auto"/>
        </w:rPr>
        <w:t>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206"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The credit facility is secured by substantially all of our personal property other than our intellectual property. The term loan under the credit facility bears interest at an annual rate equal to the greater of (i) 8.0% and (ii) the sum of (a) the 30</w:t>
      </w:r>
      <w:r>
        <w:rPr>
          <w:rFonts w:ascii="MS PGothic" w:cs="MS PGothic" w:eastAsia="MS PGothic" w:hAnsi="MS PGothic"/>
          <w:sz w:val="16"/>
          <w:szCs w:val="16"/>
          <w:color w:val="auto"/>
        </w:rPr>
        <w:t>‑</w:t>
      </w:r>
      <w:r>
        <w:rPr>
          <w:rFonts w:ascii="Arial" w:cs="Arial" w:eastAsia="Arial" w:hAnsi="Arial"/>
          <w:sz w:val="16"/>
          <w:szCs w:val="16"/>
          <w:color w:val="auto"/>
        </w:rPr>
        <w:t>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6.0% of the total amount borrowed under the credit facility. This final payment has been recorded as a discount to the loan balance and is being amortized into interest expense over the life of the loan.</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term loan is prepayable at our option in whole, but not in part, subject to a prepayment fee of 3.0% if the term loan is prepaid prior to the first anniversary of the December 31, 2015 borrowing date, the borrowing date, 2.0% if the terms loans are prepaid between the first and second anniversary of the borrowing date and 1.0%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7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The credit facility also includes events of default, the occurrence and continuation of which provide the co</w:t>
      </w:r>
      <w:r>
        <w:rPr>
          <w:rFonts w:ascii="MS PGothic" w:cs="MS PGothic" w:eastAsia="MS PGothic" w:hAnsi="MS PGothic"/>
          <w:sz w:val="16"/>
          <w:szCs w:val="16"/>
          <w:color w:val="auto"/>
        </w:rPr>
        <w:t>‑</w:t>
      </w:r>
      <w:r>
        <w:rPr>
          <w:rFonts w:ascii="Arial" w:cs="Arial" w:eastAsia="Arial" w:hAnsi="Arial"/>
          <w:sz w:val="16"/>
          <w:szCs w:val="16"/>
          <w:color w:val="auto"/>
        </w:rPr>
        <w:t>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we intend to exercise our right to acquire the development programs under the Sanofi Agreement. This exercise itself does not require the payment of any consideration to Sanofi. We will be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in connection with our continuing operations.</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on the current operating plan, we expect that our cash, cash equivalents, short-term investments and restricted cash as of September 30, 2016, will fund operating expenses and capital expenditure requirements into the first quarter of 2018.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340"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SEL-212;</w:t>
      </w:r>
    </w:p>
    <w:p>
      <w:pPr>
        <w:spacing w:after="0" w:line="184"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ability to enter into additional collaboration agreements and our ability to achieve milestones under these agreements;</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84"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29"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for the nine months ended September 30, 2016 (in thousands):</w:t>
      </w:r>
    </w:p>
    <w:p>
      <w:pPr>
        <w:spacing w:after="0" w:line="37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060" w:type="dxa"/>
            <w:vAlign w:val="bottom"/>
          </w:tcPr>
          <w:p>
            <w:pPr>
              <w:jc w:val="right"/>
              <w:ind w:right="174"/>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64,867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38,220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71"/>
        </w:trPr>
        <w:tc>
          <w:tcPr>
            <w:tcW w:w="8800" w:type="dxa"/>
            <w:vAlign w:val="bottom"/>
          </w:tcPr>
          <w:p>
            <w:pPr>
              <w:ind w:left="40"/>
              <w:spacing w:after="0"/>
              <w:rPr>
                <w:sz w:val="20"/>
                <w:szCs w:val="20"/>
                <w:color w:val="auto"/>
              </w:rPr>
            </w:pPr>
            <w:r>
              <w:rPr>
                <w:rFonts w:ascii="Arial" w:cs="Arial" w:eastAsia="Arial" w:hAnsi="Arial"/>
                <w:sz w:val="18"/>
                <w:szCs w:val="18"/>
                <w:color w:val="auto"/>
              </w:rPr>
              <w:t>End of the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59,488</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37,514</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used in operating activities was $21.2 million for the nine months ended September 30, 2016 as compared to $14.8 million for the nine months ended September 30, 2015. The increase in net cash used in operating activities of $6.4 million reflects the incremental net loss of $3.8 million associated with increased research and development expenses as we advanced from preclinical studies into the Phase 1 clinical trials and increased external NIH grants coupled with (i) a net increase of $1.1 million of prepaid expenses associated with prepayments to our CRO's and CMO's, (ii) $2.0 million of accounts payable and other liability reductions, and (iii) $0.9 million increase in restricted cash, offset by a $0.6 million decrease in deferred revenue and $0.8 million net change in other assets and liabilities.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right="360"/>
        <w:spacing w:after="0" w:line="220" w:lineRule="exact"/>
        <w:rPr>
          <w:sz w:val="20"/>
          <w:szCs w:val="20"/>
          <w:color w:val="auto"/>
        </w:rPr>
      </w:pPr>
      <w:r>
        <w:rPr>
          <w:rFonts w:ascii="Arial" w:cs="Arial" w:eastAsia="Arial" w:hAnsi="Arial"/>
          <w:sz w:val="16"/>
          <w:szCs w:val="16"/>
          <w:color w:val="auto"/>
        </w:rPr>
        <w:t>Net cash provided by investing activities was $16.9 million for the nine months ended September 30, 2016, as compared to net cash used in investing activities of $1.8 million for the nine months ended September 30, 2015. The net change in cash of $15.1 million used by investing activities for the nine months ended September 30, 2015 was caused by the purchase of $23.3 million in short term investments offset by maturity of $6.9 million of short</w:t>
      </w:r>
      <w:r>
        <w:rPr>
          <w:rFonts w:ascii="MS PGothic" w:cs="MS PGothic" w:eastAsia="MS PGothic" w:hAnsi="MS PGothic"/>
          <w:sz w:val="16"/>
          <w:szCs w:val="16"/>
          <w:color w:val="auto"/>
        </w:rPr>
        <w:t>‑</w:t>
      </w:r>
      <w:r>
        <w:rPr>
          <w:rFonts w:ascii="Arial" w:cs="Arial" w:eastAsia="Arial" w:hAnsi="Arial"/>
          <w:sz w:val="16"/>
          <w:szCs w:val="16"/>
          <w:color w:val="auto"/>
        </w:rPr>
        <w:t>term investments, $0.7 million decrease in the purchases of short term government obligations, and a $0.6 million decrease in purchased equipment.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financing activities was $64.9 million for the nine months ended September 30, 2016 as compared to $38.2 million for the nine months ended September 30, 2015. The increase of $26.7 million provided by financing activities is the result of the net cash of $64.8 million derived from our IPO related activities during the nine months ended September 30, 2016, as compared to the $39.7 million issuance of Series E Preferred Stock, which was reduced by the $1.6 million of loan principle payments made during the comparable prior period.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significant contractual obligations as of December 31, 2015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More than</w:t>
            </w:r>
          </w:p>
        </w:tc>
      </w:tr>
      <w:tr>
        <w:trPr>
          <w:trHeight w:val="276"/>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 years</w:t>
            </w:r>
          </w:p>
        </w:tc>
        <w:tc>
          <w:tcPr>
            <w:tcW w:w="18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3 to 5 years</w:t>
            </w:r>
          </w:p>
        </w:tc>
        <w:tc>
          <w:tcPr>
            <w:tcW w:w="18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5 years</w:t>
            </w:r>
          </w:p>
        </w:tc>
      </w:tr>
      <w:tr>
        <w:trPr>
          <w:trHeight w:val="250"/>
        </w:trPr>
        <w:tc>
          <w:tcPr>
            <w:tcW w:w="5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Research and development contract obligations(2)</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8"/>
                <w:szCs w:val="18"/>
                <w:color w:val="auto"/>
              </w:rPr>
              <w:t>Total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20,603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13,292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8890</wp:posOffset>
            </wp:positionV>
            <wp:extent cx="391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 w:lineRule="exact"/>
        <w:rPr>
          <w:sz w:val="20"/>
          <w:szCs w:val="20"/>
          <w:color w:val="auto"/>
        </w:rPr>
      </w:pPr>
    </w:p>
    <w:p>
      <w:pPr>
        <w:ind w:right="240" w:firstLine="8"/>
        <w:spacing w:after="0" w:line="220" w:lineRule="exact"/>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future minimum lease payments under non</w:t>
      </w:r>
      <w:r>
        <w:rPr>
          <w:rFonts w:ascii="MS PGothic" w:cs="MS PGothic" w:eastAsia="MS PGothic" w:hAnsi="MS PGothic"/>
          <w:sz w:val="18"/>
          <w:szCs w:val="18"/>
          <w:color w:val="auto"/>
        </w:rPr>
        <w:t>‑</w:t>
      </w:r>
      <w:r>
        <w:rPr>
          <w:rFonts w:ascii="Arial" w:cs="Arial" w:eastAsia="Arial" w:hAnsi="Arial"/>
          <w:sz w:val="18"/>
          <w:szCs w:val="18"/>
          <w:color w:val="auto"/>
        </w:rPr>
        <w:t>cancellable operating leases in effect as of September 30, 2016, including the remaining lease payments for our current facilities in Watertown, Massachusetts. In August 2016, the Company signed an amendment to the operating lease, which extends the lease term of the Company's laboratory and office space through March 31, 2020. The minimum lease payments above do not include common area maintenance charges, real estate taxes or any sublease payments we receive.</w:t>
      </w:r>
    </w:p>
    <w:p>
      <w:pPr>
        <w:spacing w:after="0" w:line="163" w:lineRule="exact"/>
        <w:rPr>
          <w:rFonts w:ascii="Arial" w:cs="Arial" w:eastAsia="Arial" w:hAnsi="Arial"/>
          <w:sz w:val="18"/>
          <w:szCs w:val="18"/>
          <w:color w:val="auto"/>
        </w:rPr>
      </w:pPr>
    </w:p>
    <w:p>
      <w:pPr>
        <w:ind w:right="120" w:firstLine="8"/>
        <w:spacing w:after="0" w:line="259"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the purposes of presenting our contractual obligations under the MIT agreement, we have assumed license payments are fully offset by royalty payments in 2020.</w:t>
      </w:r>
    </w:p>
    <w:p>
      <w:pPr>
        <w:spacing w:after="0" w:line="146"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payments of principal and interest under our credit facility assuming $12.0 million of borrowings and no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-1450975</wp:posOffset>
            </wp:positionV>
            <wp:extent cx="3910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5" w:lineRule="exact"/>
        <w:rPr>
          <w:sz w:val="20"/>
          <w:szCs w:val="20"/>
          <w:color w:val="auto"/>
        </w:rPr>
      </w:pPr>
    </w:p>
    <w:p>
      <w:pPr>
        <w:ind w:right="80"/>
        <w:spacing w:after="0" w:line="220" w:lineRule="exact"/>
        <w:rPr>
          <w:sz w:val="20"/>
          <w:szCs w:val="20"/>
          <w:color w:val="auto"/>
        </w:rPr>
      </w:pPr>
      <w:r>
        <w:rPr>
          <w:rFonts w:ascii="Arial" w:cs="Arial" w:eastAsia="Arial" w:hAnsi="Arial"/>
          <w:sz w:val="16"/>
          <w:szCs w:val="16"/>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certain intellectual property, including our license agreement with MIT. We have excluded these potential payments in the contractual obligations table because the timing and likelihood of these contingent payments are not known.</w:t>
      </w:r>
    </w:p>
    <w:p>
      <w:pPr>
        <w:spacing w:after="0" w:line="203" w:lineRule="exact"/>
        <w:rPr>
          <w:sz w:val="20"/>
          <w:szCs w:val="20"/>
          <w:color w:val="auto"/>
        </w:rPr>
      </w:pPr>
    </w:p>
    <w:p>
      <w:pPr>
        <w:ind w:right="340"/>
        <w:spacing w:after="0" w:line="219" w:lineRule="exact"/>
        <w:rPr>
          <w:sz w:val="20"/>
          <w:szCs w:val="20"/>
          <w:color w:val="auto"/>
        </w:rPr>
      </w:pPr>
      <w:r>
        <w:rPr>
          <w:rFonts w:ascii="Arial" w:cs="Arial" w:eastAsia="Arial" w:hAnsi="Arial"/>
          <w:sz w:val="18"/>
          <w:szCs w:val="18"/>
          <w:color w:val="auto"/>
        </w:rPr>
        <w:t>We enter into agreements in the normal course of business with manufacturers and CROs for clinical trials, preclinical research studies and testing, manufacturing and other services and products for operating purposes. As of September 30, 2016, we had approximately $11.3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w:t>
      </w:r>
      <w:r>
        <w:rPr>
          <w:rFonts w:ascii="MS PGothic" w:cs="MS PGothic" w:eastAsia="MS PGothic" w:hAnsi="MS PGothic"/>
          <w:sz w:val="18"/>
          <w:szCs w:val="18"/>
          <w:color w:val="auto"/>
        </w:rPr>
        <w:t>‑</w:t>
      </w:r>
      <w:r>
        <w:rPr>
          <w:rFonts w:ascii="Arial" w:cs="Arial" w:eastAsia="Arial" w:hAnsi="Arial"/>
          <w:sz w:val="18"/>
          <w:szCs w:val="18"/>
          <w:color w:val="auto"/>
        </w:rPr>
        <w:t>cancelable obligations under these agreements are not material.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2016, there have been no other material changes to our contractual obligations other than those described above.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critical accounting policies that we believe impact significant judgments and estimates used in the preparation of our financial statements presented in this report are described under the heading “Management’s discussion and analysis of financial condition and results of operations—Critical accounting policies and use of estimates” in our final prospectus for our initial public offering filed pursuant to Rule 424(b)(4) under the Securities Act with the SEC on June 23, 2016 and the notes to the financial statements appearing elsewhere in this Quarterly Report on Form 10-Q. There have been no material changes to our critical accounting policies through September 30, 2016 from those discussed in our final prospectus filed on June 23, 2016.</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VALUATION</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We granted warrants to purchase shares of our series D preferred stock and series E preferred stock to the lenders under our loan and security agreement dated August 9, 2013, as amended on May 9, 2014, and as amended and restated on December 31, 2015. Prior to our IPO, these warrants were classified as a liability as the warrants are free</w:t>
      </w:r>
      <w:r>
        <w:rPr>
          <w:rFonts w:ascii="MS PGothic" w:cs="MS PGothic" w:eastAsia="MS PGothic" w:hAnsi="MS PGothic"/>
          <w:sz w:val="17"/>
          <w:szCs w:val="17"/>
          <w:color w:val="auto"/>
        </w:rPr>
        <w:t>‑</w:t>
      </w:r>
      <w:r>
        <w:rPr>
          <w:rFonts w:ascii="Arial" w:cs="Arial" w:eastAsia="Arial" w:hAnsi="Arial"/>
          <w:sz w:val="17"/>
          <w:szCs w:val="17"/>
          <w:color w:val="auto"/>
        </w:rPr>
        <w:t>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w:t>
      </w:r>
    </w:p>
    <w:p>
      <w:pPr>
        <w:spacing w:after="0" w:line="205" w:lineRule="exact"/>
        <w:rPr>
          <w:sz w:val="20"/>
          <w:szCs w:val="20"/>
          <w:color w:val="auto"/>
        </w:rPr>
      </w:pPr>
    </w:p>
    <w:p>
      <w:pPr>
        <w:ind w:right="100"/>
        <w:spacing w:after="0" w:line="217" w:lineRule="exact"/>
        <w:rPr>
          <w:sz w:val="20"/>
          <w:szCs w:val="20"/>
          <w:color w:val="auto"/>
        </w:rPr>
      </w:pPr>
      <w:r>
        <w:rPr>
          <w:rFonts w:ascii="Arial" w:cs="Arial" w:eastAsia="Arial" w:hAnsi="Arial"/>
          <w:sz w:val="16"/>
          <w:szCs w:val="16"/>
          <w:color w:val="auto"/>
        </w:rPr>
        <w:t>The fair value of the warrants are estimated using Black</w:t>
      </w:r>
      <w:r>
        <w:rPr>
          <w:rFonts w:ascii="MS PGothic" w:cs="MS PGothic" w:eastAsia="MS PGothic" w:hAnsi="MS PGothic"/>
          <w:sz w:val="16"/>
          <w:szCs w:val="16"/>
          <w:color w:val="auto"/>
        </w:rPr>
        <w:t>‑</w:t>
      </w:r>
      <w:r>
        <w:rPr>
          <w:rFonts w:ascii="Arial" w:cs="Arial" w:eastAsia="Arial" w:hAnsi="Arial"/>
          <w:sz w:val="16"/>
          <w:szCs w:val="16"/>
          <w:color w:val="auto"/>
        </w:rPr>
        <w:t>Scholes,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w:t>
      </w:r>
      <w:r>
        <w:rPr>
          <w:rFonts w:ascii="MS PGothic" w:cs="MS PGothic" w:eastAsia="MS PGothic" w:hAnsi="MS PGothic"/>
          <w:sz w:val="16"/>
          <w:szCs w:val="16"/>
          <w:color w:val="auto"/>
        </w:rPr>
        <w:t>‑</w:t>
      </w:r>
      <w:r>
        <w:rPr>
          <w:rFonts w:ascii="Arial" w:cs="Arial" w:eastAsia="Arial" w:hAnsi="Arial"/>
          <w:sz w:val="16"/>
          <w:szCs w:val="16"/>
          <w:color w:val="auto"/>
        </w:rPr>
        <w:t>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w:t>
      </w:r>
      <w:r>
        <w:rPr>
          <w:rFonts w:ascii="MS PGothic" w:cs="MS PGothic" w:eastAsia="MS PGothic" w:hAnsi="MS PGothic"/>
          <w:sz w:val="16"/>
          <w:szCs w:val="16"/>
          <w:color w:val="auto"/>
        </w:rPr>
        <w:t>‑</w:t>
      </w:r>
      <w:r>
        <w:rPr>
          <w:rFonts w:ascii="Arial" w:cs="Arial" w:eastAsia="Arial" w:hAnsi="Arial"/>
          <w:sz w:val="16"/>
          <w:szCs w:val="16"/>
          <w:color w:val="auto"/>
        </w:rPr>
        <w:t>party valuations and additional factors that we deem relevant. We have historically been a private company and lack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of our stock. Therefore, we estimate expected stock volatility based on the historical volatility of publicly traded comparable companies for a term equal to the remaining contractual term of the warrants.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207" w:lineRule="exact"/>
        <w:rPr>
          <w:sz w:val="20"/>
          <w:szCs w:val="20"/>
          <w:color w:val="auto"/>
        </w:rPr>
      </w:pPr>
    </w:p>
    <w:p>
      <w:pPr>
        <w:ind w:right="140"/>
        <w:spacing w:after="0" w:line="224" w:lineRule="exact"/>
        <w:rPr>
          <w:sz w:val="20"/>
          <w:szCs w:val="20"/>
          <w:color w:val="auto"/>
        </w:rPr>
      </w:pPr>
      <w:r>
        <w:rPr>
          <w:rFonts w:ascii="Arial" w:cs="Arial" w:eastAsia="Arial" w:hAnsi="Arial"/>
          <w:sz w:val="17"/>
          <w:szCs w:val="17"/>
          <w:color w:val="auto"/>
        </w:rPr>
        <w:t>Effective upon the IPO, the underlying redeemable convertible preferred stock were converted to common stock. The preferred warrants became exercisable into common stock instead of preferred stock and the fair value of the warrant liability was reclassified to additional paid</w:t>
      </w:r>
      <w:r>
        <w:rPr>
          <w:rFonts w:ascii="MS PGothic" w:cs="MS PGothic" w:eastAsia="MS PGothic" w:hAnsi="MS PGothic"/>
          <w:sz w:val="17"/>
          <w:szCs w:val="17"/>
          <w:color w:val="auto"/>
        </w:rPr>
        <w:t>‑</w:t>
      </w:r>
      <w:r>
        <w:rPr>
          <w:rFonts w:ascii="Arial" w:cs="Arial" w:eastAsia="Arial" w:hAnsi="Arial"/>
          <w:sz w:val="17"/>
          <w:szCs w:val="17"/>
          <w:color w:val="auto"/>
        </w:rPr>
        <w:t>in capital.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September 30, 2016, we did not have any off-balance sheet arrangements as defined in the rules and regulations of the Securities and Exchange Commission.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2015, we had net operating loss carryforwards, or NOLs, for federal and state income tax purposes of $82.4 million and $76.3 million, respectively, which expire at various times through 2035.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2035. At December 31, 2015, we had available federal and state research and development income tax credits of approximately $1.6 million and $1.1 million respectively, which may be available to reduce future income taxes, if any, at various times through 2035.</w:t>
      </w:r>
    </w:p>
    <w:p>
      <w:pPr>
        <w:spacing w:after="0" w:line="178"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w:t>
      </w:r>
      <w:r>
        <w:rPr>
          <w:rFonts w:ascii="MS PGothic" w:cs="MS PGothic" w:eastAsia="MS PGothic" w:hAnsi="MS PGothic"/>
          <w:sz w:val="17"/>
          <w:szCs w:val="17"/>
          <w:color w:val="auto"/>
        </w:rPr>
        <w:t>‑</w:t>
      </w:r>
      <w:r>
        <w:rPr>
          <w:rFonts w:ascii="Arial" w:cs="Arial" w:eastAsia="Arial" w:hAnsi="Arial"/>
          <w:sz w:val="17"/>
          <w:szCs w:val="17"/>
          <w:color w:val="auto"/>
        </w:rPr>
        <w:t>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May 2014, FASB issued Accounting Standards Update, or ASU, No. 2014</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or ASU 2014</w:t>
      </w:r>
      <w:r>
        <w:rPr>
          <w:rFonts w:ascii="MS PGothic" w:cs="MS PGothic" w:eastAsia="MS PGothic" w:hAnsi="MS PGothic"/>
          <w:sz w:val="16"/>
          <w:szCs w:val="16"/>
          <w:color w:val="auto"/>
        </w:rPr>
        <w:t>‑</w:t>
      </w:r>
      <w:r>
        <w:rPr>
          <w:rFonts w:ascii="Arial" w:cs="Arial" w:eastAsia="Arial" w:hAnsi="Arial"/>
          <w:sz w:val="16"/>
          <w:szCs w:val="16"/>
          <w:color w:val="auto"/>
        </w:rPr>
        <w:t>09, which amends the guidance for revenue recognition to replace numerous industry</w:t>
      </w:r>
      <w:r>
        <w:rPr>
          <w:rFonts w:ascii="MS PGothic" w:cs="MS PGothic" w:eastAsia="MS PGothic" w:hAnsi="MS PGothic"/>
          <w:sz w:val="16"/>
          <w:szCs w:val="16"/>
          <w:color w:val="auto"/>
        </w:rPr>
        <w:t>‑</w:t>
      </w:r>
      <w:r>
        <w:rPr>
          <w:rFonts w:ascii="Arial" w:cs="Arial" w:eastAsia="Arial" w:hAnsi="Arial"/>
          <w:sz w:val="16"/>
          <w:szCs w:val="16"/>
          <w:color w:val="auto"/>
        </w:rPr>
        <w:t>specific requirements. ASU 2014</w:t>
      </w:r>
      <w:r>
        <w:rPr>
          <w:rFonts w:ascii="MS PGothic" w:cs="MS PGothic" w:eastAsia="MS PGothic" w:hAnsi="MS PGothic"/>
          <w:sz w:val="16"/>
          <w:szCs w:val="16"/>
          <w:color w:val="auto"/>
        </w:rPr>
        <w:t>‑</w:t>
      </w:r>
      <w:r>
        <w:rPr>
          <w:rFonts w:ascii="Arial" w:cs="Arial" w:eastAsia="Arial" w:hAnsi="Arial"/>
          <w:sz w:val="16"/>
          <w:szCs w:val="16"/>
          <w:color w:val="auto"/>
        </w:rPr>
        <w:t>09 implements a five</w:t>
      </w:r>
      <w:r>
        <w:rPr>
          <w:rFonts w:ascii="MS PGothic" w:cs="MS PGothic" w:eastAsia="MS PGothic" w:hAnsi="MS PGothic"/>
          <w:sz w:val="16"/>
          <w:szCs w:val="16"/>
          <w:color w:val="auto"/>
        </w:rPr>
        <w:t>‑</w:t>
      </w:r>
      <w:r>
        <w:rPr>
          <w:rFonts w:ascii="Arial" w:cs="Arial" w:eastAsia="Arial" w:hAnsi="Arial"/>
          <w:sz w:val="16"/>
          <w:szCs w:val="16"/>
          <w:color w:val="auto"/>
        </w:rPr>
        <w:t>step process for customer contract revenue recognition that focuses on transfer of control, as opposed to transfer of risk and rewards. ASU 2014</w:t>
      </w:r>
      <w:r>
        <w:rPr>
          <w:rFonts w:ascii="MS PGothic" w:cs="MS PGothic" w:eastAsia="MS PGothic" w:hAnsi="MS PGothic"/>
          <w:sz w:val="16"/>
          <w:szCs w:val="16"/>
          <w:color w:val="auto"/>
        </w:rPr>
        <w:t>‑</w:t>
      </w:r>
      <w:r>
        <w:rPr>
          <w:rFonts w:ascii="Arial" w:cs="Arial" w:eastAsia="Arial" w:hAnsi="Arial"/>
          <w:sz w:val="16"/>
          <w:szCs w:val="16"/>
          <w:color w:val="auto"/>
        </w:rPr>
        <w:t>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w:t>
      </w:r>
      <w:r>
        <w:rPr>
          <w:rFonts w:ascii="MS PGothic" w:cs="MS PGothic" w:eastAsia="MS PGothic" w:hAnsi="MS PGothic"/>
          <w:sz w:val="16"/>
          <w:szCs w:val="16"/>
          <w:color w:val="auto"/>
        </w:rPr>
        <w:t>‑</w:t>
      </w:r>
      <w:r>
        <w:rPr>
          <w:rFonts w:ascii="Arial" w:cs="Arial" w:eastAsia="Arial" w:hAnsi="Arial"/>
          <w:sz w:val="16"/>
          <w:szCs w:val="16"/>
          <w:color w:val="auto"/>
        </w:rPr>
        <w:t>09 are effective for reporting periods beginning after December 15, 2017. Early adoption is permitted, but not before December 15, 2016. Entities can transition to the standard either retrospectively or as a cumulative</w:t>
      </w:r>
      <w:r>
        <w:rPr>
          <w:rFonts w:ascii="MS PGothic" w:cs="MS PGothic" w:eastAsia="MS PGothic" w:hAnsi="MS PGothic"/>
          <w:sz w:val="16"/>
          <w:szCs w:val="16"/>
          <w:color w:val="auto"/>
        </w:rPr>
        <w:t>‑</w:t>
      </w:r>
      <w:r>
        <w:rPr>
          <w:rFonts w:ascii="Arial" w:cs="Arial" w:eastAsia="Arial" w:hAnsi="Arial"/>
          <w:sz w:val="16"/>
          <w:szCs w:val="16"/>
          <w:color w:val="auto"/>
        </w:rPr>
        <w:t>effect adjustment as of the date of adoption. We are currently in the process of evaluating the effect the adoption of ASU 2014</w:t>
      </w:r>
      <w:r>
        <w:rPr>
          <w:rFonts w:ascii="MS PGothic" w:cs="MS PGothic" w:eastAsia="MS PGothic" w:hAnsi="MS PGothic"/>
          <w:sz w:val="16"/>
          <w:szCs w:val="16"/>
          <w:color w:val="auto"/>
        </w:rPr>
        <w:t>‑</w:t>
      </w:r>
      <w:r>
        <w:rPr>
          <w:rFonts w:ascii="Arial" w:cs="Arial" w:eastAsia="Arial" w:hAnsi="Arial"/>
          <w:sz w:val="16"/>
          <w:szCs w:val="16"/>
          <w:color w:val="auto"/>
        </w:rPr>
        <w:t>09 may have on our financial statements.</w:t>
      </w:r>
    </w:p>
    <w:p>
      <w:pPr>
        <w:spacing w:after="0" w:line="203"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In August 2014, the FASB issued ASU No. 2014</w:t>
      </w:r>
      <w:r>
        <w:rPr>
          <w:rFonts w:ascii="MS PGothic" w:cs="MS PGothic" w:eastAsia="MS PGothic" w:hAnsi="MS PGothic"/>
          <w:sz w:val="18"/>
          <w:szCs w:val="18"/>
          <w:color w:val="auto"/>
        </w:rPr>
        <w:t>‑</w:t>
      </w:r>
      <w:r>
        <w:rPr>
          <w:rFonts w:ascii="Arial" w:cs="Arial" w:eastAsia="Arial" w:hAnsi="Arial"/>
          <w:sz w:val="18"/>
          <w:szCs w:val="18"/>
          <w:color w:val="auto"/>
        </w:rPr>
        <w:t xml:space="preserve">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or ASU 2014</w:t>
      </w:r>
      <w:r>
        <w:rPr>
          <w:rFonts w:ascii="MS PGothic" w:cs="MS PGothic" w:eastAsia="MS PGothic" w:hAnsi="MS PGothic"/>
          <w:sz w:val="18"/>
          <w:szCs w:val="18"/>
          <w:color w:val="auto"/>
        </w:rPr>
        <w:t>‑</w:t>
      </w:r>
      <w:r>
        <w:rPr>
          <w:rFonts w:ascii="Arial" w:cs="Arial" w:eastAsia="Arial" w:hAnsi="Arial"/>
          <w:sz w:val="18"/>
          <w:szCs w:val="18"/>
          <w:color w:val="auto"/>
        </w:rPr>
        <w:t>15. ASU 2014</w:t>
      </w:r>
      <w:r>
        <w:rPr>
          <w:rFonts w:ascii="MS PGothic" w:cs="MS PGothic" w:eastAsia="MS PGothic" w:hAnsi="MS PGothic"/>
          <w:sz w:val="18"/>
          <w:szCs w:val="18"/>
          <w:color w:val="auto"/>
        </w:rPr>
        <w:t>‑</w:t>
      </w:r>
      <w:r>
        <w:rPr>
          <w:rFonts w:ascii="Arial" w:cs="Arial" w:eastAsia="Arial" w:hAnsi="Arial"/>
          <w:sz w:val="18"/>
          <w:szCs w:val="18"/>
          <w:color w:val="auto"/>
        </w:rPr>
        <w:t>15 requires management to assess our ability to continue as a going concern and to provide related disclosures in certain circumstances. The requirements of ASU 2014</w:t>
      </w:r>
      <w:r>
        <w:rPr>
          <w:rFonts w:ascii="MS PGothic" w:cs="MS PGothic" w:eastAsia="MS PGothic" w:hAnsi="MS PGothic"/>
          <w:sz w:val="18"/>
          <w:szCs w:val="18"/>
          <w:color w:val="auto"/>
        </w:rPr>
        <w:t>‑</w:t>
      </w:r>
      <w:r>
        <w:rPr>
          <w:rFonts w:ascii="Arial" w:cs="Arial" w:eastAsia="Arial" w:hAnsi="Arial"/>
          <w:sz w:val="18"/>
          <w:szCs w:val="18"/>
          <w:color w:val="auto"/>
        </w:rPr>
        <w:t>15 will be effective for the annual financial statement period beginning after December 15, 2016, with early adoption permitted. We are currently in the process of evaluating the impact of adopting ASU 2014</w:t>
      </w:r>
      <w:r>
        <w:rPr>
          <w:rFonts w:ascii="MS PGothic" w:cs="MS PGothic" w:eastAsia="MS PGothic" w:hAnsi="MS PGothic"/>
          <w:sz w:val="18"/>
          <w:szCs w:val="18"/>
          <w:color w:val="auto"/>
        </w:rPr>
        <w:t>‑</w:t>
      </w:r>
      <w:r>
        <w:rPr>
          <w:rFonts w:ascii="Arial" w:cs="Arial" w:eastAsia="Arial" w:hAnsi="Arial"/>
          <w:sz w:val="18"/>
          <w:szCs w:val="18"/>
          <w:color w:val="auto"/>
        </w:rPr>
        <w:t>15.</w:t>
      </w:r>
    </w:p>
    <w:p>
      <w:pPr>
        <w:spacing w:after="0" w:line="20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In February 2016, FASB issued ASU No. 2016</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w:t>
      </w:r>
      <w:r>
        <w:rPr>
          <w:rFonts w:ascii="MS PGothic" w:cs="MS PGothic" w:eastAsia="MS PGothic" w:hAnsi="MS PGothic"/>
          <w:sz w:val="16"/>
          <w:szCs w:val="16"/>
          <w:color w:val="auto"/>
        </w:rPr>
        <w:t>‑</w:t>
      </w:r>
      <w:r>
        <w:rPr>
          <w:rFonts w:ascii="Arial" w:cs="Arial" w:eastAsia="Arial" w:hAnsi="Arial"/>
          <w:sz w:val="16"/>
          <w:szCs w:val="16"/>
          <w:color w:val="auto"/>
        </w:rPr>
        <w:t>02”). ASU 2016</w:t>
      </w:r>
      <w:r>
        <w:rPr>
          <w:rFonts w:ascii="MS PGothic" w:cs="MS PGothic" w:eastAsia="MS PGothic" w:hAnsi="MS PGothic"/>
          <w:sz w:val="16"/>
          <w:szCs w:val="16"/>
          <w:color w:val="auto"/>
        </w:rPr>
        <w:t>‑</w:t>
      </w:r>
      <w:r>
        <w:rPr>
          <w:rFonts w:ascii="Arial" w:cs="Arial" w:eastAsia="Arial" w:hAnsi="Arial"/>
          <w:sz w:val="16"/>
          <w:szCs w:val="16"/>
          <w:color w:val="auto"/>
        </w:rPr>
        <w:t>02 requires a lessee to separate the lease components from the</w:t>
      </w:r>
    </w:p>
    <w:p>
      <w:pPr>
        <w:spacing w:after="0" w:line="4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lease components in a contract and recognize in the statement of financial position a liability to make lease payments (the lease liability) and a</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 representing its right to use the underlying asset for the lease term. It also aligns lease accounting for lessors with the revenue recognition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guidance in ASU 2014</w:t>
      </w:r>
      <w:r>
        <w:rPr>
          <w:rFonts w:ascii="MS PGothic" w:cs="MS PGothic" w:eastAsia="MS PGothic" w:hAnsi="MS PGothic"/>
          <w:sz w:val="16"/>
          <w:szCs w:val="16"/>
          <w:color w:val="auto"/>
        </w:rPr>
        <w:t>‑</w:t>
      </w:r>
      <w:r>
        <w:rPr>
          <w:rFonts w:ascii="Arial" w:cs="Arial" w:eastAsia="Arial" w:hAnsi="Arial"/>
          <w:sz w:val="16"/>
          <w:szCs w:val="16"/>
          <w:color w:val="auto"/>
        </w:rPr>
        <w:t>09. ASU 2016</w:t>
      </w:r>
      <w:r>
        <w:rPr>
          <w:rFonts w:ascii="MS PGothic" w:cs="MS PGothic" w:eastAsia="MS PGothic" w:hAnsi="MS PGothic"/>
          <w:sz w:val="16"/>
          <w:szCs w:val="16"/>
          <w:color w:val="auto"/>
        </w:rPr>
        <w:t>‑</w:t>
      </w:r>
      <w:r>
        <w:rPr>
          <w:rFonts w:ascii="Arial" w:cs="Arial" w:eastAsia="Arial" w:hAnsi="Arial"/>
          <w:sz w:val="16"/>
          <w:szCs w:val="16"/>
          <w:color w:val="auto"/>
        </w:rPr>
        <w:t>02 is effective for fiscal years beginning after December 15, 2018, including interim periods within those fiscal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is to be applied at the beginning of the earliest period presented using a modified retrospective approach. We are currently in the process of evaluating the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impact of adopting ASU 2016</w:t>
      </w:r>
      <w:r>
        <w:rPr>
          <w:rFonts w:ascii="MS PGothic" w:cs="MS PGothic" w:eastAsia="MS PGothic" w:hAnsi="MS PGothic"/>
          <w:sz w:val="18"/>
          <w:szCs w:val="18"/>
          <w:color w:val="auto"/>
        </w:rPr>
        <w:t>‑</w:t>
      </w:r>
      <w:r>
        <w:rPr>
          <w:rFonts w:ascii="Arial" w:cs="Arial" w:eastAsia="Arial" w:hAnsi="Arial"/>
          <w:sz w:val="18"/>
          <w:szCs w:val="18"/>
          <w:color w:val="auto"/>
        </w:rPr>
        <w:t>02.</w:t>
      </w:r>
    </w:p>
    <w:p>
      <w:pPr>
        <w:spacing w:after="0" w:line="21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March 2016, the FASB issued ASU 2016-09, Improvements to Employee Share-Based Payment Accounting,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We are evaluating the impact that the adoption of this standard will have on our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80"/>
        <w:spacing w:after="0" w:line="219" w:lineRule="exact"/>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September 30, 2016 and December 31, 2015, we had cash equivalents of $59.5 million and $32.3 million, respectively, consisting of non</w:t>
      </w:r>
      <w:r>
        <w:rPr>
          <w:rFonts w:ascii="MS PGothic" w:cs="MS PGothic" w:eastAsia="MS PGothic" w:hAnsi="MS PGothic"/>
          <w:sz w:val="16"/>
          <w:szCs w:val="16"/>
          <w:color w:val="auto"/>
        </w:rPr>
        <w:t>‑</w:t>
      </w:r>
      <w:r>
        <w:rPr>
          <w:rFonts w:ascii="Arial" w:cs="Arial" w:eastAsia="Arial" w:hAnsi="Arial"/>
          <w:sz w:val="16"/>
          <w:szCs w:val="16"/>
          <w:color w:val="auto"/>
        </w:rPr>
        <w:t>interest and interest</w:t>
      </w:r>
      <w:r>
        <w:rPr>
          <w:rFonts w:ascii="MS PGothic" w:cs="MS PGothic" w:eastAsia="MS PGothic" w:hAnsi="MS PGothic"/>
          <w:sz w:val="16"/>
          <w:szCs w:val="16"/>
          <w:color w:val="auto"/>
        </w:rPr>
        <w:t>‑</w:t>
      </w:r>
      <w:r>
        <w:rPr>
          <w:rFonts w:ascii="Arial" w:cs="Arial" w:eastAsia="Arial" w:hAnsi="Arial"/>
          <w:sz w:val="16"/>
          <w:szCs w:val="16"/>
          <w:color w:val="auto"/>
        </w:rPr>
        <w:t>bearing money market accounts, repurchase agreements,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6"/>
          <w:szCs w:val="16"/>
          <w:color w:val="auto"/>
        </w:rPr>
        <w:t>‑</w:t>
      </w:r>
      <w:r>
        <w:rPr>
          <w:rFonts w:ascii="Arial" w:cs="Arial" w:eastAsia="Arial" w:hAnsi="Arial"/>
          <w:sz w:val="16"/>
          <w:szCs w:val="16"/>
          <w:color w:val="auto"/>
        </w:rPr>
        <w:t>term and the low risk profile of our money market accounts and investments, and our current plan to hold investments to maturity, an immediate 100</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basis point change in interest rates would not have a material effect on the fair market value of our cash equivalents or short-term investments.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we are subject to currency risk for balances held in rubles in our foreign subsidiary. We hold portions of our funds in both U.S. dollars and rubles. The exchange rate between the U.S. dollar and ruble changes from period to period. At September 30, 2016, we held $3.1 million of total cash in Russian banks to support our Russian subsidiary, which includes $2.8 million of cash and cash equivalents and $0.3 million of restricted cash, of which $2.8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2016.</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September 30, 2016 that has materially affected, or is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00" w:lineRule="exact"/>
        <w:rPr>
          <w:sz w:val="20"/>
          <w:szCs w:val="20"/>
          <w:color w:val="auto"/>
        </w:rPr>
      </w:pPr>
    </w:p>
    <w:p>
      <w:pPr>
        <w:spacing w:after="0" w:line="245"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 was $22.1 million for the nine months ended September 30, 2016, and $25.2 million and $12.9 million for the years ended December 31, 2015 and 2014, respectively. As of September 30, 2016, we had an accumulated deficit of $137.5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In November 2016 we received written notice from Sanofi that Sanofi has elected to terminate in its entirety our license and research collaboration agreement with Sanofi, or the Sanofi Agreement, and as a result we do not expect to receive any future payments related to the Sanofi Agreement.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394" w:lineRule="exact"/>
        <w:rPr>
          <w:sz w:val="20"/>
          <w:szCs w:val="20"/>
          <w:color w:val="auto"/>
        </w:rPr>
      </w:pPr>
    </w:p>
    <w:p>
      <w:pPr>
        <w:ind w:left="240" w:hanging="232"/>
        <w:spacing w:after="0" w:line="207" w:lineRule="exact"/>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scale up external manufacturing capabilities to commercialize any products for which we may obtain regulatory approval;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86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363" w:lineRule="exact"/>
        <w:rPr>
          <w:sz w:val="20"/>
          <w:szCs w:val="20"/>
          <w:color w:val="auto"/>
        </w:rPr>
      </w:pPr>
    </w:p>
    <w:p>
      <w:pPr>
        <w:ind w:left="340" w:right="140" w:hanging="251"/>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3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200" w:lineRule="exact"/>
        <w:rPr>
          <w:sz w:val="20"/>
          <w:szCs w:val="20"/>
          <w:color w:val="auto"/>
        </w:rPr>
      </w:pPr>
    </w:p>
    <w:p>
      <w:pPr>
        <w:spacing w:after="0" w:line="20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3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39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w:t>
      </w:r>
    </w:p>
    <w:p>
      <w:pPr>
        <w:spacing w:after="0" w:line="3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ectPr>
          <w:pgSz w:w="11900" w:h="16838" w:orient="portrait"/>
          <w:cols w:equalWidth="0" w:num="1">
            <w:col w:w="11380"/>
          </w:cols>
          <w:pgMar w:left="240" w:top="125" w:right="279" w:bottom="352"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125" w:right="279" w:bottom="352"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200" w:lineRule="exact"/>
        <w:rPr>
          <w:sz w:val="20"/>
          <w:szCs w:val="20"/>
          <w:color w:val="auto"/>
        </w:rPr>
      </w:pPr>
    </w:p>
    <w:p>
      <w:pPr>
        <w:spacing w:after="0" w:line="2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believe that our existing cash, cash equivalents and investments, and funding that we expect to receive under our existing collaborations will enable us to fund our operating expenses and capital expenditure requirements into the first quarter of 2018. We have based this estimate on assumptions that may prove to be wrong, and we could use our capital resources sooner than we currently expect. Our future capital requirements will depend on many factors, including:</w:t>
      </w:r>
    </w:p>
    <w:p>
      <w:pPr>
        <w:spacing w:after="0" w:line="363" w:lineRule="exact"/>
        <w:rPr>
          <w:sz w:val="20"/>
          <w:szCs w:val="20"/>
          <w:color w:val="auto"/>
        </w:rPr>
      </w:pPr>
    </w:p>
    <w:p>
      <w:pPr>
        <w:ind w:left="240" w:hanging="232"/>
        <w:spacing w:after="0" w:line="207" w:lineRule="exact"/>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387"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0" w:lineRule="exact"/>
        <w:rPr>
          <w:sz w:val="20"/>
          <w:szCs w:val="20"/>
          <w:color w:val="auto"/>
        </w:rPr>
      </w:pPr>
    </w:p>
    <w:p>
      <w:pPr>
        <w:spacing w:after="0" w:line="21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ectPr>
          <w:pgSz w:w="11900" w:h="16838" w:orient="portrait"/>
          <w:cols w:equalWidth="0" w:num="1">
            <w:col w:w="11420"/>
          </w:cols>
          <w:pgMar w:left="240" w:top="125" w:right="239" w:bottom="352"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352"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Revenues from research and development activities in collaboration with Sanofi represent a significant portion of our revenues and the loss of these revenues may adversely affect our business and our liquidity.</w:t>
      </w:r>
    </w:p>
    <w:p>
      <w:pPr>
        <w:spacing w:after="0" w:line="3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Revenues from research and development activities under the Sanofi Agreement were a significant source of revenues in 2015 and for the nine months ended September 30, 2016. In November 2016 we received written notice from Sanofi that Sanofi has elected to terminate in its entirety the Sanofi Agreement. The termination of the Sanofi Agreement will be effective on May 8, 2017, which is six months from the date of the notice. The loss of revenue derived from research and development activities under the Sanfoi Agreement may adversely affect our business and our liquidity. In addition, Sanofi's termination of this agreement could adversely affect our reputation.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spacing w:after="0" w:line="253"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w:t>
      </w:r>
      <w:r>
        <w:rPr>
          <w:rFonts w:ascii="MS PGothic" w:cs="MS PGothic" w:eastAsia="MS PGothic" w:hAnsi="MS PGothic"/>
          <w:sz w:val="17"/>
          <w:szCs w:val="17"/>
          <w:color w:val="auto"/>
        </w:rPr>
        <w:t>‑</w:t>
      </w:r>
      <w:r>
        <w:rPr>
          <w:rFonts w:ascii="Arial" w:cs="Arial" w:eastAsia="Arial" w:hAnsi="Arial"/>
          <w:sz w:val="17"/>
          <w:szCs w:val="17"/>
          <w:color w:val="auto"/>
        </w:rPr>
        <w:t>212, are still in preclinical development. We completed the patient treatment portion of our Phase 1a clinical trial of pegsiticase, a component of SEL</w:t>
      </w:r>
      <w:r>
        <w:rPr>
          <w:rFonts w:ascii="MS PGothic" w:cs="MS PGothic" w:eastAsia="MS PGothic" w:hAnsi="MS PGothic"/>
          <w:sz w:val="17"/>
          <w:szCs w:val="17"/>
          <w:color w:val="auto"/>
        </w:rPr>
        <w:t>‑</w:t>
      </w:r>
      <w:r>
        <w:rPr>
          <w:rFonts w:ascii="Arial" w:cs="Arial" w:eastAsia="Arial" w:hAnsi="Arial"/>
          <w:sz w:val="17"/>
          <w:szCs w:val="17"/>
          <w:color w:val="auto"/>
        </w:rPr>
        <w:t>212, our lead product candidate, but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candidates. We initiated our Phase 2 clinical trial of SEL</w:t>
      </w:r>
      <w:r>
        <w:rPr>
          <w:rFonts w:ascii="MS PGothic" w:cs="MS PGothic" w:eastAsia="MS PGothic" w:hAnsi="MS PGothic"/>
          <w:sz w:val="17"/>
          <w:szCs w:val="17"/>
          <w:color w:val="auto"/>
        </w:rPr>
        <w:t>‑</w:t>
      </w:r>
      <w:r>
        <w:rPr>
          <w:rFonts w:ascii="Arial" w:cs="Arial" w:eastAsia="Arial" w:hAnsi="Arial"/>
          <w:sz w:val="17"/>
          <w:szCs w:val="17"/>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387" w:lineRule="exact"/>
        <w:rPr>
          <w:sz w:val="20"/>
          <w:szCs w:val="20"/>
          <w:color w:val="auto"/>
        </w:rPr>
      </w:pPr>
    </w:p>
    <w:p>
      <w:pPr>
        <w:ind w:right="40"/>
        <w:spacing w:after="0" w:line="219" w:lineRule="exact"/>
        <w:rPr>
          <w:sz w:val="20"/>
          <w:szCs w:val="20"/>
          <w:color w:val="auto"/>
        </w:rPr>
      </w:pPr>
      <w:r>
        <w:rPr>
          <w:rFonts w:ascii="Arial" w:cs="Arial" w:eastAsia="Arial" w:hAnsi="Arial"/>
          <w:sz w:val="16"/>
          <w:szCs w:val="16"/>
          <w:color w:val="auto"/>
        </w:rPr>
        <w:t>We have a $12.0 million credit facility with Oxford Finance LLC, or Oxford, and Pacific Western Bank, as successor in interest to Square 1 Bank, that is secured by a lien covering substantially all of our personal property, excluding intellectual property. As of September 30, 2016,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w:t>
      </w:r>
      <w:r>
        <w:rPr>
          <w:rFonts w:ascii="MS PGothic" w:cs="MS PGothic" w:eastAsia="MS PGothic" w:hAnsi="MS PGothic"/>
          <w:sz w:val="16"/>
          <w:szCs w:val="16"/>
          <w:color w:val="auto"/>
        </w:rPr>
        <w:t>‑</w:t>
      </w:r>
      <w:r>
        <w:rPr>
          <w:rFonts w:ascii="Arial" w:cs="Arial" w:eastAsia="Arial" w:hAnsi="Arial"/>
          <w:sz w:val="16"/>
          <w:szCs w:val="16"/>
          <w:color w:val="auto"/>
        </w:rPr>
        <w:t>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w:t>
      </w:r>
      <w:r>
        <w:rPr>
          <w:rFonts w:ascii="MS PGothic" w:cs="MS PGothic" w:eastAsia="MS PGothic" w:hAnsi="MS PGothic"/>
          <w:sz w:val="16"/>
          <w:szCs w:val="16"/>
          <w:color w:val="auto"/>
        </w:rPr>
        <w:t>‑</w:t>
      </w:r>
      <w:r>
        <w:rPr>
          <w:rFonts w:ascii="Arial" w:cs="Arial" w:eastAsia="Arial" w:hAnsi="Arial"/>
          <w:sz w:val="16"/>
          <w:szCs w:val="16"/>
          <w:color w:val="auto"/>
        </w:rPr>
        <w:t>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$3.1 million of total cash in Russian banks as of September 30, 2016, including $2.8 million of cash and cash equivalents and $0.3 million of restricted cash.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38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have net operating loss carryforwards, or NOLs, for federal and state income tax purposes which may be available to offset our future taxable income, if any. See “Part I. Financial Information—Item 2. Management’s Discussion and Analysis of Financial Condition and Results of Operations—Net Operating Loss and Research and Development Tax Credit Carryforwards.”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very early in our clinical development efforts and may not be successful in our efforts to use our SVP technology to build a pipeline of product candidates and develop marketable drugs.</w:t>
      </w:r>
    </w:p>
    <w:p>
      <w:pPr>
        <w:spacing w:after="0" w:line="38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are primarily using our SVP technology to improve and enable biologics that treat rare and serious diseases, with an initial focus on developing SEL</w:t>
      </w:r>
      <w:r>
        <w:rPr>
          <w:rFonts w:ascii="MS PGothic" w:cs="MS PGothic" w:eastAsia="MS PGothic" w:hAnsi="MS PGothic"/>
          <w:sz w:val="17"/>
          <w:szCs w:val="17"/>
          <w:color w:val="auto"/>
        </w:rPr>
        <w:t>‑</w:t>
      </w:r>
      <w:r>
        <w:rPr>
          <w:rFonts w:ascii="Arial" w:cs="Arial" w:eastAsia="Arial" w:hAnsi="Arial"/>
          <w:sz w:val="17"/>
          <w:szCs w:val="17"/>
          <w:color w:val="auto"/>
        </w:rPr>
        <w:t>212 for the treatment of refractory and chronic tophaceous gout. While we believe our preclinical and clinical data to date have validated our technology to a degree, we are at an early stage of development and our technology has not yet led to, and may never lead to, approvable or marketable drugs. We are developing additional product candidates to address the problem of anti</w:t>
      </w:r>
      <w:r>
        <w:rPr>
          <w:rFonts w:ascii="MS PGothic" w:cs="MS PGothic" w:eastAsia="MS PGothic" w:hAnsi="MS PGothic"/>
          <w:sz w:val="17"/>
          <w:szCs w:val="17"/>
          <w:color w:val="auto"/>
        </w:rPr>
        <w:t>‑</w:t>
      </w:r>
      <w:r>
        <w:rPr>
          <w:rFonts w:ascii="Arial" w:cs="Arial" w:eastAsia="Arial" w:hAnsi="Arial"/>
          <w:sz w:val="17"/>
          <w:szCs w:val="17"/>
          <w:color w:val="auto"/>
        </w:rPr>
        <w:t>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arrangements with third party manufacturers for, or establishing, commercial manufacturing capabilities, or --establishing such capabilities ourselves;</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entering into new collaborations throughout the development process as appropriate, from preclinical studies through to commercialization;</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ectPr>
          <w:pgSz w:w="11900" w:h="16838" w:orient="portrait"/>
          <w:cols w:equalWidth="0" w:num="1">
            <w:col w:w="11300"/>
          </w:cols>
          <w:pgMar w:left="240" w:top="125" w:right="359" w:bottom="568"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00"/>
          </w:cols>
          <w:pgMar w:left="240" w:top="125" w:right="359" w:bottom="568"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200" w:lineRule="exact"/>
        <w:rPr>
          <w:sz w:val="20"/>
          <w:szCs w:val="20"/>
          <w:color w:val="auto"/>
        </w:rPr>
      </w:pPr>
    </w:p>
    <w:p>
      <w:pPr>
        <w:spacing w:after="0" w:line="26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387" w:lineRule="exact"/>
        <w:rPr>
          <w:sz w:val="20"/>
          <w:szCs w:val="20"/>
          <w:color w:val="auto"/>
        </w:rPr>
      </w:pPr>
    </w:p>
    <w:p>
      <w:pPr>
        <w:ind w:right="480"/>
        <w:spacing w:after="0" w:line="223" w:lineRule="exact"/>
        <w:rPr>
          <w:sz w:val="20"/>
          <w:szCs w:val="20"/>
          <w:color w:val="auto"/>
        </w:rPr>
      </w:pPr>
      <w:r>
        <w:rPr>
          <w:rFonts w:ascii="Arial" w:cs="Arial" w:eastAsia="Arial" w:hAnsi="Arial"/>
          <w:sz w:val="18"/>
          <w:szCs w:val="18"/>
          <w:b w:val="1"/>
          <w:bCs w:val="1"/>
          <w:i w:val="1"/>
          <w:iCs w:val="1"/>
          <w:color w:val="auto"/>
        </w:rPr>
        <w:t>Our product candidates are based on our SVP technology,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or stimulate the immune system.</w:t>
      </w:r>
    </w:p>
    <w:p>
      <w:pPr>
        <w:spacing w:after="0" w:line="200" w:lineRule="exact"/>
        <w:rPr>
          <w:sz w:val="20"/>
          <w:szCs w:val="20"/>
          <w:color w:val="auto"/>
        </w:rPr>
      </w:pPr>
    </w:p>
    <w:p>
      <w:pPr>
        <w:spacing w:after="0" w:line="219" w:lineRule="exact"/>
        <w:rPr>
          <w:sz w:val="20"/>
          <w:szCs w:val="20"/>
          <w:color w:val="auto"/>
        </w:rPr>
      </w:pPr>
    </w:p>
    <w:p>
      <w:pPr>
        <w:ind w:right="160"/>
        <w:spacing w:after="0" w:line="220" w:lineRule="exact"/>
        <w:rPr>
          <w:sz w:val="20"/>
          <w:szCs w:val="20"/>
          <w:color w:val="auto"/>
        </w:rPr>
      </w:pPr>
      <w:r>
        <w:rPr>
          <w:rFonts w:ascii="Arial" w:cs="Arial" w:eastAsia="Arial" w:hAnsi="Arial"/>
          <w:sz w:val="16"/>
          <w:szCs w:val="16"/>
          <w:color w:val="auto"/>
        </w:rPr>
        <w:t>All of our product candidates are derived from our SVP technology, which is an unproven approach to inducing antigen</w:t>
      </w:r>
      <w:r>
        <w:rPr>
          <w:rFonts w:ascii="MS PGothic" w:cs="MS PGothic" w:eastAsia="MS PGothic" w:hAnsi="MS PGothic"/>
          <w:sz w:val="16"/>
          <w:szCs w:val="16"/>
          <w:color w:val="auto"/>
        </w:rPr>
        <w:t>‑</w:t>
      </w:r>
      <w:r>
        <w:rPr>
          <w:rFonts w:ascii="Arial" w:cs="Arial" w:eastAsia="Arial" w:hAnsi="Arial"/>
          <w:sz w:val="16"/>
          <w:szCs w:val="16"/>
          <w:color w:val="auto"/>
        </w:rPr>
        <w:t>specific tolerance or stimulating the immune system. In addition, SEL</w:t>
      </w:r>
      <w:r>
        <w:rPr>
          <w:rFonts w:ascii="MS PGothic" w:cs="MS PGothic" w:eastAsia="MS PGothic" w:hAnsi="MS PGothic"/>
          <w:sz w:val="16"/>
          <w:szCs w:val="16"/>
          <w:color w:val="auto"/>
        </w:rPr>
        <w:t>‑</w:t>
      </w:r>
      <w:r>
        <w:rPr>
          <w:rFonts w:ascii="Arial" w:cs="Arial" w:eastAsia="Arial" w:hAnsi="Arial"/>
          <w:sz w:val="16"/>
          <w:szCs w:val="16"/>
          <w:color w:val="auto"/>
        </w:rPr>
        <w:t>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200" w:lineRule="exact"/>
        <w:rPr>
          <w:sz w:val="20"/>
          <w:szCs w:val="20"/>
          <w:color w:val="auto"/>
        </w:rPr>
      </w:pPr>
    </w:p>
    <w:p>
      <w:pPr>
        <w:spacing w:after="0" w:line="220" w:lineRule="exact"/>
        <w:rPr>
          <w:sz w:val="20"/>
          <w:szCs w:val="20"/>
          <w:color w:val="auto"/>
        </w:rPr>
      </w:pPr>
    </w:p>
    <w:p>
      <w:pPr>
        <w:ind w:right="420"/>
        <w:spacing w:after="0" w:line="223" w:lineRule="exact"/>
        <w:rPr>
          <w:sz w:val="20"/>
          <w:szCs w:val="20"/>
          <w:color w:val="auto"/>
        </w:rPr>
      </w:pPr>
      <w:r>
        <w:rPr>
          <w:rFonts w:ascii="Arial" w:cs="Arial" w:eastAsia="Arial" w:hAnsi="Arial"/>
          <w:sz w:val="18"/>
          <w:szCs w:val="18"/>
          <w:color w:val="auto"/>
        </w:rPr>
        <w:t>As a result, we cannot be certain that our approach, or our development of SEL</w:t>
      </w:r>
      <w:r>
        <w:rPr>
          <w:rFonts w:ascii="MS PGothic" w:cs="MS PGothic" w:eastAsia="MS PGothic" w:hAnsi="MS PGothic"/>
          <w:sz w:val="18"/>
          <w:szCs w:val="18"/>
          <w:color w:val="auto"/>
        </w:rPr>
        <w:t>‑</w:t>
      </w:r>
      <w:r>
        <w:rPr>
          <w:rFonts w:ascii="Arial" w:cs="Arial" w:eastAsia="Arial" w:hAnsi="Arial"/>
          <w:sz w:val="18"/>
          <w:szCs w:val="18"/>
          <w:color w:val="auto"/>
        </w:rPr>
        <w:t>212, will lead to the development or approval of marketable products. In addition:</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due to the unproven nature of our SVP therapeutics, they may have different efficacy and safety rates in various indications;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60" w:hanging="332"/>
        <w:spacing w:after="0" w:line="221" w:lineRule="exact"/>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40" w:right="120" w:hanging="332"/>
        <w:spacing w:after="0" w:line="221" w:lineRule="exact"/>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of a biologics license application for SEL</w:t>
      </w:r>
      <w:r>
        <w:rPr>
          <w:rFonts w:ascii="MS PGothic" w:cs="MS PGothic" w:eastAsia="MS PGothic" w:hAnsi="MS PGothic"/>
          <w:sz w:val="18"/>
          <w:szCs w:val="18"/>
          <w:color w:val="auto"/>
        </w:rPr>
        <w:t>‑</w:t>
      </w:r>
      <w:r>
        <w:rPr>
          <w:rFonts w:ascii="Arial" w:cs="Arial" w:eastAsia="Arial" w:hAnsi="Arial"/>
          <w:sz w:val="18"/>
          <w:szCs w:val="18"/>
          <w:color w:val="auto"/>
        </w:rPr>
        <w:t>212 or another product and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00" w:lineRule="exact"/>
        <w:rPr>
          <w:sz w:val="20"/>
          <w:szCs w:val="20"/>
          <w:color w:val="auto"/>
        </w:rPr>
      </w:pPr>
    </w:p>
    <w:p>
      <w:pPr>
        <w:spacing w:after="0" w:line="24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387"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principally focused on SEL</w:t>
      </w:r>
      <w:r>
        <w:rPr>
          <w:rFonts w:ascii="MS PGothic" w:cs="MS PGothic" w:eastAsia="MS PGothic" w:hAnsi="MS PGothic"/>
          <w:sz w:val="16"/>
          <w:szCs w:val="16"/>
          <w:color w:val="auto"/>
        </w:rPr>
        <w:t>‑</w:t>
      </w:r>
      <w:r>
        <w:rPr>
          <w:rFonts w:ascii="Arial" w:cs="Arial" w:eastAsia="Arial" w:hAnsi="Arial"/>
          <w:sz w:val="16"/>
          <w:szCs w:val="16"/>
          <w:color w:val="auto"/>
        </w:rPr>
        <w:t>212. As a result, we may forego or delay our pursuit of opportunities with other product candidates or for other indications that later prove to have greater commercial potential. Our resource</w:t>
      </w:r>
      <w:r>
        <w:rPr>
          <w:rFonts w:ascii="MS PGothic" w:cs="MS PGothic" w:eastAsia="MS PGothic" w:hAnsi="MS PGothic"/>
          <w:sz w:val="16"/>
          <w:szCs w:val="16"/>
          <w:color w:val="auto"/>
        </w:rPr>
        <w:t>‑</w:t>
      </w:r>
      <w:r>
        <w:rPr>
          <w:rFonts w:ascii="Arial" w:cs="Arial" w:eastAsia="Arial" w:hAnsi="Arial"/>
          <w:sz w:val="16"/>
          <w:szCs w:val="16"/>
          <w:color w:val="auto"/>
        </w:rPr>
        <w:t>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200" w:lineRule="exact"/>
        <w:rPr>
          <w:sz w:val="20"/>
          <w:szCs w:val="20"/>
          <w:color w:val="auto"/>
        </w:rPr>
      </w:pPr>
    </w:p>
    <w:p>
      <w:pPr>
        <w:spacing w:after="0" w:line="2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6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lead product candidate, SEL-212, is currently being evaluated in a Phase 1/2 clinical program that includes a Phase 1a and Phase 1b clinical trial. We initiated the Phase 2 clinical trial in October 2016. 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w:t>
      </w:r>
    </w:p>
    <w:p>
      <w:pPr>
        <w:sectPr>
          <w:pgSz w:w="11900" w:h="16838" w:orient="portrait"/>
          <w:cols w:equalWidth="0" w:num="1">
            <w:col w:w="11420"/>
          </w:cols>
          <w:pgMar w:left="240" w:top="125" w:right="239" w:bottom="784"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784"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3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3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3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386"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386"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397"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340" w:right="48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386" w:lineRule="exact"/>
        <w:rPr>
          <w:rFonts w:ascii="Arial" w:cs="Arial" w:eastAsia="Arial" w:hAnsi="Arial"/>
          <w:sz w:val="18"/>
          <w:szCs w:val="18"/>
          <w:color w:val="auto"/>
        </w:rPr>
      </w:pPr>
    </w:p>
    <w:p>
      <w:pPr>
        <w:ind w:left="340" w:right="80" w:hanging="332"/>
        <w:spacing w:after="0" w:line="276"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25" w:right="2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39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36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3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39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00" w:lineRule="exact"/>
        <w:rPr>
          <w:sz w:val="20"/>
          <w:szCs w:val="20"/>
          <w:color w:val="auto"/>
        </w:rPr>
      </w:pPr>
    </w:p>
    <w:p>
      <w:pPr>
        <w:spacing w:after="0" w:line="2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3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200" w:lineRule="exact"/>
        <w:rPr>
          <w:sz w:val="20"/>
          <w:szCs w:val="20"/>
          <w:color w:val="auto"/>
        </w:rPr>
      </w:pPr>
    </w:p>
    <w:p>
      <w:pPr>
        <w:spacing w:after="0" w:line="203" w:lineRule="exact"/>
        <w:rPr>
          <w:sz w:val="20"/>
          <w:szCs w:val="20"/>
          <w:color w:val="auto"/>
        </w:rPr>
      </w:pPr>
    </w:p>
    <w:p>
      <w:pPr>
        <w:ind w:right="100"/>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50,000 patients in the United States. Accordingly, there is a limited number of patients who could enroll in our clinical studies.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39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3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39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7"/>
          <w:szCs w:val="17"/>
          <w:color w:val="auto"/>
        </w:rPr>
        <w:t>‑</w:t>
      </w:r>
      <w:r>
        <w:rPr>
          <w:rFonts w:ascii="Arial" w:cs="Arial" w:eastAsia="Arial" w:hAnsi="Arial"/>
          <w:sz w:val="17"/>
          <w:szCs w:val="17"/>
          <w:color w:val="auto"/>
        </w:rPr>
        <w:t>approval commitments that render the approved product not commercially viable.</w:t>
      </w:r>
    </w:p>
    <w:p>
      <w:pPr>
        <w:sectPr>
          <w:pgSz w:w="11900" w:h="16838" w:orient="portrait"/>
          <w:cols w:equalWidth="0" w:num="1">
            <w:col w:w="11400"/>
          </w:cols>
          <w:pgMar w:left="240" w:top="125" w:right="259" w:bottom="352"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5" w:right="259" w:bottom="352"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Although the FDA and other regulatory authorities have approved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in the past, they are monitoring whether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pose any specific health and human safety risks. While they have not issued any regulations to date, it is possible that the FDA and other regulatory authorities could issue regulations in the future regarding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that could adversely affect our product candidates.</w:t>
      </w:r>
    </w:p>
    <w:p>
      <w:pPr>
        <w:spacing w:after="0" w:line="200" w:lineRule="exact"/>
        <w:rPr>
          <w:sz w:val="20"/>
          <w:szCs w:val="20"/>
          <w:color w:val="auto"/>
        </w:rPr>
      </w:pP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3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3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200" w:lineRule="exact"/>
        <w:rPr>
          <w:sz w:val="20"/>
          <w:szCs w:val="20"/>
          <w:color w:val="auto"/>
        </w:rPr>
      </w:pPr>
    </w:p>
    <w:p>
      <w:pPr>
        <w:spacing w:after="0" w:line="209"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(pegloticase) previously obtained orphan drug status for chronic refractory gout, although the exclusivity period has lapsed. However, Krystexxa could in the future obtain orphan drug status for chronic tophaceous gout, an indication we plan to pursue.</w:t>
      </w:r>
    </w:p>
    <w:p>
      <w:pPr>
        <w:spacing w:after="0" w:line="200" w:lineRule="exact"/>
        <w:rPr>
          <w:sz w:val="20"/>
          <w:szCs w:val="20"/>
          <w:color w:val="auto"/>
        </w:rPr>
      </w:pPr>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3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36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34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0" w:lineRule="exact"/>
        <w:rPr>
          <w:sz w:val="20"/>
          <w:szCs w:val="20"/>
          <w:color w:val="auto"/>
        </w:rPr>
      </w:pP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80"/>
          </w:cols>
          <w:pgMar w:left="240" w:top="125" w:right="27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34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340"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2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38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387" w:lineRule="exact"/>
        <w:rPr>
          <w:sz w:val="20"/>
          <w:szCs w:val="20"/>
          <w:color w:val="auto"/>
        </w:rPr>
      </w:pPr>
    </w:p>
    <w:p>
      <w:pPr>
        <w:ind w:right="26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87" w:lineRule="exact"/>
        <w:rPr>
          <w:sz w:val="20"/>
          <w:szCs w:val="20"/>
          <w:color w:val="auto"/>
        </w:rPr>
      </w:pPr>
    </w:p>
    <w:p>
      <w:pPr>
        <w:ind w:right="100"/>
        <w:spacing w:after="0" w:line="221" w:lineRule="exact"/>
        <w:rPr>
          <w:sz w:val="20"/>
          <w:szCs w:val="20"/>
          <w:color w:val="auto"/>
        </w:rPr>
      </w:pPr>
      <w:r>
        <w:rPr>
          <w:rFonts w:ascii="Arial" w:cs="Arial" w:eastAsia="Arial" w:hAnsi="Arial"/>
          <w:sz w:val="16"/>
          <w:szCs w:val="16"/>
          <w:color w:val="auto"/>
        </w:rPr>
        <w:t>We obtain the biologic pegsiticase, a component of SEL</w:t>
      </w:r>
      <w:r>
        <w:rPr>
          <w:rFonts w:ascii="MS PGothic" w:cs="MS PGothic" w:eastAsia="MS PGothic" w:hAnsi="MS PGothic"/>
          <w:sz w:val="16"/>
          <w:szCs w:val="16"/>
          <w:color w:val="auto"/>
        </w:rPr>
        <w:t>‑</w:t>
      </w:r>
      <w:r>
        <w:rPr>
          <w:rFonts w:ascii="Arial" w:cs="Arial" w:eastAsia="Arial" w:hAnsi="Arial"/>
          <w:sz w:val="16"/>
          <w:szCs w:val="16"/>
          <w:color w:val="auto"/>
        </w:rPr>
        <w:t>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 or at all.</w:t>
      </w:r>
    </w:p>
    <w:p>
      <w:pPr>
        <w:spacing w:after="0" w:line="202" w:lineRule="exact"/>
        <w:rPr>
          <w:sz w:val="20"/>
          <w:szCs w:val="20"/>
          <w:color w:val="auto"/>
        </w:rPr>
      </w:pPr>
    </w:p>
    <w:p>
      <w:pPr>
        <w:ind w:right="220"/>
        <w:spacing w:after="0" w:line="223" w:lineRule="exact"/>
        <w:rPr>
          <w:sz w:val="20"/>
          <w:szCs w:val="20"/>
          <w:color w:val="auto"/>
        </w:rPr>
      </w:pPr>
      <w:r>
        <w:rPr>
          <w:rFonts w:ascii="Arial" w:cs="Arial" w:eastAsia="Arial" w:hAnsi="Arial"/>
          <w:sz w:val="18"/>
          <w:szCs w:val="18"/>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basis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125" w:right="2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Arial" w:cs="Arial" w:eastAsia="Arial" w:hAnsi="Arial"/>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4"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71"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8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70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relationships that the third party manufacturer may have with others, some of which may be our competitors, and, if it does not successfully carry out its contractual duties, does not meet expectations, experiences work stoppages, or</w:t>
      </w:r>
    </w:p>
    <w:p>
      <w:pPr>
        <w:spacing w:after="0" w:line="170"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100"/>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CMOs are is unable to comply with cGMP regulations or if the FDA does not approve their facilities upon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unable to replace them on a timely basis or at all. Our current and expected future dependence upon others for the manufacture of our product candidates or products could delay, prevent or impair our development and commercialization efforts.</w:t>
      </w:r>
    </w:p>
    <w:p>
      <w:pPr>
        <w:spacing w:after="0" w:line="3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60" w:hanging="332"/>
        <w:spacing w:after="0" w:line="221" w:lineRule="exact"/>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would potentially lose the right to pursue further development or commercialization of the applicable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 and</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has elected to terminate in its entirety the Sanofi Agreement, and as a result we do not expect to receive any future payments related in the Sanofi Agreement.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report also apply to the activities of our therapeutic program collaborators and there can be no assurance that our collaborations will produce positive results or successful products on a timely basis or at all.</w:t>
      </w:r>
    </w:p>
    <w:p>
      <w:pPr>
        <w:spacing w:after="0" w:line="19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3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540"/>
        <w:spacing w:after="0" w:line="223"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1/2 clinical trial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03" w:lineRule="exact"/>
        <w:rPr>
          <w:sz w:val="20"/>
          <w:szCs w:val="20"/>
          <w:color w:val="auto"/>
        </w:rPr>
      </w:pPr>
    </w:p>
    <w:p>
      <w:pPr>
        <w:ind w:right="140"/>
        <w:spacing w:after="0" w:line="218"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200" w:lineRule="exact"/>
        <w:rPr>
          <w:sz w:val="20"/>
          <w:szCs w:val="20"/>
          <w:color w:val="auto"/>
        </w:rPr>
      </w:pPr>
    </w:p>
    <w:p>
      <w:pPr>
        <w:spacing w:after="0" w:line="209"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and governmental agencies for our product candidates.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do not establish sales, marketing and distribution capabilities successfully, either on our own or in collaboration with third parties, we will not be successful in commercializing our product candidates.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if approved, may fail to offer material commercial advantages over other treatments.</w:t>
      </w:r>
    </w:p>
    <w:p>
      <w:pPr>
        <w:spacing w:after="0" w:line="225"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0" w:lineRule="exact"/>
        <w:rPr>
          <w:sz w:val="20"/>
          <w:szCs w:val="20"/>
          <w:color w:val="auto"/>
        </w:rPr>
      </w:pPr>
    </w:p>
    <w:p>
      <w:pPr>
        <w:spacing w:after="0" w:line="2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78"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203"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color w:val="auto"/>
        </w:rPr>
        <w:t>Obtaining and maintaining adequate reimbursement for our products may be difficult. The process for determining whether a third</w:t>
      </w:r>
      <w:r>
        <w:rPr>
          <w:rFonts w:ascii="MS PGothic" w:cs="MS PGothic" w:eastAsia="MS PGothic" w:hAnsi="MS PGothic"/>
          <w:sz w:val="18"/>
          <w:szCs w:val="18"/>
          <w:color w:val="auto"/>
        </w:rPr>
        <w:t>‑</w:t>
      </w:r>
      <w:r>
        <w:rPr>
          <w:rFonts w:ascii="Arial" w:cs="Arial" w:eastAsia="Arial" w:hAnsi="Arial"/>
          <w:sz w:val="18"/>
          <w:szCs w:val="18"/>
          <w:color w:val="auto"/>
        </w:rPr>
        <w:t>party payor will provide coverage for a product may be separate from the process for setting the price of a product or for establishing the reimbursement rate that such a payor will pay for the product. Further, one payor’s determination to provide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coverage for a product does not assure that other payors will also provide coverage and adequate reimbursement for the product. We cannot be certain if and when we will obtain an adequate level of reimbursement for our products by third</w:t>
      </w:r>
      <w:r>
        <w:rPr>
          <w:rFonts w:ascii="MS PGothic" w:cs="MS PGothic" w:eastAsia="MS PGothic" w:hAnsi="MS PGothic"/>
          <w:sz w:val="17"/>
          <w:szCs w:val="17"/>
          <w:color w:val="auto"/>
        </w:rPr>
        <w:t>‑</w:t>
      </w:r>
      <w:r>
        <w:rPr>
          <w:rFonts w:ascii="Arial" w:cs="Arial" w:eastAsia="Arial" w:hAnsi="Arial"/>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2"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any approved product candidates, which could adversely affect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38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Although we are not currently marketing our product candidates, including to healthcare providers, if and when we do, our relationships with healthcare providers, customers and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may be subject to applicable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Healthcare providers, customers and third</w:t>
      </w:r>
      <w:r>
        <w:rPr>
          <w:rFonts w:ascii="MS PGothic" w:cs="MS PGothic" w:eastAsia="MS PGothic" w:hAnsi="MS PGothic"/>
          <w:sz w:val="18"/>
          <w:szCs w:val="18"/>
          <w:color w:val="auto"/>
        </w:rPr>
        <w:t>‑</w:t>
      </w:r>
      <w:r>
        <w:rPr>
          <w:rFonts w:ascii="Arial" w:cs="Arial" w:eastAsia="Arial" w:hAnsi="Arial"/>
          <w:sz w:val="18"/>
          <w:szCs w:val="18"/>
          <w:color w:val="auto"/>
        </w:rPr>
        <w:t>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206" w:lineRule="exact"/>
        <w:rPr>
          <w:sz w:val="20"/>
          <w:szCs w:val="20"/>
          <w:color w:val="auto"/>
        </w:rPr>
      </w:pPr>
    </w:p>
    <w:p>
      <w:pPr>
        <w:ind w:left="340" w:right="140" w:hanging="332"/>
        <w:spacing w:after="0" w:line="219" w:lineRule="exact"/>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w:t>
      </w:r>
    </w:p>
    <w:p>
      <w:pPr>
        <w:spacing w:after="0" w:line="202" w:lineRule="exact"/>
        <w:rPr>
          <w:rFonts w:ascii="Arial" w:cs="Arial" w:eastAsia="Arial" w:hAnsi="Arial"/>
          <w:sz w:val="17"/>
          <w:szCs w:val="17"/>
          <w:color w:val="auto"/>
        </w:rPr>
      </w:pPr>
    </w:p>
    <w:p>
      <w:pPr>
        <w:ind w:left="340" w:right="160" w:hanging="332"/>
        <w:spacing w:after="0" w:line="31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80" w:hanging="332"/>
        <w:spacing w:after="0" w:line="220"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to have committed a violation;</w:t>
      </w:r>
    </w:p>
    <w:p>
      <w:pPr>
        <w:spacing w:after="0" w:line="204"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hanging="332"/>
        <w:spacing w:after="0" w:line="297"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58" w:lineRule="exact"/>
        <w:rPr>
          <w:rFonts w:ascii="Arial" w:cs="Arial" w:eastAsia="Arial" w:hAnsi="Arial"/>
          <w:sz w:val="16"/>
          <w:szCs w:val="16"/>
          <w:color w:val="auto"/>
        </w:rPr>
      </w:pPr>
    </w:p>
    <w:p>
      <w:pPr>
        <w:ind w:left="340" w:right="80" w:hanging="332"/>
        <w:spacing w:after="0" w:line="218" w:lineRule="exact"/>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which may apply to sales or marketing arrangements and claims involving healthcare items or services reimbursed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20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39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PPACA of importance to our potential product candidates are the following: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right="140" w:hanging="332"/>
        <w:spacing w:after="0" w:line="221" w:lineRule="exact"/>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sale discounts off negotiated prices of applicable brand drugs to eligible beneficiaries under their coverage gap period, as a condition for the manufacturer’s outpatient drugs to be covered under Medicare Part D;</w:t>
      </w:r>
    </w:p>
    <w:p>
      <w:pPr>
        <w:spacing w:after="0" w:line="201"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Legislative and regulatory proposals have been made to expand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other requirements.</w:t>
      </w:r>
    </w:p>
    <w:p>
      <w:pPr>
        <w:spacing w:after="0" w:line="200" w:lineRule="exact"/>
        <w:rPr>
          <w:sz w:val="20"/>
          <w:szCs w:val="20"/>
          <w:color w:val="auto"/>
        </w:rPr>
      </w:pPr>
    </w:p>
    <w:p>
      <w:pPr>
        <w:spacing w:after="0" w:line="222"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8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4"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120"/>
        <w:spacing w:after="0" w:line="217"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39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w:t>
      </w: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the patents covering technology that we license from third parties. We may also require the cooperation of our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47"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20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some foreign countries do not protect proprietary rights to the same extent or in the same manner as the laws of the United States As a result, we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encounter significant problems in protecting</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prevent all potential threats to competitive advantages we may have.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are illustrative:</w:t>
      </w:r>
    </w:p>
    <w:p>
      <w:pPr>
        <w:spacing w:after="0" w:line="225"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of our licensors or collaborators might not have been the first to make the inventions covered by the patents or pending patent applications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of our licensors or collaborators might not have been the first to file patent applications covering certain of our inventions;</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granted patents that we own or have licensed may not cover our products or may be held not infringed, invalid or unenforceable, as a result of legal challenges by our competitors;</w:t>
      </w:r>
    </w:p>
    <w:p>
      <w:pPr>
        <w:spacing w:after="0" w:line="170" w:lineRule="exact"/>
        <w:rPr>
          <w:rFonts w:ascii="Arial" w:cs="Arial" w:eastAsia="Arial" w:hAnsi="Arial"/>
          <w:sz w:val="18"/>
          <w:szCs w:val="18"/>
          <w:color w:val="auto"/>
        </w:rPr>
      </w:pPr>
    </w:p>
    <w:p>
      <w:pPr>
        <w:ind w:left="340" w:right="220" w:hanging="332"/>
        <w:spacing w:after="0" w:line="223"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granted patents that we own or have licensed, especially patents that we either acquire or in</w:t>
      </w:r>
      <w:r>
        <w:rPr>
          <w:rFonts w:ascii="MS PGothic" w:cs="MS PGothic" w:eastAsia="MS PGothic" w:hAnsi="MS PGothic"/>
          <w:sz w:val="18"/>
          <w:szCs w:val="18"/>
          <w:color w:val="auto"/>
        </w:rPr>
        <w:t>‑</w:t>
      </w:r>
      <w:r>
        <w:rPr>
          <w:rFonts w:ascii="Arial" w:cs="Arial" w:eastAsia="Arial" w:hAnsi="Arial"/>
          <w:sz w:val="18"/>
          <w:szCs w:val="18"/>
          <w:color w:val="auto"/>
        </w:rPr>
        <w:t>license, if certain information was withheld from or misrepresented to the patent examiner, such patents might be held to be unenforceable;</w:t>
      </w:r>
    </w:p>
    <w:p>
      <w:pPr>
        <w:spacing w:after="0" w:line="20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 candidates;</w:t>
      </w:r>
    </w:p>
    <w:p>
      <w:pPr>
        <w:spacing w:after="0" w:line="170" w:lineRule="exact"/>
        <w:rPr>
          <w:rFonts w:ascii="Arial" w:cs="Arial" w:eastAsia="Arial" w:hAnsi="Arial"/>
          <w:sz w:val="18"/>
          <w:szCs w:val="18"/>
          <w:color w:val="auto"/>
        </w:rPr>
      </w:pPr>
    </w:p>
    <w:p>
      <w:pPr>
        <w:ind w:left="340" w:right="40" w:hanging="332"/>
        <w:spacing w:after="0" w:line="28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340" w:right="540" w:hanging="332"/>
        <w:spacing w:after="0" w:line="223"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technologies,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identify relevant patents or may incorrectly interpret the relevance, scope or expiration of a patent, which might adversely affect our ability to develop and market our product candidates.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4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23" w:lineRule="exact"/>
        <w:rPr>
          <w:sz w:val="20"/>
          <w:szCs w:val="20"/>
          <w:color w:val="auto"/>
        </w:rPr>
      </w:pPr>
      <w:r>
        <w:rPr>
          <w:rFonts w:ascii="Arial" w:cs="Arial" w:eastAsia="Arial" w:hAnsi="Arial"/>
          <w:sz w:val="18"/>
          <w:szCs w:val="18"/>
          <w:color w:val="auto"/>
        </w:rPr>
        <w:t>which may negatively impact our ability to market our products or pipeline molecules. We may incorrectly determine that our product candidates are not covered by a third</w:t>
      </w:r>
      <w:r>
        <w:rPr>
          <w:rFonts w:ascii="MS PGothic" w:cs="MS PGothic" w:eastAsia="MS PGothic" w:hAnsi="MS PGothic"/>
          <w:sz w:val="18"/>
          <w:szCs w:val="18"/>
          <w:color w:val="auto"/>
        </w:rPr>
        <w:t>‑</w:t>
      </w:r>
      <w:r>
        <w:rPr>
          <w:rFonts w:ascii="Arial" w:cs="Arial" w:eastAsia="Arial" w:hAnsi="Arial"/>
          <w:sz w:val="18"/>
          <w:szCs w:val="18"/>
          <w:color w:val="auto"/>
        </w:rPr>
        <w:t>party patent.</w:t>
      </w:r>
    </w:p>
    <w:p>
      <w:pPr>
        <w:spacing w:after="0" w:line="20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identify and correctly interpret relevant patents may negatively impact our ability to develop and market our product candidates.</w:t>
      </w:r>
    </w:p>
    <w:p>
      <w:pPr>
        <w:spacing w:after="0" w:line="200" w:lineRule="exact"/>
        <w:rPr>
          <w:sz w:val="20"/>
          <w:szCs w:val="20"/>
          <w:color w:val="auto"/>
        </w:rPr>
      </w:pPr>
    </w:p>
    <w:p>
      <w:pPr>
        <w:spacing w:after="0" w:line="241"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20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382" w:lineRule="exact"/>
        <w:rPr>
          <w:sz w:val="20"/>
          <w:szCs w:val="20"/>
          <w:color w:val="auto"/>
        </w:rPr>
      </w:pPr>
    </w:p>
    <w:p>
      <w:pPr>
        <w:ind w:right="500"/>
        <w:spacing w:after="0" w:line="223" w:lineRule="exact"/>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consuming and ultimately unsuccessful.</w:t>
      </w:r>
    </w:p>
    <w:p>
      <w:pPr>
        <w:spacing w:after="0" w:line="203"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Competitors may infringe our issued patents or other intellectual property. To counter infringement or unauthorized use, we may be required to file infringement claims, which can be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203"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80"/>
        <w:spacing w:after="0" w:line="218" w:lineRule="exact"/>
        <w:rPr>
          <w:sz w:val="20"/>
          <w:szCs w:val="20"/>
          <w:color w:val="auto"/>
        </w:rPr>
      </w:pPr>
      <w:r>
        <w:rPr>
          <w:rFonts w:ascii="Arial" w:cs="Arial" w:eastAsia="Arial" w:hAnsi="Arial"/>
          <w:sz w:val="18"/>
          <w:szCs w:val="18"/>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8"/>
          <w:szCs w:val="18"/>
          <w:color w:val="auto"/>
        </w:rPr>
        <w:t>‑</w:t>
      </w:r>
      <w:r>
        <w:rPr>
          <w:rFonts w:ascii="Arial" w:cs="Arial" w:eastAsia="Arial" w:hAnsi="Arial"/>
          <w:sz w:val="18"/>
          <w:szCs w:val="18"/>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unaware of one or more issued patents that would be infringed by the manufacture, sale or use of a current or future product candidate, or we may incorrectly conclude that a third</w:t>
      </w:r>
      <w:r>
        <w:rPr>
          <w:rFonts w:ascii="MS PGothic" w:cs="MS PGothic" w:eastAsia="MS PGothic" w:hAnsi="MS PGothic"/>
          <w:sz w:val="18"/>
          <w:szCs w:val="18"/>
          <w:color w:val="auto"/>
        </w:rPr>
        <w:t>‑</w:t>
      </w:r>
      <w:r>
        <w:rPr>
          <w:rFonts w:ascii="Arial" w:cs="Arial" w:eastAsia="Arial" w:hAnsi="Arial"/>
          <w:sz w:val="18"/>
          <w:szCs w:val="18"/>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8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w:t>
      </w:r>
      <w:r>
        <w:rPr>
          <w:rFonts w:ascii="MS PGothic" w:cs="MS PGothic" w:eastAsia="MS PGothic" w:hAnsi="MS PGothic"/>
          <w:sz w:val="18"/>
          <w:szCs w:val="18"/>
          <w:color w:val="auto"/>
        </w:rPr>
        <w:t>‑</w:t>
      </w:r>
      <w:r>
        <w:rPr>
          <w:rFonts w:ascii="Arial" w:cs="Arial" w:eastAsia="Arial" w:hAnsi="Arial"/>
          <w:sz w:val="18"/>
          <w:szCs w:val="18"/>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340" w:right="300" w:hanging="332"/>
        <w:spacing w:after="0" w:line="223"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w:t>
      </w:r>
      <w:r>
        <w:rPr>
          <w:rFonts w:ascii="MS PGothic" w:cs="MS PGothic" w:eastAsia="MS PGothic" w:hAnsi="MS PGothic"/>
          <w:sz w:val="18"/>
          <w:szCs w:val="18"/>
          <w:color w:val="auto"/>
        </w:rPr>
        <w:t>‑</w:t>
      </w:r>
      <w:r>
        <w:rPr>
          <w:rFonts w:ascii="Arial" w:cs="Arial" w:eastAsia="Arial" w:hAnsi="Arial"/>
          <w:sz w:val="18"/>
          <w:szCs w:val="18"/>
          <w:color w:val="auto"/>
        </w:rPr>
        <w:t>consuming.</w:t>
      </w:r>
    </w:p>
    <w:p>
      <w:pPr>
        <w:spacing w:after="0" w:line="20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6"/>
          <w:szCs w:val="16"/>
          <w:color w:val="auto"/>
        </w:rPr>
        <w:t>‑</w:t>
      </w:r>
      <w:r>
        <w:rPr>
          <w:rFonts w:ascii="Arial" w:cs="Arial" w:eastAsia="Arial" w:hAnsi="Arial"/>
          <w:sz w:val="16"/>
          <w:szCs w:val="16"/>
          <w:color w:val="auto"/>
        </w:rPr>
        <w:t>party infringement or unauthorized use. This can be expensive, particularly for a company of our size, and 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0" w:lineRule="exact"/>
        <w:rPr>
          <w:sz w:val="20"/>
          <w:szCs w:val="20"/>
          <w:color w:val="auto"/>
        </w:rPr>
      </w:pPr>
    </w:p>
    <w:p>
      <w:pPr>
        <w:spacing w:after="0" w:line="219"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2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200" w:lineRule="exact"/>
        <w:rPr>
          <w:sz w:val="20"/>
          <w:szCs w:val="20"/>
          <w:color w:val="auto"/>
        </w:rPr>
      </w:pPr>
    </w:p>
    <w:p>
      <w:pPr>
        <w:spacing w:after="0" w:line="213"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licenses.</w:t>
      </w:r>
    </w:p>
    <w:p>
      <w:pPr>
        <w:spacing w:after="0" w:line="237"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18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0" w:lineRule="exact"/>
        <w:rPr>
          <w:sz w:val="20"/>
          <w:szCs w:val="20"/>
          <w:color w:val="auto"/>
        </w:rPr>
      </w:pP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5"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3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3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names, and any failure or delay associated with such approval may adversely affect our business.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spacing w:after="0" w:line="223" w:lineRule="exact"/>
        <w:rPr>
          <w:sz w:val="20"/>
          <w:szCs w:val="20"/>
          <w:color w:val="auto"/>
        </w:rPr>
      </w:pPr>
      <w:r>
        <w:rPr>
          <w:rFonts w:ascii="Arial" w:cs="Arial" w:eastAsia="Arial" w:hAnsi="Arial"/>
          <w:sz w:val="18"/>
          <w:szCs w:val="18"/>
          <w:color w:val="auto"/>
        </w:rPr>
        <w:t>sought on a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which is an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process with uncertain outcomes. Accordingly, we may choose not to seek patent protection in certain countries, and we will not have the benefit of patent protection in such countries.</w:t>
      </w:r>
    </w:p>
    <w:p>
      <w:pPr>
        <w:spacing w:after="0" w:line="20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363"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competition from biosimilars, which may have a material adverse effect on the future commercial prospects of our product candidates</w:t>
      </w:r>
      <w:r>
        <w:rPr>
          <w:rFonts w:ascii="Arial" w:cs="Arial" w:eastAsia="Arial" w:hAnsi="Arial"/>
          <w:sz w:val="16"/>
          <w:szCs w:val="16"/>
          <w:b w:val="1"/>
          <w:bCs w:val="1"/>
          <w:color w:val="auto"/>
        </w:rPr>
        <w:t>.</w:t>
      </w:r>
    </w:p>
    <w:p>
      <w:pPr>
        <w:spacing w:after="0" w:line="252"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w:t>
      </w:r>
      <w:r>
        <w:rPr>
          <w:rFonts w:ascii="MS PGothic" w:cs="MS PGothic" w:eastAsia="MS PGothic" w:hAnsi="MS PGothic"/>
          <w:sz w:val="17"/>
          <w:szCs w:val="17"/>
          <w:color w:val="auto"/>
        </w:rPr>
        <w:t>‑</w:t>
      </w:r>
      <w:r>
        <w:rPr>
          <w:rFonts w:ascii="Arial" w:cs="Arial" w:eastAsia="Arial" w:hAnsi="Arial"/>
          <w:sz w:val="17"/>
          <w:szCs w:val="17"/>
          <w:color w:val="auto"/>
        </w:rPr>
        <w:t>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w:t>
      </w:r>
      <w:r>
        <w:rPr>
          <w:rFonts w:ascii="MS PGothic" w:cs="MS PGothic" w:eastAsia="MS PGothic" w:hAnsi="MS PGothic"/>
          <w:sz w:val="17"/>
          <w:szCs w:val="17"/>
          <w:color w:val="auto"/>
        </w:rPr>
        <w:t>‑</w:t>
      </w:r>
      <w:r>
        <w:rPr>
          <w:rFonts w:ascii="Arial" w:cs="Arial" w:eastAsia="Arial" w:hAnsi="Arial"/>
          <w:sz w:val="17"/>
          <w:szCs w:val="17"/>
          <w:color w:val="auto"/>
        </w:rPr>
        <w:t>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0" w:lineRule="exact"/>
        <w:rPr>
          <w:sz w:val="20"/>
          <w:szCs w:val="20"/>
          <w:color w:val="auto"/>
        </w:rPr>
      </w:pPr>
    </w:p>
    <w:p>
      <w:pPr>
        <w:spacing w:after="0" w:line="221" w:lineRule="exact"/>
        <w:rPr>
          <w:sz w:val="20"/>
          <w:szCs w:val="20"/>
          <w:color w:val="auto"/>
        </w:rPr>
      </w:pPr>
    </w:p>
    <w:p>
      <w:pPr>
        <w:ind w:right="980"/>
        <w:spacing w:after="0" w:line="503" w:lineRule="auto"/>
        <w:rPr>
          <w:sz w:val="20"/>
          <w:szCs w:val="20"/>
          <w:color w:val="auto"/>
        </w:rPr>
      </w:pPr>
      <w:r>
        <w:rPr>
          <w:rFonts w:ascii="Arial" w:cs="Arial" w:eastAsia="Arial" w:hAnsi="Arial"/>
          <w:sz w:val="18"/>
          <w:szCs w:val="18"/>
          <w:b w:val="1"/>
          <w:bCs w:val="1"/>
          <w:color w:val="auto"/>
        </w:rPr>
        <w:t xml:space="preserve">RISKS RELATED TO EMPLOYEE MATTERS AND MANAGING GROWTH AND OTHER RISKS RELATED TO OUR BUSINESS </w:t>
      </w: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3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 Russia and internationally could adversely affect our business.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w:t>
      </w:r>
    </w:p>
    <w:p>
      <w:pPr>
        <w:spacing w:after="0" w:line="18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We may also rely on collaborators to commercialize any approved product candidates outside of the United States. Doing business in Russia and internationally involves a number of risks, including but not limited to:</w:t>
      </w:r>
    </w:p>
    <w:p>
      <w:pPr>
        <w:spacing w:after="0" w:line="170" w:lineRule="exact"/>
        <w:rPr>
          <w:sz w:val="20"/>
          <w:szCs w:val="20"/>
          <w:color w:val="auto"/>
        </w:rPr>
      </w:pPr>
    </w:p>
    <w:p>
      <w:pPr>
        <w:ind w:left="340" w:right="7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12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220" w:hanging="332"/>
        <w:spacing w:after="0" w:line="223" w:lineRule="exact"/>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Sanctions against Russia, and Russia’s response to those sanctions, could adversely affect our business.</w:t>
      </w:r>
    </w:p>
    <w:p>
      <w:pPr>
        <w:spacing w:after="0" w:line="225"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If the United States and European Union were to impose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8"/>
          <w:szCs w:val="18"/>
          <w:color w:val="auto"/>
        </w:rPr>
        <w:t>‑</w:t>
      </w:r>
      <w:r>
        <w:rPr>
          <w:rFonts w:ascii="Arial" w:cs="Arial" w:eastAsia="Arial" w:hAnsi="Arial"/>
          <w:sz w:val="18"/>
          <w:szCs w:val="18"/>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39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 (4)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8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2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4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5620" w:right="3160" w:hanging="5612"/>
        <w:spacing w:after="0" w:line="559"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 76</w:t>
      </w:r>
    </w:p>
    <w:p>
      <w:pPr>
        <w:sectPr>
          <w:pgSz w:w="11900" w:h="16838" w:orient="portrait"/>
          <w:cols w:equalWidth="0" w:num="1">
            <w:col w:w="11360"/>
          </w:cols>
          <w:pgMar w:left="240" w:top="125" w:right="2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50% of our outstanding voting stock as of September 30, 2016.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As of September 30, 2016, approximately 12.9 million shares of our common stock are restricted as a result of securities laws or lock-up agreements but will become eligible to be sold at various times beginning 180 days after the date of the initial public offering of our common stock, unless held by one of our affiliates, in which case the resale of those securities will be subject to volume limitations under Rule 144 of the Securities Act of 1933, as amended, or Rule 144. Moreover, holders of an aggregate of approximately 12.3 million shares of our common stock as of the completion of the initial public offering of our common stock on June 27, 2016 have rights, subject to specified conditions, to require us to file registration statements covering their</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the lock-up agreements.</w:t>
      </w:r>
    </w:p>
    <w:p>
      <w:pPr>
        <w:spacing w:after="0" w:line="3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60"/>
        <w:spacing w:after="0" w:line="216" w:lineRule="exact"/>
        <w:rPr>
          <w:sz w:val="20"/>
          <w:szCs w:val="20"/>
          <w:color w:val="auto"/>
        </w:rPr>
      </w:pPr>
      <w:r>
        <w:rPr>
          <w:rFonts w:ascii="Arial" w:cs="Arial" w:eastAsia="Arial" w:hAnsi="Arial"/>
          <w:sz w:val="17"/>
          <w:szCs w:val="17"/>
          <w:color w:val="auto"/>
        </w:rPr>
        <w:t>$1.0 billion or we issue more than $1.0 billion of non</w:t>
      </w:r>
      <w:r>
        <w:rPr>
          <w:rFonts w:ascii="MS PGothic" w:cs="MS PGothic" w:eastAsia="MS PGothic" w:hAnsi="MS PGothic"/>
          <w:sz w:val="17"/>
          <w:szCs w:val="17"/>
          <w:color w:val="auto"/>
        </w:rPr>
        <w:t>‑</w:t>
      </w:r>
      <w:r>
        <w:rPr>
          <w:rFonts w:ascii="Arial" w:cs="Arial" w:eastAsia="Arial" w:hAnsi="Arial"/>
          <w:sz w:val="17"/>
          <w:szCs w:val="17"/>
          <w:color w:val="auto"/>
        </w:rPr>
        <w:t>convertible debt in any three</w:t>
      </w:r>
      <w:r>
        <w:rPr>
          <w:rFonts w:ascii="MS PGothic" w:cs="MS PGothic" w:eastAsia="MS PGothic" w:hAnsi="MS PGothic"/>
          <w:sz w:val="17"/>
          <w:szCs w:val="17"/>
          <w:color w:val="auto"/>
        </w:rPr>
        <w:t>‑</w:t>
      </w:r>
      <w:r>
        <w:rPr>
          <w:rFonts w:ascii="Arial" w:cs="Arial" w:eastAsia="Arial" w:hAnsi="Arial"/>
          <w:sz w:val="17"/>
          <w:szCs w:val="17"/>
          <w:color w:val="auto"/>
        </w:rPr>
        <w:t>year period, we will cease to be an emerging growth company prior to the end of such five</w:t>
      </w:r>
      <w:r>
        <w:rPr>
          <w:rFonts w:ascii="MS PGothic" w:cs="MS PGothic" w:eastAsia="MS PGothic" w:hAnsi="MS PGothic"/>
          <w:sz w:val="17"/>
          <w:szCs w:val="17"/>
          <w:color w:val="auto"/>
        </w:rPr>
        <w:t>‑</w:t>
      </w:r>
      <w:r>
        <w:rPr>
          <w:rFonts w:ascii="Arial" w:cs="Arial" w:eastAsia="Arial" w:hAnsi="Arial"/>
          <w:sz w:val="17"/>
          <w:szCs w:val="17"/>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3" w:lineRule="exact"/>
        <w:rPr>
          <w:sz w:val="20"/>
          <w:szCs w:val="20"/>
          <w:color w:val="auto"/>
        </w:rPr>
      </w:pPr>
    </w:p>
    <w:p>
      <w:pPr>
        <w:ind w:left="340" w:right="60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3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governing bodies. This could result in continuing uncertainty regarding compliance matters and higher costs necessitated by ongoing revisions to disclosure and governance practices.</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Pursuant to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4"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8" w:lineRule="exact"/>
        <w:rPr>
          <w:sz w:val="20"/>
          <w:szCs w:val="20"/>
          <w:color w:val="auto"/>
        </w:rPr>
      </w:pPr>
    </w:p>
    <w:p>
      <w:pPr>
        <w:ind w:left="340" w:hanging="332"/>
        <w:spacing w:after="0" w:line="223" w:lineRule="exact"/>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with three</w:t>
      </w:r>
      <w:r>
        <w:rPr>
          <w:rFonts w:ascii="MS PGothic" w:cs="MS PGothic" w:eastAsia="MS PGothic" w:hAnsi="MS PGothic"/>
          <w:sz w:val="18"/>
          <w:szCs w:val="18"/>
          <w:color w:val="auto"/>
        </w:rPr>
        <w:t>‑</w:t>
      </w:r>
      <w:r>
        <w:rPr>
          <w:rFonts w:ascii="Arial" w:cs="Arial" w:eastAsia="Arial" w:hAnsi="Arial"/>
          <w:sz w:val="18"/>
          <w:szCs w:val="18"/>
          <w:color w:val="auto"/>
        </w:rPr>
        <w:t>year staggered terms, which may delay the ability of stockholders to change the membership of a majority of our board of directors;</w:t>
      </w:r>
    </w:p>
    <w:p>
      <w:pPr>
        <w:spacing w:after="0" w:line="203"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auto"/>
        </w:rPr>
      </w:pPr>
    </w:p>
    <w:p>
      <w:pPr>
        <w:ind w:left="340" w:right="120" w:hanging="332"/>
        <w:spacing w:after="0" w:line="223" w:lineRule="exact"/>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shares entitled to vote at an election of directors to adopt, amend or repeal our bylaws or repeal the provisions of our restated certificate of incorporation regarding the election and removal of directors;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248" w:lineRule="exact"/>
        <w:rPr>
          <w:rFonts w:ascii="Arial" w:cs="Arial" w:eastAsia="Arial" w:hAnsi="Arial"/>
          <w:sz w:val="16"/>
          <w:szCs w:val="16"/>
          <w:color w:val="auto"/>
        </w:rPr>
      </w:pPr>
    </w:p>
    <w:p>
      <w:pPr>
        <w:ind w:left="340" w:right="26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1" w:lineRule="exact"/>
        <w:rPr>
          <w:rFonts w:ascii="Arial" w:cs="Arial" w:eastAsia="Arial" w:hAnsi="Arial"/>
          <w:sz w:val="18"/>
          <w:szCs w:val="18"/>
          <w:color w:val="auto"/>
        </w:rPr>
      </w:pPr>
    </w:p>
    <w:p>
      <w:pPr>
        <w:jc w:val="both"/>
        <w:ind w:left="340" w:right="4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8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do not expect paying any cash dividends on our capital stock in the foreseeable future, capital appreciation, if any, will be your sole source of gain.</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Unregistered Sales of 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24, 2016, we issued 567,306 shares of common stock upon the automatic cashless exercise of common stock warrants to accredited investors pursuant to Section 4(a)(2) of the Securities Act and Rule 506 as a transaction not involving a public offering.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various times between April 1, 2016 and June 30, 2016, we issued 22,646 shares of common stock upon the exercise of common stock options pursuant to Section 4(a)(2) of the Securities Act and Rule 506 as a transaction not involving a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Sale of Registered Securities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21, 2016, we completed the initial public offering of our common stock and issued and sold 5,000,000 shares of our common stock at a public offering price of $14.00 per share.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offer and sale of all of the shares in the offering was registered under the Securities Act pursuant to a registration on Form S-1 (File No. 333-211555), as amended, which was declared effective by the Securities and Exchange Commission (the “SEC”) on June 21, 2016, and a registration statement on Form S-1MEF (File No. 333-212162), which was automatically effective upon filing with the SEC on June 21, 2016. On July 25, 2016, we closed the underwriters’ over-allotment option, and we sold 289,633 cent shares at a price to the public of $14.00 per share.</w:t>
      </w:r>
    </w:p>
    <w:p>
      <w:pPr>
        <w:spacing w:after="0" w:line="17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net proceeds of approximately $64.5 million from our initial public offering have been invested in short-term, investment-grade, interest-bearing instruments and U.S. government securities. There has been no material change in the expected use of the net proceeds from our initial public offering as described in our final prospectus, dated June 21, 2016, filed with the SEC pursuant to Rule 424(b) relating to our Registration Statement on Form S-1.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4"/>
              </w:rPr>
              <w:t>SELECTA BIOSCIENCES, INC.</w:t>
            </w:r>
          </w:p>
        </w:tc>
      </w:tr>
      <w:tr>
        <w:trPr>
          <w:trHeight w:val="540"/>
        </w:trPr>
        <w:tc>
          <w:tcPr>
            <w:tcW w:w="3960" w:type="dxa"/>
            <w:vAlign w:val="bottom"/>
          </w:tcPr>
          <w:p>
            <w:pPr>
              <w:spacing w:after="0"/>
              <w:rPr>
                <w:sz w:val="20"/>
                <w:szCs w:val="20"/>
                <w:color w:val="auto"/>
              </w:rPr>
            </w:pPr>
            <w:r>
              <w:rPr>
                <w:rFonts w:ascii="Arial" w:cs="Arial" w:eastAsia="Arial" w:hAnsi="Arial"/>
                <w:sz w:val="18"/>
                <w:szCs w:val="18"/>
                <w:color w:val="auto"/>
              </w:rPr>
              <w:t>Date: November 10, 2016</w:t>
            </w: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/s/ Werner Cautreels, Ph.D.</w:t>
            </w:r>
          </w:p>
        </w:tc>
      </w:tr>
      <w:tr>
        <w:trPr>
          <w:trHeight w:val="34"/>
        </w:trPr>
        <w:tc>
          <w:tcPr>
            <w:tcW w:w="39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3960" w:type="dxa"/>
            <w:vAlign w:val="bottom"/>
          </w:tcPr>
          <w:p>
            <w:pPr>
              <w:spacing w:after="0"/>
              <w:rPr>
                <w:sz w:val="21"/>
                <w:szCs w:val="21"/>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88"/>
              </w:rPr>
              <w:t>Werner Cautreels, Ph.D.</w:t>
            </w:r>
          </w:p>
        </w:tc>
      </w:tr>
      <w:tr>
        <w:trPr>
          <w:trHeight w:val="270"/>
        </w:trPr>
        <w:tc>
          <w:tcPr>
            <w:tcW w:w="396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70"/>
        </w:trPr>
        <w:tc>
          <w:tcPr>
            <w:tcW w:w="396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40"/>
        </w:trPr>
        <w:tc>
          <w:tcPr>
            <w:tcW w:w="3960" w:type="dxa"/>
            <w:vAlign w:val="bottom"/>
          </w:tcPr>
          <w:p>
            <w:pPr>
              <w:spacing w:after="0"/>
              <w:rPr>
                <w:sz w:val="20"/>
                <w:szCs w:val="20"/>
                <w:color w:val="auto"/>
              </w:rPr>
            </w:pPr>
            <w:r>
              <w:rPr>
                <w:rFonts w:ascii="Arial" w:cs="Arial" w:eastAsia="Arial" w:hAnsi="Arial"/>
                <w:sz w:val="18"/>
                <w:szCs w:val="18"/>
                <w:color w:val="auto"/>
              </w:rPr>
              <w:t>Date: November 10, 2016</w:t>
            </w:r>
          </w:p>
        </w:tc>
        <w:tc>
          <w:tcPr>
            <w:tcW w:w="4580" w:type="dxa"/>
            <w:vAlign w:val="bottom"/>
          </w:tcPr>
          <w:p>
            <w:pPr>
              <w:jc w:val="center"/>
              <w:spacing w:after="0"/>
              <w:rPr>
                <w:sz w:val="20"/>
                <w:szCs w:val="20"/>
                <w:color w:val="auto"/>
              </w:rPr>
            </w:pPr>
            <w:r>
              <w:rPr>
                <w:rFonts w:ascii="Arial" w:cs="Arial" w:eastAsia="Arial" w:hAnsi="Arial"/>
                <w:sz w:val="18"/>
                <w:szCs w:val="18"/>
                <w:color w:val="auto"/>
                <w:w w:val="90"/>
              </w:rPr>
              <w:t>/s/ David Siewers</w:t>
            </w:r>
          </w:p>
        </w:tc>
      </w:tr>
      <w:tr>
        <w:trPr>
          <w:trHeight w:val="34"/>
        </w:trPr>
        <w:tc>
          <w:tcPr>
            <w:tcW w:w="39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3"/>
        </w:trPr>
        <w:tc>
          <w:tcPr>
            <w:tcW w:w="3960" w:type="dxa"/>
            <w:vAlign w:val="bottom"/>
          </w:tcPr>
          <w:p>
            <w:pPr>
              <w:spacing w:after="0"/>
              <w:rPr>
                <w:sz w:val="21"/>
                <w:szCs w:val="21"/>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2"/>
              </w:rPr>
              <w:t>David Siewers</w:t>
            </w:r>
          </w:p>
        </w:tc>
      </w:tr>
      <w:tr>
        <w:trPr>
          <w:trHeight w:val="270"/>
        </w:trPr>
        <w:tc>
          <w:tcPr>
            <w:tcW w:w="396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70"/>
        </w:trPr>
        <w:tc>
          <w:tcPr>
            <w:tcW w:w="396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r>
        <w:trPr>
          <w:trHeight w:val="918"/>
        </w:trPr>
        <w:tc>
          <w:tcPr>
            <w:tcW w:w="3960" w:type="dxa"/>
            <w:vAlign w:val="bottom"/>
          </w:tcPr>
          <w:p>
            <w:pPr>
              <w:spacing w:after="0"/>
              <w:rPr>
                <w:sz w:val="24"/>
                <w:szCs w:val="24"/>
                <w:color w:val="auto"/>
              </w:rPr>
            </w:pPr>
          </w:p>
        </w:tc>
        <w:tc>
          <w:tcPr>
            <w:tcW w:w="4580" w:type="dxa"/>
            <w:vAlign w:val="bottom"/>
          </w:tcPr>
          <w:p>
            <w:pPr>
              <w:jc w:val="right"/>
              <w:ind w:right="269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Exhibit</w:t>
            </w:r>
          </w:p>
        </w:tc>
        <w:tc>
          <w:tcPr>
            <w:tcW w:w="354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Filing</w:t>
            </w:r>
          </w:p>
        </w:tc>
        <w:tc>
          <w:tcPr>
            <w:tcW w:w="12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w w:val="96"/>
              </w:rPr>
              <w:t>Restated Certificate of Incorporation of Selecta</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00" w:type="dxa"/>
            <w:vAlign w:val="bottom"/>
          </w:tcPr>
          <w:p>
            <w:pPr>
              <w:ind w:left="20"/>
              <w:spacing w:after="0"/>
              <w:rPr>
                <w:sz w:val="20"/>
                <w:szCs w:val="20"/>
                <w:color w:val="auto"/>
              </w:rPr>
            </w:pPr>
            <w:r>
              <w:rPr>
                <w:rFonts w:ascii="Arial" w:cs="Arial" w:eastAsia="Arial" w:hAnsi="Arial"/>
                <w:sz w:val="18"/>
                <w:szCs w:val="18"/>
                <w:color w:val="auto"/>
              </w:rPr>
              <w:t>001-37798</w:t>
            </w:r>
          </w:p>
        </w:tc>
        <w:tc>
          <w:tcPr>
            <w:tcW w:w="1620" w:type="dxa"/>
            <w:vAlign w:val="bottom"/>
            <w:gridSpan w:val="3"/>
          </w:tcPr>
          <w:p>
            <w:pPr>
              <w:ind w:left="6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Biosciences, Inc.</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Amended and Restated By-laws of Selecta</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00" w:type="dxa"/>
            <w:vAlign w:val="bottom"/>
          </w:tcPr>
          <w:p>
            <w:pPr>
              <w:ind w:left="20"/>
              <w:spacing w:after="0"/>
              <w:rPr>
                <w:sz w:val="20"/>
                <w:szCs w:val="20"/>
                <w:color w:val="auto"/>
              </w:rPr>
            </w:pPr>
            <w:r>
              <w:rPr>
                <w:rFonts w:ascii="Arial" w:cs="Arial" w:eastAsia="Arial" w:hAnsi="Arial"/>
                <w:sz w:val="18"/>
                <w:szCs w:val="18"/>
                <w:color w:val="auto"/>
              </w:rPr>
              <w:t>001-37798</w:t>
            </w:r>
          </w:p>
        </w:tc>
        <w:tc>
          <w:tcPr>
            <w:tcW w:w="1620" w:type="dxa"/>
            <w:vAlign w:val="bottom"/>
            <w:gridSpan w:val="3"/>
          </w:tcPr>
          <w:p>
            <w:pPr>
              <w:ind w:left="6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Biosciences, Inc.</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2"/>
                <w:szCs w:val="22"/>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w w:val="96"/>
              </w:rPr>
              <w:t>Fourth Amendment to Lease, dated August 21,</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000" w:type="dxa"/>
            <w:vAlign w:val="bottom"/>
          </w:tcPr>
          <w:p>
            <w:pPr>
              <w:ind w:left="20"/>
              <w:spacing w:after="0"/>
              <w:rPr>
                <w:sz w:val="20"/>
                <w:szCs w:val="20"/>
                <w:color w:val="auto"/>
              </w:rPr>
            </w:pPr>
            <w:r>
              <w:rPr>
                <w:rFonts w:ascii="Arial" w:cs="Arial" w:eastAsia="Arial" w:hAnsi="Arial"/>
                <w:sz w:val="18"/>
                <w:szCs w:val="18"/>
                <w:color w:val="auto"/>
              </w:rPr>
              <w:t>001-37798</w:t>
            </w:r>
          </w:p>
        </w:tc>
        <w:tc>
          <w:tcPr>
            <w:tcW w:w="1620" w:type="dxa"/>
            <w:vAlign w:val="bottom"/>
            <w:gridSpan w:val="3"/>
          </w:tcPr>
          <w:p>
            <w:pPr>
              <w:ind w:left="6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9/14/2016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w w:val="96"/>
              </w:rPr>
              <w:t>2016, by and between ARE-480 Arsenal Street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LLC and Selecta Biosciences, Inc.</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2"/>
                <w:szCs w:val="22"/>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Rule 13a-14(a) / 15d-14(a) Certification of</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2"/>
                <w:szCs w:val="22"/>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Rule 13a-14(a) / 15d-14(a) Certification of</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2"/>
                <w:szCs w:val="22"/>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 of Chief Executive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2"/>
                <w:szCs w:val="22"/>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 of Chief Financial</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101.INS</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w w:val="95"/>
              </w:rPr>
              <w:t>XBRL Taxonomy Extension Schema Document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101.CAL</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101.LAB</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101.PRE</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40"/>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Werner Cautreels,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Selecta Biosciences, Inc.;</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jc w:val="both"/>
        <w:ind w:left="1500" w:right="200" w:hanging="674"/>
        <w:spacing w:after="0" w:line="264"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b.)[omitted];</w:t>
      </w:r>
    </w:p>
    <w:p>
      <w:pPr>
        <w:spacing w:after="0" w:line="185" w:lineRule="exact"/>
        <w:rPr>
          <w:sz w:val="20"/>
          <w:szCs w:val="20"/>
          <w:color w:val="auto"/>
        </w:rPr>
      </w:pPr>
    </w:p>
    <w:p>
      <w:pPr>
        <w:jc w:val="both"/>
        <w:ind w:left="1500" w:right="200" w:hanging="674"/>
        <w:spacing w:after="0" w:line="342"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sz w:val="20"/>
          <w:szCs w:val="20"/>
          <w:color w:val="auto"/>
        </w:rPr>
      </w:pPr>
    </w:p>
    <w:p>
      <w:pPr>
        <w:jc w:val="both"/>
        <w:ind w:left="1500" w:right="180" w:hanging="688"/>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sz w:val="20"/>
          <w:szCs w:val="20"/>
          <w:color w:val="auto"/>
        </w:rPr>
      </w:pPr>
    </w:p>
    <w:p>
      <w:pPr>
        <w:ind w:left="660" w:right="260" w:hanging="328"/>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sz w:val="20"/>
          <w:szCs w:val="20"/>
          <w:color w:val="auto"/>
        </w:rPr>
      </w:pPr>
    </w:p>
    <w:p>
      <w:pPr>
        <w:ind w:left="1500" w:right="100" w:hanging="674"/>
        <w:spacing w:after="0" w:line="308" w:lineRule="auto"/>
        <w:rPr>
          <w:sz w:val="20"/>
          <w:szCs w:val="20"/>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sz w:val="20"/>
          <w:szCs w:val="20"/>
          <w:color w:val="auto"/>
        </w:rPr>
      </w:pPr>
    </w:p>
    <w:p>
      <w:pPr>
        <w:ind w:left="1500" w:right="40" w:hanging="688"/>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8"/>
          <w:szCs w:val="18"/>
          <w:color w:val="auto"/>
        </w:rPr>
        <w:t>November 10, 2016</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Siewers,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Selecta Biosciences, Inc.;</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0" w:lineRule="exact"/>
        <w:rPr>
          <w:sz w:val="20"/>
          <w:szCs w:val="20"/>
          <w:color w:val="auto"/>
        </w:rPr>
      </w:pPr>
    </w:p>
    <w:p>
      <w:pPr>
        <w:jc w:val="both"/>
        <w:ind w:left="1500" w:right="200" w:hanging="674"/>
        <w:spacing w:after="0" w:line="264"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b.)[omitted];</w:t>
      </w:r>
    </w:p>
    <w:p>
      <w:pPr>
        <w:spacing w:after="0" w:line="185" w:lineRule="exact"/>
        <w:rPr>
          <w:sz w:val="20"/>
          <w:szCs w:val="20"/>
          <w:color w:val="auto"/>
        </w:rPr>
      </w:pPr>
    </w:p>
    <w:p>
      <w:pPr>
        <w:jc w:val="both"/>
        <w:ind w:left="1500" w:right="200" w:hanging="674"/>
        <w:spacing w:after="0" w:line="342"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sz w:val="20"/>
          <w:szCs w:val="20"/>
          <w:color w:val="auto"/>
        </w:rPr>
      </w:pPr>
    </w:p>
    <w:p>
      <w:pPr>
        <w:jc w:val="both"/>
        <w:ind w:left="1500" w:right="180" w:hanging="688"/>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sz w:val="20"/>
          <w:szCs w:val="20"/>
          <w:color w:val="auto"/>
        </w:rPr>
      </w:pPr>
    </w:p>
    <w:p>
      <w:pPr>
        <w:ind w:left="660" w:right="26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sz w:val="20"/>
          <w:szCs w:val="20"/>
          <w:color w:val="auto"/>
        </w:rPr>
      </w:pPr>
    </w:p>
    <w:p>
      <w:pPr>
        <w:ind w:left="1500" w:right="100" w:hanging="674"/>
        <w:spacing w:after="0" w:line="308" w:lineRule="auto"/>
        <w:rPr>
          <w:sz w:val="20"/>
          <w:szCs w:val="20"/>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sz w:val="20"/>
          <w:szCs w:val="20"/>
          <w:color w:val="auto"/>
        </w:rPr>
      </w:pPr>
    </w:p>
    <w:p>
      <w:pPr>
        <w:ind w:left="1500" w:right="40" w:hanging="688"/>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November 10, 2016</w:t>
      </w:r>
      <w:r>
        <w:rPr>
          <w:sz w:val="20"/>
          <w:szCs w:val="20"/>
          <w:color w:val="auto"/>
        </w:rPr>
        <w:tab/>
      </w:r>
      <w:r>
        <w:rPr>
          <w:rFonts w:ascii="Arial" w:cs="Arial" w:eastAsia="Arial" w:hAnsi="Arial"/>
          <w:sz w:val="16"/>
          <w:szCs w:val="16"/>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Siewers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Werner Cautreels, President and Chief Executive Officer of Selecta Biosciences, Inc. (the “Company”), hereby certify, pursuant to 18 U.S.C. §1350, as adopted pursuant to §906 of the Sarbanes-Oxley Act of 2002, that, to the best of my knowledge:</w:t>
      </w:r>
    </w:p>
    <w:p>
      <w:pPr>
        <w:spacing w:after="0" w:line="346" w:lineRule="exact"/>
        <w:rPr>
          <w:sz w:val="20"/>
          <w:szCs w:val="20"/>
          <w:color w:val="auto"/>
        </w:rPr>
      </w:pPr>
    </w:p>
    <w:p>
      <w:pPr>
        <w:ind w:left="660" w:right="18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2016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8"/>
          <w:szCs w:val="18"/>
          <w:color w:val="auto"/>
        </w:rPr>
        <w:t>November 10, 2016</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David Siewers, Chief Financial Officer of Selecta Biosciences, Inc. (the “Company”), hereby certify, pursuant to 18 U.S.C. §1350, as adopted pursuant to §906 of the Sarbanes-Oxley Act of 2002, that, to the best of my knowledge:</w:t>
      </w:r>
    </w:p>
    <w:p>
      <w:pPr>
        <w:spacing w:after="0" w:line="130" w:lineRule="exact"/>
        <w:rPr>
          <w:sz w:val="20"/>
          <w:szCs w:val="20"/>
          <w:color w:val="auto"/>
        </w:rPr>
      </w:pPr>
    </w:p>
    <w:p>
      <w:pPr>
        <w:ind w:left="660" w:right="1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2016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November 10, 2016</w:t>
      </w:r>
      <w:r>
        <w:rPr>
          <w:sz w:val="20"/>
          <w:szCs w:val="20"/>
          <w:color w:val="auto"/>
        </w:rPr>
        <w:tab/>
      </w:r>
      <w:r>
        <w:rPr>
          <w:rFonts w:ascii="Arial" w:cs="Arial" w:eastAsia="Arial" w:hAnsi="Arial"/>
          <w:sz w:val="16"/>
          <w:szCs w:val="16"/>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Siewers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9"/>
    </w:lvl>
  </w:abstractNum>
  <w:abstractNum w:abstractNumId="6">
    <w:nsid w:val="3A95F874"/>
    <w:multiLevelType w:val="hybridMultilevel"/>
    <w:lvl w:ilvl="0">
      <w:lvlJc w:val="left"/>
      <w:lvlText w:val="(%1)"/>
      <w:numFmt w:val="lowerRoman"/>
      <w:start w:val="1"/>
    </w:lvl>
  </w:abstractNum>
  <w:abstractNum w:abstractNumId="7">
    <w:nsid w:val="8138641"/>
    <w:multiLevelType w:val="hybridMultilevel"/>
    <w:lvl w:ilvl="0">
      <w:lvlJc w:val="left"/>
      <w:lvlText w:val="%1."/>
      <w:numFmt w:val="decimal"/>
      <w:start w:val="13"/>
    </w:lvl>
  </w:abstractNum>
  <w:abstractNum w:abstractNumId="8">
    <w:nsid w:val="1E7FF521"/>
    <w:multiLevelType w:val="hybridMultilevel"/>
    <w:lvl w:ilvl="0">
      <w:lvlJc w:val="left"/>
      <w:lvlText w:val="%1."/>
      <w:numFmt w:val="decimal"/>
      <w:start w:val="15"/>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Roman"/>
      <w:start w:val="2"/>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5"/>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5"/>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2019-12-29T08:13:32Z</dcterms:created>
  <dcterms:modified xsi:type="dcterms:W3CDTF">2019-12-29T08:13:32Z</dcterms:modified>
</cp:coreProperties>
</file>