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19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Washington, D.C. 20549</w:t>
      </w:r>
    </w:p>
    <w:p>
      <w:pPr>
        <w:spacing w:after="0" w:line="369"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Date of report (Date of earliest event reported): January 8, 2018</w:t>
      </w:r>
    </w:p>
    <w:p>
      <w:pPr>
        <w:spacing w:after="0" w:line="38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SELECTA BIOSCIENCES, INC.</w:t>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240" w:top="622" w:right="419" w:bottom="1440" w:gutter="0" w:footer="0" w:header="0"/>
        </w:sectPr>
      </w:pPr>
    </w:p>
    <w:p>
      <w:pPr>
        <w:spacing w:after="0" w:line="13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540"/>
        <w:spacing w:after="0"/>
        <w:rPr>
          <w:sz w:val="20"/>
          <w:szCs w:val="20"/>
          <w:color w:val="auto"/>
        </w:rPr>
      </w:pPr>
      <w:r>
        <w:rPr>
          <w:rFonts w:ascii="Arial" w:cs="Arial" w:eastAsia="Arial" w:hAnsi="Arial"/>
          <w:sz w:val="14"/>
          <w:szCs w:val="14"/>
          <w:b w:val="1"/>
          <w:bCs w:val="1"/>
          <w:color w:val="auto"/>
        </w:rPr>
        <w:t>001-37798</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26-1622110</w:t>
      </w:r>
    </w:p>
    <w:p>
      <w:pPr>
        <w:spacing w:after="0" w:line="84" w:lineRule="exact"/>
        <w:rPr>
          <w:sz w:val="24"/>
          <w:szCs w:val="24"/>
          <w:color w:val="auto"/>
        </w:rPr>
      </w:pPr>
    </w:p>
    <w:p>
      <w:pPr>
        <w:sectPr>
          <w:pgSz w:w="11900" w:h="16838" w:orient="portrait"/>
          <w:cols w:equalWidth="0" w:num="3">
            <w:col w:w="4660" w:space="720"/>
            <w:col w:w="3240" w:space="720"/>
            <w:col w:w="1900"/>
          </w:cols>
          <w:pgMar w:left="240" w:top="622" w:right="419" w:bottom="1440" w:gutter="0" w:footer="0" w:header="0"/>
          <w:type w:val="continuous"/>
        </w:sectPr>
      </w:pPr>
    </w:p>
    <w:p>
      <w:pPr>
        <w:ind w:left="780"/>
        <w:spacing w:after="0"/>
        <w:rPr>
          <w:sz w:val="20"/>
          <w:szCs w:val="20"/>
          <w:color w:val="auto"/>
        </w:rPr>
      </w:pPr>
      <w:r>
        <w:rPr>
          <w:rFonts w:ascii="Arial" w:cs="Arial" w:eastAsia="Arial" w:hAnsi="Arial"/>
          <w:sz w:val="15"/>
          <w:szCs w:val="15"/>
          <w:color w:val="auto"/>
        </w:rPr>
        <w:t>(State or other jurisdiction of</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580" w:space="720"/>
            <w:col w:w="3100" w:space="720"/>
            <w:col w:w="2120"/>
          </w:cols>
          <w:pgMar w:left="240" w:top="622" w:right="419" w:bottom="1440" w:gutter="0" w:footer="0" w:header="0"/>
          <w:type w:val="continuous"/>
        </w:sectPr>
      </w:pPr>
    </w:p>
    <w:p>
      <w:pPr>
        <w:spacing w:after="0" w:line="21"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480 Arsenal Way</w:t>
      </w:r>
    </w:p>
    <w:p>
      <w:pPr>
        <w:spacing w:after="0" w:line="2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Watertown, MA 02472</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(Address of principal executive offices)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(617) 923-1400</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(Registrant’s telephone number, include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4"/>
          <w:szCs w:val="14"/>
          <w:color w:val="auto"/>
        </w:rPr>
        <w:t>(Former Name or Former Address, if Changed Since Last Report)</w:t>
      </w:r>
    </w:p>
    <w:p>
      <w:pPr>
        <w:sectPr>
          <w:pgSz w:w="11900" w:h="16838" w:orient="portrait"/>
          <w:cols w:equalWidth="0" w:num="1">
            <w:col w:w="11240"/>
          </w:cols>
          <w:pgMar w:left="240" w:top="622" w:right="41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Arial" w:cs="Arial" w:eastAsia="Arial" w:hAnsi="Arial"/>
          <w:sz w:val="16"/>
          <w:szCs w:val="16"/>
          <w:color w:val="auto"/>
        </w:rPr>
      </w:pPr>
    </w:p>
    <w:p>
      <w:pPr>
        <w:ind w:left="1340" w:hanging="805"/>
        <w:spacing w:after="0"/>
        <w:tabs>
          <w:tab w:leader="none" w:pos="1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67" w:lineRule="exact"/>
        <w:rPr>
          <w:sz w:val="24"/>
          <w:szCs w:val="24"/>
          <w:color w:val="auto"/>
        </w:rPr>
      </w:pPr>
    </w:p>
    <w:p>
      <w:pPr>
        <w:spacing w:after="0" w:line="27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2" w:lineRule="exact"/>
        <w:rPr>
          <w:sz w:val="24"/>
          <w:szCs w:val="24"/>
          <w:color w:val="auto"/>
        </w:rPr>
      </w:pPr>
    </w:p>
    <w:p>
      <w:pPr>
        <w:ind w:right="80"/>
        <w:spacing w:after="0" w:line="279"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ectPr>
          <w:pgSz w:w="11900" w:h="16838" w:orient="portrait"/>
          <w:cols w:equalWidth="0" w:num="1">
            <w:col w:w="11240"/>
          </w:cols>
          <w:pgMar w:left="240" w:top="622"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6"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(the “Presentation”) is attached to this Current Report on Form 8-K as Exhibit 99.1. The Company undertakes no obligation to update, supplement or amend the materials attached hereto as Exhibit 99.1.</w:t>
      </w:r>
    </w:p>
    <w:p>
      <w:pPr>
        <w:spacing w:after="0" w:line="145" w:lineRule="exact"/>
        <w:rPr>
          <w:sz w:val="20"/>
          <w:szCs w:val="20"/>
          <w:color w:val="auto"/>
        </w:rPr>
      </w:pPr>
    </w:p>
    <w:p>
      <w:pPr>
        <w:jc w:val="both"/>
        <w:ind w:right="120"/>
        <w:spacing w:after="0" w:line="265"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8.01. Other Events.</w:t>
      </w:r>
    </w:p>
    <w:p>
      <w:pPr>
        <w:spacing w:after="0" w:line="20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On January 8, 2018, in connection with the presentation and/or distribution of the Presentation, the Company announced that it expects to report initial results for its Phase 2 clinical trial of SEL-212 in chronic severe gout in April 2018 and further expects to hold an End of Phase 2 Meeting with the U.S. Food and Drug Administration in the second quarter of 2018.</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 also expects to submit an investigational new drug application for SEL-302 in methylmalonic acidemia in 2019.</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gridSpan w:val="4"/>
          </w:tcPr>
          <w:p>
            <w:pPr>
              <w:ind w:left="20"/>
              <w:spacing w:after="0"/>
              <w:rPr>
                <w:sz w:val="20"/>
                <w:szCs w:val="20"/>
                <w:color w:val="auto"/>
              </w:rPr>
            </w:pPr>
            <w:r>
              <w:rPr>
                <w:rFonts w:ascii="Arial" w:cs="Arial" w:eastAsia="Arial" w:hAnsi="Arial"/>
                <w:sz w:val="13"/>
                <w:szCs w:val="13"/>
                <w:b w:val="1"/>
                <w:bCs w:val="1"/>
                <w:color w:val="auto"/>
              </w:rPr>
              <w:t>Exhibit</w:t>
            </w:r>
          </w:p>
        </w:tc>
        <w:tc>
          <w:tcPr>
            <w:tcW w:w="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196"/>
        </w:trPr>
        <w:tc>
          <w:tcPr>
            <w:tcW w:w="2280" w:type="dxa"/>
            <w:vAlign w:val="bottom"/>
            <w:gridSpan w:val="4"/>
          </w:tcPr>
          <w:p>
            <w:pPr>
              <w:ind w:left="20"/>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7"/>
                <w:szCs w:val="17"/>
                <w:color w:val="auto"/>
              </w:rPr>
            </w:pPr>
          </w:p>
        </w:tc>
        <w:tc>
          <w:tcPr>
            <w:tcW w:w="9120" w:type="dxa"/>
            <w:vAlign w:val="bottom"/>
            <w:gridSpan w:val="2"/>
          </w:tcPr>
          <w:p>
            <w:pPr>
              <w:ind w:left="4220"/>
              <w:spacing w:after="0"/>
              <w:rPr>
                <w:sz w:val="20"/>
                <w:szCs w:val="20"/>
                <w:color w:val="auto"/>
              </w:rPr>
            </w:pPr>
            <w:r>
              <w:rPr>
                <w:rFonts w:ascii="Arial" w:cs="Arial" w:eastAsia="Arial" w:hAnsi="Arial"/>
                <w:sz w:val="13"/>
                <w:szCs w:val="13"/>
                <w:b w:val="1"/>
                <w:bCs w:val="1"/>
                <w:color w:val="auto"/>
              </w:rPr>
              <w:t>Description</w:t>
            </w:r>
          </w:p>
        </w:tc>
      </w:tr>
      <w:tr>
        <w:trPr>
          <w:trHeight w:val="287"/>
        </w:trPr>
        <w:tc>
          <w:tcPr>
            <w:tcW w:w="1120" w:type="dxa"/>
            <w:vAlign w:val="bottom"/>
            <w:tcBorders>
              <w:top w:val="single" w:sz="8" w:color="auto"/>
            </w:tcBorders>
            <w:gridSpan w:val="2"/>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5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9160" w:type="dxa"/>
            <w:vAlign w:val="bottom"/>
            <w:tcBorders>
              <w:top w:val="single" w:sz="8" w:color="auto"/>
            </w:tcBorders>
            <w:gridSpan w:val="3"/>
          </w:tcPr>
          <w:p>
            <w:pPr>
              <w:ind w:left="40"/>
              <w:spacing w:after="0"/>
              <w:rPr>
                <w:rFonts w:ascii="Arial" w:cs="Arial" w:eastAsia="Arial" w:hAnsi="Arial"/>
                <w:sz w:val="16"/>
                <w:szCs w:val="16"/>
                <w:color w:val="0000FF"/>
              </w:rPr>
            </w:pPr>
            <w:hyperlink w:anchor="page4">
              <w:r>
                <w:rPr>
                  <w:rFonts w:ascii="Arial" w:cs="Arial" w:eastAsia="Arial" w:hAnsi="Arial"/>
                  <w:sz w:val="16"/>
                  <w:szCs w:val="16"/>
                  <w:color w:val="0000FF"/>
                </w:rPr>
                <w:t>Corporate slide presentation of Selecta Biosciences, Inc. dated January 2018</w:t>
              </w:r>
            </w:hyperlink>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ectPr>
          <w:pgSz w:w="11900" w:h="16838" w:orient="portrait"/>
          <w:cols w:equalWidth="0" w:num="1">
            <w:col w:w="11440"/>
          </w:cols>
          <w:pgMar w:left="240" w:top="72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60" w:type="dxa"/>
            <w:vAlign w:val="bottom"/>
          </w:tcPr>
          <w:p>
            <w:pPr>
              <w:spacing w:after="0"/>
              <w:rPr>
                <w:sz w:val="17"/>
                <w:szCs w:val="17"/>
                <w:color w:val="auto"/>
              </w:rPr>
            </w:pPr>
          </w:p>
        </w:tc>
        <w:tc>
          <w:tcPr>
            <w:tcW w:w="7960" w:type="dxa"/>
            <w:vAlign w:val="bottom"/>
            <w:gridSpan w:val="2"/>
          </w:tcPr>
          <w:p>
            <w:pPr>
              <w:ind w:left="2040"/>
              <w:spacing w:after="0"/>
              <w:rPr>
                <w:sz w:val="20"/>
                <w:szCs w:val="20"/>
                <w:color w:val="auto"/>
              </w:rPr>
            </w:pPr>
            <w:r>
              <w:rPr>
                <w:rFonts w:ascii="Arial" w:cs="Arial" w:eastAsia="Arial" w:hAnsi="Arial"/>
                <w:sz w:val="16"/>
                <w:szCs w:val="16"/>
                <w:color w:val="auto"/>
              </w:rPr>
              <w:t>SELECTA BIOSCIENCES, INC.</w:t>
            </w:r>
          </w:p>
        </w:tc>
      </w:tr>
      <w:tr>
        <w:trPr>
          <w:trHeight w:val="724"/>
        </w:trPr>
        <w:tc>
          <w:tcPr>
            <w:tcW w:w="3460" w:type="dxa"/>
            <w:vAlign w:val="bottom"/>
          </w:tcPr>
          <w:p>
            <w:pPr>
              <w:spacing w:after="0"/>
              <w:rPr>
                <w:sz w:val="20"/>
                <w:szCs w:val="20"/>
                <w:color w:val="auto"/>
              </w:rPr>
            </w:pPr>
            <w:r>
              <w:rPr>
                <w:rFonts w:ascii="Arial" w:cs="Arial" w:eastAsia="Arial" w:hAnsi="Arial"/>
                <w:sz w:val="16"/>
                <w:szCs w:val="16"/>
                <w:color w:val="auto"/>
              </w:rPr>
              <w:t>Date: January 8, 2018</w:t>
            </w:r>
          </w:p>
        </w:tc>
        <w:tc>
          <w:tcPr>
            <w:tcW w:w="2700" w:type="dxa"/>
            <w:vAlign w:val="bottom"/>
          </w:tcPr>
          <w:p>
            <w:pPr>
              <w:ind w:left="2040"/>
              <w:spacing w:after="0"/>
              <w:rPr>
                <w:sz w:val="20"/>
                <w:szCs w:val="20"/>
                <w:color w:val="auto"/>
              </w:rPr>
            </w:pPr>
            <w:r>
              <w:rPr>
                <w:rFonts w:ascii="Arial" w:cs="Arial" w:eastAsia="Arial" w:hAnsi="Arial"/>
                <w:sz w:val="16"/>
                <w:szCs w:val="16"/>
                <w:color w:val="auto"/>
              </w:rPr>
              <w:t>By:</w:t>
            </w:r>
          </w:p>
        </w:tc>
        <w:tc>
          <w:tcPr>
            <w:tcW w:w="5260" w:type="dxa"/>
            <w:vAlign w:val="bottom"/>
          </w:tcPr>
          <w:p>
            <w:pPr>
              <w:ind w:left="20"/>
              <w:spacing w:after="0"/>
              <w:rPr>
                <w:sz w:val="20"/>
                <w:szCs w:val="20"/>
                <w:color w:val="auto"/>
              </w:rPr>
            </w:pPr>
            <w:r>
              <w:rPr>
                <w:rFonts w:ascii="Arial" w:cs="Arial" w:eastAsia="Arial" w:hAnsi="Arial"/>
                <w:sz w:val="16"/>
                <w:szCs w:val="16"/>
                <w:color w:val="auto"/>
              </w:rPr>
              <w:t>/s/ Werner Cautreels, Ph.D.</w:t>
            </w:r>
          </w:p>
        </w:tc>
      </w:tr>
      <w:tr>
        <w:trPr>
          <w:trHeight w:val="24"/>
        </w:trPr>
        <w:tc>
          <w:tcPr>
            <w:tcW w:w="34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09"/>
        </w:trPr>
        <w:tc>
          <w:tcPr>
            <w:tcW w:w="3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Werner Cautreels, Ph.D.</w:t>
            </w:r>
          </w:p>
        </w:tc>
      </w:tr>
      <w:tr>
        <w:trPr>
          <w:trHeight w:val="241"/>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bl>
    <w:p>
      <w:pPr>
        <w:sectPr>
          <w:pgSz w:w="11900" w:h="16838" w:orient="portrait"/>
          <w:cols w:equalWidth="0" w:num="1">
            <w:col w:w="11440"/>
          </w:cols>
          <w:pgMar w:left="240" w:top="726"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207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4207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4643755</wp:posOffset>
            </wp:positionV>
            <wp:extent cx="719709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4643755</wp:posOffset>
            </wp:positionV>
            <wp:extent cx="719709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2019-12-29T02:18:37Z</dcterms:created>
  <dcterms:modified xsi:type="dcterms:W3CDTF">2019-12-29T02:18:37Z</dcterms:modified>
</cp:coreProperties>
</file>