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6" w:lineRule="exact"/>
        <w:rPr>
          <w:sz w:val="24"/>
          <w:szCs w:val="24"/>
          <w:color w:val="auto"/>
        </w:rPr>
      </w:pPr>
    </w:p>
    <w:p>
      <w:pPr>
        <w:ind w:left="20"/>
        <w:spacing w:after="0" w:line="207" w:lineRule="exact"/>
        <w:tabs>
          <w:tab w:leader="none" w:pos="2020" w:val="left"/>
          <w:tab w:leader="none" w:pos="4460" w:val="left"/>
          <w:tab w:leader="none" w:pos="778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3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104775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33020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r>
        <w:rPr>
          <w:rFonts w:ascii="Times New Roman" w:cs="Times New Roman" w:eastAsia="Times New Roman" w:hAnsi="Times New Roman"/>
          <w:sz w:val="13"/>
          <w:szCs w:val="13"/>
          <w:b w:val="1"/>
          <w:bCs w:val="1"/>
          <w:color w:val="auto"/>
        </w:rPr>
        <w:t>)</w:t>
      </w:r>
    </w:p>
    <w:p>
      <w:pPr>
        <w:spacing w:after="0" w:line="1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140" w:hanging="1114"/>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1" w:lineRule="exact"/>
        <w:rPr>
          <w:sz w:val="24"/>
          <w:szCs w:val="24"/>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1140" w:right="200" w:hanging="427"/>
        <w:spacing w:after="0" w:line="234" w:lineRule="auto"/>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0"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1140" w:hanging="1114"/>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140" w:hanging="1114"/>
        <w:spacing w:after="0" w:line="226" w:lineRule="auto"/>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MS PGothic" w:cs="MS PGothic" w:eastAsia="MS PGothic" w:hAnsi="MS PGothic"/>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1140" w:hanging="427"/>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80"/>
          </w:cols>
          <w:pgMar w:left="320" w:top="1141" w:right="3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500380</wp:posOffset>
            </wp:positionV>
            <wp:extent cx="2143125" cy="796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143125" cy="796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2022 Annual Meeting (the “Annual Meeting”) of Stockholders of Selecta Biosciences, Inc. (the “Company”) to be held on Friday, June 17, 2022 at 10:00 a.m., Eastern Time. We are very pleased that our Annual Meeting will be a completely virtual meeting of stockholders,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will also be able to vote your shares electronically at the Annual Meeting.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be using the latest technology to increase access, to improve communication and to obtain cost savings for our stockholders and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a virtual meeting will enable increased stockholder attendance and participation as stockholders can participate from any location.</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on the following pages describe the matters to be presented at the Annual Meeting. Details regarding how to attend the meeting online and the business to be conducted at the Annual Meeting are more fully described in the Notice of Annual Meeting of Stockholders and Proxy Statement. Please see the section called “Who Can Attend the 2022 Annual Meeting?” on page 4 of the Proxy Statement for more information.</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virtual Annual Meeting, you will be able to vote your shares electronically, even if you have previously submitted your proxy.</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behalf of the Board of Directors, thank you for your continued support and investment in Selecta Biosciences,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Sincerely,</w:t>
            </w:r>
          </w:p>
        </w:tc>
      </w:tr>
      <w:tr>
        <w:trPr>
          <w:trHeight w:val="45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May 3, 2022</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6"/>
        </w:trPr>
        <w:tc>
          <w:tcPr>
            <w:tcW w:w="63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6"/>
        </w:trPr>
        <w:tc>
          <w:tcPr>
            <w:tcW w:w="63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7"/>
        </w:trPr>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Notice of Annual Meeting of Stockholders</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7780" w:type="dxa"/>
            <w:vAlign w:val="bottom"/>
            <w:gridSpan w:val="9"/>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Questions and Answers About the 2022 Annual Meeting of Stockholders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620" w:type="dxa"/>
            <w:vAlign w:val="bottom"/>
            <w:gridSpan w:val="8"/>
          </w:tcPr>
          <w:p>
            <w:pPr>
              <w:spacing w:after="0"/>
              <w:rPr>
                <w:sz w:val="18"/>
                <w:szCs w:val="18"/>
                <w:color w:val="auto"/>
              </w:rPr>
            </w:pPr>
          </w:p>
        </w:tc>
        <w:tc>
          <w:tcPr>
            <w:tcW w:w="5600" w:type="dxa"/>
            <w:vAlign w:val="bottom"/>
            <w:gridSpan w:val="4"/>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Proposal No. 2 Non-Binding, Advisory Approval of Compensation of Named Executive Officers</w:t>
            </w:r>
          </w:p>
        </w:tc>
        <w:tc>
          <w:tcPr>
            <w:tcW w:w="3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Proposal No. 3 Non-Binding, Advisory Vote</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8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Proposal No. 4 Amendment to Restated Certificate of Incorporation to Increase the Number of Authorized Shares</w:t>
            </w: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09"/>
        </w:trPr>
        <w:tc>
          <w:tcPr>
            <w:tcW w:w="69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Proposal No. 5 Ratification of Appointment of Independent Registered Public Accounting Firm</w:t>
            </w:r>
          </w:p>
        </w:tc>
        <w:tc>
          <w:tcPr>
            <w:tcW w:w="396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r>
      <w:tr>
        <w:trPr>
          <w:trHeight w:val="20"/>
        </w:trPr>
        <w:tc>
          <w:tcPr>
            <w:tcW w:w="10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 and Other Matters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209"/>
        </w:trPr>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3900" w:type="dxa"/>
            <w:vAlign w:val="bottom"/>
            <w:tcBorders>
              <w:top w:val="single" w:sz="8" w:color="0000FF"/>
            </w:tcBorders>
            <w:gridSpan w:val="13"/>
          </w:tcPr>
          <w:p>
            <w:pPr>
              <w:spacing w:after="0"/>
              <w:rPr>
                <w:sz w:val="18"/>
                <w:szCs w:val="18"/>
                <w:color w:val="auto"/>
              </w:rPr>
            </w:pPr>
          </w:p>
        </w:tc>
        <w:tc>
          <w:tcPr>
            <w:tcW w:w="56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r>
      <w:tr>
        <w:trPr>
          <w:trHeight w:val="209"/>
        </w:trPr>
        <w:tc>
          <w:tcPr>
            <w:tcW w:w="1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9220" w:type="dxa"/>
            <w:vAlign w:val="bottom"/>
            <w:gridSpan w:val="1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09"/>
        </w:trPr>
        <w:tc>
          <w:tcPr>
            <w:tcW w:w="2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8000" w:type="dxa"/>
            <w:vAlign w:val="bottom"/>
            <w:gridSpan w:val="10"/>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2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and Director Compensation</w:t>
            </w:r>
          </w:p>
        </w:tc>
        <w:tc>
          <w:tcPr>
            <w:tcW w:w="8100" w:type="dxa"/>
            <w:vAlign w:val="bottom"/>
            <w:gridSpan w:val="11"/>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r>
      <w:tr>
        <w:trPr>
          <w:trHeight w:val="210"/>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9"/>
        </w:trPr>
        <w:tc>
          <w:tcPr>
            <w:tcW w:w="24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460" w:type="dxa"/>
            <w:vAlign w:val="bottom"/>
            <w:tcBorders>
              <w:top w:val="single" w:sz="8" w:color="0000FF"/>
            </w:tcBorders>
            <w:gridSpan w:val="8"/>
          </w:tcPr>
          <w:p>
            <w:pPr>
              <w:spacing w:after="0"/>
              <w:rPr>
                <w:sz w:val="18"/>
                <w:szCs w:val="18"/>
                <w:color w:val="auto"/>
              </w:rPr>
            </w:pPr>
          </w:p>
        </w:tc>
        <w:tc>
          <w:tcPr>
            <w:tcW w:w="5980" w:type="dxa"/>
            <w:vAlign w:val="bottom"/>
            <w:gridSpan w:val="5"/>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9"/>
        </w:trPr>
        <w:tc>
          <w:tcPr>
            <w:tcW w:w="3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Person Transactions</w:t>
            </w:r>
          </w:p>
        </w:tc>
        <w:tc>
          <w:tcPr>
            <w:tcW w:w="6900" w:type="dxa"/>
            <w:vAlign w:val="bottom"/>
            <w:gridSpan w:val="7"/>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9"/>
        </w:trPr>
        <w:tc>
          <w:tcPr>
            <w:tcW w:w="10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Stockholders’ Proposals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r>
      <w:tr>
        <w:trPr>
          <w:trHeight w:val="210"/>
        </w:trPr>
        <w:tc>
          <w:tcPr>
            <w:tcW w:w="10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20" w:type="dxa"/>
            <w:vAlign w:val="bottom"/>
            <w:tcBorders>
              <w:top w:val="single" w:sz="8" w:color="0000FF"/>
            </w:tcBorders>
            <w:gridSpan w:val="5"/>
          </w:tcPr>
          <w:p>
            <w:pPr>
              <w:spacing w:after="0"/>
              <w:rPr>
                <w:sz w:val="18"/>
                <w:szCs w:val="18"/>
                <w:color w:val="auto"/>
              </w:rPr>
            </w:pPr>
          </w:p>
        </w:tc>
        <w:tc>
          <w:tcPr>
            <w:tcW w:w="9120" w:type="dxa"/>
            <w:vAlign w:val="bottom"/>
            <w:gridSpan w:val="14"/>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9"/>
        </w:trPr>
        <w:tc>
          <w:tcPr>
            <w:tcW w:w="1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Solicitation of Proxies</w:t>
            </w:r>
          </w:p>
        </w:tc>
        <w:tc>
          <w:tcPr>
            <w:tcW w:w="9240" w:type="dxa"/>
            <w:vAlign w:val="bottom"/>
            <w:gridSpan w:val="1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10"/>
        </w:trPr>
        <w:tc>
          <w:tcPr>
            <w:tcW w:w="4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Selecta Biosciences, Inc.’s Annual Report on Form 10-K</w:t>
            </w:r>
          </w:p>
        </w:tc>
        <w:tc>
          <w:tcPr>
            <w:tcW w:w="6760" w:type="dxa"/>
            <w:vAlign w:val="bottom"/>
            <w:gridSpan w:val="6"/>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bl>
    <w:p>
      <w:pPr>
        <w:sectPr>
          <w:pgSz w:w="11900" w:h="16838" w:orient="portrait"/>
          <w:cols w:equalWidth="0" w:num="1">
            <w:col w:w="11200"/>
          </w:cols>
          <w:pgMar w:left="340" w:top="76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2022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June 17, 2022</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Annual Meeting of Stockholders (the “Annual Meeting”) of Selecta Biosciences, Inc., a Delaware corporation (the “Company”), will be held at</w:t>
      </w:r>
    </w:p>
    <w:p>
      <w:pPr>
        <w:spacing w:after="0" w:line="27"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 xml:space="preserve">10:00 a.m., Eastern Time, on Friday, June 17, 2022, by virtual meeting online at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for the following purposes:</w:t>
      </w:r>
    </w:p>
    <w:p>
      <w:pPr>
        <w:spacing w:after="0" w:line="73" w:lineRule="exact"/>
        <w:rPr>
          <w:sz w:val="20"/>
          <w:szCs w:val="20"/>
          <w:color w:val="auto"/>
        </w:rPr>
      </w:pPr>
    </w:p>
    <w:p>
      <w:pPr>
        <w:ind w:left="660" w:right="5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 xml:space="preserve">Holders of record of our common stock as of the close of business on April 18, 2022 are entitled to notice of and to vote at the Annual Meeting, or any continuation, postponement or adjournment of the Annual Meeting. A complete list of these stockholders will be open to the examination of any stockholder for a period of ten days prior to the Annual Meeting for a purpose germane to the meeting by sending an email to ShareholderRequests@selectabio.com, stating the purpose of the request and providing proof of ownership of our stock. The list of these stockholders will also be available on the bottom panel of your screen during the meeting at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xml:space="preserve"> after entering the 16-digit control number included on the Notice of Internet Availability of Proxy Materials or any proxy card that you received, or on the materials provided by your bank or broker. The Annual Meeting may be continued or adjourned from time to time without notice other than by announcement at the Annual Meeting.</w:t>
      </w:r>
    </w:p>
    <w:p>
      <w:pPr>
        <w:spacing w:after="0" w:line="6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It is important that your shares be represented regardless of the number of shares you may hold. Whether or not you plan to attend the Annual Meeting webcast,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Note that, in light of possible disruptions in mail service related to COVID-19, we encourage stockholders to submit their proxy via telephone or over the Internet. Submitting your proxy now will not prevent you from voting your shares electronically at the Annual Meeting if you desire to do so, as your proxy is revocable at your option.</w:t>
      </w:r>
    </w:p>
    <w:p>
      <w:pPr>
        <w:spacing w:after="0" w:line="12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18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351790</wp:posOffset>
            </wp:positionV>
            <wp:extent cx="214312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 Grove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Massachusetts 02472</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0" w:lineRule="exact"/>
        <w:rPr>
          <w:sz w:val="20"/>
          <w:szCs w:val="20"/>
          <w:color w:val="auto"/>
        </w:rPr>
      </w:pPr>
    </w:p>
    <w:p>
      <w:pPr>
        <w:spacing w:after="0" w:line="2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(the “Board”) of Selecta Biosciences, Inc. of proxies to be voted at our Annual Meeting of Stockholders to be held on Friday, June 17, 2022 (the “Annual Meeting”) at 10:00 a.m.,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Times New Roman" w:cs="Times New Roman" w:eastAsia="Times New Roman" w:hAnsi="Times New Roman"/>
          <w:sz w:val="18"/>
          <w:szCs w:val="18"/>
          <w:i w:val="1"/>
          <w:iCs w:val="1"/>
          <w:color w:val="auto"/>
        </w:rPr>
        <w:t xml:space="preserve">www.virtualshareholdermeeting.com/SELB2022 </w:t>
      </w:r>
      <w:r>
        <w:rPr>
          <w:rFonts w:ascii="Times New Roman" w:cs="Times New Roman" w:eastAsia="Times New Roman" w:hAnsi="Times New Roman"/>
          <w:sz w:val="18"/>
          <w:szCs w:val="18"/>
          <w:color w:val="auto"/>
        </w:rPr>
        <w:t>and entering your 16-digit control number included on your Notice of Internet Availability of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“Internet Notice”), on your proxy card or on the instructions that accompanied your proxy materials. Holders of record of shares of common stock, $0.0001 par value (“Common Stock”), as of the close of business on April 18, 2022 (the “Record Date”), will be entitled to notice of and to vote at the Annual Meeting and any continuation, postponement, or adjournment of the Annual Meeting. As of the Record Date, there were 151,809,416 shares of Common Stock outstanding and entitled to vote at the Annual Meeting. Each share of Common Stock is entitled to one vote on any matter presented to stockholders at the Annual Meeting.</w:t>
      </w:r>
    </w:p>
    <w:p>
      <w:pPr>
        <w:spacing w:after="0" w:line="86"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proxy statement and the Company’s Annual Report on Form 10-K for the year ended December 31, 2021, (as amended, the “2021 Annual Report”) will be released on or about ___________, 2022 to our stockholders on the Record Date.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proxy statement, “Selecta”, “Company”, “we”, “us”, and “our” refer to Selecta Biosciences, Inc.</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FRIDAY, JUNE 17, 2022</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Statement and our 2021 Annual Report are available at http://www.proxyvote.com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stockholders will be asked:</w:t>
      </w:r>
    </w:p>
    <w:p>
      <w:pPr>
        <w:spacing w:after="0" w:line="117" w:lineRule="exact"/>
        <w:rPr>
          <w:sz w:val="20"/>
          <w:szCs w:val="20"/>
          <w:color w:val="auto"/>
        </w:rPr>
      </w:pPr>
    </w:p>
    <w:p>
      <w:pPr>
        <w:ind w:left="660" w:right="5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Timothy C. Barabe, Carsten Brunn, Ph.D. and Nishan de Silva, M.D., M.B.A. as Class III Directors to serve until the 2025 Annual Meeting of Stockholders, and until their respective successors shall have been duly elected and qualified;</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a resolution approving the compensation of our named executive officers, as described in the accompanying proxy statement under “Executive and Director Compensation”;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and advisory basis, the frequency of solicitation of advisory stockholder approval of executive compensation;</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Restated Certificate of Incorporation to increase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2022; and</w:t>
      </w:r>
    </w:p>
    <w:p>
      <w:pPr>
        <w:spacing w:after="0" w:line="5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of the Annual Meeting.</w:t>
      </w:r>
    </w:p>
    <w:p>
      <w:pPr>
        <w:spacing w:after="0" w:line="54"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Stockholders at an annual meeting will only be able to consider proposals or nominations specified in the Notice of Annual Meeting or brought before the meeting by or at the direction of our Board or by a stockholder of record on the Record Date for the meeting who is entitled to vote at the meeting and who has delivered timely written notice in proper form to our Secretary of the stockholder’s intention to bring such business before the meeting. As of the date of this proxy statement, we know of no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w:t>
      </w:r>
    </w:p>
    <w:p>
      <w:pPr>
        <w:spacing w:after="0" w:line="121"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recommendations of the Board. The Board recommends that you vote:</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Timothy C. Barabe, Carsten Brunn, Ph.D. and Nishan de Silva, M.D., M.B.A. as Class III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the compensation of our named executive officers;</w:t>
      </w:r>
    </w:p>
    <w:p>
      <w:pPr>
        <w:spacing w:after="0" w:line="11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“ONE YEAR” as the frequency of solicitation of advisory stockholder approval of executive compensation;</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to our Restated Certificate of Incorporation increasing our authorized number of shares of Common Stock from 200,000,000 to 350,000,000;</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2022.</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any other matter properly comes before the stockholders for a vote at the Annual Meeting, the proxy holders named on our proxy card will vote your shares in accordance with their best judgment.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THIS PROXY STATEMENT</w:t>
      </w:r>
    </w:p>
    <w:p>
      <w:pPr>
        <w:spacing w:after="0" w:line="117"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Why you received this Proxy Statement</w:t>
      </w:r>
      <w:r>
        <w:rPr>
          <w:rFonts w:ascii="Times New Roman" w:cs="Times New Roman" w:eastAsia="Times New Roman" w:hAnsi="Times New Roman"/>
          <w:sz w:val="18"/>
          <w:szCs w:val="18"/>
          <w:color w:val="auto"/>
        </w:rPr>
        <w:t>. You are viewing or have received these proxy materials because Selecta’s Board is soliciting your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your shares at the Annual Meeting. This proxy statement includes information that we are required to provide to you under the rules of the Securities and Exchange Commission (“SEC”) and that is designed to assist you in voting your shares.</w:t>
      </w:r>
    </w:p>
    <w:p>
      <w:pPr>
        <w:spacing w:after="0" w:line="63"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r>
        <w:rPr>
          <w:rFonts w:ascii="Times New Roman" w:cs="Times New Roman" w:eastAsia="Times New Roman" w:hAnsi="Times New Roman"/>
          <w:sz w:val="18"/>
          <w:szCs w:val="18"/>
          <w:color w:val="auto"/>
        </w:rPr>
        <w:t>. As permitted by SEC rules, Selecta is making this proxy statement and its 2021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its stockholders electronically via the Internet. On or about May 3, 2022, we mailed to our stockholders an Internet Notice containing instructions on how to access this proxy statement and our 2021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2021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75"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Printed Copies of Our Proxy Materials. </w:t>
      </w:r>
      <w:r>
        <w:rPr>
          <w:rFonts w:ascii="Times New Roman" w:cs="Times New Roman" w:eastAsia="Times New Roman" w:hAnsi="Times New Roman"/>
          <w:sz w:val="18"/>
          <w:szCs w:val="18"/>
          <w:color w:val="auto"/>
        </w:rPr>
        <w:t>If you received printed copies of our proxy materials, then instructions regarding how you can vote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on the proxy card included in the materials.</w:t>
      </w:r>
    </w:p>
    <w:p>
      <w:pPr>
        <w:spacing w:after="0" w:line="4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7"/>
          <w:szCs w:val="17"/>
          <w:b w:val="1"/>
          <w:bCs w:val="1"/>
          <w:color w:val="auto"/>
        </w:rPr>
        <w:t>Householding</w:t>
      </w:r>
      <w:r>
        <w:rPr>
          <w:rFonts w:ascii="Times New Roman" w:cs="Times New Roman" w:eastAsia="Times New Roman" w:hAnsi="Times New Roman"/>
          <w:sz w:val="17"/>
          <w:szCs w:val="17"/>
          <w:color w:val="auto"/>
        </w:rPr>
        <w:t>. The SEC’s rules permit us to deliver a single set of proxy materials to one address shared by two or more of our stockholders.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(866) 540-7095 or in writing at Broadridge, Householding Department, 51 Mercedes Way, Edgewood, New York 11717.</w:t>
      </w:r>
    </w:p>
    <w:p>
      <w:pPr>
        <w:spacing w:after="0" w:line="6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If you are currently a stockholder sharing an address with another stockholder and received more than one copy of proxy materials, but wish to receive only one copy of future proxy materials for your household, please contact Broadridge at the above phone number or address.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the 2022 Annual Meeting of Stockholders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Record Date for the Annual Meeting is April 18, 2022.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151,809,416 shares of Common Stock outstanding and entitled to vote at the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being a “record holder” and holding shares in “street name”?</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entitled to vote if my shares are held in “street name”?</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please refer to the information from your bank, broker or other nominee on how to submit your voting instructions.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shares must be present to hold the Annual Meeting?</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quorum must be present at the Annual Meeting for any business to be conducted. The presence at the Annual Meeting, in person, or by remove communication, or represented by proxy, of the holders of a majority in voting power of the Common Stock issued and outstanding and entitled to vote on the Record Date will constitute a quorum.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attend the 2022 Annual Meeting?</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You may attend the virtual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You also will be able to vote your shares electronically at the Annual Meeting.</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participate in the Annual Meeting, you will need the 16-digit control number included in your Internet Notice, on your proxy card or on the instructions that accompanied your proxy materials. The meeting webcast will begin promptly at 10:00 a.m., Eastern Time. We encourage you to access the meeting prior to the start time. Online check-in will begin at 9:55 a.m., Eastern Time, and you should allow ample time for the check-in procedures. If your shares are held in street name and you did not receive a 16-digit control number, you may gain access to and vote at the Annual Meeting by logging into your bank or brokerage firm’s website and selecting the shareholder communications mailbox to access the meeting. The control number will automatically populate.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 virtual meeting?</w:t>
      </w:r>
    </w:p>
    <w:p>
      <w:pPr>
        <w:spacing w:after="0" w:line="121"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 xml:space="preserve">We are excited to embrace the latest technology to provide expanded access, improved communication and cost savings for our stockholders and the Company while providing stockholders with the same rights and opportunities to participate as they would have at an in-person meeting. Having held successful virtual meetings since 2017, we believe hosting a virtual meeting will enable increased stockholder attendance and participation, because it permits stockholders to participate from any location around the world. Furthermore, in light of the ongoing COVID-19 pandemic, as part of our effort to maintain a safe and healthy environment for our directors, members of management and stockholders who wish to attend the Annual Meeting, we believe that hosting a virtual meeting is in the best interest of the Company and its stockholders. You will be able to attend the Annual Meeting online and submit your questions by visiting </w:t>
      </w:r>
      <w:r>
        <w:rPr>
          <w:rFonts w:ascii="Times New Roman" w:cs="Times New Roman" w:eastAsia="Times New Roman" w:hAnsi="Times New Roman"/>
          <w:sz w:val="17"/>
          <w:szCs w:val="17"/>
          <w:i w:val="1"/>
          <w:iCs w:val="1"/>
          <w:color w:val="auto"/>
        </w:rPr>
        <w:t>www.virtualshareholdermeeting.com/SELB2022</w:t>
      </w:r>
      <w:r>
        <w:rPr>
          <w:rFonts w:ascii="Times New Roman" w:cs="Times New Roman" w:eastAsia="Times New Roman" w:hAnsi="Times New Roman"/>
          <w:sz w:val="17"/>
          <w:szCs w:val="17"/>
          <w:color w:val="auto"/>
        </w:rPr>
        <w:t>. You also will be able to vote your shares electronically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check-in time or during the annual meeting I have technical difficulties or trouble assessing the virtual meeting website?</w:t>
      </w:r>
    </w:p>
    <w:p>
      <w:pPr>
        <w:spacing w:after="0" w:line="121"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Shareholder Meeting log in page.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 quorum is not present at the Annual Meeting?</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If a quorum is not present at the scheduled time of the Annual Meeting, the Chairperson of the Annual Meeting may adjourn the Annual Meeting until a quorum is present or represented.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Internet Notice or more than one set of proxy materials?</w:t>
      </w:r>
    </w:p>
    <w:p>
      <w:pPr>
        <w:spacing w:after="0" w:line="12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9"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We recommend that stockholders vote by proxy even if they plan to participate in the virtual Annual Meeting and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electronically during the meeting. If you are a stockholder of record, you may vote:</w:t>
      </w:r>
    </w:p>
    <w:p>
      <w:pPr>
        <w:spacing w:after="0" w:line="5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 You can vote by telephone by calling 1-800-690-6903 and following the instructions on the proxy card;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 You can vote over the Internet at www.proxyvote.com by following the instructions on the proxy card or Internet Notice;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 You can vote by mail by signing, dating and mailing the proxy card, which you may have received by mail; or</w:t>
      </w:r>
    </w:p>
    <w:p>
      <w:pPr>
        <w:spacing w:after="0" w:line="115" w:lineRule="exact"/>
        <w:rPr>
          <w:rFonts w:ascii="Times New Roman" w:cs="Times New Roman" w:eastAsia="Times New Roman" w:hAnsi="Times New Roman"/>
          <w:sz w:val="18"/>
          <w:szCs w:val="18"/>
          <w:color w:val="auto"/>
        </w:rPr>
      </w:pPr>
    </w:p>
    <w:p>
      <w:pPr>
        <w:jc w:val="both"/>
        <w:ind w:left="660" w:right="14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Electronically at the Meeting - You may vote at the Annual Meeting by visiting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entering the 16-digit control number included on your Internet Notice, on your proxy card or on the instructions that accompanied your proxy materials. The meeting webcast will begin promptly at 10:00 am, Eastern Time, on June 17, 2022.</w:t>
      </w:r>
    </w:p>
    <w:p>
      <w:pPr>
        <w:spacing w:after="0" w:line="6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16, 2022. To participate in the Annual Meeting, including to vote via the Internet or telephone, you will need the 16-digit control number included on your Internet Notice, on your proxy card or on the instructions that accompanied your proxy materials.</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 Note that, in light of possible disruptions in mail service related to the COVID-19 pandemic, we encourage stockholders to submit their proxy via the Internet or telephone.</w:t>
      </w:r>
    </w:p>
    <w:p>
      <w:pPr>
        <w:spacing w:after="0" w:line="7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Owners of Shares Held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If your shares are held in “street name” through a bank or broker, you will receive instructions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to vote from the bank or broker. You must follow their instructions in order for your shares to be voted. Telephone and Internet voting also may be offered to stockholders owning shares through certain banks and brokers. If your shares are held in street name and you would like to vote at the Annual Meeting, you may visit </w:t>
      </w:r>
      <w:r>
        <w:rPr>
          <w:rFonts w:ascii="Times New Roman" w:cs="Times New Roman" w:eastAsia="Times New Roman" w:hAnsi="Times New Roman"/>
          <w:sz w:val="18"/>
          <w:szCs w:val="18"/>
          <w:i w:val="1"/>
          <w:iCs w:val="1"/>
          <w:color w:val="auto"/>
        </w:rPr>
        <w:t>www.virtualshareholdermeeting.com/SELB2022</w:t>
      </w:r>
      <w:r>
        <w:rPr>
          <w:rFonts w:ascii="Times New Roman" w:cs="Times New Roman" w:eastAsia="Times New Roman" w:hAnsi="Times New Roman"/>
          <w:sz w:val="18"/>
          <w:szCs w:val="18"/>
          <w:color w:val="auto"/>
        </w:rPr>
        <w:t xml:space="preserve"> and enter the 16-digit control number included in the voting instruction card provided to you by your bank or brokerage firm or otherwise vote through the bank or broker. If you lose your 16-digit control number, you may join the Annual Meeting as a “Guest” but you will not be able to vote, ask questions or access the list of stockholders as of the Record Date. You will need to obtain your own Internet access if you choose to attend the Annual Meeting online and/or vote over the Internet.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submit my proxy?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are a registered stockholder, you may revoke your proxy and change your vote: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duly executed proxy bearing a later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granting a subsequent proxy through the Internet or telephone;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giving written notice of revocation to the Secretary of the Company prior to the Annual Meeting; 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electronically at the virtual Annual Meeting.</w:t>
      </w:r>
    </w:p>
    <w:p>
      <w:pPr>
        <w:spacing w:after="0" w:line="11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Your most recent proxy card or telephone or Internet proxy is the one that is counted. Your participation in the virtual Annual Meeting by itself will not revoke your proxy unless you give written notice of revocation to the Secretary before your proxy is voted or you vote electronically at the virtual Annual Meeting.</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you may change or revoke your voting instructions by following the specific directions provided to you by your bank or broker, or you may vote electronically at the virtual Annual Meeting by following the instructions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count the votes?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representative of Broadridge Financial Solutions, Inc., our inspector of election, will tabulate and certify the votes.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my shares are to be voted?</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indicated on page 3 of this proxy statement, as well as with the description of each proposal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 other business be conducted at the Annual Meeting?</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required for the approval of the proposals to be voted upon and how will abstentions and broker non-votes be treated?</w:t>
      </w:r>
    </w:p>
    <w:p>
      <w:pPr>
        <w:spacing w:after="0" w:line="15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Effect of Votes</w:t>
      </w:r>
    </w:p>
    <w:p>
      <w:pPr>
        <w:ind w:left="8300"/>
        <w:spacing w:after="0" w:line="219" w:lineRule="auto"/>
        <w:rPr>
          <w:sz w:val="20"/>
          <w:szCs w:val="20"/>
          <w:color w:val="auto"/>
        </w:rPr>
      </w:pPr>
      <w:r>
        <w:rPr>
          <w:rFonts w:ascii="Times New Roman" w:cs="Times New Roman" w:eastAsia="Times New Roman" w:hAnsi="Times New Roman"/>
          <w:sz w:val="18"/>
          <w:szCs w:val="18"/>
          <w:b w:val="1"/>
          <w:bCs w:val="1"/>
          <w:color w:val="auto"/>
        </w:rPr>
        <w:t>Withheld/Abstentions and</w:t>
      </w: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b w:val="1"/>
          <w:bCs w:val="1"/>
          <w:color w:val="auto"/>
        </w:rPr>
        <w:t>Proposal</w:t>
      </w:r>
      <w:r>
        <w:rPr>
          <w:sz w:val="20"/>
          <w:szCs w:val="20"/>
          <w:color w:val="auto"/>
        </w:rPr>
        <w:tab/>
      </w:r>
      <w:r>
        <w:rPr>
          <w:rFonts w:ascii="Times New Roman" w:cs="Times New Roman" w:eastAsia="Times New Roman" w:hAnsi="Times New Roman"/>
          <w:sz w:val="18"/>
          <w:szCs w:val="18"/>
          <w:b w:val="1"/>
          <w:bCs w:val="1"/>
          <w:color w:val="auto"/>
        </w:rPr>
        <w:t>Votes required</w:t>
      </w:r>
      <w:r>
        <w:rPr>
          <w:sz w:val="20"/>
          <w:szCs w:val="20"/>
          <w:color w:val="auto"/>
        </w:rPr>
        <w:tab/>
      </w:r>
      <w:r>
        <w:rPr>
          <w:rFonts w:ascii="Times New Roman" w:cs="Times New Roman" w:eastAsia="Times New Roman" w:hAnsi="Times New Roman"/>
          <w:sz w:val="17"/>
          <w:szCs w:val="17"/>
          <w:b w:val="1"/>
          <w:bCs w:val="1"/>
          <w:color w:val="auto"/>
        </w:rPr>
        <w:t>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1: Election of Directors</w:t>
      </w:r>
      <w:r>
        <w:rPr>
          <w:sz w:val="20"/>
          <w:szCs w:val="20"/>
          <w:color w:val="auto"/>
        </w:rPr>
        <w:tab/>
      </w:r>
      <w:r>
        <w:rPr>
          <w:rFonts w:ascii="Times New Roman" w:cs="Times New Roman" w:eastAsia="Times New Roman" w:hAnsi="Times New Roman"/>
          <w:sz w:val="17"/>
          <w:szCs w:val="17"/>
          <w:color w:val="auto"/>
        </w:rPr>
        <w:t>The plurality of the votes cast. This means that the three</w:t>
      </w:r>
    </w:p>
    <w:p>
      <w:pPr>
        <w:ind w:left="3760"/>
        <w:spacing w:after="0" w:line="219" w:lineRule="auto"/>
        <w:rPr>
          <w:sz w:val="20"/>
          <w:szCs w:val="20"/>
          <w:color w:val="auto"/>
        </w:rPr>
      </w:pPr>
      <w:r>
        <w:rPr>
          <w:rFonts w:ascii="Times New Roman" w:cs="Times New Roman" w:eastAsia="Times New Roman" w:hAnsi="Times New Roman"/>
          <w:sz w:val="18"/>
          <w:szCs w:val="18"/>
          <w:color w:val="auto"/>
        </w:rPr>
        <w:t>nominees receiving the</w:t>
      </w:r>
    </w:p>
    <w:p>
      <w:pPr>
        <w:jc w:val="right"/>
        <w:spacing w:after="0" w:line="203" w:lineRule="auto"/>
        <w:rPr>
          <w:sz w:val="20"/>
          <w:szCs w:val="20"/>
          <w:color w:val="auto"/>
        </w:rPr>
      </w:pPr>
      <w:r>
        <w:rPr>
          <w:rFonts w:ascii="Times New Roman" w:cs="Times New Roman" w:eastAsia="Times New Roman" w:hAnsi="Times New Roman"/>
          <w:sz w:val="18"/>
          <w:szCs w:val="18"/>
          <w:color w:val="auto"/>
        </w:rPr>
        <w:t>highest number of affirmative “FOR” votes will be elected as</w:t>
      </w:r>
    </w:p>
    <w:p>
      <w:pPr>
        <w:spacing w:after="0" w:line="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Class II Directors.</w:t>
      </w:r>
    </w:p>
    <w:p>
      <w:pPr>
        <w:spacing w:after="0" w:line="20" w:lineRule="exact"/>
        <w:rPr>
          <w:sz w:val="20"/>
          <w:szCs w:val="20"/>
          <w:color w:val="auto"/>
        </w:rPr>
      </w:pPr>
      <w:r>
        <w:rPr>
          <w:sz w:val="20"/>
          <w:szCs w:val="20"/>
          <w:color w:val="auto"/>
        </w:rPr>
        <w:br w:type="column"/>
      </w:r>
    </w:p>
    <w:p>
      <w:pPr>
        <w:ind w:right="100"/>
        <w:spacing w:after="0" w:line="237" w:lineRule="auto"/>
        <w:rPr>
          <w:sz w:val="20"/>
          <w:szCs w:val="20"/>
          <w:color w:val="auto"/>
        </w:rPr>
      </w:pPr>
      <w:r>
        <w:rPr>
          <w:rFonts w:ascii="Times New Roman" w:cs="Times New Roman" w:eastAsia="Times New Roman" w:hAnsi="Times New Roman"/>
          <w:sz w:val="18"/>
          <w:szCs w:val="18"/>
          <w:color w:val="auto"/>
        </w:rPr>
        <w:t>Votes withheld, abstentions, and broker non-votes will have no effect.</w:t>
      </w:r>
    </w:p>
    <w:p>
      <w:pPr>
        <w:spacing w:after="0" w:line="558" w:lineRule="exact"/>
        <w:rPr>
          <w:sz w:val="20"/>
          <w:szCs w:val="20"/>
          <w:color w:val="auto"/>
        </w:rPr>
      </w:pPr>
    </w:p>
    <w:p>
      <w:pPr>
        <w:sectPr>
          <w:pgSz w:w="11900" w:h="16838" w:orient="portrait"/>
          <w:cols w:equalWidth="0" w:num="2">
            <w:col w:w="8180" w:space="12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2: Approval of Compensation of Named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Executive Officers</w:t>
      </w:r>
      <w:r>
        <w:rPr>
          <w:sz w:val="20"/>
          <w:szCs w:val="20"/>
          <w:color w:val="auto"/>
        </w:rPr>
        <w:tab/>
      </w:r>
      <w:r>
        <w:rPr>
          <w:rFonts w:ascii="Times New Roman" w:cs="Times New Roman" w:eastAsia="Times New Roman" w:hAnsi="Times New Roman"/>
          <w:sz w:val="17"/>
          <w:szCs w:val="17"/>
          <w:color w:val="auto"/>
        </w:rPr>
        <w:t>power of the votes cast affirmatively or negatively.</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3: Approval of Frequency of Advisory</w:t>
      </w:r>
      <w:r>
        <w:rPr>
          <w:sz w:val="20"/>
          <w:szCs w:val="20"/>
          <w:color w:val="auto"/>
        </w:rPr>
        <w:tab/>
      </w:r>
      <w:r>
        <w:rPr>
          <w:rFonts w:ascii="Times New Roman" w:cs="Times New Roman" w:eastAsia="Times New Roman" w:hAnsi="Times New Roman"/>
          <w:sz w:val="17"/>
          <w:szCs w:val="17"/>
          <w:color w:val="auto"/>
        </w:rPr>
        <w:t>The plurality of the votes cast. This means that the option that</w:t>
      </w:r>
    </w:p>
    <w:p>
      <w:pPr>
        <w:ind w:left="20"/>
        <w:spacing w:after="0" w:line="219" w:lineRule="auto"/>
        <w:tabs>
          <w:tab w:leader="none" w:pos="3740" w:val="left"/>
        </w:tabs>
        <w:rPr>
          <w:sz w:val="20"/>
          <w:szCs w:val="20"/>
          <w:color w:val="auto"/>
        </w:rPr>
      </w:pPr>
      <w:r>
        <w:rPr>
          <w:rFonts w:ascii="Times New Roman" w:cs="Times New Roman" w:eastAsia="Times New Roman" w:hAnsi="Times New Roman"/>
          <w:sz w:val="18"/>
          <w:szCs w:val="18"/>
          <w:color w:val="auto"/>
        </w:rPr>
        <w:t>Vote on Compensation</w:t>
      </w:r>
      <w:r>
        <w:rPr>
          <w:sz w:val="20"/>
          <w:szCs w:val="20"/>
          <w:color w:val="auto"/>
        </w:rPr>
        <w:tab/>
      </w:r>
      <w:r>
        <w:rPr>
          <w:rFonts w:ascii="Times New Roman" w:cs="Times New Roman" w:eastAsia="Times New Roman" w:hAnsi="Times New Roman"/>
          <w:sz w:val="18"/>
          <w:szCs w:val="18"/>
          <w:color w:val="auto"/>
        </w:rPr>
        <w:t>receives the highest number of affirmative “FOR” votes will</w:t>
      </w:r>
    </w:p>
    <w:p>
      <w:pPr>
        <w:ind w:left="3760"/>
        <w:spacing w:after="0"/>
        <w:rPr>
          <w:sz w:val="20"/>
          <w:szCs w:val="20"/>
          <w:color w:val="auto"/>
        </w:rPr>
      </w:pPr>
      <w:r>
        <w:rPr>
          <w:rFonts w:ascii="Times New Roman" w:cs="Times New Roman" w:eastAsia="Times New Roman" w:hAnsi="Times New Roman"/>
          <w:sz w:val="18"/>
          <w:szCs w:val="18"/>
          <w:color w:val="auto"/>
        </w:rPr>
        <w:t>be considered the advisory approval of the stockholders.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Proposal 4: Approval of Amendment to Restated</w:t>
        <w:tab/>
        <w:t>The affirmative vote of the holders of a majority in voting</w:t>
      </w:r>
    </w:p>
    <w:p>
      <w:pPr>
        <w:ind w:left="20"/>
        <w:spacing w:after="0"/>
        <w:tabs>
          <w:tab w:leader="none" w:pos="3740" w:val="left"/>
        </w:tabs>
        <w:rPr>
          <w:sz w:val="20"/>
          <w:szCs w:val="20"/>
          <w:color w:val="auto"/>
        </w:rPr>
      </w:pPr>
      <w:r>
        <w:rPr>
          <w:rFonts w:ascii="Times New Roman" w:cs="Times New Roman" w:eastAsia="Times New Roman" w:hAnsi="Times New Roman"/>
          <w:sz w:val="18"/>
          <w:szCs w:val="18"/>
          <w:color w:val="auto"/>
        </w:rPr>
        <w:t>Certificate of Incorporation</w:t>
      </w:r>
      <w:r>
        <w:rPr>
          <w:sz w:val="20"/>
          <w:szCs w:val="20"/>
          <w:color w:val="auto"/>
        </w:rPr>
        <w:tab/>
      </w:r>
      <w:r>
        <w:rPr>
          <w:rFonts w:ascii="Times New Roman" w:cs="Times New Roman" w:eastAsia="Times New Roman" w:hAnsi="Times New Roman"/>
          <w:sz w:val="17"/>
          <w:szCs w:val="17"/>
          <w:color w:val="auto"/>
        </w:rPr>
        <w:t>power of shares outstanding and entitled to vote.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28"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Abstentions and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222" w:lineRule="auto"/>
        <w:rPr>
          <w:sz w:val="20"/>
          <w:szCs w:val="20"/>
          <w:color w:val="auto"/>
        </w:rPr>
      </w:pPr>
      <w:r>
        <w:rPr>
          <w:rFonts w:ascii="Times New Roman" w:cs="Times New Roman" w:eastAsia="Times New Roman" w:hAnsi="Times New Roman"/>
          <w:sz w:val="18"/>
          <w:szCs w:val="18"/>
          <w:color w:val="auto"/>
        </w:rPr>
        <w:t>Abstentions and broker non-votes will be treated as a vote “AGAINST”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4.</w:t>
      </w:r>
    </w:p>
    <w:p>
      <w:pPr>
        <w:spacing w:after="0" w:line="200" w:lineRule="exact"/>
        <w:rPr>
          <w:sz w:val="20"/>
          <w:szCs w:val="20"/>
          <w:color w:val="auto"/>
        </w:rPr>
      </w:pPr>
    </w:p>
    <w:p>
      <w:pPr>
        <w:sectPr>
          <w:pgSz w:w="11900" w:h="16838" w:orient="portrait"/>
          <w:cols w:equalWidth="0" w:num="2">
            <w:col w:w="8220" w:space="80"/>
            <w:col w:w="2940"/>
          </w:cols>
          <w:pgMar w:left="320" w:top="121" w:right="339" w:bottom="1440" w:gutter="0" w:footer="0" w:header="0"/>
          <w:type w:val="continuous"/>
        </w:sectPr>
      </w:pPr>
    </w:p>
    <w:p>
      <w:pPr>
        <w:spacing w:after="0" w:line="210" w:lineRule="exact"/>
        <w:rPr>
          <w:sz w:val="20"/>
          <w:szCs w:val="20"/>
          <w:color w:val="auto"/>
        </w:rPr>
      </w:pPr>
    </w:p>
    <w:p>
      <w:pPr>
        <w:ind w:left="20"/>
        <w:spacing w:after="0"/>
        <w:tabs>
          <w:tab w:leader="none" w:pos="3740" w:val="left"/>
          <w:tab w:leader="none" w:pos="8280" w:val="left"/>
        </w:tabs>
        <w:rPr>
          <w:sz w:val="20"/>
          <w:szCs w:val="20"/>
          <w:color w:val="auto"/>
        </w:rPr>
      </w:pPr>
      <w:r>
        <w:rPr>
          <w:rFonts w:ascii="Times New Roman" w:cs="Times New Roman" w:eastAsia="Times New Roman" w:hAnsi="Times New Roman"/>
          <w:sz w:val="18"/>
          <w:szCs w:val="18"/>
          <w:color w:val="auto"/>
        </w:rPr>
        <w:t>Proposal 5: Ratification of Appointment</w:t>
      </w:r>
      <w:r>
        <w:rPr>
          <w:sz w:val="20"/>
          <w:szCs w:val="20"/>
          <w:color w:val="auto"/>
        </w:rPr>
        <w:tab/>
      </w:r>
      <w:r>
        <w:rPr>
          <w:rFonts w:ascii="Times New Roman" w:cs="Times New Roman" w:eastAsia="Times New Roman" w:hAnsi="Times New Roman"/>
          <w:sz w:val="18"/>
          <w:szCs w:val="18"/>
          <w:color w:val="auto"/>
        </w:rPr>
        <w:t>The affirmative vote of the holders of a majority</w:t>
      </w:r>
      <w:r>
        <w:rPr>
          <w:sz w:val="20"/>
          <w:szCs w:val="20"/>
          <w:color w:val="auto"/>
        </w:rPr>
        <w:tab/>
      </w:r>
      <w:r>
        <w:rPr>
          <w:rFonts w:ascii="Times New Roman" w:cs="Times New Roman" w:eastAsia="Times New Roman" w:hAnsi="Times New Roman"/>
          <w:sz w:val="17"/>
          <w:szCs w:val="17"/>
          <w:color w:val="auto"/>
        </w:rPr>
        <w:t>Abstentions and broker non-votes will</w:t>
      </w:r>
    </w:p>
    <w:p>
      <w:pPr>
        <w:ind w:left="20"/>
        <w:spacing w:after="0"/>
        <w:tabs>
          <w:tab w:leader="none" w:pos="8280" w:val="left"/>
        </w:tabs>
        <w:rPr>
          <w:sz w:val="20"/>
          <w:szCs w:val="20"/>
          <w:color w:val="auto"/>
        </w:rPr>
      </w:pPr>
      <w:r>
        <w:rPr>
          <w:rFonts w:ascii="Times New Roman" w:cs="Times New Roman" w:eastAsia="Times New Roman" w:hAnsi="Times New Roman"/>
          <w:sz w:val="18"/>
          <w:szCs w:val="18"/>
          <w:color w:val="auto"/>
        </w:rPr>
        <w:t>of Independent Registered Public Accounting Firm in voting power of the votes cast affirmatively or negatively.</w:t>
      </w:r>
      <w:r>
        <w:rPr>
          <w:sz w:val="20"/>
          <w:szCs w:val="20"/>
          <w:color w:val="auto"/>
        </w:rPr>
        <w:tab/>
      </w:r>
      <w:r>
        <w:rPr>
          <w:rFonts w:ascii="Times New Roman" w:cs="Times New Roman" w:eastAsia="Times New Roman" w:hAnsi="Times New Roman"/>
          <w:sz w:val="17"/>
          <w:szCs w:val="17"/>
          <w:color w:val="auto"/>
        </w:rPr>
        <w:t>have no effect.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will votes withheld and abstentions be treated?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 “vote withheld,” in the case of the proposal regarding the election of directors, or an “abstention,” in the case of the second, third, fourth, and fifth proposals, represents a stockholder’s affirmative choice to decline to vote on a proposal. Votes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withheld and abstentions are counted as present and entitled to vote for purposes of determining a quorum. Votes withheld have no effect on the election of directors and abstentions have no effect on the second, third and fifth proposals.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do they count for determining a quorum?</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proposed amendment to our Restated Certificate of Incorporation and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non-binding, advisory vote on executive compensation, and the non-binding, advisory vote on the frequency of future non-binding, advisory votes on executive compensation. Broker non-votes count for purposes of determining whether a quorum is present.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60"/>
          </w:cols>
          <w:pgMar w:left="320" w:top="121"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 the Annual Meeting, three (3) Class III Directors are to be elected to hold office until the Annual Meeting of Stockholders to be held in 2025 and until such director’s successor is elected and qualified or until such director’s earlier death, resignation or removal.</w:t>
      </w:r>
    </w:p>
    <w:p>
      <w:pPr>
        <w:spacing w:after="0" w:line="54"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currently have nine (9) directors on our Board, including three (3) Class III Directors. Our current Class III Directors are Timothy C. Barabe, who has served on our Board since 2016, Carsten Brunn, Ph.D., who has served on our Board since December 2018, and Nishan de Silva, M.D., M.B.A., who has served on our Board since June 2021. All three members have been nominated for election as a Class III Director at the Annual Meeting.</w:t>
      </w:r>
    </w:p>
    <w:p>
      <w:pPr>
        <w:spacing w:after="0" w:line="68"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proposal regarding the election of directors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expires at the 2023 Annual Meeting of Stockholders and whose subsequent term will expire at the 2026 Annual Meeting of Stockholders; Class II, whose current term expires at the 2024 Annual Meeting of Stockholders, and whose subsequent term will expire at the 2027 Annual Meeting of Stockholders; and Class III, whose term will expire at the Annual Meeting and whose subsequent term will expire at the 2025 Annual Meeting of Stockholders. The current Class I Directors are Scott D. Myers, Timothy Springer, Ph.D. and Patrick Zenner; the current Class II Directors are Göran Ando, M.D., Carrie S. Cox, and Aymeric Sallin; and the current Class III Directors are Timothy C. Barabe, Carsten Brunn, Ph.D. and Nishan de Silva, M.D., M.B.A.</w:t>
      </w:r>
    </w:p>
    <w:p>
      <w:pPr>
        <w:spacing w:after="0" w:line="8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11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the shares of Common Stock represented thereby for the election as Class III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three nominees receiving the highest number of affirmative “FOR” votes will be elected as Class III Directors. Votes withheld and broker non-votes are not considered to be votes cast and, accordingly, will have no effect on the outcome of the vote on this proposal.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the election of the below Class III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00"/>
          </w:cols>
          <w:pgMar w:left="320" w:top="121"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III Directors (</w:t>
      </w:r>
      <w:r>
        <w:rPr>
          <w:rFonts w:ascii="Times New Roman" w:cs="Times New Roman" w:eastAsia="Times New Roman" w:hAnsi="Times New Roman"/>
          <w:sz w:val="18"/>
          <w:szCs w:val="18"/>
          <w:b w:val="1"/>
          <w:bCs w:val="1"/>
          <w:i w:val="1"/>
          <w:iCs w:val="1"/>
          <w:color w:val="auto"/>
        </w:rPr>
        <w:t>Terms to Expire at 2025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51</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49</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C. BARABE</w:t>
      </w:r>
      <w:r>
        <w:rPr>
          <w:sz w:val="20"/>
          <w:szCs w:val="20"/>
          <w:color w:val="auto"/>
        </w:rPr>
        <w:tab/>
      </w:r>
      <w:r>
        <w:rPr>
          <w:rFonts w:ascii="Times New Roman" w:cs="Times New Roman" w:eastAsia="Times New Roman" w:hAnsi="Times New Roman"/>
          <w:sz w:val="17"/>
          <w:szCs w:val="17"/>
          <w:i w:val="1"/>
          <w:iCs w:val="1"/>
          <w:color w:val="auto"/>
        </w:rPr>
        <w:t>Age 69</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Timothy C. Barabe has served as a member of our Board since July 2016. Mr. Barabe also served on the boards of Veeva Systems Inc. from September 2015 to June 2021 and serves on the board of directors of Vigilant Biosciences, Inc., a private company, as well as Heartflow, Inc., also a private company. From 2001 to January 2020, Mr. Barabe served on the board of directors of ArQule, Inc., and from 2014 to 2017, Mr. Barabe served on the board of directors of Opexa Therapeutics, Inc.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CARSTEN BRUNN, PH.D.</w:t>
      </w:r>
      <w:r>
        <w:rPr>
          <w:sz w:val="20"/>
          <w:szCs w:val="20"/>
          <w:color w:val="auto"/>
        </w:rPr>
        <w:tab/>
      </w:r>
      <w:r>
        <w:rPr>
          <w:rFonts w:ascii="Times New Roman" w:cs="Times New Roman" w:eastAsia="Times New Roman" w:hAnsi="Times New Roman"/>
          <w:sz w:val="17"/>
          <w:szCs w:val="17"/>
          <w:i w:val="1"/>
          <w:iCs w:val="1"/>
          <w:color w:val="auto"/>
        </w:rPr>
        <w:t>Age 51</w:t>
      </w:r>
    </w:p>
    <w:p>
      <w:pPr>
        <w:spacing w:after="0" w:line="135"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Carsten Brunn, Ph.D. has served as our President, Chief Executive Officer and member of our Board since December 2018. Prior to joining Selecta Biosciences, Inc., Dr. Brunn was the President of Pharmaceuticals for the Americas Region and a member of the Global Pharmaceutical Executive Committee at Bayer AG, a pharmaceutical company, since January 2017. Previously, he served as President of Bayer Pharmaceuticals in Japan, a role he held since March 2013. He also served as the Chairman of the European Federation of Pharmaceutical Industries and Associations (EFPIA) Japan, an organization representing innovative pharmaceutical companies in Japan. Dr. Brunn has held a number of senior leadership positions at Eli Lilly, Novartis, Basilea and Bausch and Lomb in Europe, Asia and the United States. He currently serves on the board of directors of the Biotechnology Innovation Organization (BIO). Dr. Brunn holds a Ph.D. in Chemistry from the University of Hamburg and a Master of Science in Pharmaceutical Sciences from the University of Freiburg. He also studied at the University of Washington under a research scholarship and completed his executive education at London Business School. Dr. Brunn’s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NISHAN DE SILVA, M.D., M.B.A.</w:t>
      </w:r>
      <w:r>
        <w:rPr>
          <w:sz w:val="20"/>
          <w:szCs w:val="20"/>
          <w:color w:val="auto"/>
        </w:rPr>
        <w:tab/>
      </w:r>
      <w:r>
        <w:rPr>
          <w:rFonts w:ascii="Times New Roman" w:cs="Times New Roman" w:eastAsia="Times New Roman" w:hAnsi="Times New Roman"/>
          <w:sz w:val="17"/>
          <w:szCs w:val="17"/>
          <w:i w:val="1"/>
          <w:iCs w:val="1"/>
          <w:color w:val="auto"/>
        </w:rPr>
        <w:t>Age 49</w:t>
      </w:r>
    </w:p>
    <w:p>
      <w:pPr>
        <w:spacing w:after="0" w:line="229"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Nishan de Silva, M.D., M.B.A. has served as a member of our Board since June 2021. Dr. de Silva currently serves as Chief Executive Officer of Radionetics Oncology, a private company, where he joined in March 2022. Prior to joining Radionetics Oncology, Dr. de Silva had served as Chief Executive Officer of AFYX Therapeutics, a private biotechnology company from April 2018 to February 2022, and served as a director at AFYX Therapeutics since May 2020 to February 2022. Previously, Dr. de Silva served as President, Chief Operating Officer, and director of Poseida Therapeutics, a cell- and gene therapy-focused biopharmaceutical company, from June 2015 to March 2018. Dr. de Silva also previously served as Vice President Finance and Strategy, and Chief Financial Officer at Ligand Pharmaceuticals from February 2012 to May 2015. Dr. de Silva graduated Summa Cum Laude with a Bachelor of Arts degree in Biology from Harvard University, and received his M.D. degree from the University of Pennsylvania School of Medicine, as well as an M.B.A. degree from The Wharton School of the University of Pennsylvania. Dr. de Silva’s experience in the biotechnology industry, and his knowledge of gene therapies and clinical development contributed to our Board’s conclusion that he should serve as a director of our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Members of the Board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b w:val="1"/>
          <w:bCs w:val="1"/>
          <w:i w:val="1"/>
          <w:iCs w:val="1"/>
          <w:color w:val="auto"/>
        </w:rPr>
        <w:t>(Terms Expire at 2023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shd w:val="clear" w:color="auto" w:fill="CCEEFF"/>
          </w:tcPr>
          <w:p>
            <w:pPr>
              <w:spacing w:after="0"/>
              <w:rPr>
                <w:sz w:val="17"/>
                <w:szCs w:val="17"/>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2016</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w:t>
            </w: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 nominee for election at the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8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SCOTT D. MYERS</w:t>
      </w:r>
      <w:r>
        <w:rPr>
          <w:sz w:val="20"/>
          <w:szCs w:val="20"/>
          <w:color w:val="auto"/>
        </w:rPr>
        <w:tab/>
      </w:r>
      <w:r>
        <w:rPr>
          <w:rFonts w:ascii="Times New Roman" w:cs="Times New Roman" w:eastAsia="Times New Roman" w:hAnsi="Times New Roman"/>
          <w:sz w:val="17"/>
          <w:szCs w:val="17"/>
          <w:i w:val="1"/>
          <w:iCs w:val="1"/>
          <w:color w:val="auto"/>
        </w:rPr>
        <w:t>Age 56</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Scott D. Myers has served as a member of our Board since June 2019. Mr. Myers most recently served as president and chief executive officer of AMAG Pharmaceuticals, Inc., from April 2020 through its acquisition by Covis Group in October 2020. Previously, Mr. Myers served as chief executive officer and chairman of the board of Rainier Therapeutics, formerly known as BioClin Therapeutics, an oncology biotechnology company focused on late-stage bladder cancer from June 2018 until January 2020, as chief executive officer and member of the board of directors of Cascadian Therapeutics, Inc., an oncology company, from April 2016 through its acquisition by Seattle Genetics in March 2018. Prior to Cascadian, Mr. Myers served as chief executive officer of Aerocrine AB, a medical device company, from 2011 through its acquisition by Circassia Pharmaceuticals plc in 2015. He is currently a member of the board of directors and remuneration committee of Sensorion SA, which he joined in December 2021, the board of directors of Dynavax Technologies Corporation, which he joined in October 2021, and of the board of directors, audit committee and nomination and governance committee of Harpoon Therapeutics since August 2018. Mr. Myers previously served on the board of directors of Cascadian Therapeutics from 2016 through 2018 and on the board of directors of Trillium Therapeutics Inc. from April 2021 until its acquisition by Pfizer Inc. in November 2021. Mr. Myers’ experience as a senior executive of life sciences companies and knowledge of the pharmaceutical and biotechnology industries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05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2"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TIMOTHY A. SPRINGER, PH.D.</w:t>
      </w:r>
      <w:r>
        <w:rPr>
          <w:sz w:val="20"/>
          <w:szCs w:val="20"/>
          <w:color w:val="auto"/>
        </w:rPr>
        <w:tab/>
      </w:r>
      <w:r>
        <w:rPr>
          <w:rFonts w:ascii="Times New Roman" w:cs="Times New Roman" w:eastAsia="Times New Roman" w:hAnsi="Times New Roman"/>
          <w:sz w:val="17"/>
          <w:szCs w:val="17"/>
          <w:i w:val="1"/>
          <w:iCs w:val="1"/>
          <w:color w:val="auto"/>
        </w:rPr>
        <w:t>Age 74</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Timothy A. Springer, Ph.D. has served as a member of our Board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has served on the board of directors of Morphic Holding Inc. since July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05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6"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PATRICK ZENNER</w:t>
      </w:r>
      <w:r>
        <w:rPr>
          <w:sz w:val="20"/>
          <w:szCs w:val="20"/>
          <w:color w:val="auto"/>
        </w:rPr>
        <w:tab/>
      </w:r>
      <w:r>
        <w:rPr>
          <w:rFonts w:ascii="Times New Roman" w:cs="Times New Roman" w:eastAsia="Times New Roman" w:hAnsi="Times New Roman"/>
          <w:sz w:val="17"/>
          <w:szCs w:val="17"/>
          <w:i w:val="1"/>
          <w:iCs w:val="1"/>
          <w:color w:val="auto"/>
        </w:rPr>
        <w:t>Age 75</w:t>
      </w:r>
    </w:p>
    <w:p>
      <w:pPr>
        <w:spacing w:after="0" w:line="13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Patrick Zenner has served as a member of our Board since June 2017, also serving as our Lead Director from June 2018 to November 2019. Mr. Zenner retired in 2001 from the position of President and Chief Executive Officer of Hoffmann-La Roche Inc., North America, based in Nutley, N.J. Mr. Zenner held various executive positions during his 32-year career with the company. Mr. Zenner is currently a member of the board of trustees of Creighton University and is Chairman of the board of trustees of Fairleigh Dickinson University. In addition, Mr. Zenner is Chairman of the board and a director of West Pharmaceutical Services, Inc. From 2002 until January 2020, Mr. Zenner served as Chairman of the board and a director of ArQule, Inc. Until its sale in 2012, Mr. Zenner was a director of Par Pharmaceuticals, Inc. In 2010, he resigned from the boards of Geron Corporation, Xoma Ltd. and Exact Sciences, Inc. Until its sale in September 2009, Mr. Zenner was a director of CuraGen Corporation. Mr. Zenner received a B.S./B.A. from Creighton University and an M.B.A. from Fairleigh Dickinson University. Mr. Zenner’s extensive experience as a senior pharmaceutical executive and board member to numerous companies in the biotechnology industry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b w:val="1"/>
          <w:bCs w:val="1"/>
          <w:i w:val="1"/>
          <w:iCs w:val="1"/>
          <w:color w:val="auto"/>
        </w:rPr>
        <w:t>(Terms Expire at 2024 Annual Meeting of Stockholders)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current members of the Board who are Class II Directors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Served as a Director Since</w:t>
            </w: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Selecta</w:t>
            </w:r>
          </w:p>
        </w:tc>
      </w:tr>
      <w:tr>
        <w:trPr>
          <w:trHeight w:val="23"/>
        </w:trPr>
        <w:tc>
          <w:tcPr>
            <w:tcW w:w="3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73</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shd w:val="clear" w:color="auto" w:fill="CFF0FC"/>
          </w:tcPr>
          <w:p>
            <w:pPr>
              <w:spacing w:after="0"/>
              <w:rPr>
                <w:sz w:val="17"/>
                <w:szCs w:val="17"/>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210"/>
        </w:trPr>
        <w:tc>
          <w:tcPr>
            <w:tcW w:w="4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2008</w:t>
            </w:r>
          </w:p>
        </w:tc>
        <w:tc>
          <w:tcPr>
            <w:tcW w:w="100" w:type="dxa"/>
            <w:vAlign w:val="bottom"/>
            <w:shd w:val="clear" w:color="auto" w:fill="CFF0FC"/>
          </w:tcPr>
          <w:p>
            <w:pPr>
              <w:spacing w:after="0"/>
              <w:rPr>
                <w:sz w:val="18"/>
                <w:szCs w:val="18"/>
                <w:color w:val="auto"/>
              </w:rPr>
            </w:pPr>
          </w:p>
        </w:tc>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4057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47"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GÖRAN ANDO, M.D.</w:t>
      </w:r>
      <w:r>
        <w:rPr>
          <w:sz w:val="20"/>
          <w:szCs w:val="20"/>
          <w:color w:val="auto"/>
        </w:rPr>
        <w:tab/>
      </w:r>
      <w:r>
        <w:rPr>
          <w:rFonts w:ascii="Times New Roman" w:cs="Times New Roman" w:eastAsia="Times New Roman" w:hAnsi="Times New Roman"/>
          <w:sz w:val="17"/>
          <w:szCs w:val="17"/>
          <w:i w:val="1"/>
          <w:iCs w:val="1"/>
          <w:color w:val="auto"/>
        </w:rPr>
        <w:t>Age 73</w:t>
      </w:r>
    </w:p>
    <w:p>
      <w:pPr>
        <w:spacing w:after="0" w:line="13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Göran Ando, M.D. has served as a member of our Board since April 2020. Dr. Ando has also served as Chairman of the board of directors of EyePoint Pharmaceuticals, Inc., a public pharmaceutical company, since September 2018, and served as Vice-Chairman of the board of directors of Molecular Partners AG, a clinical-stage biopharmaceutical company, from April 2011 to May 2020. In March 2018, he retired as Chairman of Novo Nordisk A/S, a multinational pharmaceutical company, a position he had held since 2013, after serving as Vice Chair of the board of directors since 2006, and serving on the board of directors since 2005. Dr. Ando previously served as the Chief Executive Officer of Celltech Group plc. from 2003 to 2005. Before that, he served as Executive Vice President and Deputy Chief Executive Officer of Pharmacia AB until its acquisition by Pfizer, Inc. in 2003. Prior to Pharmacia, he held various senior appointments at Glaxo, now GlaxoSmithKline plc, including Research and Development Director for Glaxo Group Research. He has also been a Senior Advisor at EW Healthcare Partners since 2007. Dr. Ando received his Bachelor of Arts degree from Uppsala University in Sweden and Doctor of Medicine degree from Linköping University in Sweden. Dr. Ando’s extensive experience as an executive officer and director in the life sciences industry and knowledge of manufacturing, information technology, business development and commercialization contributed to our Board’s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4057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114"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CARRIE S. COX</w:t>
      </w:r>
      <w:r>
        <w:rPr>
          <w:sz w:val="20"/>
          <w:szCs w:val="20"/>
          <w:color w:val="auto"/>
        </w:rPr>
        <w:tab/>
      </w:r>
      <w:r>
        <w:rPr>
          <w:rFonts w:ascii="Times New Roman" w:cs="Times New Roman" w:eastAsia="Times New Roman" w:hAnsi="Times New Roman"/>
          <w:sz w:val="17"/>
          <w:szCs w:val="17"/>
          <w:i w:val="1"/>
          <w:iCs w:val="1"/>
          <w:color w:val="auto"/>
        </w:rPr>
        <w:t>Age 64</w:t>
      </w:r>
    </w:p>
    <w:p>
      <w:pPr>
        <w:spacing w:after="0" w:line="13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Carrie S. Cox has served as a member of our Board and as chairman of the Board since November 2019. Ms. Cox has also served as a member of the board of directors of Organon &amp; Co. since June 2021. Ms. Cox most recently served as the Chief Executive Officer of Humacyte, Inc., a regenerative medicine company based in Durham, North Carolina, from 2010 to June 2018, and served as a member of its board of directors from 2010 to August 2021, serving as chairman from 2011 to June 2019. Ms. Cox has served on the boards of directors of Texas Instruments Incorporated since 2004 and Cardinal Health, Inc. since 2009. Ms. Cox previously served as the chairman of the board of directors of electroCore, Inc. from July 2018 to March 2020 and Array BioPharma, Inc. from August 2018 to July 2019, and served on the board of directors of Celgene Corporation from December 2009 to November 2019. Ms. Cox received a B.S. from the Massachusetts College of Pharmacy and was a registered pharmacist. The Company believes Ms. Cox’s vast experience as a pharmaceutical executive and member of multiple boards of directors in the biotechnology industry as well as her knowledge of corporate strategy contributed to our Board’s conclusion that she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05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10" w:lineRule="exact"/>
        <w:rPr>
          <w:sz w:val="20"/>
          <w:szCs w:val="20"/>
          <w:color w:val="auto"/>
        </w:rPr>
      </w:pPr>
    </w:p>
    <w:p>
      <w:pPr>
        <w:ind w:left="440"/>
        <w:spacing w:after="0"/>
        <w:tabs>
          <w:tab w:leader="none" w:pos="10500" w:val="left"/>
        </w:tabs>
        <w:rPr>
          <w:sz w:val="20"/>
          <w:szCs w:val="20"/>
          <w:color w:val="auto"/>
        </w:rPr>
      </w:pPr>
      <w:r>
        <w:rPr>
          <w:rFonts w:ascii="Times New Roman" w:cs="Times New Roman" w:eastAsia="Times New Roman" w:hAnsi="Times New Roman"/>
          <w:sz w:val="18"/>
          <w:szCs w:val="18"/>
          <w:b w:val="1"/>
          <w:bCs w:val="1"/>
          <w:color w:val="auto"/>
        </w:rPr>
        <w:t>AYMERIC SALLIN</w:t>
      </w:r>
      <w:r>
        <w:rPr>
          <w:sz w:val="20"/>
          <w:szCs w:val="20"/>
          <w:color w:val="auto"/>
        </w:rPr>
        <w:tab/>
      </w:r>
      <w:r>
        <w:rPr>
          <w:rFonts w:ascii="Times New Roman" w:cs="Times New Roman" w:eastAsia="Times New Roman" w:hAnsi="Times New Roman"/>
          <w:sz w:val="17"/>
          <w:szCs w:val="17"/>
          <w:i w:val="1"/>
          <w:iCs w:val="1"/>
          <w:color w:val="auto"/>
        </w:rPr>
        <w:t>Age 48</w:t>
      </w:r>
    </w:p>
    <w:p>
      <w:pPr>
        <w:spacing w:after="0" w:line="13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Aymeric Sallin, M.S. has served as a member of our Board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He currently serves as a board member of numerous private companies, including H55, Inc., Natron Energy, 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Board’s conclusion that he should serve as a director of our Company.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 Non-Binding, Advisory Approval of Compensation of Named Executive Officers</w:t>
      </w:r>
    </w:p>
    <w:p>
      <w:pPr>
        <w:spacing w:after="0" w:line="36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cast a non-binding, advisory vote regarding the compensation of our named executive officers.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more fully described in the sections of this proxy statement entitled “Executive and Director Compensation Executive Compensation” and “Compensation Discussion and Analysis” and related compensation tables, our executive compensation program is designed to attract, retain, and motivate talented individuals with executive expertise in the biotechnology and life sciences industries and leadership skills necessary for us to fulfill our mission to develop tolerogenic therapies to improve the lives of patients who suffer from serious and debilitating diseases.</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proposal gives our stockholders the opportunity to endorse or not to endorse the compensation paid to our named executive officers. The vote is not intended to address any specific item of compensation or the compensation of any particular named executive officer, but rather the overall compensation of our named executive officers and our compensation philosophy, policies and practices as discussed in this proxy statement.</w:t>
      </w:r>
    </w:p>
    <w:p>
      <w:pPr>
        <w:spacing w:after="0" w:line="68"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Before voting, we recommend you read the sections of this proxy statement entitled “Executive and Director Compensation Executive Compensation” and “Compensation Discussion and Analysis” for additional details on our executive compensation programs and philosophy.</w:t>
      </w:r>
    </w:p>
    <w:p>
      <w:pPr>
        <w:spacing w:after="0" w:line="5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This vote is advisory, and therefore not binding on us, the Board or the Compensation Committee of the Board (the “Compensation Committee”). However, our Board and Compensation Committee value the opinions of our stockholders and intend to take into account the outcome of the vote when considering future compensation decisions for our named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20"/>
        <w:spacing w:after="0" w:line="286" w:lineRule="auto"/>
        <w:rPr>
          <w:sz w:val="20"/>
          <w:szCs w:val="20"/>
          <w:color w:val="auto"/>
        </w:rPr>
      </w:pPr>
      <w:r>
        <w:rPr>
          <w:rFonts w:ascii="Times New Roman" w:cs="Times New Roman" w:eastAsia="Times New Roman" w:hAnsi="Times New Roman"/>
          <w:sz w:val="18"/>
          <w:szCs w:val="18"/>
          <w:b w:val="1"/>
          <w:bCs w:val="1"/>
          <w:color w:val="auto"/>
        </w:rPr>
        <w:t>PROPOSAL 3 - Advisory Vote on the Frequency of Solicitation of Non-Binding, Advisory Approval of Compensation of Named Executive Officers</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asking stockholders to indicate their preference on the frequency of an advisory vote on the compensation of our named executive officers.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may vote in favor of a frequency of such vote of every year, every two years, or every three years.</w:t>
      </w:r>
    </w:p>
    <w:p>
      <w:pPr>
        <w:spacing w:after="0" w:line="9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our named executive officers will provide the most timely feedback regarding our executive compensation practices. While the Board believes that its recommendation is appropriate at this time, the vote is being conducted on an advisory basis and the option among those choices that receives the highest number of votes will be deemed to be the frequency preferred by the stockholders but will not be binding upon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approval of a plurality of the votes cast. This means that the option receiving the highest number of affirmative “FOR” votes will be deemed to be the advisory approval of the stockholders. Abstentions and broker non-votes are not considered to be votes cast and, accordingly, will have no effect on the outcome of the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on a non-binding, advisory basis, a frequency of one year.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4 - Amendment to Restated Certificate of Incorporation to Increase the Number of Authorized Shares of our Common Stock, $0.0001 par value per share, from 200,000,000 to 350,000,000</w:t>
      </w:r>
    </w:p>
    <w:p>
      <w:pPr>
        <w:spacing w:after="0" w:line="200" w:lineRule="exact"/>
        <w:rPr>
          <w:sz w:val="20"/>
          <w:szCs w:val="20"/>
          <w:color w:val="auto"/>
        </w:rPr>
      </w:pPr>
    </w:p>
    <w:p>
      <w:pPr>
        <w:spacing w:after="0" w:line="20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Restated Certificate of Incorporation (our “Charter”) to increase the number of authorized shares of Common Stock from 200,000,000 shares to 350,000,000 shares (the “Charter Amendment”). On April 21, 2022, the Board approved the Charter Amendment, subject to stockholder approval, and directed that the Charter Amendment be submitted to a vote of our stockholders at this Annual Meeting.</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us to issue a total of 200,000,000 shares of Common Stock. As of the close of business on the record date of April 18, 2022, 151,809,416 shares of Common Stock were outstanding. In addition, as of the close of business on April 18, 2022, we had:</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15,195,118 shares of Common Stock issuable upon exercise of stock options outstanding at a weighted-average exercise price of $3.83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1,117,308 shares of Common Stock issuable upon vesting of restricted stock units outstanding;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31,307,409 shares of Common Stock issuable upon the exercise of warrants outstanding at a weighted-average exercise price of $1.57 per share;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1,893,210 shares of Common Stock reserved for future issuance under our 2016 Incentive Award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1,591,661 shares of Common Stock reserved for future issuance under our 2018 Employment Inducement Incentive Award Plan;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3,677,538 shares of Common Stock reserved for future issuance under our 2016 Employee Stock Purchase Plan.</w:t>
      </w:r>
    </w:p>
    <w:p>
      <w:pPr>
        <w:spacing w:after="0" w:line="1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Accordingly, as of April 18, 2022, we had only 570,749 shares of Common Stock available for all other purposes. The Charter also authorizes the issuance of 10,000,000 shares of preferred stock, with no shares of preferred stock issued and outstanding as of April 18, 2022. The Charter Amendment will not increase or otherwise affect the Company’s authorized preferred stock or otherwise affect any other provisions of the Charter.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Charter Amendment</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Board believes it is in the best interest of our Company to increase the number of authorized shares of Common Stock in order to give us greater flexibility in conducting our ongoing business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Effects of the Charter Amendment and Additional Anti-takeover Considerations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If the Charter Amendment is approved, the additional unauthorized shares of Common Stock would be available for issuance at the discretion of the Board and without further stockholder approval, except as may be required by law or the rules of the Nasdaq Stock Market LLC (“Nasdaq”). The additional shares of authorized Common Stock would have the same rights and privileges as the shares of Common Stock currently issued and outstanding. The adoption of the Charter Amendment would not have any immediate dilutive effect on the proportionate voting power or other rights of existing stockholders. Shares of Common Stock issued otherwise than for a stock split may decrease existing stockholders’ percentage equity ownership and, depending on the price at which they are issued, could be dilutive to the voting rights of existing stockholders and have a negative effect on the market price of the Common Stock. The Common Stock carries no preemptive rights to purchase additional shares of Common Stock.</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not proposed the increase in the number of authorized shares of Common Stock with the intention of using the additional authorized shares for anti-takeover purposes, but we would be able to use the additional shares to oppose a hostile takeover attempt or delay or prevent changes in control or management of our Company. For example, without further stockholder approval, the Board could issue and sell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known or threatened hostile takeover attempt, stockholders should be aware that approval of this proposal could facilitate future efforts by the Company to oppose changes in control of the Company and perpetuate the Company’s existing management, including transactions in which the stockholders might otherwise receive a premium for their shares over then current market prices.</w:t>
      </w:r>
    </w:p>
    <w:p>
      <w:pPr>
        <w:spacing w:after="0" w:line="84" w:lineRule="exact"/>
        <w:rPr>
          <w:sz w:val="20"/>
          <w:szCs w:val="20"/>
          <w:color w:val="auto"/>
        </w:rPr>
      </w:pPr>
    </w:p>
    <w:p>
      <w:pPr>
        <w:ind w:right="560" w:firstLine="324"/>
        <w:spacing w:after="0" w:line="266" w:lineRule="auto"/>
        <w:rPr>
          <w:sz w:val="20"/>
          <w:szCs w:val="20"/>
          <w:color w:val="auto"/>
        </w:rPr>
      </w:pPr>
      <w:r>
        <w:rPr>
          <w:rFonts w:ascii="Times New Roman" w:cs="Times New Roman" w:eastAsia="Times New Roman" w:hAnsi="Times New Roman"/>
          <w:sz w:val="18"/>
          <w:szCs w:val="18"/>
          <w:color w:val="auto"/>
        </w:rPr>
        <w:t>If our stockholders approve the Charter Amendment, the Board will have authority to file with the Secretary of State of Delaware the Charter Amendment. The Charter Amendment will become effective on the date it is filed. The Board reserves the right to abandon or delay the filing of the Charter Amendment even if it is approved by our stockholders.</w:t>
      </w:r>
    </w:p>
    <w:p>
      <w:pPr>
        <w:spacing w:after="0" w:line="68" w:lineRule="exact"/>
        <w:rPr>
          <w:sz w:val="20"/>
          <w:szCs w:val="20"/>
          <w:color w:val="auto"/>
        </w:rPr>
      </w:pPr>
    </w:p>
    <w:p>
      <w:pPr>
        <w:ind w:right="460" w:firstLine="324"/>
        <w:spacing w:after="0" w:line="312" w:lineRule="auto"/>
        <w:rPr>
          <w:sz w:val="20"/>
          <w:szCs w:val="20"/>
          <w:color w:val="auto"/>
        </w:rPr>
      </w:pPr>
      <w:r>
        <w:rPr>
          <w:rFonts w:ascii="Times New Roman" w:cs="Times New Roman" w:eastAsia="Times New Roman" w:hAnsi="Times New Roman"/>
          <w:sz w:val="17"/>
          <w:szCs w:val="17"/>
          <w:color w:val="auto"/>
        </w:rPr>
        <w:t>None of Delaware law, the Charter, nor the Company’s Amended and Restated Bylaws provide for appraisal or other similar rights for dissenting stockholders in connection with this proposal. Accordingly, our stockholders will have no right to dissent and obtain payment for their shares.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shares outstanding and entitled to vote. Abstentions and broker non-votes will have the same effect as votes “AGAINST” this proposal. The Company expects that brokers, banks and other nominees will have discretionary authority to vote on this proposal.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unanimously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920"/>
          </w:cols>
          <w:pgMar w:left="320" w:top="121"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5 - Ratification of Appointment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our Board (the “Audit Committee”) has appointed Ernst &amp; Young LLP as our independent registered public accounting firm for the fiscal year ending December 31, 2022.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also served as our independent registered public accounting firm for the fiscal year ended December 31, 2021. Neither Ernst &amp; Young LLP nor any of its members has any direct or indirect financial interest in or any connection with us in any capacity other than as our auditors, providing audit and other services. A representative of Ernst &amp; Young LLP is expected to attend the Annual Meeting and to have an opportunity to make a statement and be available to respond to appropriate questions from stockholders.</w:t>
      </w:r>
    </w:p>
    <w:p>
      <w:pPr>
        <w:spacing w:after="0" w:line="72"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In the event that the appointment of Ernst &amp; Young LLP is not ratified by the stockholders, the Audit Committee will consider this fact when it appoints the independent auditors for the fiscal year ending December 31, 2023. Even if the appointment of Ernst &amp; Young LLP is ratified, the Audit Committee retains the discretion to appoint a different independent auditor at any time if it determines that such a change is in the interest of the Company.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This proposal requires the affirmative vote of the holders of a majority in voting power of the votes cast affirmatively or negatively. Abstentions and broker non-votes are not considered to be votes cast and, accordingly, will have no effect on the outcome of the vote on this proposal.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Board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364"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the Company’s audited financial statements for the fiscal year ended December 31, 2021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75"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Company’s independent registered public accounting firm also provided the Audit Committee with a formal written statement required by PCAOB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describing all relationships between the independent registered public accounting firm and the Company, including the disclosures required by the applicable PCAOB requirements regarding the 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6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2021.</w:t>
      </w:r>
    </w:p>
    <w:p>
      <w:pPr>
        <w:spacing w:after="0" w:line="200" w:lineRule="exact"/>
        <w:rPr>
          <w:sz w:val="20"/>
          <w:szCs w:val="20"/>
          <w:color w:val="auto"/>
        </w:rPr>
      </w:pPr>
    </w:p>
    <w:p>
      <w:pPr>
        <w:spacing w:after="0" w:line="24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THE AUDIT COMMITTEE OF THE BOARD OF</w:t>
      </w:r>
    </w:p>
    <w:p>
      <w:pPr>
        <w:ind w:left="6340"/>
        <w:spacing w:after="0"/>
        <w:rPr>
          <w:sz w:val="20"/>
          <w:szCs w:val="20"/>
          <w:color w:val="auto"/>
        </w:rPr>
      </w:pPr>
      <w:r>
        <w:rPr>
          <w:rFonts w:ascii="Times New Roman" w:cs="Times New Roman" w:eastAsia="Times New Roman" w:hAnsi="Times New Roman"/>
          <w:sz w:val="18"/>
          <w:szCs w:val="18"/>
          <w:color w:val="auto"/>
        </w:rPr>
        <w:t>DIRECTORS OF SELECTA BIOSCIENCES, INC.</w:t>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Timothy C. Barabe (Chair)</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Carrie S. Cox</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Nishan de Silva, M.D., M.B.A.</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Patrick Zenner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Other Matters</w:t>
      </w:r>
    </w:p>
    <w:p>
      <w:pPr>
        <w:spacing w:after="0" w:line="200" w:lineRule="exact"/>
        <w:rPr>
          <w:sz w:val="20"/>
          <w:szCs w:val="20"/>
          <w:color w:val="auto"/>
        </w:rPr>
      </w:pPr>
    </w:p>
    <w:p>
      <w:pPr>
        <w:spacing w:after="0" w:line="2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Ernst &amp; Young LLP, our independent registered public accounting firm, billed to us for each of the last two fiscal years for audit services, tax services and for all other services: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500" w:type="dxa"/>
            <w:vAlign w:val="bottom"/>
          </w:tcPr>
          <w:p>
            <w:pPr>
              <w:spacing w:after="0"/>
              <w:rPr>
                <w:sz w:val="16"/>
                <w:szCs w:val="16"/>
                <w:color w:val="auto"/>
              </w:rPr>
            </w:pPr>
          </w:p>
        </w:tc>
        <w:tc>
          <w:tcPr>
            <w:tcW w:w="164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6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1,005,344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1,067,199</w:t>
            </w:r>
          </w:p>
        </w:tc>
      </w:tr>
      <w:tr>
        <w:trPr>
          <w:trHeight w:val="203"/>
        </w:trPr>
        <w:tc>
          <w:tcPr>
            <w:tcW w:w="68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5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88,200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w:t>
            </w:r>
          </w:p>
        </w:tc>
      </w:tr>
      <w:tr>
        <w:trPr>
          <w:trHeight w:val="190"/>
        </w:trPr>
        <w:tc>
          <w:tcPr>
            <w:tcW w:w="6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1,037,714</w:t>
            </w:r>
          </w:p>
        </w:tc>
        <w:tc>
          <w:tcPr>
            <w:tcW w:w="1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1,157,384</w:t>
            </w:r>
          </w:p>
        </w:tc>
      </w:tr>
      <w:tr>
        <w:trPr>
          <w:trHeight w:val="27"/>
        </w:trPr>
        <w:tc>
          <w:tcPr>
            <w:tcW w:w="6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left="340" w:right="2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For 2020, audit fees also include services related to the Swedish Orphan Biovitrum AB agreement and debt restructuring.</w:t>
      </w:r>
    </w:p>
    <w:p>
      <w:pPr>
        <w:spacing w:after="0" w:line="67"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professional services, including tax consulting and compliance performed by Ernst &amp; Young LLP. For 2020, tax fees also include services related to the Swedish Orphan Biovitrum AB agreement and debt restructuring.</w:t>
      </w:r>
    </w:p>
    <w:p>
      <w:pPr>
        <w:spacing w:after="0" w:line="53"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are those associated with services not captured in the other categories, including the utilization of a research tool provided by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2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 &amp; Young LLP without first obtaining specific pre-approval from the Audit Committee. The Audit Committee may revise the list of general pre-approved services from time to time, based on subsequent determinations. All of the services provided by Ernst &amp; Young LLP during 2021 and 2020 were pre-approved.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9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1</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3</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Operations Officer and Senior Vice President, Research and Development</w:t>
            </w:r>
          </w:p>
        </w:tc>
      </w:tr>
      <w:tr>
        <w:trPr>
          <w:trHeight w:val="203"/>
        </w:trPr>
        <w:tc>
          <w:tcPr>
            <w:tcW w:w="40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w:t>
            </w:r>
          </w:p>
        </w:tc>
        <w:tc>
          <w:tcPr>
            <w:tcW w:w="100" w:type="dxa"/>
            <w:vAlign w:val="bottom"/>
          </w:tcPr>
          <w:p>
            <w:pPr>
              <w:spacing w:after="0"/>
              <w:rPr>
                <w:sz w:val="17"/>
                <w:szCs w:val="17"/>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Scientific Officer</w:t>
            </w:r>
          </w:p>
        </w:tc>
      </w:tr>
      <w:tr>
        <w:trPr>
          <w:trHeight w:val="203"/>
        </w:trPr>
        <w:tc>
          <w:tcPr>
            <w:tcW w:w="4080" w:type="dxa"/>
            <w:vAlign w:val="bottom"/>
            <w:gridSpan w:val="2"/>
            <w:shd w:val="clear" w:color="auto" w:fill="CFF0FC"/>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5</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67</w:t>
            </w:r>
          </w:p>
        </w:tc>
        <w:tc>
          <w:tcPr>
            <w:tcW w:w="100" w:type="dxa"/>
            <w:vAlign w:val="bottom"/>
            <w:shd w:val="clear" w:color="auto" w:fill="CFF0FC"/>
          </w:tcPr>
          <w:p>
            <w:pPr>
              <w:spacing w:after="0"/>
              <w:rPr>
                <w:sz w:val="17"/>
                <w:szCs w:val="17"/>
                <w:color w:val="auto"/>
              </w:rPr>
            </w:pPr>
          </w:p>
        </w:tc>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Chief Medical Officer</w:t>
            </w:r>
          </w:p>
        </w:tc>
      </w:tr>
    </w:tbl>
    <w:p>
      <w:pPr>
        <w:spacing w:after="0" w:line="200" w:lineRule="exact"/>
        <w:rPr>
          <w:sz w:val="20"/>
          <w:szCs w:val="20"/>
          <w:color w:val="auto"/>
        </w:rPr>
      </w:pPr>
    </w:p>
    <w:p>
      <w:pPr>
        <w:spacing w:after="0" w:line="211" w:lineRule="exact"/>
        <w:rPr>
          <w:sz w:val="20"/>
          <w:szCs w:val="20"/>
          <w:color w:val="auto"/>
        </w:rPr>
      </w:pPr>
    </w:p>
    <w:p>
      <w:pPr>
        <w:ind w:left="440" w:hanging="108"/>
        <w:spacing w:after="0"/>
        <w:tabs>
          <w:tab w:leader="none" w:pos="4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biography on page 9 of this proxy statement.</w:t>
      </w:r>
    </w:p>
    <w:p>
      <w:pPr>
        <w:spacing w:after="0" w:line="90" w:lineRule="exact"/>
        <w:rPr>
          <w:sz w:val="20"/>
          <w:szCs w:val="20"/>
          <w:color w:val="auto"/>
        </w:rPr>
      </w:pPr>
    </w:p>
    <w:p>
      <w:pPr>
        <w:ind w:right="80" w:firstLine="332"/>
        <w:spacing w:after="0" w:line="245" w:lineRule="auto"/>
        <w:tabs>
          <w:tab w:leader="none" w:pos="42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Kevin Tan has served as our Chief Financial Officer since September 2021. Prior to joining our Company, Mr. Tan served as Treasurer at Sarepta Therapeutics, Inc., a publicly-traded biotechnology company, from July 2020 to September 2021. Prior to becoming Treasurer,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and Lehman Brothers Inc. (subsequently acquired by Barclays Capital Inc.). Mr. Tan holds a Bachelor of Commerce degree from Queen’s University at Kingston, as well as a Master of Engineering degree from The Graduate School at Princeton University, and a Master of Business Administration degree from the University of Chicago Booth School of Business.</w:t>
      </w:r>
    </w:p>
    <w:p>
      <w:pPr>
        <w:spacing w:after="0" w:line="57" w:lineRule="exact"/>
        <w:rPr>
          <w:sz w:val="20"/>
          <w:szCs w:val="20"/>
          <w:color w:val="auto"/>
        </w:rPr>
      </w:pPr>
    </w:p>
    <w:p>
      <w:pPr>
        <w:ind w:left="440" w:hanging="108"/>
        <w:spacing w:after="0"/>
        <w:tabs>
          <w:tab w:leader="none" w:pos="4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Lloyd Johnston, Ph.D. has served as our Chief Operations Officer and Senior Vice President, Research and Development since January 2014.</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84" w:lineRule="exact"/>
        <w:rPr>
          <w:sz w:val="20"/>
          <w:szCs w:val="20"/>
          <w:color w:val="auto"/>
        </w:rPr>
      </w:pPr>
    </w:p>
    <w:p>
      <w:pPr>
        <w:ind w:right="80" w:firstLine="332"/>
        <w:spacing w:after="0" w:line="245" w:lineRule="auto"/>
        <w:tabs>
          <w:tab w:leader="none" w:pos="412"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before his time at Millennium Pharmaceuticals, he was the Associate Director of Research at Boehringer Ingelheim Pharmaceuticals. Dr. Kishimoto has published over 60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73" w:lineRule="exact"/>
        <w:rPr>
          <w:sz w:val="20"/>
          <w:szCs w:val="20"/>
          <w:color w:val="auto"/>
        </w:rPr>
      </w:pPr>
    </w:p>
    <w:p>
      <w:pPr>
        <w:ind w:right="40" w:firstLine="332"/>
        <w:spacing w:after="0" w:line="230" w:lineRule="auto"/>
        <w:tabs>
          <w:tab w:leader="none" w:pos="427"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Peter G. Traber, M.D. has served as our Chief Medical Officer since August 2020. Dr. Traber also serves as a member of the board of directors of Caladrius Biosciences since January 2015. Prior to joining Selecta Biosciences in 2020, from July 2018 to July 2020 Dr. Traber served as a Partner at Alacrita Consulting, providing drug development consulting services and served as the interim Chief Medical Officer (CMO) for Morphic Therapeutic supporting integrin inhibitor drug development. From March 2011 until June 2018, he served as President and Chief Executive Officer of Galectin Therapeutics and from 2010 to March 2011 served as Chief Medical Officer at Galectin Therapeutics, developing drugs for fibrotic liver disease and cancer. Previously, he served as CMO and SVP of Clinical Development and Medical Affairs at GSK, CEO of Baylor College of Medicine, and Chair of Medicine and CEO of the University of Pennsylvania Health System. He received his MD from Wayne State School of Medicine, a BS in Chemical Engineering from the University of Michigan, and a certificate in Medical Leadership from Wharton Business School. He is currently an Adjunct Professor of Medicine at the University of Pennsylvania.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executive officers are related to any other executive officer or to any of our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Board has adopted Corporate Governance Guidelines, a Code of Business Conduct and Ethics and charters for the Nominating and Corporate Governance Committee of our Board (the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www.selectabio.com, or by writing to our Secretary at our offices at 65 Grove Street, Watertown, Massachusetts 02472.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Board currently consists of nine members: Göran Ando, M.D., Timothy C. Barabe, Carsten Brunn, Ph.D., Carrie S. Cox, Nishan de Silva, M.D., M.B.A., Scott D. Myers, Aymeric Sallin, Timothy Springer, Ph.D. and Patrick Zenner. As set forth in our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All of our directors and Class III director nominees, other than Carsten Brunn, Ph.D.,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Dr. Springer is affiliated with one of our significant stockholders. Dr. Brunn is not independent because he is the President and Chief Executive Officer of Selecta. There are no family relationships among any of our directors or executive officers.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Candidates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w:t>
      </w:r>
    </w:p>
    <w:p>
      <w:pPr>
        <w:spacing w:after="0" w:line="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 company; strong finance experience; experience relevant to the Company’s industry; experience as a board member or executive officer of another public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as may be determined by the Nominating and Corporate Governance Committee from time to time. The Board evaluates each individual in the context of the Board as a whole, with the objective of assembling a group that can best perpetuate the success of the business and represent stockholder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 All of our Class III director nominees were recommended by the Nominating and Corporate Governance Committee.</w:t>
      </w:r>
    </w:p>
    <w:p>
      <w:pPr>
        <w:spacing w:after="0" w:line="7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Selecta Biosciences, Inc., 65 Grove Street, Watertown, Massachusetts 02472.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from Stockholders</w:t>
      </w:r>
    </w:p>
    <w:p>
      <w:pPr>
        <w:spacing w:after="0" w:line="12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Board will give appropriate attention to written communications that are submitted by stockholders to the Company, and will respond if and as appropriate. Our Secretary is primarily responsible for monitoring communications from stockholders and for providing copies or summaries to the directors as he or she considers appropriate. Communications are forwarded to all directors if they relate to important substantive matters and include suggestions or comments that our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in writing: c/o Secretary, Selecta Biosciences, Inc., 65 Grove Street, Watertown, Massachusetts 02472.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Chairman of the Board and Chief Executive Officer in accordance with its determination that utilizing one or the other structure would be in the best interests of the Company. Currently, the role of Chairman of the Board is separate from the role of Chief Executive Officer, with Carrie S. Cox serving as Chairman of the Board and Dr. Brunn serving as Chief Executive Officer. The Board evaluates whether the positions of Chairman of the Board and Chief Executive Officer should be combined or separated on an ongoing basis based on factors such as the experience of the applicable individuals and the current business environment of the Company. After considering these factors, the Board determined that continuing to separate the positions of Chairman and Chief Executive Officer was appropriate for the Company at this time.</w:t>
      </w:r>
    </w:p>
    <w:p>
      <w:pPr>
        <w:spacing w:after="0" w:line="81"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If, in the future, the Chairman of the Board is a member of management or does not otherwise qualify as independent, our Corporate Governance Guidelines provide for the appointment by the independent directors of a Lead Director. The Lead Director’s responsibilities would include, but would not be limited to, presiding over all meetings of the Board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is comprised of individuals with extensive experience in the biotechnology and pharmaceutical industries and, with the exception of Dr. Brunn, is comprised of directors who meet the independence standards of Nasdaq. For these reasons and because of the strong leadership of Dr. Brunn as President and Chief Executive Officer and Ms. Cox as Chairman of the Board, our Board has concluded that our current leadership structure is appropriate at this time. However, our Board will continue to periodically review our leadership structure and may make such changes in the future as it deems appropriate.</w:t>
      </w:r>
    </w:p>
    <w:p>
      <w:pPr>
        <w:spacing w:after="0" w:line="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is responsible for monitoring and assessing strategic risk exposure, including business continuity risks, such as risks relating to the COVID-19 pandemic,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monitors whether any of our compensation policies and programs has the potential to encourage excessive risk-taking. The Board does not believe that its role in the oversight of our risks affects the Board’s leadership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Board Evaluation</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Nominating and Corporate Governance Committee to periodically oversee an assessment of the Board and its committees.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our website, www.selectabio.com. In addition, we intend to post on our website all disclosures that are required by law or the rules of Nasdaq concerning any amendments to, or waivers from, any provision of the code.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Commitment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Board diversity and inclusion is critical to the success of Selecta. Our Board is committed to ensuring its membership has sufficient diversity of expertise, experience, background and perspective to support the long-term success of the Company. As presently constituted, the Board represents a deliberate mix of members who have a deep understanding of our business as well as members who have different skill sets and points of view on substantive matters pertaining to the Company’s business. Our nomination process and our Board’s approach to assessment and evaluation of our nominees support our commitment to diversity and inclusion.</w:t>
      </w:r>
    </w:p>
    <w:p>
      <w:pPr>
        <w:spacing w:after="0" w:line="7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include director qualification standards that contain a wide variety of factors the Nominating and Corporate Governance Committee is to take into account to ensure that the director nomination process considers a diverse mix of age, gender, race, place of residence and specialized experience. Additionally, the Nominating and Corporate Governance Committee’s evaluation of director nominees includes consideration of their ability to contribute to the diversity of personal and professional experiences, opinions, perspectives and backgrounds on the Board. The Board continually assesses the size and the mix of experiences and backgrounds of its members, including gender, ethnic, and racial composition. Selecta evaluates the effectiveness of this policy through annual self-evaluations completed by the Board and each of its committees.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Board firmly believes that it plays a key role in the oversight of Selecta’s culture and in holding management accountable for the creation and stewardship of that culture. One of the ways the Board accomplishes this is by setting qualitative annual objectives for Dr. Brunn. Historically, Dr. Brunn’s annual objectives have included recruiting and retaining a high caliber and diverse executive team; establishing and fostering a strong, purpose-driven corporate culture to drive employee engagement; strengthening governance and ensuring transparent and timely communication with the Board, and acting as a role model and conducting business with high integrity. These objectives are meant, in part, to drive and maintain a positive corporate culture to attract, engage, and retain key talent for the Company. Additionally, the Board believes an engaged and empowered workforce contributes significantly to the creation of stockholder value.</w:t>
      </w:r>
    </w:p>
    <w:p>
      <w:pPr>
        <w:spacing w:after="0" w:line="81"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In evaluating the suitability of individual candidates for internal positions and to serve on our Board, Selecta is proud to consider many factors, including diversity of expertise and experience in substantive matters pertaining to our company’s business, as well as diversity of background and perspective, including, but not limited to, with respect to age, gender, race, orientation, religion, and relevant experience.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 Matrix</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presents information as of April 18, 2022 regarding the diversity characteristics of our Board in accordance with Nasdaq listing standard 5606, as self-reported by our directors.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4640" w:type="dxa"/>
            <w:vAlign w:val="bottom"/>
            <w:tcBorders>
              <w:top w:val="single" w:sz="8" w:color="auto"/>
              <w:left w:val="single" w:sz="8" w:color="auto"/>
              <w:right w:val="single" w:sz="8" w:color="auto"/>
            </w:tcBorders>
          </w:tcPr>
          <w:p>
            <w:pPr>
              <w:spacing w:after="0"/>
              <w:rPr>
                <w:sz w:val="15"/>
                <w:szCs w:val="15"/>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Male</w:t>
            </w:r>
          </w:p>
        </w:tc>
        <w:tc>
          <w:tcPr>
            <w:tcW w:w="14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r>
      <w:tr>
        <w:trPr>
          <w:trHeight w:val="190"/>
        </w:trPr>
        <w:tc>
          <w:tcPr>
            <w:tcW w:w="4640" w:type="dxa"/>
            <w:vAlign w:val="bottom"/>
            <w:tcBorders>
              <w:left w:val="single" w:sz="8" w:color="auto"/>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Directors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58"/>
        </w:trPr>
        <w:tc>
          <w:tcPr>
            <w:tcW w:w="4640" w:type="dxa"/>
            <w:vAlign w:val="bottom"/>
            <w:tcBorders>
              <w:left w:val="single" w:sz="8" w:color="auto"/>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Number of Directors</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r>
      <w:tr>
        <w:trPr>
          <w:trHeight w:val="190"/>
        </w:trPr>
        <w:tc>
          <w:tcPr>
            <w:tcW w:w="4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Who Identify in Any of the Categories Below</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r>
      <w:tr>
        <w:trPr>
          <w:trHeight w:val="23"/>
        </w:trPr>
        <w:tc>
          <w:tcPr>
            <w:tcW w:w="4640" w:type="dxa"/>
            <w:vAlign w:val="bottom"/>
            <w:tcBorders>
              <w:left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African American or Black</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Alaskan Native or Native American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Asian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Hispanic or Latinx</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Native Hawaiian or Pacific Islander</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White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Two or More Races or Ethnicities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LGBTQ+</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186"/>
        </w:trPr>
        <w:tc>
          <w:tcPr>
            <w:tcW w:w="4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23"/>
        </w:trPr>
        <w:tc>
          <w:tcPr>
            <w:tcW w:w="464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Policy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has adopted an Insider Trading Compliance Policy, which applies to all of our directors, officers and employees. The Insider Trading Compliance Policy prohibits our directors, officers and employees and any entities they control from engaging in all hedging or monetization transactions, such as zero-cost collars and forward sale contracts.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By Members Of The Board At Meetings</w:t>
      </w:r>
    </w:p>
    <w:p>
      <w:pPr>
        <w:spacing w:after="0" w:line="121"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There were twelve meetings of the Board during the fiscal year ended December 31, 2021. Our independent directors also held regularly scheduled executive sessions. During the fiscal year ended December 31, 2021, each director attended at least 75% of the aggregate of (i) all meetings of the Board and (ii) all meetings of the committees on which the director served during the period in which he or she served as a director.</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our Corporate Governance Guidelines, which are available on the “Corporate Governance” section of the “Investors &amp; Media” page of our website at www.selectabio.com,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Chairman of the Board or the Chairman of the appropriate committee in advance of such meeting, and, whenever possible, participate in such meeting via teleconference in the case of an in-person meeting. Currently, we do not maintain a formal policy regarding director attendance at the Annual Meeting; however, it is expected that absent compelling circumstances each director will attend. All of our then-incumbent eight directors attended the 2021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Board has established four standing committees--Audit, Compensation, Nominating and Corporate Governance, and Research and Development-- each of which operates under a written charter that has been approved by our Board.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members of each of the Board committees and committee Chairs are set forth in the following chart.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148"/>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202"/>
        </w:trPr>
        <w:tc>
          <w:tcPr>
            <w:tcW w:w="5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Chair</w:t>
            </w: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95"/>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1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X</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Chair</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772"/>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968"/>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5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business conduct and ethics;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(which is included on page 17 of this proxy statement).</w:t>
      </w:r>
    </w:p>
    <w:p>
      <w:pPr>
        <w:spacing w:after="0" w:line="117" w:lineRule="exact"/>
        <w:rPr>
          <w:sz w:val="20"/>
          <w:szCs w:val="20"/>
          <w:color w:val="auto"/>
        </w:rPr>
      </w:pPr>
    </w:p>
    <w:p>
      <w:pPr>
        <w:ind w:right="100" w:firstLine="324"/>
        <w:spacing w:after="0" w:line="274" w:lineRule="auto"/>
        <w:rPr>
          <w:sz w:val="20"/>
          <w:szCs w:val="20"/>
          <w:color w:val="auto"/>
        </w:rPr>
      </w:pPr>
      <w:r>
        <w:rPr>
          <w:rFonts w:ascii="Times New Roman" w:cs="Times New Roman" w:eastAsia="Times New Roman" w:hAnsi="Times New Roman"/>
          <w:sz w:val="17"/>
          <w:szCs w:val="17"/>
          <w:color w:val="auto"/>
        </w:rPr>
        <w:t>The Audit Committee charter is available on the “Corporate Governance” section of the “Investors &amp; Media” page of our website at www.selectabio.com. The members of the Audit Committee are Timothy C. Barabe, Carrie S. Cox and Patrick Zenner. Mr. Barabe serves as the Chairperson of the committee. Our Board has affirmatively determined that each of Mr. Barabe, Ms. Cox and Mr. Zenner is independent for purposes of serving on an audit committee under Rule 10A-3 promulgated under the Securities Exchange Act of 1934, as amended (the “Exchange Act”) and the Nasdaq rules. The members of our Audit Committee meet the requirements for financial literacy under the applicable rules of Nasdaq. Our Board has determined that each of Mr. Barabe and Mr. Zenner qualifies as an “audit committee financial expert” as defined by Item 407(d)(5)(ii) of Regulation S-K.</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Audit Committee met six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corporate goals and objectives relevant to CEO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the compensation of our CEO and other executive officers;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evaluation of our senior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 and equity incentive plans;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director compensation;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if required by SEC rules.</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to retain or obtain the advice of compensation consultants, legal counsel and other advisors to assist it in carrying out its responsibilities.</w:t>
      </w:r>
    </w:p>
    <w:p>
      <w:pPr>
        <w:spacing w:after="0" w:line="5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may delegate its authority under its charter to one or more subcommittees as it deems appropriate from time to time as further described in its charter, which is available on the “Corporate Governance” section of the “Investors &amp; Media” page of our website at www.selectabio.com. The Compensation Committee may also delegate to an officer the authority to grant equity awards to certain employees, as further described in its charter and subject to the terms of our equity plans.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2021, the Compensation Committee engaged Radford Survey and Consulting, an Aon Hewitt company and compensation consulting firm (“Radford”),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and our Board, including the Chief Executive Officer, and to receive input and advice. The Compensation Committee has considered the adviser independence factors required under SEC rules as they relate to Radford and does not believe Radford’s work in 2021 raised a conflict of interest.</w:t>
      </w:r>
    </w:p>
    <w:p>
      <w:pPr>
        <w:spacing w:after="0" w:line="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engaged Compensia, Inc. (“Compensia”) to assess and make recommendations with respect to the amount and types of compensation to provide our executives and directors, and Radford was relieved of these duties.</w:t>
      </w:r>
    </w:p>
    <w:p>
      <w:pPr>
        <w:spacing w:after="0" w:line="5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uses competitive compensation data from an annual total compensation study of peer companies performed by Radford to inform the Compensation Committee’s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81" w:lineRule="exact"/>
        <w:rPr>
          <w:sz w:val="20"/>
          <w:szCs w:val="20"/>
          <w:color w:val="auto"/>
        </w:rPr>
      </w:pPr>
    </w:p>
    <w:p>
      <w:pPr>
        <w:jc w:val="both"/>
        <w:ind w:right="240" w:firstLine="324"/>
        <w:spacing w:after="0" w:line="226" w:lineRule="exact"/>
        <w:rPr>
          <w:sz w:val="20"/>
          <w:szCs w:val="20"/>
          <w:color w:val="auto"/>
        </w:rPr>
      </w:pPr>
      <w:r>
        <w:rPr>
          <w:rFonts w:ascii="Times New Roman" w:cs="Times New Roman" w:eastAsia="Times New Roman" w:hAnsi="Times New Roman"/>
          <w:sz w:val="18"/>
          <w:szCs w:val="18"/>
          <w:color w:val="auto"/>
        </w:rPr>
        <w:t>The members of the Compensation Committee are Scott D. Myers, Göran Ando, M.D., Carrie S. Cox and Aymeric Sallin. Scott D. Myers serves as Chairperson of the committee. Our Board has determined that each of Mr. Myers, Dr. Ando, Ms. Cox and Mr. Sallin is independent under the applicable SEC and Nasdaq rules, including the heightened standard for independence specific to members of a compensation committee, and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 as defined in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Compensation Committee met seven times.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Nominating and Corporate Governance Committee’s responsibilities include:</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board committee;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with respect to management succession planning;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principles;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assessment of our Board.</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charter is available on the “Corporate Governance” section of the “Investors &amp; Media” page of our website at www.selectabio.com. The members of the Nominating and Corporate Governance Committee are Patrick Zenner, Scott D. Myers and Timothy A. Springer, Ph.D. Mr. Zenner serves as the Chairperson of the committee. Our Board has determined that Mr. Myers, Dr. Springer and Mr. Zenner are independent under the applicable Nasdaq rules.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the Nominating and Corporate Governance Committee met five times.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Committee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Research and Development Committee of the Board (the “Research and Development Committee”)’s responsibilities include:</w:t>
      </w:r>
    </w:p>
    <w:p>
      <w:pPr>
        <w:spacing w:after="0" w:line="117" w:lineRule="exact"/>
        <w:rPr>
          <w:sz w:val="20"/>
          <w:szCs w:val="20"/>
          <w:color w:val="auto"/>
        </w:rPr>
      </w:pPr>
    </w:p>
    <w:p>
      <w:pPr>
        <w:ind w:left="660" w:right="200" w:hanging="328"/>
        <w:spacing w:after="0" w:line="281"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reviewing the Company’s research and development strategy as well as the Company’s long-term strategic goals and objectives, and monitoring the Company’s progress in achieving such goals and objectives;</w:t>
      </w:r>
    </w:p>
    <w:p>
      <w:pPr>
        <w:spacing w:after="0" w:line="54" w:lineRule="exact"/>
        <w:rPr>
          <w:rFonts w:ascii="Arial" w:cs="Arial" w:eastAsia="Arial" w:hAnsi="Arial"/>
          <w:sz w:val="18"/>
          <w:szCs w:val="18"/>
          <w:color w:val="auto"/>
        </w:rPr>
      </w:pPr>
    </w:p>
    <w:p>
      <w:pPr>
        <w:ind w:left="660" w:right="4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scientific, technological, and research and development matters, and on strategic issues associated with the Company’s product pipeline and technology;</w:t>
      </w:r>
    </w:p>
    <w:p>
      <w:pPr>
        <w:spacing w:after="0" w:line="53"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effectiveness and competitiveness of the Company’s position and strategies in relation to emerging scientific and technology trends and activities relevant to the success of the Company’s product pipeline and technology;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quality, direction, and competitiveness of the Company’s research and development programs, and product pipeline;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organization, resources and capabilities of the Company’s research, analytical, CMC, and clinical departments;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strategies and approaches to acquiring, in licensing, out licensing, and maintaining innovation and technology positions;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the scientific, medical, and technical aspects of significant acquisitions, in licenses, out licenses, and other strategic business development transactions;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Company in reviewing, as requested, the capabilities of the Company’s current and prospective key scientific, clinical, medical, or technical personnel and engagement with key opinion leaders, and the depth and breadth of the Company’s scientific resources;</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Board, and the committees of the Board, as requested, with regard to performance and succession planning of the Company’s officers and other leadership of the research and development, manufacturing, medical, and other technical or scientific functions within the Company;</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counsel and know-how to the Company’s management in the area of research and development and the Company’s product pipeline and technology; and</w:t>
      </w:r>
    </w:p>
    <w:p>
      <w:pPr>
        <w:spacing w:after="0" w:line="53" w:lineRule="exact"/>
        <w:rPr>
          <w:rFonts w:ascii="Times New Roman" w:cs="Times New Roman" w:eastAsia="Times New Roman" w:hAnsi="Times New Roman"/>
          <w:sz w:val="18"/>
          <w:szCs w:val="18"/>
          <w:color w:val="auto"/>
        </w:rPr>
      </w:pPr>
    </w:p>
    <w:p>
      <w:pPr>
        <w:ind w:left="340" w:right="320" w:hanging="8"/>
        <w:spacing w:after="0" w:line="407" w:lineRule="auto"/>
        <w:tabs>
          <w:tab w:leader="none" w:pos="6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other tasks or providing other advice related to the Company’s product pipeline and technology as may be requested by the Board The Research and Development Committee was formed in September 2021, and met one time in 2021.</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is intended to assist our stockholders in understanding our executive compensation program by providing an overview of our executive compensation-related policies, practices, and decisions for 2021. It also explains how we determined the material elements of compensation for our principal executive officer, our principal financial officer, and the three executive officers (other than our principal executive officer and principal financial officer) who were our most highly compensated executive officers as of December 31, 2021, and who we refer to as our “Named Executive Officers.” For 2021, our Named Executive Officers were:</w:t>
      </w:r>
    </w:p>
    <w:p>
      <w:pPr>
        <w:spacing w:after="0" w:line="7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Chief Executive Officer (our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Chief Financial Officer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Chief Financial Officer, who served as our principal financial and accounting officer during portions of 2021;</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officer, who served as our principal financial and accounting officer during portions of 2021;</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Ph.D., our Chief Operations Officer.</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Specifically, this Compensation Discussion and Analysis provides an overview of our executive compensation philosophy, the overall objectives of our executive compensation program, and each compensation element that we provide to our executive officers. In addition, it explains how and why the Compensation Committee of our Board (the “Compensation Committee”) arrived at the specific compensation decisions for our executive officers, including our Named Executive Officers, in 2021.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Our ImmTOR® platform encapsulates rapamycin, also known as sirolimus, an FDA approved immunomodulator, in biodegradable nanoparticles ImmTOR is designed to induce antigen-specific immune tolerance.</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By combining ImmTOR with antigens of interest, our precision immune tolerance platform has the potential to restore self-tolerance to auto-antigens in autoimmune diseases, amplify the efficacy of biologics (including gene therapies) and mitigate the formation of anti-drug antibodies, or ADAs, against biologic drugs. ADAs can start developing in the body with the first dose of a biologic therapy and can render subsequent doses ineffective or unsafe, potentially depriving patients of life-saving therapeutic options and limiting the likelihood of success for many otherwise promising novel biologic drugs and technologies.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Business Highlights</w:t>
      </w:r>
    </w:p>
    <w:p>
      <w:pPr>
        <w:spacing w:after="0" w:line="12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top-line data of SEL-399 in a Phase 1 trial.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DISSOLVE I Phase 3 trial for SEL-212 for the potential treatment of chronic refractory gout.</w:t>
      </w:r>
    </w:p>
    <w:p>
      <w:pPr>
        <w:spacing w:after="0" w:line="248" w:lineRule="exact"/>
        <w:rPr>
          <w:rFonts w:ascii="Times New Roman" w:cs="Times New Roman" w:eastAsia="Times New Roman" w:hAnsi="Times New Roman"/>
          <w:sz w:val="18"/>
          <w:szCs w:val="18"/>
          <w:color w:val="auto"/>
        </w:rPr>
      </w:pPr>
    </w:p>
    <w:p>
      <w:pPr>
        <w:ind w:left="660" w:right="300" w:hanging="328"/>
        <w:spacing w:after="0" w:line="23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Observed synergistic activity of ImmTOR and IL-2 (which we refer to as ImmTOR-IL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 expanding antigen-specific regulatory T cells and improving durability of immune tolerance.</w:t>
      </w:r>
    </w:p>
    <w:p>
      <w:pPr>
        <w:spacing w:after="0" w:line="2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investigational new drug application for methylmalonic acidemia program.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Operated within internal budget for 2021.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$3 million payment from Sarepta for the completion of pre-specified pre-clinical milestones.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executive team with additions of Mr. Tan and Kristen Baldwin, our Chief People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Dr. de Silva to Board.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several healthcare industry conferences.</w:t>
      </w:r>
    </w:p>
    <w:p>
      <w:pPr>
        <w:spacing w:after="0" w:line="252"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strategic licensing agreement with Takeda Pharmaceuticals USA, Inc. to develop therapies for patients with lysosomal storage disorders.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Cyrus Biotechnology, Inc. to develop novel engineered therapeutic proteins.</w:t>
      </w:r>
    </w:p>
    <w:p>
      <w:pPr>
        <w:spacing w:after="0" w:line="252"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Exclusive License Agreement with Genovis AB (publ.) to in-license novel IgG protease, Xork, to treat certain IgG-mediated autoimmune diseases and potentially unlock full potential of transformative gene therapies.</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partnership with Ginkgo Bioworks Holdings, Inc. (“Ginkgo Bioworks”) to create potentially transformative enzymes to treat select auto-immune diseases.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collaboration with Ginkgo Bioworks to develop next-generation gene therapy capsids.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Jude Samulski, Ph.D. as gene therapy special advisor.</w:t>
      </w:r>
    </w:p>
    <w:p>
      <w:pPr>
        <w:spacing w:after="0" w:line="252" w:lineRule="exact"/>
        <w:rPr>
          <w:rFonts w:ascii="Times New Roman" w:cs="Times New Roman" w:eastAsia="Times New Roman" w:hAnsi="Times New Roman"/>
          <w:sz w:val="18"/>
          <w:szCs w:val="18"/>
          <w:color w:val="auto"/>
        </w:rPr>
      </w:pPr>
    </w:p>
    <w:p>
      <w:pPr>
        <w:ind w:left="660" w:right="200" w:hanging="328"/>
        <w:spacing w:after="0" w:line="265" w:lineRule="auto"/>
        <w:tabs>
          <w:tab w:leader="none" w:pos="65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Matured and professionalized people and culture operations in the form of transparent and data-driven compensation practices for non-executive employees, marked increase in internal communications, cutting-edge talent management tools, and launch of company-wide culture and engagement initiatives.</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$51.9 million in net proceeds through use of at-the-market facilities with SVB Securities LLC and Jefferies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year end, in April 2022, raised $36 million in net proceeds through an SEC-registered securities offering.</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Executive Compensation Highlights</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Consistent with our performance and compensation philosophy, the Compensation Committee (and, in the case of Ms. Donohue, Dr. Brunn) took the following compensation actions for our Named Executive Officers for 2021:</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80" w:type="dxa"/>
            <w:vAlign w:val="bottom"/>
            <w:tcBorders>
              <w:top w:val="single" w:sz="8" w:color="auto"/>
              <w:left w:val="single" w:sz="8" w:color="auto"/>
              <w:right w:val="single" w:sz="8" w:color="auto"/>
            </w:tcBorders>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Base Salary Increase</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Bonus</w:t>
            </w:r>
          </w:p>
        </w:tc>
        <w:tc>
          <w:tcPr>
            <w:tcW w:w="186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Annual Time-Based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2021 Performance-Based</w:t>
            </w:r>
          </w:p>
        </w:tc>
        <w:tc>
          <w:tcPr>
            <w:tcW w:w="1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Percentage of Restricted</w:t>
            </w:r>
          </w:p>
        </w:tc>
      </w:tr>
      <w:tr>
        <w:trPr>
          <w:trHeight w:val="146"/>
        </w:trPr>
        <w:tc>
          <w:tcPr>
            <w:tcW w:w="1880" w:type="dxa"/>
            <w:vAlign w:val="bottom"/>
            <w:tcBorders>
              <w:left w:val="single" w:sz="8" w:color="auto"/>
              <w:right w:val="single" w:sz="8" w:color="auto"/>
            </w:tcBorders>
          </w:tcPr>
          <w:p>
            <w:pPr>
              <w:spacing w:after="0"/>
              <w:rPr>
                <w:sz w:val="12"/>
                <w:szCs w:val="12"/>
                <w:color w:val="auto"/>
              </w:rPr>
            </w:pP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 2020</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18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 Award</w:t>
            </w:r>
          </w:p>
        </w:tc>
        <w:tc>
          <w:tcPr>
            <w:tcW w:w="1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Units Actually Realized</w:t>
            </w:r>
          </w:p>
        </w:tc>
      </w:tr>
      <w:tr>
        <w:trPr>
          <w:trHeight w:val="196"/>
        </w:trPr>
        <w:tc>
          <w:tcPr>
            <w:tcW w:w="1880" w:type="dxa"/>
            <w:vAlign w:val="bottom"/>
            <w:tcBorders>
              <w:left w:val="single" w:sz="8" w:color="auto"/>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at Target/Maximum</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Carsten Brunn,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137,200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75,000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Ann K. Donohue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47,100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27,500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84" w:lineRule="exact"/>
        <w:rPr>
          <w:sz w:val="20"/>
          <w:szCs w:val="20"/>
          <w:color w:val="auto"/>
        </w:rPr>
      </w:pPr>
    </w:p>
    <w:p>
      <w:pPr>
        <w:ind w:left="340" w:right="800"/>
        <w:spacing w:after="0" w:line="375" w:lineRule="auto"/>
        <w:rPr>
          <w:sz w:val="20"/>
          <w:szCs w:val="20"/>
          <w:color w:val="auto"/>
        </w:rPr>
      </w:pPr>
      <w:r>
        <w:rPr>
          <w:rFonts w:ascii="Times New Roman" w:cs="Times New Roman" w:eastAsia="Times New Roman" w:hAnsi="Times New Roman"/>
          <w:sz w:val="18"/>
          <w:szCs w:val="18"/>
          <w:color w:val="auto"/>
        </w:rPr>
        <w:t xml:space="preserve">* Mr. Dahms resigned from our Company prior to meeting the performance conditions for the vesting of performance-based restricted stock. </w:t>
      </w:r>
      <w:r>
        <w:rPr>
          <w:rFonts w:ascii="Times New Roman" w:cs="Times New Roman" w:eastAsia="Times New Roman" w:hAnsi="Times New Roman"/>
          <w:sz w:val="18"/>
          <w:szCs w:val="18"/>
          <w:b w:val="1"/>
          <w:bCs w:val="1"/>
          <w:i w:val="1"/>
          <w:iCs w:val="1"/>
          <w:color w:val="auto"/>
        </w:rPr>
        <w:t>Emphasis on Variable and Performance-Based Compensation</w:t>
      </w:r>
    </w:p>
    <w:p>
      <w:pPr>
        <w:spacing w:after="0" w:line="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annual compensation of our executive officers, including our Named Executive Officers, varies from year to year based on our corporate financial and operational results and individual performance. Consistent with our compensation philosophy, our executive compensation program emphasizes “variable” pay over “fixed” pay and seeks to balance short-term and long-term incentives, as well as performance-based and time-based incentives. In 2021, the majority of the target total direct compensation of our CEO consisted of variable pay, including cash awarded under our annual bonus plan and long-term incentives in the form of equity awards for which value is likely to be variable. Fixed pay, primarily consisting of base salary, made up only</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15.5% of our CEO’s target total direct compensation in 2021, while variable pay, consisting of annual incentives in the form of an annual bonus program and long-term incentives in the form of equity awards, made up 84.5% of his target total direct compensation. Similar allocations applied to our other executive officers, including our other Named Executive Officers. The following chart shows the percentages of target variable pay versus target fixed pay for our CEO and our other Named Executive Officers in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60"/>
          </w:cols>
          <w:pgMar w:left="320" w:top="12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Total Pay (2021)</w:t>
            </w:r>
          </w:p>
        </w:tc>
        <w:tc>
          <w:tcPr>
            <w:tcW w:w="224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Pay (Fixed)</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Pay (Variable)</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Carsten Brunn, Ph.D.</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President and Chief Executive</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$3,671,395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15.5%</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84.5%</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4"/>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Kevin Tan</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$2,601,621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95.8%</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Bradford D. Dahms</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Former Chief Financial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$868,052</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w:t>
            </w:r>
          </w:p>
        </w:tc>
      </w:tr>
      <w:tr>
        <w:trPr>
          <w:trHeight w:val="139"/>
        </w:trPr>
        <w:tc>
          <w:tcPr>
            <w:tcW w:w="2240" w:type="dxa"/>
            <w:vAlign w:val="bottom"/>
            <w:tcBorders>
              <w:left w:val="single" w:sz="8" w:color="auto"/>
              <w:right w:val="single" w:sz="8" w:color="auto"/>
            </w:tcBorders>
          </w:tcPr>
          <w:p>
            <w:pPr>
              <w:ind w:left="40"/>
              <w:spacing w:after="0" w:line="139" w:lineRule="exact"/>
              <w:rPr>
                <w:sz w:val="20"/>
                <w:szCs w:val="20"/>
                <w:color w:val="auto"/>
              </w:rPr>
            </w:pPr>
            <w:r>
              <w:rPr>
                <w:rFonts w:ascii="Times New Roman" w:cs="Times New Roman" w:eastAsia="Times New Roman" w:hAnsi="Times New Roman"/>
                <w:sz w:val="14"/>
                <w:szCs w:val="14"/>
                <w:color w:val="auto"/>
              </w:rPr>
              <w:t>Ann K. Donohue</w:t>
            </w:r>
          </w:p>
        </w:tc>
        <w:tc>
          <w:tcPr>
            <w:tcW w:w="22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VP, Finance, Former Principal</w:t>
            </w:r>
          </w:p>
        </w:tc>
        <w:tc>
          <w:tcPr>
            <w:tcW w:w="226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$361,493</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57.8%</w:t>
            </w:r>
          </w:p>
        </w:tc>
        <w:tc>
          <w:tcPr>
            <w:tcW w:w="224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42.2%</w:t>
            </w:r>
          </w:p>
        </w:tc>
      </w:tr>
      <w:tr>
        <w:trPr>
          <w:trHeight w:val="193"/>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c>
          <w:tcPr>
            <w:tcW w:w="226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r>
      <w:tr>
        <w:trPr>
          <w:trHeight w:val="195"/>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Peter G. Traber, M.D.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Medical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$1,600,685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Scientific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$1,306,675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r>
        <w:trPr>
          <w:trHeight w:val="196"/>
        </w:trPr>
        <w:tc>
          <w:tcPr>
            <w:tcW w:w="2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Lloyd Johnston, Ph.D.</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Chief Operations Officer</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$1,304,845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w:t>
            </w:r>
          </w:p>
        </w:tc>
      </w:tr>
    </w:tbl>
    <w:p>
      <w:pPr>
        <w:spacing w:after="0" w:line="200" w:lineRule="exact"/>
        <w:rPr>
          <w:sz w:val="20"/>
          <w:szCs w:val="20"/>
          <w:color w:val="auto"/>
        </w:rPr>
      </w:pP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Practices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endeavor to maintain sound executive compensation policies and practices, including compensation-related corporate governance standards, consistent with our executive compensation philosophy. During 2021, the following executive compensation policies and practices were in place, including both policies and practices we have implemented to drive performance and policies and practices that either prohibit or minimize behaviors that we do not believe serve our stockholders’ long-term interests: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w:t>
      </w:r>
    </w:p>
    <w:p>
      <w:pPr>
        <w:spacing w:after="0" w:line="275" w:lineRule="exact"/>
        <w:rPr>
          <w:sz w:val="20"/>
          <w:szCs w:val="20"/>
          <w:color w:val="auto"/>
        </w:rPr>
      </w:pPr>
    </w:p>
    <w:p>
      <w:pPr>
        <w:ind w:left="820" w:right="240" w:hanging="470"/>
        <w:spacing w:after="0" w:line="286"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Independence </w:t>
      </w:r>
      <w:r>
        <w:rPr>
          <w:rFonts w:ascii="Times New Roman" w:cs="Times New Roman" w:eastAsia="Times New Roman" w:hAnsi="Times New Roman"/>
          <w:sz w:val="18"/>
          <w:szCs w:val="18"/>
          <w:color w:val="auto"/>
        </w:rPr>
        <w:t>– Our Board maintains a Compensation Committee comprised solely of independent directors who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established effective means for communicating with our stockholders regarding their executive compensation ideas and concerns.</w:t>
      </w:r>
    </w:p>
    <w:p>
      <w:pPr>
        <w:spacing w:after="0" w:line="87" w:lineRule="exact"/>
        <w:rPr>
          <w:rFonts w:ascii="MS PGothic" w:cs="MS PGothic" w:eastAsia="MS PGothic" w:hAnsi="MS PGothic"/>
          <w:sz w:val="18"/>
          <w:szCs w:val="18"/>
          <w:color w:val="auto"/>
          <w:highlight w:val="black"/>
        </w:rPr>
      </w:pPr>
    </w:p>
    <w:p>
      <w:pPr>
        <w:ind w:left="820" w:right="340" w:hanging="470"/>
        <w:spacing w:after="0" w:line="225"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 Committee Advisor Independence </w:t>
      </w:r>
      <w:r>
        <w:rPr>
          <w:rFonts w:ascii="Times New Roman" w:cs="Times New Roman" w:eastAsia="Times New Roman" w:hAnsi="Times New Roman"/>
          <w:sz w:val="18"/>
          <w:szCs w:val="18"/>
          <w:color w:val="auto"/>
        </w:rPr>
        <w:t>– The Compensation Committee engages and retains its own advisors. During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Committee engaged Radford to assist with its responsibilities. In 2022, the Compensation Committee engaged Compensia to assist moving forward, and relieved Radford of its advisory duties on executive compensation. Compensia performs no consulting or other services for the Company.</w:t>
      </w:r>
    </w:p>
    <w:p>
      <w:pPr>
        <w:spacing w:after="0" w:line="209" w:lineRule="exact"/>
        <w:rPr>
          <w:rFonts w:ascii="MS PGothic" w:cs="MS PGothic" w:eastAsia="MS PGothic" w:hAnsi="MS PGothic"/>
          <w:sz w:val="18"/>
          <w:szCs w:val="18"/>
          <w:color w:val="auto"/>
          <w:highlight w:val="black"/>
        </w:rPr>
      </w:pPr>
    </w:p>
    <w:p>
      <w:pPr>
        <w:ind w:left="820" w:right="40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Annual Compensation Review </w:t>
      </w:r>
      <w:r>
        <w:rPr>
          <w:rFonts w:ascii="Times New Roman" w:cs="Times New Roman" w:eastAsia="Times New Roman" w:hAnsi="Times New Roman"/>
          <w:sz w:val="18"/>
          <w:szCs w:val="18"/>
          <w:color w:val="auto"/>
        </w:rPr>
        <w:t>– The Compensation Committee conducts an annual review of our executive compensation philosophy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strategy, including a review of the compensation peer group used for comparative purposes.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Compensation-Related Risk Assessment </w:t>
      </w:r>
      <w:r>
        <w:rPr>
          <w:rFonts w:ascii="Times New Roman" w:cs="Times New Roman" w:eastAsia="Times New Roman" w:hAnsi="Times New Roman"/>
          <w:sz w:val="18"/>
          <w:szCs w:val="18"/>
          <w:color w:val="auto"/>
        </w:rPr>
        <w:t>– We conduct an annual evaluation of our compensation programs, policies, and practices to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they reflect an appropriate level of risk-taking but do not encourage our employees to take excessive or unnecessary risks that could have a material adverse impact on our Company.</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Performance-based Incentive Compensation </w:t>
      </w:r>
      <w:r>
        <w:rPr>
          <w:rFonts w:ascii="Times New Roman" w:cs="Times New Roman" w:eastAsia="Times New Roman" w:hAnsi="Times New Roman"/>
          <w:sz w:val="18"/>
          <w:szCs w:val="18"/>
          <w:color w:val="auto"/>
        </w:rPr>
        <w:t>– The Compensation Committee designs our executive compensation program to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performance-based long-term incentive compensation awards to align of the long-term interests of our executive officers with the interests of our stockholders.</w:t>
      </w:r>
    </w:p>
    <w:p>
      <w:pPr>
        <w:spacing w:after="0" w:line="222" w:lineRule="exact"/>
        <w:rPr>
          <w:rFonts w:ascii="MS PGothic" w:cs="MS PGothic" w:eastAsia="MS PGothic" w:hAnsi="MS PGothic"/>
          <w:sz w:val="18"/>
          <w:szCs w:val="18"/>
          <w:color w:val="auto"/>
          <w:highlight w:val="black"/>
        </w:rPr>
      </w:pPr>
    </w:p>
    <w:p>
      <w:pPr>
        <w:ind w:left="820" w:right="40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Emphasize Long-Term Equity Compensation </w:t>
      </w:r>
      <w:r>
        <w:rPr>
          <w:rFonts w:ascii="Times New Roman" w:cs="Times New Roman" w:eastAsia="Times New Roman" w:hAnsi="Times New Roman"/>
          <w:sz w:val="18"/>
          <w:szCs w:val="18"/>
          <w:color w:val="auto"/>
        </w:rPr>
        <w:t>– The Compensation Committee uses equity awards to deliver long-term incentive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opportunities to our executive officers, including our Named Executive Officers. These equity awards vest or may be earned over multi-year periods, which we believe better serves our long-term value creation goals and retention objectives.</w:t>
      </w:r>
    </w:p>
    <w:p>
      <w:pPr>
        <w:spacing w:after="0" w:line="222" w:lineRule="exact"/>
        <w:rPr>
          <w:rFonts w:ascii="MS PGothic" w:cs="MS PGothic" w:eastAsia="MS PGothic" w:hAnsi="MS PGothic"/>
          <w:sz w:val="18"/>
          <w:szCs w:val="18"/>
          <w:color w:val="auto"/>
          <w:highlight w:val="black"/>
        </w:rPr>
      </w:pPr>
    </w:p>
    <w:p>
      <w:pPr>
        <w:ind w:left="820" w:right="8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Limited Executive Perquisites </w:t>
      </w:r>
      <w:r>
        <w:rPr>
          <w:rFonts w:ascii="Times New Roman" w:cs="Times New Roman" w:eastAsia="Times New Roman" w:hAnsi="Times New Roman"/>
          <w:sz w:val="18"/>
          <w:szCs w:val="18"/>
          <w:color w:val="auto"/>
        </w:rPr>
        <w:t>– We provide only modest amounts of perquisites or other personal benefits that serve a sound business purpose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Named Executive Officers. In addition, the Named Executive Officers participate in our health and welfare benefit programs on the same terms as all of our employees.</w:t>
      </w:r>
    </w:p>
    <w:p>
      <w:pPr>
        <w:spacing w:after="0" w:line="222" w:lineRule="exact"/>
        <w:rPr>
          <w:rFonts w:ascii="MS PGothic" w:cs="MS PGothic" w:eastAsia="MS PGothic" w:hAnsi="MS PGothic"/>
          <w:sz w:val="18"/>
          <w:szCs w:val="18"/>
          <w:color w:val="auto"/>
          <w:highlight w:val="black"/>
        </w:rPr>
      </w:pPr>
    </w:p>
    <w:p>
      <w:pPr>
        <w:ind w:left="820" w:right="300" w:hanging="470"/>
        <w:spacing w:after="0" w:line="227"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“Double-Trigger” Change in Control Arrangements </w:t>
      </w:r>
      <w:r>
        <w:rPr>
          <w:rFonts w:ascii="Times New Roman" w:cs="Times New Roman" w:eastAsia="Times New Roman" w:hAnsi="Times New Roman"/>
          <w:sz w:val="18"/>
          <w:szCs w:val="18"/>
          <w:color w:val="auto"/>
        </w:rPr>
        <w:t>–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are based on a “double-trigger” arrangement that provides for the receipt of payments and benefits only in the event of (i) a change in control of the Company and (ii) a qualifying termination of employment.</w:t>
      </w:r>
    </w:p>
    <w:p>
      <w:pPr>
        <w:spacing w:after="0" w:line="222" w:lineRule="exact"/>
        <w:rPr>
          <w:rFonts w:ascii="MS PGothic" w:cs="MS PGothic" w:eastAsia="MS PGothic" w:hAnsi="MS PGothic"/>
          <w:sz w:val="18"/>
          <w:szCs w:val="18"/>
          <w:color w:val="auto"/>
          <w:highlight w:val="black"/>
        </w:rPr>
      </w:pPr>
    </w:p>
    <w:p>
      <w:pPr>
        <w:ind w:left="820" w:right="46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Reasonable Change-in-Control Arrangements </w:t>
      </w:r>
      <w:r>
        <w:rPr>
          <w:rFonts w:ascii="Times New Roman" w:cs="Times New Roman" w:eastAsia="Times New Roman" w:hAnsi="Times New Roman"/>
          <w:sz w:val="18"/>
          <w:szCs w:val="18"/>
          <w:color w:val="auto"/>
        </w:rPr>
        <w:t>– We believe the post-employment compensation arrangements for our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our Named Executive Officers, provide for amounts and multiples that are within reasonable market norms.</w:t>
      </w:r>
    </w:p>
    <w:p>
      <w:pPr>
        <w:spacing w:after="0" w:line="222" w:lineRule="exact"/>
        <w:rPr>
          <w:rFonts w:ascii="MS PGothic" w:cs="MS PGothic" w:eastAsia="MS PGothic" w:hAnsi="MS PGothic"/>
          <w:sz w:val="18"/>
          <w:szCs w:val="18"/>
          <w:color w:val="auto"/>
          <w:highlight w:val="black"/>
        </w:rPr>
      </w:pPr>
    </w:p>
    <w:p>
      <w:pPr>
        <w:ind w:left="820" w:right="24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Prohibition on Hedging and Pledging </w:t>
      </w:r>
      <w:r>
        <w:rPr>
          <w:rFonts w:ascii="Times New Roman" w:cs="Times New Roman" w:eastAsia="Times New Roman" w:hAnsi="Times New Roman"/>
          <w:sz w:val="18"/>
          <w:szCs w:val="18"/>
          <w:color w:val="auto"/>
        </w:rPr>
        <w:t>– Under our Insider Trading Policy, we prohibit our employees from hedging any Company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from pledging any Company securities as collateral for a loan.</w:t>
      </w:r>
    </w:p>
    <w:p>
      <w:pPr>
        <w:spacing w:after="0" w:line="222" w:lineRule="exact"/>
        <w:rPr>
          <w:rFonts w:ascii="MS PGothic" w:cs="MS PGothic" w:eastAsia="MS PGothic" w:hAnsi="MS PGothic"/>
          <w:sz w:val="18"/>
          <w:szCs w:val="18"/>
          <w:color w:val="auto"/>
          <w:highlight w:val="black"/>
        </w:rPr>
      </w:pPr>
    </w:p>
    <w:p>
      <w:pPr>
        <w:ind w:left="820" w:right="480" w:hanging="470"/>
        <w:spacing w:after="0" w:line="239" w:lineRule="auto"/>
        <w:tabs>
          <w:tab w:leader="none" w:pos="820" w:val="left"/>
        </w:tabs>
        <w:numPr>
          <w:ilvl w:val="0"/>
          <w:numId w:val="24"/>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i w:val="1"/>
          <w:iCs w:val="1"/>
          <w:color w:val="auto"/>
        </w:rPr>
        <w:t xml:space="preserve">Succession Planning </w:t>
      </w:r>
      <w:r>
        <w:rPr>
          <w:rFonts w:ascii="Times New Roman" w:cs="Times New Roman" w:eastAsia="Times New Roman" w:hAnsi="Times New Roman"/>
          <w:sz w:val="18"/>
          <w:szCs w:val="18"/>
          <w:color w:val="auto"/>
        </w:rPr>
        <w:t>– Our Board reviews the risks associated with our key executive positions on an annual basis so that we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evaluate an adequate succession strategy.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What We Do Not Do</w:t>
      </w:r>
    </w:p>
    <w:p>
      <w:pPr>
        <w:spacing w:after="0" w:line="262" w:lineRule="exact"/>
        <w:rPr>
          <w:sz w:val="20"/>
          <w:szCs w:val="20"/>
          <w:color w:val="auto"/>
        </w:rPr>
      </w:pPr>
    </w:p>
    <w:p>
      <w:pPr>
        <w:ind w:left="820" w:right="740" w:hanging="470"/>
        <w:spacing w:after="0" w:line="232" w:lineRule="auto"/>
        <w:tabs>
          <w:tab w:leader="none" w:pos="8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Retirement Programs </w:t>
      </w:r>
      <w:r>
        <w:rPr>
          <w:rFonts w:ascii="Times New Roman" w:cs="Times New Roman" w:eastAsia="Times New Roman" w:hAnsi="Times New Roman"/>
          <w:sz w:val="18"/>
          <w:szCs w:val="18"/>
          <w:color w:val="auto"/>
        </w:rPr>
        <w:t>– Other than our Section 401(k) plan generally available to all employees, we do not offer defined benefit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contribution retirement plans or arrangements or nonqualified deferred compensation plans or arrangements for our executive officers, including our Named Executive Officers.</w:t>
      </w:r>
    </w:p>
    <w:p>
      <w:pPr>
        <w:spacing w:after="0" w:line="209" w:lineRule="exact"/>
        <w:rPr>
          <w:rFonts w:ascii="Times New Roman" w:cs="Times New Roman" w:eastAsia="Times New Roman" w:hAnsi="Times New Roman"/>
          <w:sz w:val="18"/>
          <w:szCs w:val="18"/>
          <w:b w:val="1"/>
          <w:bCs w:val="1"/>
          <w:i w:val="1"/>
          <w:iCs w:val="1"/>
          <w:color w:val="auto"/>
        </w:rPr>
      </w:pPr>
    </w:p>
    <w:p>
      <w:pPr>
        <w:ind w:left="820" w:right="640" w:hanging="470"/>
        <w:spacing w:after="0" w:line="239" w:lineRule="auto"/>
        <w:tabs>
          <w:tab w:leader="none" w:pos="82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Dividends </w:t>
      </w:r>
      <w:r>
        <w:rPr>
          <w:rFonts w:ascii="Times New Roman" w:cs="Times New Roman" w:eastAsia="Times New Roman" w:hAnsi="Times New Roman"/>
          <w:sz w:val="18"/>
          <w:szCs w:val="18"/>
          <w:color w:val="auto"/>
        </w:rPr>
        <w:t>– We do not pay dividends or dividend equivalents on unvested or unearned restricted stock units and performance-based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restricted stock unit awards.</w:t>
      </w:r>
    </w:p>
    <w:p>
      <w:pPr>
        <w:spacing w:after="0" w:line="46" w:lineRule="exact"/>
        <w:rPr>
          <w:rFonts w:ascii="Times New Roman" w:cs="Times New Roman" w:eastAsia="Times New Roman" w:hAnsi="Times New Roman"/>
          <w:sz w:val="18"/>
          <w:szCs w:val="18"/>
          <w:b w:val="1"/>
          <w:bCs w:val="1"/>
          <w:i w:val="1"/>
          <w:iCs w:val="1"/>
          <w:color w:val="auto"/>
        </w:rPr>
      </w:pPr>
    </w:p>
    <w:p>
      <w:pPr>
        <w:ind w:left="820" w:hanging="470"/>
        <w:spacing w:after="0"/>
        <w:tabs>
          <w:tab w:leader="none" w:pos="820" w:val="left"/>
        </w:tabs>
        <w:numPr>
          <w:ilvl w:val="0"/>
          <w:numId w:val="25"/>
        </w:numPr>
        <w:rPr>
          <w:rFonts w:ascii="Times New Roman" w:cs="Times New Roman" w:eastAsia="Times New Roman" w:hAnsi="Times New Roman"/>
          <w:sz w:val="36"/>
          <w:szCs w:val="36"/>
          <w:b w:val="1"/>
          <w:bCs w:val="1"/>
          <w:i w:val="1"/>
          <w:iCs w:val="1"/>
          <w:color w:val="auto"/>
          <w:vertAlign w:val="superscript"/>
        </w:rPr>
      </w:pPr>
      <w:r>
        <w:rPr>
          <w:rFonts w:ascii="Times New Roman" w:cs="Times New Roman" w:eastAsia="Times New Roman" w:hAnsi="Times New Roman"/>
          <w:sz w:val="18"/>
          <w:szCs w:val="18"/>
          <w:b w:val="1"/>
          <w:bCs w:val="1"/>
          <w:i w:val="1"/>
          <w:iCs w:val="1"/>
          <w:color w:val="auto"/>
        </w:rPr>
        <w:t xml:space="preserve">No Stock Option Repricing </w:t>
      </w:r>
      <w:r>
        <w:rPr>
          <w:rFonts w:ascii="Times New Roman" w:cs="Times New Roman" w:eastAsia="Times New Roman" w:hAnsi="Times New Roman"/>
          <w:sz w:val="18"/>
          <w:szCs w:val="18"/>
          <w:color w:val="auto"/>
        </w:rPr>
        <w:t>– We do not reprice options to purchase shares of our Common Stock without stockholder approval.</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Guiding Principles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designed our executive compensation program to reward our executive officers, including our Named Executive Officers, at a level consistent with our overall strategic and financial performance and to provide remuneration sufficient to attract, retain, and motivate them to exert their best efforts in the highly competitive markets and industries in which we operate. We believe that competitive compensation packages consisting of a combination of base salaries, annual cash bonus opportunities, and long-term incentive opportunities in the form of equity awards that are earned over a multi-year period, enable us to attract top talent, motivate successful short-term and long-term performance, satisfy our retention objectives, and align the compensation of our executive officers with our performance and long-term value creation for our stockholders.</w:t>
      </w:r>
    </w:p>
    <w:p>
      <w:pPr>
        <w:spacing w:after="0" w:line="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Compensation Committee periodically reviews and analyzes market trends and the prevalence of various compensation delivery vehicles and adjusts the design and operation of our executive compensation program from time to time as it deems necessary and appropriate. In designing and implementing the various elements of our executive compensation program, the Compensation Committee considers market and industry practices, as well as the tax efficiency of our compensation structure and its impact on our financial condition. While the Compensation Committee considers all of the factors in its deliberations, it places no formal weighting on any one f</w:t>
      </w:r>
      <w:r>
        <w:rPr>
          <w:rFonts w:ascii="Times New Roman" w:cs="Times New Roman" w:eastAsia="Times New Roman" w:hAnsi="Times New Roman"/>
          <w:sz w:val="18"/>
          <w:szCs w:val="18"/>
          <w:i w:val="1"/>
          <w:iCs w:val="1"/>
          <w:color w:val="auto"/>
        </w:rPr>
        <w:t>actor.</w:t>
      </w:r>
    </w:p>
    <w:p>
      <w:pPr>
        <w:spacing w:after="0" w:line="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we continue to grow, the Compensation Committee will evaluate our compensation philosophy and program objectives as circumstances require. At a minimum, we expect the Compensation Committee to review executive compensation annually.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1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among its other responsibilities, establishes our overall compensation philosophy and reviews and approves our executive compensation program, including the specific compensation of our executive officers, including our Named Executive Officers. The Compensation Committee has the authority to retain special counsel and other advisors, including compensation consultants, to assist in carrying out its responsibilities to determine the compensation of our executive officers. The Compensation Committee’s authority, duties, and responsibilities are described in its charter, which is reviewed annually and revised and updated as warranted. The charter is available on the “Corporate Governance” section of the “Investors &amp; Media” page of our website at www.selectabio.com/.</w:t>
      </w:r>
    </w:p>
    <w:p>
      <w:pPr>
        <w:spacing w:after="0" w:line="7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While the Compensation Committee determines our overall compensation philosophy and approves the compensation of our executive officers, it relies on its compensation consultant and legal counsel, as well as our CEO, our CFO, our Chief People Officer, and other staff to formulate recommendations with respect to specific compensation actions. The Compensation Committee makes all final decisions regarding compensation, including base salary levels, target annual cash bonus opportunities, actual cash bonus payments, and long-term incentives in the form of equity awards. The Compensation Committee meets on at least a quarterly basis and at other times as needed. The Compensation Committee periodically reviews compensation matters with our Board.</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At the conclusion of each year, the Compensation Committee reviews our executive compensation program, including any incentive compensation plans and arrangements, to assess whether our compensation elements, actions, and decisions are (i) properly coordinated, (ii) aligned with our vision, mission, values, and corporate goals, (iii) provide appropriate short-term and long-term incentives for our executive officers, (iv) achieve their intended purposes, and (v) are competitive with the compensation of executives in comparable positions at the companies with which we compete for executive talent. Following this assessment, the Compensation Committee makes any necessary or appropriate modifications to our existing plans and arrangements or adopts new plans or arrangements.</w:t>
      </w:r>
    </w:p>
    <w:p>
      <w:pPr>
        <w:spacing w:after="0" w:line="7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also conducts an annual review of our executive compensation strategy to ensure that it is appropriately aligned with our business strategy and achieving our desired objectives. Further, the Compensation Committee reviews market trends and changes in competitive compensation practices, as further described below. Based on its review and assessment, the Compensation Committee, from time to time, recommends changes in our executive compensation program to our Board.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factors considered by the Compensation Committee in determining the compensation of our executive officers, including our Named Executive Officers, for 2021 included:</w:t>
      </w:r>
    </w:p>
    <w:p>
      <w:pPr>
        <w:spacing w:after="0" w:line="5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of our CEO (except with respect to his own compensation)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growth and other elements of financial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and individual achievements against one or more short-term and long-term performance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performance of each executive officer against his management objectives;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relevant competitive market analysis prepared by its compensation consultant (as described below);</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future contribution of the individual executive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compensation awards we have made to our executive officers;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based on the impact on our business and performance.</w:t>
      </w:r>
    </w:p>
    <w:p>
      <w:pPr>
        <w:spacing w:after="0" w:line="11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did not weight these factors in any predetermined manner, nor did it apply any formulas in making its decisions. The members of the Compensation Committee considered this information in light of their individual experience, knowledge of the Company, knowledge of each executive officer, knowledge of the competitive market, and business judgment in making their decisions regarding executive compensation and our executive compensation program.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this process, the Compensation Committee also evaluates the performance of our CEO each year and makes all decisions regarding his base salary adjustments, target annual cash bonus opportunities, actual cash bonus payments, and long-term incentives in the form of equity awards. Our CEO is not present during any of the deliberations regarding his compensation.</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our CEO</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CEO works closely with the Compensation Committee in determining the compensation of our other executive officers, including the other Named Executive Officers. Typically, our CEO works with the Compensation Committee to recommend the structure of the annual bonus plan, and to identify and develop corporate and individual performance objectives for such plan, and to evaluate actual performance against the selected measures. Our CEO also makes recommendations to the Compensation Committee as described in the following paragraph and is involved in the determination of compensation for the respective executive officers who report to him.</w:t>
      </w:r>
    </w:p>
    <w:p>
      <w:pPr>
        <w:spacing w:after="0" w:line="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the beginning of each year, our CEO reviews the performance of our other executive officers, including the other Named Executive Officers, for the previous year, and then shares these evaluations with, and makes recommendations to, the Compensation Committee for each element of compensation. Using his subjective evaluation of each executive officer’s performance and taking into consideration historical compensation awards to our executive officers and our corporate performance during the preceding year, these recommendations concern base salary adjustments, target annual cash bonus opportunities, actual bonus payments, and long-term incentives in the form of equity awards for each of our executive officers (other than himself) based on our results, the individual executive officer’s contribution to these results, and his or her performance toward achieving his or her individual performance goals. The Compensation Committee then reviews these recommendations and considers the other factors described above and makes decisions as to the target total direct compensation of each executive officer (other than our CEO), as well as each individual compensation element.</w:t>
      </w:r>
    </w:p>
    <w:p>
      <w:pPr>
        <w:spacing w:after="0" w:line="8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While the Compensation Committee considers our CEO’s recommendations, as well as the competitive market analysis prepared by its compensation consultant, these recommendations and market data serve as only two of several factors in making its decisions with respect to the compensation of our executive officers. Ultimately, the Compensation Committee applies its own business judgment and experience to determine the individual compensation elements and amount of each element for our executive officers. Moreover, no executive officer participates in the determination of the amounts or elements of his or her own compensation.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21"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authority to engage its own legal counsel and other advisors, including compensation consultants, as it determined in its sole discretion, to assist in carrying out its responsibilities. The Compensation Committee makes all determinations regarding the engagement, fees, and services of these advisors, and any such advisor reports directly to the Compensation Committee.</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2021, pursuant to this authority, the Compensation Committee engaged Radford, a national compensation consulting firm, to provide information, analysis, and other assistance relating to our executive compensation program on an ongoing basis. The nature and scope of the services provided to the Compensation Committee by Radford in 2021 were as follows:</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subsequently updated the compensation peer group;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advice with respect to compensation best practices and market trends for executive officers and members of our Board;</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of our executive officers and non-executive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an analysis of the levels of overall compensation and each element of compensation for the members of our Board; and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advice and support throughout the year.</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Representatives of Radford attended meetings of the Compensation Committee as requested and also communicated with the Compensation Committee outside of meetings. Radford reported to the Compensation Committee rather than to management, although Radford was permitted to meet with members of management, including our CEO and members of our executive compensation staff, for purposes of gathering information on proposals that management may make to the Compensation Committee. During 2021, Radford met with various executive officers to collect data and obtain management’s perspective on various executive compensation proposals.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2022, the Company engaged Compensia to become its compensation consultant for 2022 and beyond. Neither Radford nor Compensia has provided any other services to us nor received any compensation other than with respect to the services described above.</w:t>
      </w:r>
    </w:p>
    <w:p>
      <w:pPr>
        <w:spacing w:after="0" w:line="54"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assessed the independence of Radford and Compensia taking into account, among other things, the various factors as set forth in Exchange Act Rule 10C-1 and the enhanced independence standards and factors set forth in the applicable Nasdaq listing standards, and has concluded that its relationship with Radford and Compensia and the work of both Radford and Compensia on behalf of the Compensation Committee has not raised any conflict of interest.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Competitive Positioning</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the competitive market for executive talent includes the biotechnology and life sciences industries broadly. Accordingly, it develops a compensation peer group to contain a carefully selected cross-section of such public and private biotechnology and life sciences companies using factors described below, with employee sizes, therapeutic focuses, stages of development and market capitalizations that are similar to ours. This data is supplemented with executive compensation survey data representing both public and private biotechnology and life sciences companies that are of similar size. The Compensation Committee considers the compensation practices of these peer group companies as one factor in its compensation deliberations.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Peer Group</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As part of its deliberations, the Compensation Committee considers competitive market data on executive compensation levels and practices and a related analysis of such data. This data is drawn from a select group of peer companies developed by the Compensation Committee, as well as compensation survey data.</w:t>
      </w:r>
    </w:p>
    <w:p>
      <w:pPr>
        <w:spacing w:after="0" w:line="68"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In 2021, the Compensation Committee directed its compensation consultant to formulate a group of peer companies to be used as a reference for market positioning and for assessing competitive market practices. The compensation consultant undertook a detailed review of the pool of U.S.-based publicly traded and private companies, taking into consideration our industry and sector, the size of such companies (based on revenues and market capitalization) relative to our size and growth rate, and the following additional factors:</w:t>
      </w:r>
    </w:p>
    <w:p>
      <w:pPr>
        <w:spacing w:after="0" w:line="7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stage of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area(s) of therapeutic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market capitalization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organizational complexities and growth attributes;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business focus and corporate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consumer products and/or business services focus;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the company’s operational performance (for consistency with our strategy and future performance expectations).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Following this review, the compensation consultant recommended to the Compensation Committee the following peer group to consist of 20 private and publicly traded biotechnology and life sciences companies, which the Compensation Committee subsequently approved. The selected companies had market capitalizations ranging from $100 million to $1 billion, with a median of $338 million. The companies comprising the compensation peer group were as follows: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Intellia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Constellation Pharmaceuticals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Translate Bio</w:t>
            </w:r>
          </w:p>
        </w:tc>
      </w:t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Five Prime Therapeutics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Prevail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Homology Medicines</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Rubius Therapeutics</w:t>
            </w:r>
          </w:p>
        </w:tc>
        <w:tc>
          <w:tcPr>
            <w:tcW w:w="2100" w:type="dxa"/>
            <w:vAlign w:val="bottom"/>
          </w:tcPr>
          <w:p>
            <w:pPr>
              <w:spacing w:after="0"/>
              <w:rPr>
                <w:sz w:val="22"/>
                <w:szCs w:val="22"/>
                <w:color w:val="auto"/>
              </w:rPr>
            </w:pPr>
          </w:p>
        </w:tc>
      </w:tr>
    </w:tbl>
    <w:p>
      <w:pPr>
        <w:spacing w:after="0" w:line="1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compensation peer group was used by the Compensation Committee in connection with its annual review of our executive compensation program in December 2020. Specifically, the Compensation Committee reviewed the compensation data drawn from the compensation peer group, in combination with industry-specific compensation survey data, to develop a subjective representation of the “competitive market” with respect to current executive compensation levels and related policies and practices. The Compensation Committee then evaluated how our pay practices and the compensation levels of our executive officers compared to the competitive market. As part of this evaluation, the Compensation Committee also reviewed the performance measures and performance goals generally used within the competitive market to reward performance.</w:t>
      </w:r>
    </w:p>
    <w:p>
      <w:pPr>
        <w:spacing w:after="0" w:line="7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2021, using the same criteria as described above but updating the criteria (employee size, stage of clinical development, area of therapeutic focus and market capitalization) to align with our then-current status, the compensation consultant evaluated the existing compensation peer group and recommended to the Compensation Committee the following peer group to consist of 20 private and publicly traded biotechnology companies, which the Compensation Committee subsequently approved. The selected companies had market capitalizations ranging from $150 million to $1.3 billion, with a median of $445 million. The companies comprising the updated compensation peer group were as follows:</w:t>
      </w:r>
    </w:p>
    <w:p>
      <w:pPr>
        <w:spacing w:after="0" w:line="129" w:lineRule="exact"/>
        <w:rPr>
          <w:sz w:val="20"/>
          <w:szCs w:val="20"/>
          <w:color w:val="auto"/>
        </w:rPr>
      </w:pPr>
    </w:p>
    <w:tbl>
      <w:tblPr>
        <w:tblLayout w:type="fixed"/>
        <w:tblInd w:w="1940" w:type="dxa"/>
        <w:tblCellMar>
          <w:top w:w="0" w:type="dxa"/>
          <w:left w:w="0" w:type="dxa"/>
          <w:bottom w:w="0" w:type="dxa"/>
          <w:right w:w="0" w:type="dxa"/>
        </w:tblCellMar>
      </w:tblP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Aldeyra Therapeutics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Homology Medicines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REGENXBIO</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Altimmune</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Immunovant</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Sio Gene Therapies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AnaptysBio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Iteos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Solid Biosciences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AVROBIO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Jounce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Spero Therapeutics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Calithera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Magenta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SQZ Biotechnologies</w:t>
            </w:r>
          </w:p>
        </w:tc>
      </w:t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MeiraGTx</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Syros Pharmaceuticals</w:t>
            </w:r>
          </w:p>
        </w:tc>
      </w:tr>
      <w:tr>
        <w:trPr>
          <w:trHeight w:val="25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Concert Pharmaceuticals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Orchard Therapeutics</w:t>
            </w:r>
          </w:p>
        </w:tc>
        <w:tc>
          <w:tcPr>
            <w:tcW w:w="2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Voyager Therapeutics</w:t>
            </w:r>
          </w:p>
        </w:tc>
      </w:tr>
    </w:tbl>
    <w:p>
      <w:pPr>
        <w:spacing w:after="0" w:line="17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it is appropriate to make compensation decisions, whether regarding base salaries or short-term or long-term incentive compensation, upon any type of benchmarking to a peer or other representative group of companies. The Compensation Committee believes that information regarding the compensation practices at other companies is useful in at least two respects. First, the Compensation Committee recognizes that our compensation policies and practices must be competitive in the marketplace. Second, this information is useful in assessing the reasonableness and appropriateness of individual executive compensation elements and of our overall executive compensation packages. This information is only one of several factors that the Compensation Committee considers, however, in making its decisions with respect to the compensation of our executive officers.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three primary elements of our executive compensation programs are: (1) base salary, (2) annual cash bonus opportunities, and (3) long-term incentives in the form of equity awards, as described below: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Compensation Element</w:t>
            </w:r>
          </w:p>
        </w:tc>
        <w:tc>
          <w:tcPr>
            <w:tcW w:w="3740" w:type="dxa"/>
            <w:vAlign w:val="bottom"/>
            <w:tcBorders>
              <w:top w:val="single" w:sz="8" w:color="auto"/>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What This Element Rewards</w:t>
            </w:r>
          </w:p>
        </w:tc>
        <w:tc>
          <w:tcPr>
            <w:tcW w:w="3760" w:type="dxa"/>
            <w:vAlign w:val="bottom"/>
            <w:tcBorders>
              <w:top w:val="single" w:sz="8" w:color="auto"/>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Purpose and Key Features of Element</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Individual performance, level of experience,</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Provides competitive level of fixed compensation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future performance and contributions.</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determined by the market value of the position,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with actual base salaries established based on the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facts and circumstances of each executive officer</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each individual position.</w:t>
            </w:r>
          </w:p>
        </w:tc>
        <w:tc>
          <w:tcPr>
            <w:tcW w:w="0" w:type="dxa"/>
            <w:vAlign w:val="bottom"/>
          </w:tcPr>
          <w:p>
            <w:pPr>
              <w:spacing w:after="0"/>
              <w:rPr>
                <w:sz w:val="1"/>
                <w:szCs w:val="1"/>
                <w:color w:val="auto"/>
              </w:rPr>
            </w:pPr>
          </w:p>
        </w:tc>
      </w:tr>
      <w:tr>
        <w:trPr>
          <w:trHeight w:val="173"/>
        </w:trPr>
        <w:tc>
          <w:tcPr>
            <w:tcW w:w="376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Annual cash bonuses</w:t>
            </w:r>
          </w:p>
        </w:tc>
        <w:tc>
          <w:tcPr>
            <w:tcW w:w="374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Achievement of pre-established corporate and</w:t>
            </w:r>
          </w:p>
        </w:tc>
        <w:tc>
          <w:tcPr>
            <w:tcW w:w="376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Motivate executive officers to achieve certain</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individual performance objectives (for 2021,</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corporate objectives and drive the company’s</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focused on the advancement of our pipeline,</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strategy and business development, and</w:t>
            </w:r>
          </w:p>
        </w:tc>
        <w:tc>
          <w:tcPr>
            <w:tcW w:w="3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Generally, performance levels are established to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company’s financials, as well as individual</w:t>
            </w:r>
          </w:p>
        </w:tc>
        <w:tc>
          <w:tcPr>
            <w:tcW w:w="37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contributions and management objectives).</w:t>
            </w:r>
          </w:p>
        </w:tc>
        <w:tc>
          <w:tcPr>
            <w:tcW w:w="376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incent our executive officers to achieve or exceed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objectives. For 2021, payouts for</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corporate performance objectives were not</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individually, and the Compensation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Committee had discretion to award based on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overall achievement of the corporate goals as a</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group, taking into account overachievement on</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certain objectives, depending on actual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achievement and payouts for individual</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could range from 0% to an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undetermined percentage.</w:t>
            </w:r>
          </w:p>
        </w:tc>
        <w:tc>
          <w:tcPr>
            <w:tcW w:w="0" w:type="dxa"/>
            <w:vAlign w:val="bottom"/>
          </w:tcPr>
          <w:p>
            <w:pPr>
              <w:spacing w:after="0"/>
              <w:rPr>
                <w:sz w:val="1"/>
                <w:szCs w:val="1"/>
                <w:color w:val="auto"/>
              </w:rPr>
            </w:pPr>
          </w:p>
        </w:tc>
      </w:tr>
      <w:tr>
        <w:trPr>
          <w:trHeight w:val="169"/>
        </w:trPr>
        <w:tc>
          <w:tcPr>
            <w:tcW w:w="376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Long-term incentives/equity awards</w:t>
            </w:r>
          </w:p>
        </w:tc>
        <w:tc>
          <w:tcPr>
            <w:tcW w:w="37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Achievement of corporate and individual</w:t>
            </w:r>
          </w:p>
        </w:tc>
        <w:tc>
          <w:tcPr>
            <w:tcW w:w="376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Annual equity awards that vest over four years and</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performance objectives designed to enhance long-</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a variable “at risk” pay opportunity.</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term stockholder value and attract, retain,</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Because the ultimate value of these equity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motivate, and reward executive officers over</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is directly related to the market price of our</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extended periods for achieving important</w:t>
            </w: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and the awards are only earned</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corporate objectives. Vesting requirements</w:t>
            </w: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over an extended period of time subject to vesting,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promote retention of highly-valued executive</w:t>
            </w: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they serve to focus management on the creation</w:t>
            </w:r>
          </w:p>
        </w:tc>
        <w:tc>
          <w:tcPr>
            <w:tcW w:w="0" w:type="dxa"/>
            <w:vAlign w:val="bottom"/>
          </w:tcPr>
          <w:p>
            <w:pPr>
              <w:spacing w:after="0"/>
              <w:rPr>
                <w:sz w:val="1"/>
                <w:szCs w:val="1"/>
                <w:color w:val="auto"/>
              </w:rPr>
            </w:pPr>
          </w:p>
        </w:tc>
      </w:tr>
      <w:tr>
        <w:trPr>
          <w:trHeight w:val="234"/>
        </w:trPr>
        <w:tc>
          <w:tcPr>
            <w:tcW w:w="3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maintenance of long-term stockholder value.</w:t>
            </w:r>
          </w:p>
        </w:tc>
        <w:tc>
          <w:tcPr>
            <w:tcW w:w="0" w:type="dxa"/>
            <w:vAlign w:val="bottom"/>
          </w:tcPr>
          <w:p>
            <w:pPr>
              <w:spacing w:after="0"/>
              <w:rPr>
                <w:sz w:val="1"/>
                <w:szCs w:val="1"/>
                <w:color w:val="auto"/>
              </w:rPr>
            </w:pPr>
          </w:p>
        </w:tc>
      </w:tr>
      <w:tr>
        <w:trPr>
          <w:trHeight w:val="306"/>
        </w:trPr>
        <w:tc>
          <w:tcPr>
            <w:tcW w:w="3760" w:type="dxa"/>
            <w:vAlign w:val="bottom"/>
            <w:tcBorders>
              <w:left w:val="single" w:sz="8" w:color="auto"/>
              <w:right w:val="single" w:sz="8" w:color="auto"/>
            </w:tcBorders>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2021, the Board awarded a grant of</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performance-based restricted stock units which</w:t>
            </w: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tcPr>
          <w:p>
            <w:pPr>
              <w:spacing w:after="0"/>
              <w:rPr>
                <w:sz w:val="16"/>
                <w:szCs w:val="16"/>
                <w:color w:val="auto"/>
              </w:rPr>
            </w:pPr>
          </w:p>
        </w:tc>
        <w:tc>
          <w:tcPr>
            <w:tcW w:w="374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carried performance criteria related to the positive</w:t>
            </w:r>
          </w:p>
        </w:tc>
        <w:tc>
          <w:tcPr>
            <w:tcW w:w="0" w:type="dxa"/>
            <w:vAlign w:val="bottom"/>
          </w:tcPr>
          <w:p>
            <w:pPr>
              <w:spacing w:after="0"/>
              <w:rPr>
                <w:sz w:val="1"/>
                <w:szCs w:val="1"/>
                <w:color w:val="auto"/>
              </w:rPr>
            </w:pPr>
          </w:p>
        </w:tc>
      </w:tr>
      <w:tr>
        <w:trPr>
          <w:trHeight w:val="180"/>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top-line data reported from our SEL-399 Empty</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Capsid clinical trial as well as the entrance into a</w:t>
            </w:r>
          </w:p>
        </w:tc>
        <w:tc>
          <w:tcPr>
            <w:tcW w:w="0" w:type="dxa"/>
            <w:vAlign w:val="bottom"/>
          </w:tcPr>
          <w:p>
            <w:pPr>
              <w:spacing w:after="0"/>
              <w:rPr>
                <w:sz w:val="1"/>
                <w:szCs w:val="1"/>
                <w:color w:val="auto"/>
              </w:rPr>
            </w:pPr>
          </w:p>
        </w:tc>
      </w:tr>
      <w:tr>
        <w:trPr>
          <w:trHeight w:val="239"/>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value-creating strategic transaction.</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executive officers also participate in the standard employee benefit plans available to all of our employees . In addition, our executive officers are eligible for modest post-employment (severance and change in control) payments and benefits under certain circumstances. Each of these compensation elements is discussed in detail below, including a description of the particular element and how it fits into our overall executive compensation and a discussion of the amounts of compensation paid to our executive officers, including our Named Executive Officers, in 2021 under each of these elements.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believe that a competitive base salary is a necessary element of our executive compensation program, so that we can attract and retain a stable management team. Base salaries for our executive officers are also intended to be competitive with those received by other individuals in similar positions at the companies with which we compete for talent, as well as equitable across the executive team.</w:t>
      </w:r>
    </w:p>
    <w:p>
      <w:pPr>
        <w:spacing w:after="0" w:line="68"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Generally, we establish the initial base salaries of our executive officers through arm’s-length negotiation at the time we hire the individual executive officer, taking into account his or her position, qualifications, experience, prior salary level, and the base salaries of our other executive officers.</w:t>
      </w:r>
    </w:p>
    <w:p>
      <w:pPr>
        <w:spacing w:after="0" w:line="3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Thereafter, the Compensation Committee reviews the base salaries of our executive officers, including our Named Executive Officers, annually and makes adjustments to base salaries as it determines to be necessary or appropriate.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60"/>
          </w:cols>
          <w:pgMar w:left="320" w:top="12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Compensation Committee reviewed the base salaries of our executive officers, taking into consideration a competitive market analysis performed by Compensia and the recommendations of our CEO (except with respect to his own base salary), as well as the other factors described above. Following this review, the Compensation Committee set the base salaries of our executive officers at levels that it believed were appropriate to maintain their competitiveness. The base salaries of our Named Executive Officers for 2021 were as follows:</w:t>
      </w:r>
    </w:p>
    <w:p>
      <w:pPr>
        <w:spacing w:after="0" w:line="97"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3360" w:type="dxa"/>
            <w:vAlign w:val="bottom"/>
            <w:tcBorders>
              <w:top w:val="single" w:sz="8" w:color="auto"/>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60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2020 Base Salary</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2021 Base Salary</w:t>
            </w:r>
          </w:p>
        </w:tc>
        <w:tc>
          <w:tcPr>
            <w:tcW w:w="262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Percentage Adjustment</w:t>
            </w:r>
          </w:p>
        </w:tc>
      </w:tr>
      <w:tr>
        <w:trPr>
          <w:trHeight w:val="234"/>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$569,300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$225,000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$440,000</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$386,703</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$384,537</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r>
    </w:tbl>
    <w:p>
      <w:pPr>
        <w:spacing w:after="0" w:line="184" w:lineRule="exact"/>
        <w:rPr>
          <w:sz w:val="20"/>
          <w:szCs w:val="20"/>
          <w:color w:val="auto"/>
        </w:rPr>
      </w:pPr>
    </w:p>
    <w:p>
      <w:pPr>
        <w:ind w:left="340" w:right="1280"/>
        <w:spacing w:after="0" w:line="375" w:lineRule="auto"/>
        <w:rPr>
          <w:sz w:val="20"/>
          <w:szCs w:val="20"/>
          <w:color w:val="auto"/>
        </w:rPr>
      </w:pPr>
      <w:r>
        <w:rPr>
          <w:rFonts w:ascii="Times New Roman" w:cs="Times New Roman" w:eastAsia="Times New Roman" w:hAnsi="Times New Roman"/>
          <w:sz w:val="18"/>
          <w:szCs w:val="18"/>
          <w:color w:val="auto"/>
        </w:rPr>
        <w:t xml:space="preserve">The base salaries of our Named Executive Officers during 2021 are also set forth in the “2021 Summary Compensation Table” below. </w:t>
      </w:r>
      <w:r>
        <w:rPr>
          <w:rFonts w:ascii="Times New Roman" w:cs="Times New Roman" w:eastAsia="Times New Roman" w:hAnsi="Times New Roman"/>
          <w:sz w:val="18"/>
          <w:szCs w:val="18"/>
          <w:b w:val="1"/>
          <w:bCs w:val="1"/>
          <w:i w:val="1"/>
          <w:iCs w:val="1"/>
          <w:color w:val="auto"/>
        </w:rPr>
        <w:t>Annual Cash Bonuses</w:t>
      </w:r>
    </w:p>
    <w:p>
      <w:pPr>
        <w:spacing w:after="0" w:line="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use annual bonuses paid to motivate our executive officers, including our Named Executive Officers, to achieve our short-term financial and operational objectives while making progress towards our longer-term growth and other goals. Consistent with our executive compensation philosophy, these annual bonuses are intended to help us to deliver a competitive total direct compensation opportunity to our executive officers. Annual cash bonuses are entirely performance-based, are not guaranteed, and may vary materially from year-to-year.</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establishes cash bonus opportunities pursuant to a set of board-approved corporate goals that measures and rewards our executive officers for our actual corporate and their individual performance over our fiscal year. The cash bonus plan is designed to pay above-target bonuses when we exceed our annual corporate objectives and below-target bonuses when we do not achieve these objectives.</w:t>
      </w:r>
    </w:p>
    <w:p>
      <w:pPr>
        <w:spacing w:after="0" w:line="6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February 2021, the Compensation Committee determined to award cash bonus opportunities to our executive officers, including our Named Executive Officers, pursuant to the cash bonus plan for 2021 (the “2021 Bonus Plan”). Under the 2021 Bonus Plan, the Compensation Committee had the authority to select the performance measures and related target levels applicable to the annual cash bonus opportunities for our executive officers. The performance measures involving our financial results could be determined in accordance with generally accepted accounting principles (“GAAP”), or such financial results could consist of non-GAAP financial measures, and any actual results were subject to adjustment by the Compensation Committee for one-time items or unbudgeted or unexpected items when determining whether the target levels for the performance measures had been met. Individual performance objectives could be established on the basis of any factors the Compensation Committee determined relevant, and were subject to adjustment on an individual, divisional, business unit, or Company-wide basis.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2021 Bonus Plan, the Compensation Committee could, in its sole discretion and at any time, increase, reduce, or eliminate a participant’s actual bonus payment, and/or increase, reduce, or eliminate the amount allocated to the bonus pool for the year. Further, the actual bonus payment could be below, at, or above a participant’s target bonus opportunity, in the Compensation Committee’s sole discretion. The Compensation Committee could determine the amount of any reduction on the basis of such factors as it deemed relevant, and it was not required to establish any allocation or weighting with respect to the factors it considers.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Target Bonus Opportunities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2021, the target annual cash bonus opportunities for each of our Named Executive Officers under the 2021 Bonus Plan, expressed as a percentage of his or her annual base salary, were as follows:</w:t>
      </w:r>
    </w:p>
    <w:p>
      <w:pPr>
        <w:spacing w:after="0" w:line="79" w:lineRule="exact"/>
        <w:rPr>
          <w:sz w:val="20"/>
          <w:szCs w:val="20"/>
          <w:color w:val="auto"/>
        </w:rPr>
      </w:pPr>
    </w:p>
    <w:tbl>
      <w:tblPr>
        <w:tblLayout w:type="fixed"/>
        <w:tblInd w:w="50" w:type="dxa"/>
        <w:tblCellMar>
          <w:top w:w="0" w:type="dxa"/>
          <w:left w:w="0" w:type="dxa"/>
          <w:bottom w:w="0" w:type="dxa"/>
          <w:right w:w="0" w:type="dxa"/>
        </w:tblCellMar>
      </w:tblPr>
      <w:tr>
        <w:trPr>
          <w:trHeight w:val="207"/>
        </w:trPr>
        <w:tc>
          <w:tcPr>
            <w:tcW w:w="3360" w:type="dxa"/>
            <w:vAlign w:val="bottom"/>
            <w:tcBorders>
              <w:top w:val="single" w:sz="8" w:color="auto"/>
              <w:left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9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vMerge w:val="restart"/>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Base</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0" w:type="dxa"/>
            <w:vAlign w:val="bottom"/>
          </w:tcPr>
          <w:p>
            <w:pPr>
              <w:spacing w:after="0"/>
              <w:rPr>
                <w:sz w:val="1"/>
                <w:szCs w:val="1"/>
                <w:color w:val="auto"/>
              </w:rPr>
            </w:pPr>
          </w:p>
        </w:tc>
      </w:tr>
      <w:tr>
        <w:trPr>
          <w:trHeight w:val="94"/>
        </w:trPr>
        <w:tc>
          <w:tcPr>
            <w:tcW w:w="3360" w:type="dxa"/>
            <w:vAlign w:val="bottom"/>
            <w:tcBorders>
              <w:left w:val="single" w:sz="8" w:color="auto"/>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a percentage of base</w:t>
            </w:r>
          </w:p>
        </w:tc>
        <w:tc>
          <w:tcPr>
            <w:tcW w:w="1960" w:type="dxa"/>
            <w:vAlign w:val="bottom"/>
            <w:tcBorders>
              <w:right w:val="single" w:sz="8" w:color="auto"/>
            </w:tcBorders>
            <w:vMerge w:val="continue"/>
          </w:tcPr>
          <w:p>
            <w:pPr>
              <w:spacing w:after="0"/>
              <w:rPr>
                <w:sz w:val="8"/>
                <w:szCs w:val="8"/>
                <w:color w:val="auto"/>
              </w:rPr>
            </w:pPr>
          </w:p>
        </w:tc>
        <w:tc>
          <w:tcPr>
            <w:tcW w:w="1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Opportunity ($)</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Payout ($)</w:t>
            </w:r>
          </w:p>
        </w:tc>
        <w:tc>
          <w:tcPr>
            <w:tcW w:w="0" w:type="dxa"/>
            <w:vAlign w:val="bottom"/>
          </w:tcPr>
          <w:p>
            <w:pPr>
              <w:spacing w:after="0"/>
              <w:rPr>
                <w:sz w:val="1"/>
                <w:szCs w:val="1"/>
                <w:color w:val="auto"/>
              </w:rPr>
            </w:pPr>
          </w:p>
        </w:tc>
      </w:tr>
      <w:tr>
        <w:trPr>
          <w:trHeight w:val="130"/>
        </w:trPr>
        <w:tc>
          <w:tcPr>
            <w:tcW w:w="3360" w:type="dxa"/>
            <w:vAlign w:val="bottom"/>
            <w:tcBorders>
              <w:left w:val="single" w:sz="8" w:color="auto"/>
              <w:right w:val="single" w:sz="8" w:color="auto"/>
            </w:tcBorders>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960" w:type="dxa"/>
            <w:vAlign w:val="bottom"/>
            <w:tcBorders>
              <w:right w:val="single" w:sz="8" w:color="auto"/>
            </w:tcBorders>
            <w:vMerge w:val="continue"/>
          </w:tcPr>
          <w:p>
            <w:pPr>
              <w:spacing w:after="0"/>
              <w:rPr>
                <w:sz w:val="11"/>
                <w:szCs w:val="11"/>
                <w:color w:val="auto"/>
              </w:rPr>
            </w:pPr>
          </w:p>
        </w:tc>
        <w:tc>
          <w:tcPr>
            <w:tcW w:w="1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Borders>
              <w:left w:val="single" w:sz="8" w:color="auto"/>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$569,300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Bradford D. Dahms</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 K. Donohue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$225,000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Tan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196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8"/>
                <w:szCs w:val="18"/>
                <w:color w:val="auto"/>
                <w:w w:val="94"/>
              </w:rPr>
              <w:t>$46,280</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Peter G. Traber, M.D.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$440,000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Lloyd Johnston, Ph.D.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$400,000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0" w:type="dxa"/>
            <w:vAlign w:val="bottom"/>
          </w:tcPr>
          <w:p>
            <w:pPr>
              <w:spacing w:after="0"/>
              <w:rPr>
                <w:sz w:val="1"/>
                <w:szCs w:val="1"/>
                <w:color w:val="auto"/>
              </w:rPr>
            </w:pPr>
          </w:p>
        </w:tc>
      </w:tr>
      <w:tr>
        <w:trPr>
          <w:trHeight w:val="22"/>
        </w:trPr>
        <w:tc>
          <w:tcPr>
            <w:tcW w:w="3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Tan’s bonus was prorated from his start date in September 2021.</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Corporate and Individual Performance Objectives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purposes of the 2021 Bonus Plan, the Compensation Committee selected certain pre-specified advancements to our candidate pipeline, developments in our corporate strategy and business partnerships, and financial objectives as the corporate performance measures. Each of these corporate performance measures was equally weighted. The Compensation Committee believed these performance measures were appropriate for our business because they provided a balance between moving our product candidates further in the clinic, managing our expenses, and maximizing the potential value of our ImmTOR technology, which it believes most directly influences long-term stockholder value. At the same time, the Compensation Committee established target performance levels for each of these measures at levels that it believed to be challenging, but attainable, through the successful execution of our annual operating plan. The Compensation Committee determined that we had achieved 100% of our bonus target achievement under the 2021 Bonus Plan. In an effort to recognize Dr. Traber’s efforts toward the clinical development of our pipeline, the Compensation Committee awarded Dr. Traber an additional discretionary bonus beyond his 100% target achievement.</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Performance Results and Bonus Decisions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2021, the Compensation Committee determined that our actual achievement with respect to the corporate financial objectives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Bonus Plan was as follows:</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640" w:type="dxa"/>
            <w:vAlign w:val="bottom"/>
            <w:tcBorders>
              <w:top w:val="single" w:sz="8" w:color="auto"/>
              <w:left w:val="single" w:sz="8" w:color="auto"/>
              <w:bottom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Corporate Performance Measure</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2021 Target Achievement %</w:t>
            </w:r>
          </w:p>
        </w:tc>
      </w:tr>
      <w:tr>
        <w:trPr>
          <w:trHeight w:val="234"/>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Pipeline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Corporate Strategy and Business Development</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5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620" w:type="dxa"/>
            <w:vAlign w:val="bottom"/>
            <w:tcBorders>
              <w:bottom w:val="single" w:sz="8" w:color="auto"/>
              <w:right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based on our actual performance with respect to each corporate performance measure, the corporate performance objectives had been achieved, in the aggregate, at a 100% level. Based on its review of our overall corporate performance, and taking into account an additional discretionary bonus for Dr. Traber, the Compensation Committee approved bonus payments as follows for our Named Executive Officers:</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480" w:type="dxa"/>
            <w:vAlign w:val="bottom"/>
            <w:tcBorders>
              <w:top w:val="single" w:sz="8" w:color="auto"/>
              <w:left w:val="single" w:sz="8" w:color="auto"/>
              <w:right w:val="single" w:sz="8" w:color="auto"/>
            </w:tcBorders>
          </w:tcPr>
          <w:p>
            <w:pPr>
              <w:spacing w:after="0"/>
              <w:rPr>
                <w:sz w:val="24"/>
                <w:szCs w:val="24"/>
                <w:color w:val="auto"/>
              </w:rPr>
            </w:pPr>
          </w:p>
        </w:tc>
        <w:tc>
          <w:tcPr>
            <w:tcW w:w="1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Related to</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Individual</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 Annual Cash</w:t>
            </w:r>
          </w:p>
        </w:tc>
        <w:tc>
          <w:tcPr>
            <w:tcW w:w="1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Target</w:t>
            </w:r>
          </w:p>
        </w:tc>
      </w:tr>
      <w:tr>
        <w:trPr>
          <w:trHeight w:val="203"/>
        </w:trPr>
        <w:tc>
          <w:tcPr>
            <w:tcW w:w="2480" w:type="dxa"/>
            <w:vAlign w:val="bottom"/>
            <w:tcBorders>
              <w:left w:val="single" w:sz="8" w:color="auto"/>
              <w:right w:val="single" w:sz="8" w:color="auto"/>
            </w:tcBorders>
          </w:tcPr>
          <w:p>
            <w:pPr>
              <w:ind w:left="26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Bonus Opportunity</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Corporate Financial</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Discretionary Bonus</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Bonus Payment</w:t>
            </w:r>
          </w:p>
        </w:tc>
        <w:tc>
          <w:tcPr>
            <w:tcW w:w="17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Annual Cash Bonus</w:t>
            </w:r>
          </w:p>
        </w:tc>
      </w:tr>
      <w:tr>
        <w:trPr>
          <w:trHeight w:val="189"/>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Objectives</w:t>
            </w: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Opportunity</w:t>
            </w: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$313,115</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$74,250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$46,280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$176,000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1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60"/>
          </w:cols>
          <w:pgMar w:left="320" w:top="121"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right="640"/>
        <w:spacing w:after="0" w:line="375" w:lineRule="auto"/>
        <w:rPr>
          <w:sz w:val="20"/>
          <w:szCs w:val="20"/>
          <w:color w:val="auto"/>
        </w:rPr>
      </w:pPr>
      <w:r>
        <w:rPr>
          <w:rFonts w:ascii="Times New Roman" w:cs="Times New Roman" w:eastAsia="Times New Roman" w:hAnsi="Times New Roman"/>
          <w:sz w:val="18"/>
          <w:szCs w:val="18"/>
          <w:color w:val="auto"/>
        </w:rPr>
        <w:t xml:space="preserve">The annual cash bonuses paid to our Named Executive Officers for 2021 are also set forth in the “2021 Summary Compensation Table” below. </w:t>
      </w:r>
      <w:r>
        <w:rPr>
          <w:rFonts w:ascii="Times New Roman" w:cs="Times New Roman" w:eastAsia="Times New Roman" w:hAnsi="Times New Roman"/>
          <w:sz w:val="18"/>
          <w:szCs w:val="18"/>
          <w:b w:val="1"/>
          <w:bCs w:val="1"/>
          <w:i w:val="1"/>
          <w:iCs w:val="1"/>
          <w:color w:val="auto"/>
        </w:rPr>
        <w:t>Long-Term Incentive Compensation</w:t>
      </w:r>
    </w:p>
    <w:p>
      <w:pPr>
        <w:spacing w:after="0" w:line="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use long-term incentive compensation in the form of equity awards to motivate our executive officers, including our Named Executive Officers, by providing them with the opportunity to build an equity interest in the Company and to share in the potential appreciation of the value of our Common Stock. Historically, we have relied on options to purchase shares of our Common Stock and, beginning in 2018, restricted stock unit (“RSU”) awards that may be settled for shares of our Common Stock as the principal vehicles for delivering long-term incentive compensation opportunities to our executive officers. The Compensation Committee views equity awards, whether the awards are subject to time-based vesting requirements or are to be earned based on the attainment of specific performance objectives, as inherently variable since the grant date fair value of these awards may not necessarily be indicative of their value when, and if, the shares of our Common Stock underlying these awards are ever earned or purchased. The Compensation Committee further believes these awards enable us to attract and retain key talent in our industry and aligns our executive officers’ interests with the long-term interests of our stockholders.</w:t>
      </w:r>
    </w:p>
    <w:p>
      <w:pPr>
        <w:spacing w:after="0" w:line="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Generally, in determining the size of the equity awards granted to our executive officers the Compensation Committee takes into consideration the recommendations of our CEO (except with respect to his own equity award), as well as the factors described above. The Compensation Committee also considers the dilutive effect of our long-term incentive compensation practices, and the overall impact that these equity awards, as well as awards to other employees, will have on stockholder value.</w:t>
      </w:r>
    </w:p>
    <w:p>
      <w:pPr>
        <w:spacing w:after="0" w:line="72"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January 2021, the Compensation Committee approved equity awards for our executive officers, including our Named Executive Officers, in recognition of our financial and operational results and each executive officer’s individual performance for 2020, as well as for retentive purposes. In determining the amount of each executive officer’s equity award, the Compensation Committee took into consideration the recommendations of our CEO (except with respect to his own equity award), as well as the factors described above. The Compensation Committee also considered the existing equity holdings of each executive officer, including the current economic value of their unvested equity awards and the ability of these unvested holdings to satisfy our retention objectives.</w:t>
      </w:r>
    </w:p>
    <w:p>
      <w:pPr>
        <w:spacing w:after="0" w:line="7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These equity awards consisted of both options to purchase shares of our Common Stock and, for certain executive officers, RSU awards that may be settled for shares of our Common Stock. The equity awards granted to our Named Executive Officers in 2021 were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600" w:type="dxa"/>
            <w:vAlign w:val="bottom"/>
            <w:tcBorders>
              <w:top w:val="single" w:sz="8" w:color="auto"/>
              <w:left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0" w:type="dxa"/>
            <w:vAlign w:val="bottom"/>
          </w:tcPr>
          <w:p>
            <w:pPr>
              <w:spacing w:after="0"/>
              <w:rPr>
                <w:sz w:val="1"/>
                <w:szCs w:val="1"/>
                <w:color w:val="auto"/>
              </w:rPr>
            </w:pPr>
          </w:p>
        </w:tc>
      </w:tr>
      <w:tr>
        <w:trPr>
          <w:trHeight w:val="94"/>
        </w:trPr>
        <w:tc>
          <w:tcPr>
            <w:tcW w:w="3600" w:type="dxa"/>
            <w:vAlign w:val="bottom"/>
            <w:tcBorders>
              <w:left w:val="single" w:sz="8" w:color="auto"/>
              <w:right w:val="single" w:sz="8" w:color="auto"/>
            </w:tcBorders>
            <w:vMerge w:val="restart"/>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560" w:type="dxa"/>
            <w:vAlign w:val="bottom"/>
            <w:tcBorders>
              <w:right w:val="single" w:sz="8" w:color="auto"/>
            </w:tcBorders>
            <w:vMerge w:val="continue"/>
          </w:tcPr>
          <w:p>
            <w:pPr>
              <w:spacing w:after="0"/>
              <w:rPr>
                <w:sz w:val="8"/>
                <w:szCs w:val="8"/>
                <w:color w:val="auto"/>
              </w:rPr>
            </w:pPr>
          </w:p>
        </w:tc>
        <w:tc>
          <w:tcPr>
            <w:tcW w:w="254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7"/>
              </w:rPr>
              <w:t>Unit Awards</w:t>
            </w:r>
          </w:p>
        </w:tc>
        <w:tc>
          <w:tcPr>
            <w:tcW w:w="2560" w:type="dxa"/>
            <w:vAlign w:val="bottom"/>
            <w:tcBorders>
              <w:right w:val="single" w:sz="8" w:color="auto"/>
            </w:tcBorders>
            <w:vMerge w:val="restart"/>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Restricted Stock Units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vMerge w:val="continue"/>
          </w:tcPr>
          <w:p>
            <w:pPr>
              <w:spacing w:after="0"/>
              <w:rPr>
                <w:sz w:val="9"/>
                <w:szCs w:val="9"/>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right w:val="single" w:sz="8" w:color="auto"/>
            </w:tcBorders>
          </w:tcPr>
          <w:p>
            <w:pPr>
              <w:spacing w:after="0"/>
              <w:rPr>
                <w:sz w:val="11"/>
                <w:szCs w:val="11"/>
                <w:color w:val="auto"/>
              </w:rPr>
            </w:pPr>
          </w:p>
        </w:tc>
        <w:tc>
          <w:tcPr>
            <w:tcW w:w="2560" w:type="dxa"/>
            <w:vAlign w:val="bottom"/>
            <w:tcBorders>
              <w:right w:val="single" w:sz="8" w:color="auto"/>
            </w:tcBorders>
            <w:vMerge w:val="continue"/>
          </w:tcPr>
          <w:p>
            <w:pPr>
              <w:spacing w:after="0"/>
              <w:rPr>
                <w:sz w:val="11"/>
                <w:szCs w:val="11"/>
                <w:color w:val="auto"/>
              </w:rPr>
            </w:pP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tcPr>
          <w:p>
            <w:pPr>
              <w:spacing w:after="0"/>
              <w:rPr>
                <w:sz w:val="9"/>
                <w:szCs w:val="9"/>
                <w:color w:val="auto"/>
              </w:rPr>
            </w:pPr>
          </w:p>
        </w:tc>
        <w:tc>
          <w:tcPr>
            <w:tcW w:w="2560" w:type="dxa"/>
            <w:vAlign w:val="bottom"/>
            <w:tcBorders>
              <w:right w:val="single" w:sz="8" w:color="auto"/>
            </w:tcBorders>
          </w:tcPr>
          <w:p>
            <w:pPr>
              <w:spacing w:after="0"/>
              <w:rPr>
                <w:sz w:val="9"/>
                <w:szCs w:val="9"/>
                <w:color w:val="auto"/>
              </w:rPr>
            </w:pPr>
          </w:p>
        </w:tc>
        <w:tc>
          <w:tcPr>
            <w:tcW w:w="2540" w:type="dxa"/>
            <w:vAlign w:val="bottom"/>
            <w:tcBorders>
              <w:right w:val="single" w:sz="8" w:color="auto"/>
            </w:tcBorders>
            <w:vMerge w:val="continue"/>
          </w:tcPr>
          <w:p>
            <w:pPr>
              <w:spacing w:after="0"/>
              <w:rPr>
                <w:sz w:val="9"/>
                <w:szCs w:val="9"/>
                <w:color w:val="auto"/>
              </w:rPr>
            </w:pPr>
          </w:p>
        </w:tc>
        <w:tc>
          <w:tcPr>
            <w:tcW w:w="2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833,000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137,200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Bradford D. Dahms</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Ann K. Donohue</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4,250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284,400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47,100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Takashi Kei Kishimoto,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50"/>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Lloyd Johnston, Ph.D.</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230,000</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38,000</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options to purchase shares of our Common Stock granted to our executive officers, including the Named Executive Officers, in January 2021 were subject to a time-based vesting requirement providing that these options are to vest as to 25% of the shares of our Common Stock subject to the option on the first anniversary of the date of grant and, thereafter, as to 1/48th of the shares subject to the option for each of the following 36 months thereafter, assuming the continued service of the executive officers on each such vesting date.</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RSU awards granted to our executive officers, including the Named Executive Officers, in January 2021 were subject to a time-based vesting requirement providing that these awards are to vest as to 25% of the shares of our Common Stock subject to the award in four equal annual installments, each on the anniversary of the grant date, such that on the fourth anniversary of the grant date, the award would be fully vested, assuming the continued service of the executive officers on each such vesting date.</w:t>
      </w:r>
    </w:p>
    <w:p>
      <w:pPr>
        <w:spacing w:after="0" w:line="72"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performance-based RSUs granted to our executive officers, including the Named Executive Officers, in January 2021 were subject to performance condition-based vesting. The performance conditions were such that the RSUs would vest in two equal installments on the dates that the Administrator (as defined in the 2016 Incentive Award Plan) determines (the “</w:t>
      </w:r>
      <w:r>
        <w:rPr>
          <w:rFonts w:ascii="Times New Roman" w:cs="Times New Roman" w:eastAsia="Times New Roman" w:hAnsi="Times New Roman"/>
          <w:sz w:val="18"/>
          <w:szCs w:val="18"/>
          <w:b w:val="1"/>
          <w:bCs w:val="1"/>
          <w:color w:val="auto"/>
        </w:rPr>
        <w:t>Administrator Determination</w:t>
      </w:r>
      <w:r>
        <w:rPr>
          <w:rFonts w:ascii="Times New Roman" w:cs="Times New Roman" w:eastAsia="Times New Roman" w:hAnsi="Times New Roman"/>
          <w:sz w:val="18"/>
          <w:szCs w:val="18"/>
          <w:color w:val="auto"/>
        </w:rPr>
        <w:t>”) that (i) the Company obtains positive top-line results from a proof-of-concept study in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60"/>
          </w:cols>
          <w:pgMar w:left="320" w:top="12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field of gene therapy; and (ii) that the Company enters into a value creating strategic transaction (each of (i) and (ii), a “</w:t>
      </w:r>
      <w:r>
        <w:rPr>
          <w:rFonts w:ascii="Times New Roman" w:cs="Times New Roman" w:eastAsia="Times New Roman" w:hAnsi="Times New Roman"/>
          <w:sz w:val="18"/>
          <w:szCs w:val="18"/>
          <w:b w:val="1"/>
          <w:bCs w:val="1"/>
          <w:color w:val="auto"/>
        </w:rPr>
        <w:t>Performance Condition</w:t>
      </w:r>
      <w:r>
        <w:rPr>
          <w:rFonts w:ascii="Times New Roman" w:cs="Times New Roman" w:eastAsia="Times New Roman" w:hAnsi="Times New Roman"/>
          <w:sz w:val="18"/>
          <w:szCs w:val="18"/>
          <w:color w:val="auto"/>
        </w:rPr>
        <w:t>”), provided that, if an Administrator Determination does not occur with respect to a Performance Condition on or prior to December 31, 2021 or the Administrator determines that a Performance Condition was not satisfied, the Restricted Stock Units associated with such Performance Condition would be forfeited for no consideration. On October 1, 2021, the Compensation Committee determined that the second performance condition had been satisfied. On December 8, 2021, the Compensation Committee determined that the first performance condition had been satisfied, and the performance-based RSU award was fully vested.</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Equity Grants</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commencement of his employment with the Company, the Compensation Committee approved a one-time equity grant in the form of stock options for Mr. Tan (the “New Employment Grant Options”)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Options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Grant Date</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Kevin Tan</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750,000</w:t>
            </w:r>
          </w:p>
        </w:tc>
        <w:tc>
          <w:tcPr>
            <w:tcW w:w="3760" w:type="dxa"/>
            <w:vAlign w:val="bottom"/>
            <w:tcBorders>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9/20/2021</w:t>
            </w:r>
          </w:p>
        </w:tc>
      </w:tr>
    </w:tbl>
    <w:p>
      <w:pPr>
        <w:spacing w:after="0" w:line="18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New Employment Grant Options are subject to a time-based vesting requirement providing that these options are to vest as to 25% of the shares of our Common Stock subject to the option on the first anniversary of the date of grant and, thereafter, as to 1/48th of the shares subject to the option each of the following 36 months, assuming the continued service of the executive officers on each such vesting date.</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in September 2021, the Compensation Committee approved a one-time equity grant in the form of stock options and RSUs to Drs. Brunn and Traber in recognition of their accomplishments to-date in 2021 as follows: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760" w:type="dxa"/>
            <w:vAlign w:val="bottom"/>
            <w:tcBorders>
              <w:top w:val="single" w:sz="8" w:color="auto"/>
              <w:left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Employee</w:t>
            </w:r>
          </w:p>
        </w:tc>
        <w:tc>
          <w:tcPr>
            <w:tcW w:w="374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Number of Options</w:t>
            </w:r>
          </w:p>
        </w:tc>
        <w:tc>
          <w:tcPr>
            <w:tcW w:w="376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Number of RSUs</w:t>
            </w:r>
          </w:p>
        </w:tc>
      </w:tr>
      <w:tr>
        <w:trPr>
          <w:trHeight w:val="22"/>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Carsten Brunn, Ph.D.</w:t>
            </w:r>
          </w:p>
        </w:tc>
        <w:tc>
          <w:tcPr>
            <w:tcW w:w="3740" w:type="dxa"/>
            <w:vAlign w:val="bottom"/>
            <w:tcBorders>
              <w:bottom w:val="single" w:sz="8" w:color="auto"/>
              <w:right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163,000</w:t>
            </w:r>
          </w:p>
        </w:tc>
        <w:tc>
          <w:tcPr>
            <w:tcW w:w="376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27,200</w:t>
            </w:r>
          </w:p>
        </w:tc>
      </w:tr>
      <w:tr>
        <w:trPr>
          <w:trHeight w:val="250"/>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Peter G. Traber, M.D.</w:t>
            </w:r>
          </w:p>
        </w:tc>
        <w:tc>
          <w:tcPr>
            <w:tcW w:w="3740" w:type="dxa"/>
            <w:vAlign w:val="bottom"/>
            <w:tcBorders>
              <w:bottom w:val="single" w:sz="8" w:color="auto"/>
              <w:right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54,400</w:t>
            </w:r>
          </w:p>
        </w:tc>
        <w:tc>
          <w:tcPr>
            <w:tcW w:w="3760" w:type="dxa"/>
            <w:vAlign w:val="bottom"/>
            <w:tcBorders>
              <w:bottom w:val="single" w:sz="8" w:color="auto"/>
              <w:right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9,100</w:t>
            </w:r>
          </w:p>
        </w:tc>
      </w:tr>
    </w:tbl>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Welfare and Health Benefits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maintain a tax-qualified retirement plan under Section 401(k) of the Internal Revenue Code, as amended (the “Code”), for our employees, including our executive officers, who satisfy certain eligibility requirements, including requirements relating to age and length of service that provides them with an opportunity to save for retirement on a tax-advantaged basis. We intend for this plan to qualify under Sections 401(a) and 501(a) of the Code so that contributions by employees to the plan, and income earned on plan contributions, are not taxable to employees until distributed from the applicable plan. In addition, all contributions are deductible by us when made.</w:t>
      </w:r>
    </w:p>
    <w:p>
      <w:pPr>
        <w:spacing w:after="0" w:line="75"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All participants’ interests in their deferrals are 100% vested when contributed under both plans. In 2021, we matched 50% of contributions made by participants in the 401(k) plan up to a maximum Company match of $3,400 per year. Under the plan, pre-tax contributions are allocated to each participant’s individual account and are then invested in selected investment alternatives according to the participants’ directions.</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our Named Executive Officers,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executive officers. We do not offer our employees a non-qualified deferred compensation plan or pension plan.</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the competitive market and our employees' needs.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provide perquisites to our executive officers, except in situations where we believe it is appropriate to assist an individual in the performance of his or her duties, to make our executive officers more efficient and effective, and for recruitment and retention purposes. During 2021, none of the Named Executive Officers received perquisites or other personal benefits that were, in the aggregate, $10,000 or more for each Named Executive Officer.</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to our executive officers in limited circumstances, such as where we believe it is appropriate to assist an individual executive officer in the performance of his or her duties, to make our executive officers more efficient and effective, and for recruitment, motivation or retention purposes. We do not expect that these perquisites or other personal benefits will be a significant aspect of our executive compensation program. All future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60"/>
          </w:cols>
          <w:pgMar w:left="320" w:top="121"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practices with respect to perquisites or other personal benefits will be subject to periodic review by the Compensation Committee. </w:t>
      </w:r>
      <w:r>
        <w:rPr>
          <w:rFonts w:ascii="Times New Roman" w:cs="Times New Roman" w:eastAsia="Times New Roman" w:hAnsi="Times New Roman"/>
          <w:sz w:val="18"/>
          <w:szCs w:val="18"/>
          <w:b w:val="1"/>
          <w:bCs w:val="1"/>
          <w:color w:val="auto"/>
        </w:rPr>
        <w:t>Employment Arrangements</w:t>
      </w:r>
    </w:p>
    <w:p>
      <w:pPr>
        <w:spacing w:after="0" w:line="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During the period of their service with our Company, we had employment agreements in place with each of our executive officers, including our CEO and our other Named Executive Officers, other than Ms. Donohue, to whom we have extended a written offer letter. Each of these arrangements was approved on our behalf by our Board or the Compensation Committee, as applicable, or by the CEO, subject to his authority as granted by the Board. We believe that these arrangements were appropriate to induce these individuals to forego other employment opportunities or leave their current employer for the uncertainty of a demanding position in a new and unfamiliar organization.</w:t>
      </w:r>
    </w:p>
    <w:p>
      <w:pPr>
        <w:spacing w:after="0" w:line="7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filling these executive positions, our Board or the Compensation Committee, as applicable, was aware that it would be necessary to recruit candidates with the requisite experience and skills to manage a growing business in a dynamic and ever-changing environment. Accordingly, it recognized that it would need to develop competitive compensation packages to attract qualified candidates in a highly competitive labor market. At the same time, our Board or the Compensation Committee, as applicable, was sensitive to the need to integrate new executive officers into the executive compensation structure that it was seeking to develop, balancing both competitive and internal equity considerations.</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Each of these employment arrangements provides for “at will” employment and sets forth the initial compensation arrangements for the Named Executive Officer, including an initial base salary, a target annual cash bonus opportunity, and, in some instances, a recommendation for an equity award in the form of a stock option to purchase shares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Post-Employment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Other than Ms. Donohue, all of our Named Executive Officers entered into employment agreements that provide for post-employment compensation in the event of a change-in-control or if the Named Executive Officer is fired without Good Reason, as defined in each employment agreement.</w:t>
      </w:r>
    </w:p>
    <w:p>
      <w:pPr>
        <w:spacing w:after="0" w:line="5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These agreements require us to provide certain payments and benefits upon a qualifying termination of employment, which includes a termination of employment without cause or where the Named Executive Officer resigns with good reason, within three months preceding or 12 months following a change in control of the Company. The receipt of these payments and benefits are contingent upon the Named Executive Officer’s execution, delivery, and non-revocation of a release and waiver of claims satisfactory to us following the separation from service. In addition, for six months following termination of employment, and as a condition to the payments and benefits, the Named Executive Officer must cooperate with any transition efforts that we request and must not disparage us, or our directors, officers, or employees.</w:t>
      </w:r>
    </w:p>
    <w:p>
      <w:pPr>
        <w:spacing w:after="0" w:line="79"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Other than Ms. Donohue, our Named Executive Officers are eligible to receive severance payments and benefits upon a qualifying termination of employment in connection with a change in control of our Company. In addition, the outstanding RSU awards held by our Named Executive Officers provide for vesting and acceleration pursuant to a provision that supersedes any acceleration that would have been provided under their employment agreements.</w:t>
      </w:r>
    </w:p>
    <w:p>
      <w:pPr>
        <w:spacing w:after="0" w:line="72"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severance policy serves several objectives. First, it eliminates the need to negotiate separation payments and benefits on a case-by-case basis. It also helps assure an executive officer that his or her severance payments and benefits are comparable to those of other executive officers with similar levels of responsibility and tenure. Further, it acts as an incentive for our executive officers to remain employed and focused on their responsibilities during the threat or negotiation of a change-in-control transaction, which preserves our value and the potential benefit to be received by our stockholders in the transaction. Finally, the severance policy is easier for us to administer, as it requires less time and expense.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severance policy contemplates that the payments and benefits in the event of a change in control of the Company are payable only upon a “double trigger”; that is, only following a change in control and a qualifying termination of employment, including a termination of employment without cause or a resignation for good reason, and in each case requires that the Named Executive Officer execute a release of claims in our favor. In addition, the severance policy provides payments and benefits to our Named Executive Officers for qualified terminations of employment unrelated to a change in control of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Recovery Policy</w:t>
      </w:r>
    </w:p>
    <w:p>
      <w:pPr>
        <w:spacing w:after="0" w:line="11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To date, we have not adopted a formal compensation recovery (“clawback”) policy. Under Section 304 of the Sarbanes-Oxley Act of 2002, as applicable to all public companies, we operate under the requirements of that provision, under which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Board may seek reimbursement from our CEO and CFO if, as a result of their misconduct, we restate our financial results due to our material noncompliance with any financial reporting requirements under the federal securities laws.</w:t>
      </w:r>
    </w:p>
    <w:p>
      <w:pPr>
        <w:spacing w:after="0" w:line="5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 addition, we intend to comply with the requirements of Section 954 of the Dodd-Frank Wall Street Reform and Consumer Protection Act and will adopt a compensation recovery policy once final regulations on the subject have been adopted.</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Award Grant Policy</w:t>
      </w:r>
    </w:p>
    <w:p>
      <w:pPr>
        <w:spacing w:after="0" w:line="11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adopted an equity award grant policy that provides the following guidelines to be observed by the Compensation Committee and our Board in administering the grant of equity awards under our equity compensation plans:</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2016 Plan, equity awards may be granted to our employees, non-employee directors, and consultants. The exercise price of any option to purchase shares of our Common Stock may not be less than the fair market value of our Common Stock on the date of grant. Stock option awards expire no longer than ten years after the date of grant. Equity awards granted under our 2018 Plan may only be granted to employees as a means of inducing them to commence employment with the Company as an initial equity grant, and equity awards under the 2018 Plan are granted with the same limitations on pricing and expiration as are included in the 2016 Plan. We may grant up to $100,000 per year in incentive stock options to employees, subject to the limitations of Section 422 of the Code and the regulations issued thereunder.</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Derivatives Trading, Hedging, and Pledging Policies</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adopted a policy prohibiting our employees, including our executive officers, and members of our Board from speculating in our equity securities, including the use of short sales, “sales against the box” or any equivalent transaction involving our equity securities. In addition, they may not engage in any other hedging transactions, such as “cashless” collars, forward sales, equity swaps and other similar or related arrangements, with respect to the securities that they hold. Finally, no employee, including an executive officer or member of our Board may acquire, sell, or trade in any interest or position relating to the future price of our equity securities.</w:t>
      </w:r>
    </w:p>
    <w:p>
      <w:pPr>
        <w:spacing w:after="0" w:line="7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have adopted a policy prohibiting the pledging of our Common Stock by our employees, including our executive officers, and members of our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deduction for federal income tax purposes to any publicly-traded corporation for any remuneration in excess of $1 million paid in any taxable year to its chief executive officer and each of the three other most highly compensated executive officers (other than its chief financial officer). Generally, remuneration in excess of $1 million may be deducted if, among other things, it qualifies as “performance-based compensation” within the meaning of the Code or qualifies for a different exemption. In this regard, the compensation income realized upon the exercise of options to purchase shares of the granting company’s securities granted under a stockholder-approved stock option plan generally will be deductible so long as the options are granted by a committee whose members are outside directors and certain other conditions are satisfied. Conversely, the compensation income realized upon the vesting of restricted stock unit awards that are subject to time-based vesting requirements generally will not be deductible since such awards do not qualify as “performance-based compensation.”</w:t>
      </w:r>
    </w:p>
    <w:p>
      <w:pPr>
        <w:spacing w:after="0" w:line="84"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Compensation Committee seeks to qualify the incentive compensation paid to the covered executive officers for the “performance-based compensation” exemption from the deduction limit under Section 162(m) when it believes such action is in our best interests. In approving the amount and form of compensation for our executive officers, the Compensation Committee believes that the potential deductibility of the compensation payable under those plans and arrangements should be only one of a number of relevant factors taken into consideration, and not the sole governing factor. Accordingly, the Compensation Committee considers all elements of the cost to us of providing such compensation, including the potential impact of the Section 162(m) deduction limit. For that reason, the Compensation Committee may deem it appropriate to provide one or more executive officers with the opportunity to earn incentive compensation, whether through cash incentive awards tied to our financial performance or equity incentive awards tied to the executive officer’s continued service, which may be in excess of the amount deductible by reason of Section 162(m) or other provisions of the Code.</w:t>
      </w:r>
    </w:p>
    <w:p>
      <w:pPr>
        <w:spacing w:after="0" w:line="8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Nonqualified Deferred Compensation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Section 409A of the Code requires that amounts that qualify as “nonqualified deferred compensation” satisfy requirements with respect to the timing of deferral elections, timing of payments, and certain other matters. Generally, the Compensation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Committee intends to administer our executive compensation program and design individual compensation components, as well as the compensation plans and arrangements for our employees generally, so that they are either exempt from, or satisfy the requirements of, Section 409A. From time to time, we may be required to amend some of our compensation plans and arrangements to ensure that they are either exempt from, or compliant with, Section 409A.</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of “Parachute” Payments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Sections 280G and 4999 of the Code provide that executive officers and directors who hold significant equity interests and certain other service providers may be subject to additional taxes if they receive payments or benefits in connection with a change in control of the Company that exceeds certain prescribed limits, and that we (or a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during 2021 and we have not agreed and are not otherwise obligated to provide any executive officers, including any Named Executive Officer, with such a “gross-up” or other reimbursement payment.</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stock-based compensation awards.</w:t>
      </w:r>
    </w:p>
    <w:p>
      <w:pPr>
        <w:spacing w:after="0" w:line="6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ASC Topic 718 requires us to recognize in our financial statements all share-based payment awards to employees, including grants of options to purchase shares of our Common Stock and restricted stock awards for shares of our Common Stock to our executive officers, based on their fair values. The application of ASC Topic 718 involves significant amounts of judgment in the determination of inputs into the Black-Scholes-Merton valuation model that we use to determine the fair value of stock options. These inputs are based upon assumptions as to the volatility of the underlying stock, risk free interest rates, and the expected life (term) of the options. As required under GAAP, we review our valuation assumptions at each grant date, and, as a result, our valuation assumptions used to value stock options granted in future periods may vary from the valuation assumptions we have used previously. For performance-based stock awards, we also must apply judgment in determining the periods when, and if, the related performance targets become probable of being met.</w:t>
      </w:r>
    </w:p>
    <w:p>
      <w:pPr>
        <w:spacing w:after="0" w:line="8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ASC Topic 718 also requires us to recognize the compensation cost of our share-based payment awards in our income statement over the period that an employee, including one of our executive officers, is required to render service in exchange for the award (which, generally, will correspond to the award’s vesting schedule).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our Named Executive Officers identified below. For 2021, our Named Executive Officers and their positions as of December 31, 2021 were:</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Ph.D., our President and CEO;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Tan, our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Bradford D. Dahms, our former CFO;</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 K. Donohue, our V.P. Finance and Corporate Controller and former principal financial and accounting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 Traber, M.D., our Chief Medical Officer;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Takashi Kei Kishimoto, Ph.D., our Chief Scientific Officer;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Lloyd Johnston, our Chief Operations Officer.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891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Pr>
          <w:p>
            <w:pPr>
              <w:spacing w:after="0"/>
              <w:rPr>
                <w:sz w:val="13"/>
                <w:szCs w:val="13"/>
                <w:color w:val="auto"/>
              </w:rPr>
            </w:pP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vMerge w:val="continue"/>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040" w:type="dxa"/>
            <w:vAlign w:val="bottom"/>
          </w:tcPr>
          <w:p>
            <w:pPr>
              <w:jc w:val="right"/>
              <w:ind w:right="3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20" w:type="dxa"/>
            <w:vAlign w:val="bottom"/>
            <w:vMerge w:val="continue"/>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8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2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080" w:type="dxa"/>
            <w:vAlign w:val="bottom"/>
            <w:vMerge w:val="continue"/>
          </w:tcPr>
          <w:p>
            <w:pPr>
              <w:spacing w:after="0"/>
              <w:rPr>
                <w:sz w:val="17"/>
                <w:szCs w:val="17"/>
                <w:color w:val="auto"/>
              </w:rPr>
            </w:pPr>
          </w:p>
        </w:tc>
        <w:tc>
          <w:tcPr>
            <w:tcW w:w="10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9"/>
                <w:szCs w:val="9"/>
                <w:b w:val="1"/>
                <w:bCs w:val="1"/>
                <w:color w:val="auto"/>
              </w:rPr>
              <w:t>(3)</w:t>
            </w:r>
          </w:p>
        </w:tc>
        <w:tc>
          <w:tcPr>
            <w:tcW w:w="1420" w:type="dxa"/>
            <w:vAlign w:val="bottom"/>
          </w:tcPr>
          <w:p>
            <w:pPr>
              <w:jc w:val="right"/>
              <w:ind w:right="108"/>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(4)</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Carsten Brunn,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569,003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720,529</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2,067,782</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313,115</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3,671,395</w:t>
            </w:r>
          </w:p>
        </w:tc>
        <w:tc>
          <w:tcPr>
            <w:tcW w:w="0" w:type="dxa"/>
            <w:vAlign w:val="bottom"/>
          </w:tcPr>
          <w:p>
            <w:pPr>
              <w:spacing w:after="0"/>
              <w:rPr>
                <w:sz w:val="1"/>
                <w:szCs w:val="1"/>
                <w:color w:val="auto"/>
              </w:rPr>
            </w:pPr>
          </w:p>
        </w:tc>
      </w:tr>
      <w:tr>
        <w:trPr>
          <w:trHeight w:val="137"/>
        </w:trPr>
        <w:tc>
          <w:tcPr>
            <w:tcW w:w="28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i w:val="1"/>
                <w:iCs w:val="1"/>
                <w:color w:val="auto"/>
              </w:rPr>
              <w:t>President and</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50,000</w:t>
            </w:r>
          </w:p>
        </w:tc>
        <w:tc>
          <w:tcPr>
            <w:tcW w:w="10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1,178,324</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316,250</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773</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2,095,347</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Kevin Tan</w:t>
            </w:r>
            <w:r>
              <w:rPr>
                <w:rFonts w:ascii="Times New Roman" w:cs="Times New Roman" w:eastAsia="Times New Roman" w:hAnsi="Times New Roman"/>
                <w:sz w:val="18"/>
                <w:szCs w:val="18"/>
                <w:color w:val="auto"/>
                <w:vertAlign w:val="superscript"/>
              </w:rPr>
              <w:t>(5)</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110,385</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2,369,619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46,280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2,601,622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Bradford D. Dahms</w:t>
            </w:r>
            <w:r>
              <w:rPr>
                <w:rFonts w:ascii="Times New Roman" w:cs="Times New Roman" w:eastAsia="Times New Roman" w:hAnsi="Times New Roman"/>
                <w:sz w:val="18"/>
                <w:szCs w:val="18"/>
                <w:color w:val="auto"/>
                <w:vertAlign w:val="superscript"/>
              </w:rPr>
              <w:t>(6)</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183,206</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154,733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3,526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868,053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370,577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172,500</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67,635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959,356</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Ann K. Donohue, C.P.A.</w:t>
            </w:r>
            <w:r>
              <w:rPr>
                <w:rFonts w:ascii="Times New Roman" w:cs="Times New Roman" w:eastAsia="Times New Roman" w:hAnsi="Times New Roman"/>
                <w:sz w:val="18"/>
                <w:szCs w:val="18"/>
                <w:color w:val="auto"/>
                <w:vertAlign w:val="superscript"/>
              </w:rPr>
              <w:t>(7)</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208,753</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12,708</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61,817</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74,250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361,493</w:t>
            </w:r>
          </w:p>
        </w:tc>
        <w:tc>
          <w:tcPr>
            <w:tcW w:w="0" w:type="dxa"/>
            <w:vAlign w:val="bottom"/>
          </w:tcPr>
          <w:p>
            <w:pPr>
              <w:spacing w:after="0"/>
              <w:rPr>
                <w:sz w:val="1"/>
                <w:szCs w:val="1"/>
                <w:color w:val="auto"/>
              </w:rPr>
            </w:pPr>
          </w:p>
        </w:tc>
      </w:tr>
      <w:tr>
        <w:trPr>
          <w:trHeight w:val="137"/>
        </w:trPr>
        <w:tc>
          <w:tcPr>
            <w:tcW w:w="2840" w:type="dxa"/>
            <w:vAlign w:val="bottom"/>
          </w:tcPr>
          <w:p>
            <w:pPr>
              <w:ind w:left="220"/>
              <w:spacing w:after="0" w:line="137" w:lineRule="exact"/>
              <w:rPr>
                <w:sz w:val="20"/>
                <w:szCs w:val="20"/>
                <w:color w:val="auto"/>
              </w:rPr>
            </w:pPr>
            <w:r>
              <w:rPr>
                <w:rFonts w:ascii="Times New Roman" w:cs="Times New Roman" w:eastAsia="Times New Roman" w:hAnsi="Times New Roman"/>
                <w:sz w:val="14"/>
                <w:szCs w:val="14"/>
                <w:i w:val="1"/>
                <w:iCs w:val="1"/>
                <w:color w:val="auto"/>
              </w:rPr>
              <w:t>VP, Finance and Corporate Controller,</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1"/>
                <w:szCs w:val="11"/>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6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Peter G. Traber, M.D.</w:t>
            </w:r>
            <w:r>
              <w:rPr>
                <w:rFonts w:ascii="Times New Roman" w:cs="Times New Roman" w:eastAsia="Times New Roman" w:hAnsi="Times New Roman"/>
                <w:sz w:val="18"/>
                <w:szCs w:val="18"/>
                <w:color w:val="auto"/>
                <w:vertAlign w:val="superscript"/>
              </w:rPr>
              <w:t>(8)</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440,000</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253,445</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704,679</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181,000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21,561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1,600,685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177,692</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75,000</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1,174,027</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84,333</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1,805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1,512,857</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Takashi Kei Kishimoto,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399,798</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1,306,675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386,703</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237,063</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177,949</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5,618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807,333</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Lloyd Johnston, Ph.D.</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399,764</w:t>
            </w:r>
          </w:p>
        </w:tc>
        <w:tc>
          <w:tcPr>
            <w:tcW w:w="108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214,133</w:t>
            </w: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526,588</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4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1,304,845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i w:val="1"/>
                <w:iCs w:val="1"/>
                <w:color w:val="auto"/>
              </w:rPr>
              <w:t>Chief Operations Officer</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2020</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384,537</w:t>
            </w:r>
          </w:p>
        </w:tc>
        <w:tc>
          <w:tcPr>
            <w:tcW w:w="10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323,644</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176,952</w:t>
            </w:r>
          </w:p>
        </w:tc>
        <w:tc>
          <w:tcPr>
            <w:tcW w:w="14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4,173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889,306</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20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actual earnings for the calendar year, which may be impacted by, among other things, hire date and the timing of any salary increases made during the year.</w:t>
      </w:r>
    </w:p>
    <w:p>
      <w:pPr>
        <w:spacing w:after="0" w:line="53"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stock and option awards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67"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represents amounts earned under our annual performance-based bonus program. For additional information, see “Performance Bonuses” below.</w:t>
      </w:r>
    </w:p>
    <w:p>
      <w:pPr>
        <w:spacing w:after="0" w:line="53" w:lineRule="exact"/>
        <w:rPr>
          <w:rFonts w:ascii="Times New Roman" w:cs="Times New Roman" w:eastAsia="Times New Roman" w:hAnsi="Times New Roman"/>
          <w:sz w:val="18"/>
          <w:szCs w:val="18"/>
          <w:color w:val="auto"/>
        </w:rPr>
      </w:pPr>
    </w:p>
    <w:p>
      <w:pPr>
        <w:ind w:left="340" w:right="160" w:hanging="332"/>
        <w:spacing w:after="0" w:line="256"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Brunn, the amounts for 2020 and 2021 include $773 and $966, respectively, representing payments on Dr. Brunn’s term life insurance policy. For Mr. Tan, the amount for 2021 includes $113 representing payments on Mr. Tan’s term life insurance policy and $225 representing reimbursement for cell phone expenses. For Mr. Dahms, the amount for 2021 includes $3,400 representing our 401(k) matching contribution and $126 representing payments on Mr. Dahms’ term life insurance policy. For Ms. Donohue, the amount for 2020 includes $3,400 representing our 401(k) matching contributions and $151 representing payments on Ms. Donohue’s term life insurance policy. For Ms. Donohue, the amount for 2021 includes $3,400 representing our 401(k) matching contributions, $190 representing payments on Ms. Donohue’s term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insurance policy, and $375 representing reimbursement for cell phone expenses. For Dr. Traber, the amount for 2021 includes $21,186 representing payments on Dr. Traber’s term life insurance policy and $375 representing reimbursement for cell phone expenses. For Dr. Kishimoto, the amount for 2020 includes $3,400 representing our 401(k) matching contributions and $2,218 representing payments on Dr. Kishimoto’s term life insurance policy. For Dr. Kishimoto, the amount for 2021 includes $3,400 representing our 401(k) matching contributions and $2,756 representing payments on Dr. Kishimoto’s term life insurance policy. For Dr. Johnston, the amount for 2020 includes $3,400 representing our 401(k) matching contributions and $773 representing payments on Dr. Johnston’s term life insurance policy. For Dr. Johnston, the amount for 2021 includes $3,400 representing our 401(k) matching contributions and $960 representing payments on Dr. Johnston’s term life insurance policy.</w:t>
      </w:r>
    </w:p>
    <w:p>
      <w:pPr>
        <w:spacing w:after="0" w:line="8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pay our Named Executive Officers a base salary to compensate them for the satisfactory performance of services rendered to the Company. The base salary payable to each Named Executive Officer is intended to provide 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72" w:lineRule="exact"/>
        <w:rPr>
          <w:sz w:val="20"/>
          <w:szCs w:val="20"/>
          <w:color w:val="auto"/>
        </w:rPr>
      </w:pPr>
    </w:p>
    <w:p>
      <w:pPr>
        <w:jc w:val="both"/>
        <w:ind w:right="220" w:firstLine="324"/>
        <w:spacing w:after="0" w:line="272" w:lineRule="auto"/>
        <w:rPr>
          <w:sz w:val="20"/>
          <w:szCs w:val="20"/>
          <w:color w:val="auto"/>
        </w:rPr>
      </w:pPr>
      <w:r>
        <w:rPr>
          <w:rFonts w:ascii="Times New Roman" w:cs="Times New Roman" w:eastAsia="Times New Roman" w:hAnsi="Times New Roman"/>
          <w:sz w:val="17"/>
          <w:szCs w:val="17"/>
          <w:color w:val="auto"/>
        </w:rPr>
        <w:t>At the end of 2020, the Compensation Committee recommended to the Board and the Board approved an increase in Dr. Brunn’s annual base salary from $550,000 to $569,300 for 2021, an increase in Mr. Dahms’ annual base salary from $375,000 to $400,000 for 2021, an increase in Dr. Kishimoto’s annual base salary from $386,845 to $400,000 for 2021, and an increase in Dr. Johnston’s annual base salary from $384,587 to $400,000 for 2021. Dr.</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Traber did not receive a base salary increase for 2021. Ms. Donohue’s annual base salary was increased from $176,000 in 2020 to $183,040 for 2021 and subsequently to $225,000 upon her promotion to VP, Finance and Corporate Controller in May 2021. Mr. Tan joined our Company in September 2021 with an annual base salary of $410,000.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offer our Named Executive Officers the opportunity to earn annual cash bonuses to compensate them for attaining short-term company and individual performance goals. Each Named Executive Officer has an annual target bonus that is expressed as a percentage of his or her annual base salary. The 2021 target bonus amount for Dr. Brunn was 55% of his base salary, for Mr. Tan was 40% of his base salary, for Mr. Dahms was 40% of his base salary, for Ms. Donohue was 30% of her base salary, for Dr. Johnston was 40% of his base salary, for Dr. Traber was 40% of his base salary, and for Dr. Kishimoto was 40% of his base salary.</w:t>
      </w:r>
    </w:p>
    <w:p>
      <w:pPr>
        <w:spacing w:after="0" w:line="75" w:lineRule="exact"/>
        <w:rPr>
          <w:sz w:val="20"/>
          <w:szCs w:val="20"/>
          <w:color w:val="auto"/>
        </w:rPr>
      </w:pPr>
    </w:p>
    <w:p>
      <w:pPr>
        <w:jc w:val="both"/>
        <w:ind w:right="180" w:firstLine="324"/>
        <w:spacing w:after="0" w:line="281" w:lineRule="auto"/>
        <w:rPr>
          <w:sz w:val="20"/>
          <w:szCs w:val="20"/>
          <w:color w:val="auto"/>
        </w:rPr>
      </w:pPr>
      <w:r>
        <w:rPr>
          <w:rFonts w:ascii="Times New Roman" w:cs="Times New Roman" w:eastAsia="Times New Roman" w:hAnsi="Times New Roman"/>
          <w:sz w:val="17"/>
          <w:szCs w:val="17"/>
          <w:color w:val="auto"/>
        </w:rPr>
        <w:t>Our Compensation Committee, based upon the recommendation of our Chief Executive Officer, establishes Company performance goals each year and, at the completion of the year, generally determines actual bonus payouts after assessing Company performance against these goals and each Named Executive Officer’s individual performance and contributions to the Company’s achievements. For 2021, bonuses were almost entirely determined based on Company performance in meeting clinical, business development and financial goals. Dr. Traber received an additional performance-based bonus.</w:t>
      </w:r>
    </w:p>
    <w:p>
      <w:pPr>
        <w:spacing w:after="0" w:line="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actual cash bonuses earned by the named executives for 2021 are reported under the “Non-equity incentive plan compensation” column of the 2021 Summary Compensation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grant stock option awards to our Named Executive Officers as a long-term incentive component of their compensation. We have historically granted stock option awards to Named Executive Officers when they commenced employment with us and have from time to time thereafter made additional grants as, and when, our Board determined appropriate to recruit, retain or reward particular Named Executive Officers.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our initial public offering, we adopted and our stockholders approved the 2016 Incentive Award Plan (the “2016 Plan”) to facilitate the grant of cash and equity incentives to our directors, employees (including our Named Executive Officers) and consultants and to enable us to obtain and retain the services of these individuals, which we believe are essential to our long-term success. Following the effective date of our 2016 Plan, we stopped making grants under our 2008 Stock Incentive Plan (the “2008 Plan”). However, the 2008 Plan continues to govern the terms and conditions of the outstanding awards granted under the 2008 Plan.</w:t>
      </w:r>
    </w:p>
    <w:p>
      <w:pPr>
        <w:spacing w:after="0" w:line="7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also maintain the 2018 Employment Inducement Incentive Award Plan (as amended, the “2018 Plan”), which was adopted by the Board on September 25, 2018 without stockholder approval pursuant to Rule 5635(c)(4) of the Nasdaq listing rules (“Rule 5635(c)(4)”) and provides for the grant of equity-based awards in the form of non-qualified stock options, stock appreciation rights, restricted stock awards, restricted stock unit awards and other stock or cash based awards. In accordance with Rule 5635(c)(4), awards under the 2018 Plan may only be made to a newly hired employee who has not previously been a member of the Board, or an employee who is being rehired following a bona fide period of non-employment by the Company, as a material inducement to the employee’s entering into employment with the Company.</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stock option awards have an exercise price at least equal to the fair market value of our Common Stock on the date of grant and typically vest as to 25% of the underlying shares on the first anniversary of the date of grant and in equal monthly installments over the following 36 months, subject to the holder’s continued employment with us and potential accelerated vesting in certain circumstances. From time to time, our Board may also construct alternate vesting schedules as it determines are appropriate to motivate particular employees. Our stock option awards may be intended to qualify as incentive stock options under the Code.</w:t>
      </w:r>
    </w:p>
    <w:p>
      <w:pPr>
        <w:spacing w:after="0" w:line="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In early 2021, we granted to Dr. Brunn options to purchase 670,000 shares of our Common Stock and 110,000 restricted stock units, respectively, under the 2016 Plan. We also to granted Dr. Brunn 75,000 restricted stock units under the 2016 Plan that vested in two equal installments on the dates applicable performance conditions were achieved. In September 2021, we granted to Dr. Brunn options to purchase 163,000 shares of our Common Stock and 27,200 stock units, respectively, under the 2016 Plan. In early 2021, we granted to Mr. Dahms options to purchase 230,000 shares of our Common Stock and 38,000 restricted stock units, respectively, under the 2016 Plan. We also granted to Mr. Dahms 27,500 restricted stock units under the 2016 Plan that vest in two equal installments on the dates applicable performance conditions were achieved. These performance restricted stock units were forfeit upon Mr. Dahms’ termination. In early 2021, we granted to Ms. Donohue options to purchase 27,000 shares of our Common Stock and 4,250 restricted stock units, respectively, under the 2016 Plan. In early 2021, we granted to Dr. Traber options to purchase 230,000 shares of our Common stock and 38,000 restricted stock units, respectively, under the 2016 Plan. We also granted to Dr. Traber 27,500 restricted stock units under the 2016 Plan that vested in two equal installments on the dates applicable performance conditions were achieved. In September 2021, we granted to Dr. Traber options to purchase 54,400 shares of our Common Stock and 9,100 restricted stock units, respectively, under the 2016 Plan. In early 2021, we granted to Dr. Kishimoto options to purchase 230,000 shares of our Common Stock and 38,000 restricted stock units, respectively, under the 2016 Plan. We also granted to Dr. Kishimoto and Dr. Johnston 27,500 restricted stock units under the 2016 Plan that vested in two equal installments on the dates applicable performance conditions were achieved. Mr. Tan was granted options to purchase 750,000 shares of our Common Stock under the 2016 Plan at his employment date.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Health, Welfare and Additional Benefits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6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 End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3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underlying</w:t>
            </w: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unexercised</w:t>
            </w: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or units of stock</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 w:type="dxa"/>
            <w:vAlign w:val="bottom"/>
            <w:vMerge w:val="restart"/>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Commencement</w:t>
            </w:r>
          </w:p>
        </w:tc>
        <w:tc>
          <w:tcPr>
            <w:tcW w:w="12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20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36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that have not</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8"/>
              </w:rPr>
              <w:t xml:space="preserve">Date </w:t>
            </w:r>
            <w:r>
              <w:rPr>
                <w:rFonts w:ascii="Times New Roman" w:cs="Times New Roman" w:eastAsia="Times New Roman" w:hAnsi="Times New Roman"/>
                <w:sz w:val="17"/>
                <w:szCs w:val="17"/>
                <w:b w:val="1"/>
                <w:bCs w:val="1"/>
                <w:color w:val="auto"/>
                <w:w w:val="98"/>
                <w:vertAlign w:val="superscript"/>
              </w:rPr>
              <w:t>(1)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7"/>
              </w:rPr>
              <w:t xml:space="preserve">exercisable </w:t>
            </w:r>
            <w:r>
              <w:rPr>
                <w:rFonts w:ascii="Times New Roman" w:cs="Times New Roman" w:eastAsia="Times New Roman" w:hAnsi="Times New Roman"/>
                <w:sz w:val="17"/>
                <w:szCs w:val="17"/>
                <w:b w:val="1"/>
                <w:bCs w:val="1"/>
                <w:color w:val="auto"/>
                <w:w w:val="97"/>
                <w:vertAlign w:val="superscript"/>
              </w:rPr>
              <w:t>(2)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9"/>
              </w:rPr>
              <w:t xml:space="preserve">unexercisable </w:t>
            </w:r>
            <w:r>
              <w:rPr>
                <w:rFonts w:ascii="Times New Roman" w:cs="Times New Roman" w:eastAsia="Times New Roman" w:hAnsi="Times New Roman"/>
                <w:sz w:val="17"/>
                <w:szCs w:val="17"/>
                <w:b w:val="1"/>
                <w:bCs w:val="1"/>
                <w:color w:val="auto"/>
                <w:w w:val="99"/>
                <w:vertAlign w:val="superscript"/>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3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vested ($)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29"/>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Carsten Brunn,</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163,000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27,200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88,672</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110,000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358,600</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26,562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48,438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287,503</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312,497</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2/25/2019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233,754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96,246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2/24/2029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750,015</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249,985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11/30/2028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12/1/2018</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142,625</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Kevin Tan </w:t>
            </w:r>
            <w:r>
              <w:rPr>
                <w:rFonts w:ascii="Times New Roman" w:cs="Times New Roman" w:eastAsia="Times New Roman" w:hAnsi="Times New Roman"/>
                <w:sz w:val="17"/>
                <w:szCs w:val="17"/>
                <w:color w:val="auto"/>
                <w:vertAlign w:val="superscript"/>
              </w:rPr>
              <w:t>(5)</w:t>
            </w:r>
          </w:p>
        </w:tc>
        <w:tc>
          <w:tcPr>
            <w:tcW w:w="1060" w:type="dxa"/>
            <w:vAlign w:val="bottom"/>
            <w:tcBorders>
              <w:bottom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9/20/2021</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750,000</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9/19/2031</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1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Bradford D.</w:t>
            </w: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Dahms </w:t>
            </w:r>
            <w:r>
              <w:rPr>
                <w:rFonts w:ascii="Times New Roman" w:cs="Times New Roman" w:eastAsia="Times New Roman" w:hAnsi="Times New Roman"/>
                <w:sz w:val="17"/>
                <w:szCs w:val="17"/>
                <w:color w:val="auto"/>
                <w:vertAlign w:val="superscript"/>
              </w:rPr>
              <w:t>(6)</w:t>
            </w:r>
          </w:p>
        </w:tc>
        <w:tc>
          <w:tcPr>
            <w:tcW w:w="11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1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Ann K. Donohue</w:t>
            </w:r>
          </w:p>
        </w:tc>
        <w:tc>
          <w:tcPr>
            <w:tcW w:w="1060" w:type="dxa"/>
            <w:vAlign w:val="bottom"/>
            <w:vMerge w:val="restart"/>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vMerge w:val="continue"/>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4,250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13,855</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7,187</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7,813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18,229</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6,771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6/12/2018</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8,750</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12.46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6/11/2028</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1,108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17.47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color w:val="auto"/>
              </w:rPr>
              <w:t>3/23/2017</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9/12/2016</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5,100</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10.89</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3/22/2027</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Peter G. Traber,</w:t>
            </w:r>
          </w:p>
        </w:tc>
        <w:tc>
          <w:tcPr>
            <w:tcW w:w="10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54,400</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9/23/2031</w:t>
            </w: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3"/>
                <w:szCs w:val="13"/>
                <w:color w:val="auto"/>
              </w:rPr>
              <w:t xml:space="preserve">M.D. </w:t>
            </w:r>
            <w:r>
              <w:rPr>
                <w:rFonts w:ascii="Times New Roman" w:cs="Times New Roman" w:eastAsia="Times New Roman" w:hAnsi="Times New Roman"/>
                <w:sz w:val="17"/>
                <w:szCs w:val="17"/>
                <w:color w:val="auto"/>
                <w:vertAlign w:val="superscript"/>
              </w:rPr>
              <w:t>(8)</w:t>
            </w: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29,666</w:t>
            </w: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90"/>
        </w:trPr>
        <w:tc>
          <w:tcPr>
            <w:tcW w:w="1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8/1/2020</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216,667</w:t>
            </w: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433,333</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7/31/2030</w:t>
            </w: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Takashi Kei</w:t>
            </w:r>
          </w:p>
        </w:tc>
        <w:tc>
          <w:tcPr>
            <w:tcW w:w="106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tcPr>
          <w:p>
            <w:pPr>
              <w:spacing w:after="0"/>
              <w:rPr>
                <w:sz w:val="11"/>
                <w:szCs w:val="11"/>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1/3/2031</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Kishimoto, Ph.D.</w:t>
            </w: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38,000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1/1/2030</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10/6/2029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1/6/2029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12.75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7/7/2017</w:t>
            </w: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40,000</w:t>
            </w:r>
          </w:p>
        </w:tc>
        <w:tc>
          <w:tcPr>
            <w:tcW w:w="100" w:type="dxa"/>
            <w:vAlign w:val="bottom"/>
          </w:tcPr>
          <w:p>
            <w:pPr>
              <w:spacing w:after="0"/>
              <w:rPr>
                <w:sz w:val="15"/>
                <w:szCs w:val="15"/>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19.33</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6/15/2027</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2"/>
        </w:trPr>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shd w:val="clear" w:color="auto" w:fill="CCEEFF"/>
          </w:tcPr>
          <w:p>
            <w:pPr>
              <w:spacing w:after="0"/>
              <w:rPr>
                <w:sz w:val="16"/>
                <w:szCs w:val="16"/>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24,512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12,819</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12,820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6,410</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Borders>
              <w:bottom w:val="single" w:sz="8" w:color="auto"/>
            </w:tcBorders>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1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Lloyd Johnston,</w:t>
            </w:r>
          </w:p>
        </w:tc>
        <w:tc>
          <w:tcPr>
            <w:tcW w:w="1160" w:type="dxa"/>
            <w:vAlign w:val="bottom"/>
            <w:vMerge w:val="restart"/>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230,000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2.99</w:t>
            </w:r>
          </w:p>
        </w:tc>
        <w:tc>
          <w:tcPr>
            <w:tcW w:w="2320" w:type="dxa"/>
            <w:vAlign w:val="bottom"/>
            <w:vMerge w:val="restart"/>
          </w:tcPr>
          <w:p>
            <w:pPr>
              <w:jc w:val="center"/>
              <w:ind w:right="893"/>
              <w:spacing w:after="0"/>
              <w:rPr>
                <w:sz w:val="20"/>
                <w:szCs w:val="20"/>
                <w:color w:val="auto"/>
              </w:rPr>
            </w:pPr>
            <w:r>
              <w:rPr>
                <w:rFonts w:ascii="Times New Roman" w:cs="Times New Roman" w:eastAsia="Times New Roman" w:hAnsi="Times New Roman"/>
                <w:sz w:val="13"/>
                <w:szCs w:val="13"/>
                <w:color w:val="auto"/>
              </w:rPr>
              <w:t>1/3/2031</w:t>
            </w: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Ph.D.</w:t>
            </w:r>
          </w:p>
        </w:tc>
        <w:tc>
          <w:tcPr>
            <w:tcW w:w="11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1/4/2021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1/4/2021</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2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38,000</w:t>
            </w:r>
          </w:p>
        </w:tc>
        <w:tc>
          <w:tcPr>
            <w:tcW w:w="5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9"/>
                <w:szCs w:val="9"/>
                <w:color w:val="auto"/>
              </w:rPr>
              <w:t>(4)</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rPr>
              <w:t>123,880</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7/1/2020</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7/1/2020</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14,166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25,834</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2.84</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6/30/2030</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1/2/2020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1/2/2020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67,084</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2.30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1/1/2030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10/7/2019</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10/7/2019</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10/6/2029</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1/7/2019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1/7/2019</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72,918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27,082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1/6/2029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6/15/2018</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6/15/2018</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43,750</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6,250</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12.75</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6/14/2028</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7/7/2017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6/16/2017</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45,000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19.33</w:t>
            </w:r>
          </w:p>
        </w:tc>
        <w:tc>
          <w:tcPr>
            <w:tcW w:w="2320" w:type="dxa"/>
            <w:vAlign w:val="bottom"/>
            <w:shd w:val="clear" w:color="auto" w:fill="CCEEFF"/>
          </w:tcPr>
          <w:p>
            <w:pPr>
              <w:jc w:val="center"/>
              <w:ind w:right="913"/>
              <w:spacing w:after="0"/>
              <w:rPr>
                <w:sz w:val="20"/>
                <w:szCs w:val="20"/>
                <w:color w:val="auto"/>
              </w:rPr>
            </w:pPr>
            <w:r>
              <w:rPr>
                <w:rFonts w:ascii="Times New Roman" w:cs="Times New Roman" w:eastAsia="Times New Roman" w:hAnsi="Times New Roman"/>
                <w:sz w:val="13"/>
                <w:szCs w:val="13"/>
                <w:color w:val="auto"/>
              </w:rPr>
              <w:t>6/15/2027</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6/21/2016</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6/21/2016</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27,617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14.00</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6/20/2026</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3/9/2016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2/1/2016</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20,511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7.02</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3/8/2026</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2/21/2015</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1/1/2015</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11,537</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9.36</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2/20/2025</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4/8/2014</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1/1/2014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7,692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8.97</w:t>
            </w:r>
          </w:p>
        </w:tc>
        <w:tc>
          <w:tcPr>
            <w:tcW w:w="2320" w:type="dxa"/>
            <w:vAlign w:val="bottom"/>
            <w:shd w:val="clear" w:color="auto" w:fill="CCEEFF"/>
          </w:tcPr>
          <w:p>
            <w:pPr>
              <w:jc w:val="center"/>
              <w:ind w:right="893"/>
              <w:spacing w:after="0"/>
              <w:rPr>
                <w:sz w:val="20"/>
                <w:szCs w:val="20"/>
                <w:color w:val="auto"/>
              </w:rPr>
            </w:pPr>
            <w:r>
              <w:rPr>
                <w:rFonts w:ascii="Times New Roman" w:cs="Times New Roman" w:eastAsia="Times New Roman" w:hAnsi="Times New Roman"/>
                <w:sz w:val="13"/>
                <w:szCs w:val="13"/>
                <w:color w:val="auto"/>
              </w:rPr>
              <w:t>4/7/2024</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6/14/2013</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1/1/2013</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126</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2.77</w:t>
            </w:r>
          </w:p>
        </w:tc>
        <w:tc>
          <w:tcPr>
            <w:tcW w:w="2320" w:type="dxa"/>
            <w:vAlign w:val="bottom"/>
          </w:tcPr>
          <w:p>
            <w:pPr>
              <w:jc w:val="center"/>
              <w:ind w:right="913"/>
              <w:spacing w:after="0"/>
              <w:rPr>
                <w:sz w:val="20"/>
                <w:szCs w:val="20"/>
                <w:color w:val="auto"/>
              </w:rPr>
            </w:pPr>
            <w:r>
              <w:rPr>
                <w:rFonts w:ascii="Times New Roman" w:cs="Times New Roman" w:eastAsia="Times New Roman" w:hAnsi="Times New Roman"/>
                <w:sz w:val="13"/>
                <w:szCs w:val="13"/>
                <w:color w:val="auto"/>
              </w:rPr>
              <w:t>6/13/2023</w:t>
            </w: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right="580" w:hanging="332"/>
        <w:spacing w:after="0" w:line="282"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equity awards are subject to accelerated vesting in the event of a termination without cause or resignation for good reason within 12 months following a change in control pursuant to the terms of the Named Executive Officers’ employment agreements.</w:t>
      </w:r>
    </w:p>
    <w:p>
      <w:pPr>
        <w:spacing w:after="0" w:line="53"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except those granted on October 7, 2019 vest as to 25% of the total shares underlying the option on the first anniversary of the vesting commencement date and in equal monthly installments over the ensuing 36 months, subject to the holder’s continued employment with us through the applicable vesting date. The options granted October 7, 2019 vested 50% of the total shares underlying the option on the first anniversary of the vesting commencement date and the remaining 50% of the total shares on the second anniversary of the vesting commencement date, subject to the holder’s continued employment with us through the applicable vesting date.</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of $3.26 on December 31, 2021.</w:t>
      </w:r>
    </w:p>
    <w:p>
      <w:pPr>
        <w:spacing w:after="0" w:line="11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restricted stock units except those granted on December 1, 2018 vest in four equal annual installments beginning on the first anniversary of the vesting commencement date. Dr. Brunn’s restricted stock units granted on December 1, 2018 vest in twelve substantially equal quarterly installments following December 1, 2020, subject to Dr. Brunn’s continued employment with us through the applicable vesting date.</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was appointed Chief Financial Officer on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Dahms resigned as Chief Financial Officer effective as of May 21, 2021; subsequently his awards have all expired.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Donohue served as our principal accounting officer from May 21 to September 20, 2021.</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Traber was appointed Chief Medical Officer effective as of August 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The agreements entitle our Named Executive Officers to receive annual base salaries and target bonus opportunities, the current amounts of which are described above under the headings “Base Salaries” and “Performance Bonuses,” as well as certain other payments and benefits, as described below.</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employment agreements provide that if we terminate the Named Executive Officer without “cause” or the Named Executive Officer resigns for “good reason,” subject to the Named Executive Officer’s timely executing a release of claims in our favor and continued compliance with a separate restrictive covenant agreement, the Named Executive Officer is entitled to receive (i) base salary continuation for a period of 12 months, (ii) a prorated portion of the annual bonus the Named Executive Officer would otherwise have earned for the year of termination, based on actual performance for the full year, or, if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occurs during the first quarter of the calendar year, based on the Named Executive Officer’s target bonus and (iii) direct payment of or reimbursement for continued medical, dental or vision coverage pursuant to the Consolidated Omnibus Budget Reconciliation Act of 1985, as amended,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equity awards that vest solely based on the passage of time. We must provide a Named Executive Officer 30 days’ notice, or pay in lieu of notice, in the event we terminate such Named Executive Officer for any reason other than “cause.”</w:t>
      </w:r>
    </w:p>
    <w:p>
      <w:pPr>
        <w:spacing w:after="0" w:line="79"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For purposes of the employment agreements, “cause” generally means, subject to applicable cure rights, the Named Executive Officer’s (i) commission of, or indictment or conviction of, any felony or any crime involving dishonesty; (ii) participation in any fraud against our Company; (iii) intentional damage to any Company property; (iv) misconduct which materially and adversely reflects upon the business, operations, or reputation of our Company;</w:t>
      </w:r>
    </w:p>
    <w:p>
      <w:pPr>
        <w:spacing w:after="0" w:line="2" w:lineRule="exact"/>
        <w:rPr>
          <w:sz w:val="20"/>
          <w:szCs w:val="20"/>
          <w:color w:val="auto"/>
        </w:rPr>
      </w:pPr>
    </w:p>
    <w:p>
      <w:pPr>
        <w:ind w:right="140" w:firstLine="8"/>
        <w:spacing w:after="0" w:line="265" w:lineRule="auto"/>
        <w:tabs>
          <w:tab w:leader="none" w:pos="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any material provision of the employment agreement or any other written agreement with our Company; or (vi) for Mr. Dahms and Dr. Traber, a material or substantial failure to perform, or material or substantial negligence of, the executive’s duties and responsibilities to the Company. “Good reason” generally means, subject to our cure rights, the occurrence of any of the following, without the Named Executive Officer’s written consent</w:t>
      </w:r>
    </w:p>
    <w:p>
      <w:pPr>
        <w:ind w:left="220" w:hanging="212"/>
        <w:spacing w:after="0"/>
        <w:tabs>
          <w:tab w:leader="none" w:pos="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or her base salary or bonus opportunity; (ii) a material diminution in his or her authority, title, duties or areas of responsibility;</w:t>
      </w:r>
    </w:p>
    <w:p>
      <w:pPr>
        <w:spacing w:after="0" w:line="20" w:lineRule="exact"/>
        <w:rPr>
          <w:rFonts w:ascii="Times New Roman" w:cs="Times New Roman" w:eastAsia="Times New Roman" w:hAnsi="Times New Roman"/>
          <w:sz w:val="17"/>
          <w:szCs w:val="17"/>
          <w:color w:val="auto"/>
        </w:rPr>
      </w:pPr>
    </w:p>
    <w:p>
      <w:pPr>
        <w:ind w:right="160" w:firstLine="8"/>
        <w:spacing w:after="0" w:line="255"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he or she report to someone other than the Board with respect to our Chief Executive Officer or the Chief Executive Officer with respect to our other Named Executive Officers; (iv) the relocation of his or her primary office to a location more than 40 miles from the Boston metropolitan area; or (v) a material breach by us of the employment agreement or any other written agreement with the Named Executive Officer.</w:t>
      </w:r>
    </w:p>
    <w:p>
      <w:pPr>
        <w:spacing w:after="0" w:line="7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non-disclosure, non-competition and assignment of intellectual property agreements with the Named Executive Officers pursuant to which each of our Named Executive Officers agree to refrain from engaging in direct competition with us or soliciting our employees, in each case, while employed and following his or her termination of employment for a period of 12 months, as more fully set forth in the applicable agreement(s). For Dr. Brunn, during the period following the Named Executive Officer’s employment that he or she is subject to the non-competition covenants, and subject to limited exceptions, we have agreed to provide the Named Executive Officer with garden leave pay at a rate that equals 50% of his or her highest annual base salary within the two years prior to his or her termination, consistent with the Massachusetts Noncompetition Agreement 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280" w:firstLine="324"/>
        <w:spacing w:after="0" w:line="312" w:lineRule="auto"/>
        <w:rPr>
          <w:sz w:val="20"/>
          <w:szCs w:val="20"/>
          <w:color w:val="auto"/>
        </w:rPr>
      </w:pPr>
      <w:r>
        <w:rPr>
          <w:rFonts w:ascii="Times New Roman" w:cs="Times New Roman" w:eastAsia="Times New Roman" w:hAnsi="Times New Roman"/>
          <w:sz w:val="17"/>
          <w:szCs w:val="17"/>
          <w:color w:val="auto"/>
        </w:rPr>
        <w:t>We maintain a compensation program for our non-employee directors, which was last amended effective March 30, 2020. Under our non-employee director compensation program as in effect during 2020, each non-employee director received the following amounts for their services on our Board:</w:t>
      </w:r>
    </w:p>
    <w:p>
      <w:pPr>
        <w:spacing w:after="0" w:line="30"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Initial Equity Award</w:t>
      </w:r>
      <w:r>
        <w:rPr>
          <w:rFonts w:ascii="Times New Roman" w:cs="Times New Roman" w:eastAsia="Times New Roman" w:hAnsi="Times New Roman"/>
          <w:sz w:val="18"/>
          <w:szCs w:val="18"/>
          <w:color w:val="auto"/>
        </w:rPr>
        <w:t>. Upon a director’s initial election or appointment to our Board, the director received an option to purchase 40,000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which award vests in substantially equal monthly installments over three years following the date of grant, subject to accelerated vesting upon a change in control.</w:t>
      </w:r>
    </w:p>
    <w:p>
      <w:pPr>
        <w:spacing w:after="0" w:line="6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Annual Equity Award</w:t>
      </w:r>
      <w:r>
        <w:rPr>
          <w:rFonts w:ascii="Times New Roman" w:cs="Times New Roman" w:eastAsia="Times New Roman" w:hAnsi="Times New Roman"/>
          <w:sz w:val="18"/>
          <w:szCs w:val="18"/>
          <w:color w:val="auto"/>
        </w:rPr>
        <w:t>. If a director has served on our Board for at least six months as of the date of an annual meeting of stockholders, the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an option to purchase 20,000 shares of our Common Stock on the date of the annual meeting, which award vests in a single installment on the earlier of the day before the next annual meeting or the first anniversary of the date of grant, subject to accelerated vesting upon a change in control. If such non-employee director served as the Chairperson of the Board as of immediately following the date of such annual meeting, that non-employee director received an option to purchase 30,000 shares of our Common Stock on the date of such annual meeting, subject to the same vesting terms.</w:t>
      </w:r>
    </w:p>
    <w:p>
      <w:pPr>
        <w:spacing w:after="0" w:line="7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Annual Retainer Fees</w:t>
      </w:r>
      <w:r>
        <w:rPr>
          <w:rFonts w:ascii="Times New Roman" w:cs="Times New Roman" w:eastAsia="Times New Roman" w:hAnsi="Times New Roman"/>
          <w:sz w:val="18"/>
          <w:szCs w:val="18"/>
          <w:color w:val="auto"/>
        </w:rPr>
        <w:t>. In addition to option grants, each director received an annual retainer for service on our Board and additional fees for service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committee of our Board as follows:</w:t>
      </w:r>
    </w:p>
    <w:p>
      <w:pPr>
        <w:spacing w:after="0" w:line="5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director fee of $40,000;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board, $30,000 and lead independent director, $20,000;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 $15,000;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chairperson, $7,500;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 $12,000;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chairperson, $6,000;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and Corporate Governance Committee, $8,000;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chairperson, $4,000;</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Research and Development Committee, $12,000;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Committee member other than the chairperson, $6,000.</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is entitled to be reimbursed for reasonable travel and other expenses incurred in connection with attending meetings of the Board and any committee of the Board on which he or she serves.</w:t>
      </w:r>
    </w:p>
    <w:p>
      <w:pPr>
        <w:spacing w:after="0" w:line="7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Following review of a competitive assessment performed by Radford, effective March 30, 2021, the Board approved the following amendments to our non-employee director compensation program, which were intended to align our program with the median of market:</w:t>
      </w:r>
    </w:p>
    <w:p>
      <w:pPr>
        <w:spacing w:after="0" w:line="5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initial equity award from 40,000 options to 80,000 options;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annual equity awards from 30,000 options to 60,000 options for the Chairperson of the Board and from 20,000 options to 40,000 options for each other non-employee director; and</w:t>
      </w:r>
    </w:p>
    <w:p>
      <w:pPr>
        <w:spacing w:after="0" w:line="5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Moving the date of grant for the annual equity awards from the Annual Meeting of Stockholders to the first business day of each new calendar year, with 2021 annual equity awards to be granted the date the amendments were approved, which occurred on March 30, 2021.</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Brunn, our President and Chief Executive Officer, also serves on our Board but receives no additional compensation for this service.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to our non-employee directors for their service on our Board during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Director Compensation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 ($)</w:t>
            </w:r>
            <w:r>
              <w:rPr>
                <w:rFonts w:ascii="Times New Roman" w:cs="Times New Roman" w:eastAsia="Times New Roman" w:hAnsi="Times New Roman"/>
                <w:sz w:val="18"/>
                <w:szCs w:val="18"/>
                <w:b w:val="1"/>
                <w:bCs w:val="1"/>
                <w:color w:val="auto"/>
                <w:vertAlign w:val="superscript"/>
              </w:rPr>
              <w:t>(2)</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cash ($)</w:t>
            </w:r>
            <w:r>
              <w:rPr>
                <w:rFonts w:ascii="Times New Roman" w:cs="Times New Roman" w:eastAsia="Times New Roman" w:hAnsi="Times New Roman"/>
                <w:sz w:val="18"/>
                <w:szCs w:val="18"/>
                <w:b w:val="1"/>
                <w:bCs w:val="1"/>
                <w:color w:val="auto"/>
                <w:w w:val="99"/>
                <w:vertAlign w:val="superscript"/>
              </w:rPr>
              <w:t>(1)</w:t>
            </w:r>
          </w:p>
        </w:tc>
        <w:tc>
          <w:tcPr>
            <w:tcW w:w="1560" w:type="dxa"/>
            <w:vAlign w:val="bottom"/>
            <w:gridSpan w:val="2"/>
            <w:vMerge w:val="continue"/>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79,228</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198,532</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178,956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262,456</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26,261</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274,871</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301,132</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56,000</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175,304</w:t>
            </w:r>
          </w:p>
        </w:tc>
        <w:tc>
          <w:tcPr>
            <w:tcW w:w="0" w:type="dxa"/>
            <w:vAlign w:val="bottom"/>
          </w:tcPr>
          <w:p>
            <w:pPr>
              <w:spacing w:after="0"/>
              <w:rPr>
                <w:sz w:val="1"/>
                <w:szCs w:val="1"/>
                <w:color w:val="auto"/>
              </w:rPr>
            </w:pPr>
          </w:p>
        </w:tc>
      </w:tr>
      <w:tr>
        <w:trPr>
          <w:trHeight w:val="195"/>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165,304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172,918</w:t>
            </w:r>
          </w:p>
        </w:tc>
        <w:tc>
          <w:tcPr>
            <w:tcW w:w="0" w:type="dxa"/>
            <w:vAlign w:val="bottom"/>
          </w:tcPr>
          <w:p>
            <w:pPr>
              <w:spacing w:after="0"/>
              <w:rPr>
                <w:sz w:val="1"/>
                <w:szCs w:val="1"/>
                <w:color w:val="auto"/>
              </w:rPr>
            </w:pPr>
          </w:p>
        </w:tc>
      </w:tr>
      <w:tr>
        <w:trPr>
          <w:trHeight w:val="188"/>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55,500</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119,304</w:t>
            </w:r>
          </w:p>
        </w:tc>
        <w:tc>
          <w:tcPr>
            <w:tcW w:w="100" w:type="dxa"/>
            <w:vAlign w:val="bottom"/>
          </w:tcPr>
          <w:p>
            <w:pPr>
              <w:spacing w:after="0"/>
              <w:rPr>
                <w:sz w:val="16"/>
                <w:szCs w:val="16"/>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retainers earned for services rendered as members of the Board and related committees.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option awards represents the aggregate grant date fair value of stock options computed in accordance with ASC Topic 718, excluding the effect of estimated forfeitures. For a description of the assumptions used in valuing these awards, see Note 11 to our consolidated audited financial statements included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option awards (exercisable and unexercisable) held by each non-employee director as of December 31, 2021. None of our non-employee directors held unvested stock awards in the Company as of that date.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0" w:type="dxa"/>
            <w:vAlign w:val="bottom"/>
          </w:tcPr>
          <w:p>
            <w:pPr>
              <w:spacing w:after="0"/>
              <w:rPr>
                <w:sz w:val="1"/>
                <w:szCs w:val="1"/>
                <w:color w:val="auto"/>
              </w:rPr>
            </w:pPr>
          </w:p>
        </w:tc>
      </w:tr>
      <w:tr>
        <w:trPr>
          <w:trHeight w:val="195"/>
        </w:trPr>
        <w:tc>
          <w:tcPr>
            <w:tcW w:w="9760" w:type="dxa"/>
            <w:vAlign w:val="bottom"/>
            <w:gridSpan w:val="2"/>
            <w:vMerge w:val="continue"/>
          </w:tcPr>
          <w:p>
            <w:pPr>
              <w:spacing w:after="0"/>
              <w:rPr>
                <w:sz w:val="16"/>
                <w:szCs w:val="16"/>
                <w:color w:val="auto"/>
              </w:rPr>
            </w:pPr>
          </w:p>
        </w:tc>
        <w:tc>
          <w:tcPr>
            <w:tcW w:w="14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at fiscal year end</w:t>
            </w:r>
          </w:p>
        </w:tc>
        <w:tc>
          <w:tcPr>
            <w:tcW w:w="0" w:type="dxa"/>
            <w:vAlign w:val="bottom"/>
          </w:tcPr>
          <w:p>
            <w:pPr>
              <w:spacing w:after="0"/>
              <w:rPr>
                <w:sz w:val="1"/>
                <w:szCs w:val="1"/>
                <w:color w:val="auto"/>
              </w:rPr>
            </w:pPr>
          </w:p>
        </w:tc>
      </w:tr>
      <w:tr>
        <w:trPr>
          <w:trHeight w:val="201"/>
        </w:trPr>
        <w:tc>
          <w:tcPr>
            <w:tcW w:w="9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Göran Ando, M.D.</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Timothy C. Barabe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96,738</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Carrie S. Cox</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Nishan de Silva, M.D., M.B.A.</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Scott D. Myers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r>
        <w:trPr>
          <w:trHeight w:val="195"/>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Aymeric Sallin</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210"/>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Springer, Ph.D.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0" w:type="dxa"/>
            <w:vAlign w:val="bottom"/>
          </w:tcPr>
          <w:p>
            <w:pPr>
              <w:spacing w:after="0"/>
              <w:rPr>
                <w:sz w:val="1"/>
                <w:szCs w:val="1"/>
                <w:color w:val="auto"/>
              </w:rPr>
            </w:pPr>
          </w:p>
        </w:tc>
      </w:tr>
      <w:tr>
        <w:trPr>
          <w:trHeight w:val="188"/>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Zenner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our equity compensation plans as of December 31, 2021.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 warrants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2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226"/>
        </w:trPr>
        <w:tc>
          <w:tcPr>
            <w:tcW w:w="394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8"/>
                <w:szCs w:val="18"/>
                <w:b w:val="1"/>
                <w:bCs w:val="1"/>
                <w:color w:val="auto"/>
                <w:vertAlign w:val="superscript"/>
              </w:rPr>
              <w:t>(1)</w:t>
            </w:r>
          </w:p>
        </w:tc>
        <w:tc>
          <w:tcPr>
            <w:tcW w:w="2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plans</w:t>
            </w:r>
            <w:r>
              <w:rPr>
                <w:rFonts w:ascii="Times New Roman" w:cs="Times New Roman" w:eastAsia="Times New Roman" w:hAnsi="Times New Roman"/>
                <w:sz w:val="18"/>
                <w:szCs w:val="18"/>
                <w:b w:val="1"/>
                <w:bCs w:val="1"/>
                <w:color w:val="auto"/>
                <w:w w:val="95"/>
                <w:vertAlign w:val="superscript"/>
              </w:rPr>
              <w:t>(2)</w:t>
            </w:r>
          </w:p>
        </w:tc>
      </w:tr>
      <w:tr>
        <w:trPr>
          <w:trHeight w:val="190"/>
        </w:trPr>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w:t>
            </w:r>
          </w:p>
        </w:tc>
        <w:tc>
          <w:tcPr>
            <w:tcW w:w="320" w:type="dxa"/>
            <w:vAlign w:val="bottom"/>
          </w:tcPr>
          <w:p>
            <w:pPr>
              <w:spacing w:after="0"/>
              <w:rPr>
                <w:sz w:val="16"/>
                <w:szCs w:val="16"/>
                <w:color w:val="auto"/>
              </w:rPr>
            </w:pPr>
          </w:p>
        </w:tc>
        <w:tc>
          <w:tcPr>
            <w:tcW w:w="2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340" w:type="dxa"/>
            <w:vAlign w:val="bottom"/>
          </w:tcPr>
          <w:p>
            <w:pPr>
              <w:spacing w:after="0"/>
              <w:rPr>
                <w:sz w:val="16"/>
                <w:szCs w:val="16"/>
                <w:color w:val="auto"/>
              </w:rPr>
            </w:pPr>
          </w:p>
        </w:tc>
      </w:tr>
      <w:tr>
        <w:trPr>
          <w:trHeight w:val="20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Equity compensation plans approved by security holders </w:t>
            </w:r>
            <w:r>
              <w:rPr>
                <w:rFonts w:ascii="Times New Roman" w:cs="Times New Roman" w:eastAsia="Times New Roman" w:hAnsi="Times New Roman"/>
                <w:sz w:val="18"/>
                <w:szCs w:val="18"/>
                <w:color w:val="auto"/>
                <w:vertAlign w:val="superscript"/>
              </w:rPr>
              <w:t>(3)</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10,248,906</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9"/>
                <w:szCs w:val="9"/>
                <w:color w:val="auto"/>
                <w:w w:val="94"/>
              </w:rPr>
              <w:t>(4)</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 xml:space="preserve">3.78 </w:t>
            </w:r>
            <w:r>
              <w:rPr>
                <w:rFonts w:ascii="Times New Roman" w:cs="Times New Roman" w:eastAsia="Times New Roman" w:hAnsi="Times New Roman"/>
                <w:sz w:val="9"/>
                <w:szCs w:val="9"/>
                <w:color w:val="auto"/>
              </w:rPr>
              <w:t>(5)</w:t>
            </w:r>
          </w:p>
        </w:tc>
        <w:tc>
          <w:tcPr>
            <w:tcW w:w="244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 xml:space="preserve">4,447,903 </w:t>
            </w:r>
            <w:r>
              <w:rPr>
                <w:rFonts w:ascii="Times New Roman" w:cs="Times New Roman" w:eastAsia="Times New Roman" w:hAnsi="Times New Roman"/>
                <w:sz w:val="9"/>
                <w:szCs w:val="9"/>
                <w:color w:val="auto"/>
              </w:rPr>
              <w:t>(6)</w:t>
            </w:r>
          </w:p>
        </w:tc>
      </w:tr>
      <w:tr>
        <w:trPr>
          <w:trHeight w:val="203"/>
        </w:trPr>
        <w:tc>
          <w:tcPr>
            <w:tcW w:w="3940" w:type="dxa"/>
            <w:vAlign w:val="bottom"/>
            <w:tcBorders>
              <w:bottom w:val="single" w:sz="8" w:color="CCEEFF"/>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Equity compensation plans not approved by security holders </w:t>
            </w:r>
            <w:r>
              <w:rPr>
                <w:rFonts w:ascii="Times New Roman" w:cs="Times New Roman" w:eastAsia="Times New Roman" w:hAnsi="Times New Roman"/>
                <w:sz w:val="18"/>
                <w:szCs w:val="18"/>
                <w:color w:val="auto"/>
                <w:vertAlign w:val="superscript"/>
              </w:rPr>
              <w:t>(7)</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1,185,417</w:t>
            </w:r>
          </w:p>
        </w:tc>
        <w:tc>
          <w:tcPr>
            <w:tcW w:w="340" w:type="dxa"/>
            <w:vAlign w:val="bottom"/>
            <w:tcBorders>
              <w:bottom w:val="single" w:sz="8" w:color="CCEEFF"/>
            </w:tcBorders>
          </w:tcPr>
          <w:p>
            <w:pPr>
              <w:jc w:val="right"/>
              <w:ind w:right="173"/>
              <w:spacing w:after="0"/>
              <w:rPr>
                <w:sz w:val="20"/>
                <w:szCs w:val="20"/>
                <w:color w:val="auto"/>
              </w:rPr>
            </w:pPr>
            <w:r>
              <w:rPr>
                <w:rFonts w:ascii="Times New Roman" w:cs="Times New Roman" w:eastAsia="Times New Roman" w:hAnsi="Times New Roman"/>
                <w:sz w:val="9"/>
                <w:szCs w:val="9"/>
                <w:color w:val="auto"/>
                <w:w w:val="94"/>
              </w:rPr>
              <w:t>(8)</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5.36</w:t>
            </w:r>
          </w:p>
        </w:tc>
        <w:tc>
          <w:tcPr>
            <w:tcW w:w="3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1,591,661</w:t>
            </w:r>
          </w:p>
        </w:tc>
        <w:tc>
          <w:tcPr>
            <w:tcW w:w="340" w:type="dxa"/>
            <w:vAlign w:val="bottom"/>
            <w:tcBorders>
              <w:bottom w:val="single" w:sz="8" w:color="CCEEFF"/>
            </w:tcBorders>
          </w:tcPr>
          <w:p>
            <w:pPr>
              <w:spacing w:after="0"/>
              <w:rPr>
                <w:sz w:val="17"/>
                <w:szCs w:val="17"/>
                <w:color w:val="auto"/>
              </w:rPr>
            </w:pPr>
          </w:p>
        </w:tc>
      </w:tr>
      <w:tr>
        <w:trPr>
          <w:trHeight w:val="221"/>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11,434,323</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3.94</w:t>
            </w:r>
          </w:p>
        </w:tc>
        <w:tc>
          <w:tcPr>
            <w:tcW w:w="3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6,039,564</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exercise price of outstanding options and is calculated without taking into account outstanding restricted stock units.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72" w:lineRule="auto"/>
        <w:tabs>
          <w:tab w:leader="none" w:pos="33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the 2016 Plan, the number of shares of Common Stock available for issuance under the 2016 Plan automatically increases on each January 1, until and including January 1, 2026, by an amount equal to the lesser of: (a) 4% of the number of shares of the Company’s Common Stock outstanding on the last day of the applicable preceding calendar year and (b) such smaller number of shares as is determined by our Board.</w:t>
      </w:r>
    </w:p>
    <w:p>
      <w:pPr>
        <w:spacing w:after="0" w:line="1" w:lineRule="exact"/>
        <w:rPr>
          <w:rFonts w:ascii="Times New Roman" w:cs="Times New Roman" w:eastAsia="Times New Roman" w:hAnsi="Times New Roman"/>
          <w:sz w:val="17"/>
          <w:szCs w:val="17"/>
          <w:color w:val="auto"/>
        </w:rPr>
      </w:pPr>
    </w:p>
    <w:p>
      <w:pPr>
        <w:ind w:left="34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number of shares of the Company’s Common Stock outstanding on the last day of the applicable preceding calendar year and (b) such smaller number of shares as is determined by our Board.</w:t>
      </w:r>
    </w:p>
    <w:p>
      <w:pPr>
        <w:spacing w:after="0" w:line="80"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2016 Plan, the 2008 Plan and the 2016 ESPP.</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9,528,817 outstanding options to purchase stock under the 2016 Plan, 350,700 outstanding restricted stock units and 369,389 outstanding options to purchase stock under the 2008 Plan.</w:t>
      </w:r>
    </w:p>
    <w:p>
      <w:pPr>
        <w:spacing w:after="0" w:line="53" w:lineRule="exact"/>
        <w:rPr>
          <w:rFonts w:ascii="Times New Roman" w:cs="Times New Roman" w:eastAsia="Times New Roman" w:hAnsi="Times New Roman"/>
          <w:sz w:val="18"/>
          <w:szCs w:val="18"/>
          <w:color w:val="auto"/>
        </w:rPr>
      </w:pPr>
    </w:p>
    <w:p>
      <w:pPr>
        <w:ind w:left="340" w:right="58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weighted-average exercise price of outstanding options under the 2016 Plan was $3.84 and the weighted-average exercise price of outstanding options under the 2008 Plan was $5.75.</w:t>
      </w:r>
    </w:p>
    <w:p>
      <w:pPr>
        <w:spacing w:after="0" w:line="5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1,925,537 shares available for issuance under the 2016 Plan and 2,522,366 shares available for issuance under the 2016 ESPP (of which 81,057 shares were issued with respect to the purchase period in effect as of December 31, 2021, which purchase period ended on February 28, 2022). To the extent outstanding stock options under the 2008 Plan are forfeited or lapse unexercised, the shares of Common Stock subject to such stock option awards will be available for issuance under the 2016 Plan.</w:t>
      </w:r>
    </w:p>
    <w:p>
      <w:pPr>
        <w:spacing w:after="0" w:line="71"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3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2018 Plan. See Note 11 to our consolidated audited financial statements included in our 2021 Annual Report for a description of the material features of the 2018 Plan.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1,141,667 outstanding options and 43,750 outstanding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in both cases as of April 18, 2022,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151,809,416 shares of Common Stock outstanding as of April 18, 2022. In computing the number of shares beneficially owned by a person and the percentage ownership of that person, shares of Common Stock subject to options, warrants or other rights held by such person that are currently exercisable or will become exercisable within 60 days of April 18, 2022 are considered outstanding, although these shares are not considered outstanding for purposes of computing the percentage ownership of any other person.</w:t>
      </w:r>
    </w:p>
    <w:p>
      <w:pPr>
        <w:spacing w:after="0" w:line="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65 Grove Street, Watertown, Massachusetts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37"/>
        </w:trPr>
        <w:tc>
          <w:tcPr>
            <w:tcW w:w="7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0"/>
        </w:trPr>
        <w:tc>
          <w:tcPr>
            <w:tcW w:w="7020" w:type="dxa"/>
            <w:vAlign w:val="bottom"/>
            <w:gridSpan w:val="2"/>
            <w:vMerge w:val="continue"/>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3"/>
        </w:trPr>
        <w:tc>
          <w:tcPr>
            <w:tcW w:w="6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Timothy A. Springer, Ph.D. </w:t>
            </w:r>
            <w:r>
              <w:rPr>
                <w:rFonts w:ascii="Times New Roman" w:cs="Times New Roman" w:eastAsia="Times New Roman" w:hAnsi="Times New Roman"/>
                <w:sz w:val="18"/>
                <w:szCs w:val="18"/>
                <w:color w:val="auto"/>
                <w:vertAlign w:val="superscript"/>
              </w:rPr>
              <w:t>(1)</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Armistice Capital, LLC </w:t>
            </w:r>
            <w:r>
              <w:rPr>
                <w:rFonts w:ascii="Times New Roman" w:cs="Times New Roman" w:eastAsia="Times New Roman" w:hAnsi="Times New Roman"/>
                <w:sz w:val="18"/>
                <w:szCs w:val="18"/>
                <w:color w:val="auto"/>
                <w:vertAlign w:val="superscript"/>
              </w:rPr>
              <w:t>(2)</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21,875,000</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Entities affiliated with EcoR1 </w:t>
            </w:r>
            <w:r>
              <w:rPr>
                <w:rFonts w:ascii="Times New Roman" w:cs="Times New Roman" w:eastAsia="Times New Roman" w:hAnsi="Times New Roman"/>
                <w:sz w:val="18"/>
                <w:szCs w:val="18"/>
                <w:color w:val="auto"/>
                <w:vertAlign w:val="superscript"/>
              </w:rPr>
              <w:t>(3)</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12,668,251</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 Directors and Nominees</w:t>
            </w: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Carsten Brunn, Ph.D. </w:t>
            </w:r>
            <w:r>
              <w:rPr>
                <w:rFonts w:ascii="Times New Roman" w:cs="Times New Roman" w:eastAsia="Times New Roman" w:hAnsi="Times New Roman"/>
                <w:sz w:val="18"/>
                <w:szCs w:val="18"/>
                <w:color w:val="auto"/>
                <w:vertAlign w:val="superscript"/>
              </w:rPr>
              <w:t>(4)</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2,384,150</w:t>
            </w:r>
          </w:p>
        </w:tc>
        <w:tc>
          <w:tcPr>
            <w:tcW w:w="1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Kevin Tan </w:t>
            </w:r>
            <w:r>
              <w:rPr>
                <w:rFonts w:ascii="Times New Roman" w:cs="Times New Roman" w:eastAsia="Times New Roman" w:hAnsi="Times New Roman"/>
                <w:sz w:val="18"/>
                <w:szCs w:val="18"/>
                <w:color w:val="auto"/>
                <w:vertAlign w:val="superscript"/>
              </w:rPr>
              <w:t>(5)</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Bradford D. Dahms </w:t>
            </w:r>
            <w:r>
              <w:rPr>
                <w:rFonts w:ascii="Times New Roman" w:cs="Times New Roman" w:eastAsia="Times New Roman" w:hAnsi="Times New Roman"/>
                <w:sz w:val="18"/>
                <w:szCs w:val="18"/>
                <w:color w:val="auto"/>
                <w:vertAlign w:val="superscript"/>
              </w:rPr>
              <w:t>(6)</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Ann K. Donohue </w:t>
            </w:r>
            <w:r>
              <w:rPr>
                <w:rFonts w:ascii="Times New Roman" w:cs="Times New Roman" w:eastAsia="Times New Roman" w:hAnsi="Times New Roman"/>
                <w:sz w:val="18"/>
                <w:szCs w:val="18"/>
                <w:color w:val="auto"/>
                <w:vertAlign w:val="superscript"/>
              </w:rPr>
              <w:t>(7)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106,233</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Peter G. Traber, M.D. </w:t>
            </w:r>
            <w:r>
              <w:rPr>
                <w:rFonts w:ascii="Times New Roman" w:cs="Times New Roman" w:eastAsia="Times New Roman" w:hAnsi="Times New Roman"/>
                <w:sz w:val="18"/>
                <w:szCs w:val="18"/>
                <w:color w:val="auto"/>
                <w:vertAlign w:val="superscript"/>
              </w:rPr>
              <w:t>(8)</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502,933</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Takashi Kei Kishimoto, Ph.D. </w:t>
            </w:r>
            <w:r>
              <w:rPr>
                <w:rFonts w:ascii="Times New Roman" w:cs="Times New Roman" w:eastAsia="Times New Roman" w:hAnsi="Times New Roman"/>
                <w:sz w:val="18"/>
                <w:szCs w:val="18"/>
                <w:color w:val="auto"/>
                <w:vertAlign w:val="superscript"/>
              </w:rPr>
              <w:t>(9)</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776,809</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Lloyd Johnston, Ph.D. </w:t>
            </w:r>
            <w:r>
              <w:rPr>
                <w:rFonts w:ascii="Times New Roman" w:cs="Times New Roman" w:eastAsia="Times New Roman" w:hAnsi="Times New Roman"/>
                <w:sz w:val="18"/>
                <w:szCs w:val="18"/>
                <w:color w:val="auto"/>
                <w:vertAlign w:val="superscript"/>
              </w:rPr>
              <w:t>(10)</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684,908</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Carrie S. Cox </w:t>
            </w:r>
            <w:r>
              <w:rPr>
                <w:rFonts w:ascii="Times New Roman" w:cs="Times New Roman" w:eastAsia="Times New Roman" w:hAnsi="Times New Roman"/>
                <w:sz w:val="18"/>
                <w:szCs w:val="18"/>
                <w:color w:val="auto"/>
                <w:vertAlign w:val="superscript"/>
              </w:rPr>
              <w:t>(11)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222,387</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Göran Ando, M.D. </w:t>
            </w:r>
            <w:r>
              <w:rPr>
                <w:rFonts w:ascii="Times New Roman" w:cs="Times New Roman" w:eastAsia="Times New Roman" w:hAnsi="Times New Roman"/>
                <w:sz w:val="18"/>
                <w:szCs w:val="18"/>
                <w:color w:val="auto"/>
                <w:vertAlign w:val="superscript"/>
              </w:rPr>
              <w:t>(12)</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67,777</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C. Barabe </w:t>
            </w:r>
            <w:r>
              <w:rPr>
                <w:rFonts w:ascii="Times New Roman" w:cs="Times New Roman" w:eastAsia="Times New Roman" w:hAnsi="Times New Roman"/>
                <w:sz w:val="18"/>
                <w:szCs w:val="18"/>
                <w:color w:val="auto"/>
                <w:vertAlign w:val="superscript"/>
              </w:rPr>
              <w:t>(13)</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286,751</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Nishan de Silva, M.D., M.B.A. </w:t>
            </w:r>
            <w:r>
              <w:rPr>
                <w:rFonts w:ascii="Times New Roman" w:cs="Times New Roman" w:eastAsia="Times New Roman" w:hAnsi="Times New Roman"/>
                <w:sz w:val="18"/>
                <w:szCs w:val="18"/>
                <w:color w:val="auto"/>
                <w:vertAlign w:val="superscript"/>
              </w:rPr>
              <w:t>(14)</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31,444</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Scott D. Myers </w:t>
            </w:r>
            <w:r>
              <w:rPr>
                <w:rFonts w:ascii="Times New Roman" w:cs="Times New Roman" w:eastAsia="Times New Roman" w:hAnsi="Times New Roman"/>
                <w:sz w:val="18"/>
                <w:szCs w:val="18"/>
                <w:color w:val="auto"/>
                <w:vertAlign w:val="superscript"/>
              </w:rPr>
              <w:t>(15)</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180,549</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Aymeric Sallin </w:t>
            </w:r>
            <w:r>
              <w:rPr>
                <w:rFonts w:ascii="Times New Roman" w:cs="Times New Roman" w:eastAsia="Times New Roman" w:hAnsi="Times New Roman"/>
                <w:sz w:val="18"/>
                <w:szCs w:val="18"/>
                <w:color w:val="auto"/>
                <w:vertAlign w:val="superscript"/>
              </w:rPr>
              <w:t>(16)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86,410</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0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Timothy A. Springer, Ph.D. </w:t>
            </w:r>
            <w:r>
              <w:rPr>
                <w:rFonts w:ascii="Times New Roman" w:cs="Times New Roman" w:eastAsia="Times New Roman" w:hAnsi="Times New Roman"/>
                <w:sz w:val="18"/>
                <w:szCs w:val="18"/>
                <w:color w:val="auto"/>
                <w:vertAlign w:val="superscript"/>
              </w:rPr>
              <w:t>(1)</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44,395,716</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203"/>
        </w:trPr>
        <w:tc>
          <w:tcPr>
            <w:tcW w:w="70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Patrick Zenner </w:t>
            </w:r>
            <w:r>
              <w:rPr>
                <w:rFonts w:ascii="Times New Roman" w:cs="Times New Roman" w:eastAsia="Times New Roman" w:hAnsi="Times New Roman"/>
                <w:sz w:val="18"/>
                <w:szCs w:val="18"/>
                <w:color w:val="auto"/>
                <w:vertAlign w:val="superscript"/>
              </w:rPr>
              <w:t>(17)</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1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All executive officers, directors and director nominees as a group (15 persons) </w:t>
            </w:r>
            <w:r>
              <w:rPr>
                <w:rFonts w:ascii="Times New Roman" w:cs="Times New Roman" w:eastAsia="Times New Roman" w:hAnsi="Times New Roman"/>
                <w:sz w:val="18"/>
                <w:szCs w:val="18"/>
                <w:color w:val="auto"/>
                <w:vertAlign w:val="superscript"/>
              </w:rPr>
              <w:t>(18)</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49,879,135</w:t>
            </w:r>
          </w:p>
        </w:tc>
        <w:tc>
          <w:tcPr>
            <w:tcW w:w="1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of our outstanding Common Stock.</w:t>
      </w:r>
    </w:p>
    <w:p>
      <w:pPr>
        <w:spacing w:after="0" w:line="117" w:lineRule="exact"/>
        <w:rPr>
          <w:sz w:val="20"/>
          <w:szCs w:val="20"/>
          <w:color w:val="auto"/>
        </w:rPr>
      </w:pPr>
    </w:p>
    <w:p>
      <w:pPr>
        <w:ind w:left="500" w:right="80" w:hanging="492"/>
        <w:spacing w:after="0" w:line="277" w:lineRule="auto"/>
        <w:tabs>
          <w:tab w:leader="none" w:pos="49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13D/A filed with the SEC on December 27, 2021 and other information known to us, consists of (i) 7,293,625 shares of Common Stock held directly by Timothy A. Springer, Ph.D., our director, (ii) 79,130 shares of Common Stock issuable upon exercise of underlying warrants exercisable within 60 days of April 18, 2022 held directly by Timothy Springer, (iii) 86,410 shares of Common Stock issuable upon exercise of outstanding options within 60 days of April 18, 2022 and held directly by Timothy Springer, (iv) 29,868,490 shares of Common Stock held by TAS Partners LLC (“TAS”) directly, (v) 6,981,643 shares of Common Stock issuable upon exercise of underlying warrants exercisable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within 60 days of April 18, 2022, and (vi) 86,418 shares of Common Stock held by Dr. Chafen Lu, Timothy Springer’s wife. Dr. Springer is the sole managing member of TAS. Dr. Springer exercises sole voting and dispositive power over the shares held by him directly and the shares held by TAS. Dr. Springer disclaims beneficial ownership of the shares held by TAS. Dr. Lu exercises sole voting and dispositive power over the shares held by her directly. The principal business address of each of Dr. Springer, TAS, and Dr. Lu is 36 Woodman Road, Newton, MA, 02467.</w:t>
      </w:r>
    </w:p>
    <w:p>
      <w:pPr>
        <w:spacing w:after="0" w:line="72" w:lineRule="exact"/>
        <w:rPr>
          <w:sz w:val="20"/>
          <w:szCs w:val="20"/>
          <w:color w:val="auto"/>
        </w:rPr>
      </w:pPr>
    </w:p>
    <w:p>
      <w:pPr>
        <w:ind w:left="500" w:right="160" w:hanging="492"/>
        <w:spacing w:after="0" w:line="261"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known to us, consists of (i) 12,500,000 shares of Common Stock held by Armistice Capital Master Fund Ltd., and (ii) 9,375,000 shares of Common Stock issuable upon exercise of underlying warrants exercisable within 60 days of April 18, 2022. Armistice Capital, LLC is the general partner of Armistice Capital Master Fund Ltd. The principal business address of Armistice Capital Master Fund Ltd. is 510 Madison Avenue, New York, NY 10022.</w:t>
      </w:r>
    </w:p>
    <w:p>
      <w:pPr>
        <w:spacing w:after="0" w:line="71" w:lineRule="exact"/>
        <w:rPr>
          <w:rFonts w:ascii="Times New Roman" w:cs="Times New Roman" w:eastAsia="Times New Roman" w:hAnsi="Times New Roman"/>
          <w:sz w:val="18"/>
          <w:szCs w:val="18"/>
          <w:color w:val="auto"/>
        </w:rPr>
      </w:pPr>
    </w:p>
    <w:p>
      <w:pPr>
        <w:ind w:left="500" w:right="20" w:hanging="492"/>
        <w:spacing w:after="0" w:line="253"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February 12, 2021 by EcoR1 Capital, LLC, and other information known to us, consists of (i) 2,541,050 shares of Common Stock held by EcoR1 Capital, LLC, (ii) 567,857 shares of Common Stock issuable upon exercise of underlying warrants exercisable within 60 days of April 18, 2022 held by EcoR1 Capital Fund, LP, (iii) 5,203,351 shares of Common Stock held by EcoR1 Capital Fund Qualified, LP (together with EcoR1 Capital Fund, LP, the “EcoR1 Funds”), and (iv) 4,355,993 shares of Common Stock issuable upon exercise of underlying warrants exercisable within 60 days of April 18, 2022 held by EcoR1 Capital Fund Qualified, LP. Certain warrants restrict the ability of the holder to exercise the warrants to the extent that the holder and its affiliates would beneficially own more than 9.999% of the Company’s Common Stock following such exercise, provided, however, that the holder has the ability to waive such ownership limitation upon 61 days prior notice and provided, further, that in no event may the holder beneficially own more than 19.99% of the Company’s Common Stock following such exercise. EcoR1 Capital, LLC (“EcoR1”) is the general partner of the EcoR1 Funds. The principal business address of the EcoR1 Funds and Oleg Nodelman is 357 Tehama Street, #3, San Francisco, California, 94103.</w:t>
      </w:r>
    </w:p>
    <w:p>
      <w:pPr>
        <w:spacing w:after="0" w:line="86" w:lineRule="exact"/>
        <w:rPr>
          <w:rFonts w:ascii="Times New Roman" w:cs="Times New Roman" w:eastAsia="Times New Roman" w:hAnsi="Times New Roman"/>
          <w:sz w:val="18"/>
          <w:szCs w:val="18"/>
          <w:color w:val="auto"/>
        </w:rPr>
      </w:pPr>
    </w:p>
    <w:p>
      <w:pPr>
        <w:ind w:left="500" w:right="180" w:hanging="492"/>
        <w:spacing w:after="0" w:line="266"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187,452 shares of Common Stock held by Dr. Brunn directly, (ii) 2,185,760 shares of Common Stock underlying outstanding stock options exercisable within 60 days of April 18, 2022, and (iii) 10,938 shares of Common Stock underlying outstanding restricted stock units which will vest within 60 days of April 18, 2022.</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 shares of Common Stock held by Mr. Tan directly.</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beneficial ownership of Common Stock by Mr. Dahms.</w:t>
      </w:r>
    </w:p>
    <w:p>
      <w:pPr>
        <w:spacing w:after="0" w:line="11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6,047 shares of Common Stock held by Ms. Donohue directly, (ii) 100,186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36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123,555 shares of Common Stock held by Dr. Traber directly, (ii) 379,378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178,277 shares of Common Stock held by Dr. Kishimoto directly, (ii) 598,532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71,799 shares of Common Stock held by Dr. Johnston directly, (ii) 613,109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jc w:val="both"/>
        <w:ind w:left="500" w:right="120" w:hanging="492"/>
        <w:spacing w:after="0" w:line="266" w:lineRule="auto"/>
        <w:tabs>
          <w:tab w:leader="none" w:pos="48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82,881 shares of Common Stock held by Ms. Cox directly, (ii) 32,840 shares of Common Stock issuable upon exercise of underlying warrants exercisable within 60 days of April 18, 2022, and (iii) 106,666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30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67,777 shares of Common Stock underlying outstanding stock options exercisable within 60 days of April 18, 2022 held by Dr. Ando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200,013 shares of Common Stock held by Mr. Barabe directly, (ii) 86,738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52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of Common Stock held by Dr. de Silva directly, (ii) 24,444 shares of Common Stock underlying outstanding stock options exercisable within 60 days of April 18, 2022.</w:t>
      </w:r>
    </w:p>
    <w:p>
      <w:pPr>
        <w:spacing w:after="0" w:line="53"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80,845 shares of Common Stock held by Mr. Myers directly, (ii) 19,704 shares of Common Stock issuable upon exercise of underlying warrants exercisable within 60 days of April 18, 2022, and (iii) 80,000 shares of Common Stock underlying outstanding stock options exercisable within 60 days of April 18, 2022.</w:t>
      </w:r>
    </w:p>
    <w:p>
      <w:pPr>
        <w:spacing w:after="0" w:line="67"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86,410 shares of Common Stock underlying outstanding stock options exercisable within 60 days of April 18, 2022 held by Mr. Sallin directly.</w:t>
      </w:r>
    </w:p>
    <w:p>
      <w:pPr>
        <w:spacing w:after="0" w:line="53" w:lineRule="exact"/>
        <w:rPr>
          <w:rFonts w:ascii="Times New Roman" w:cs="Times New Roman" w:eastAsia="Times New Roman" w:hAnsi="Times New Roman"/>
          <w:sz w:val="18"/>
          <w:szCs w:val="18"/>
          <w:color w:val="auto"/>
        </w:rPr>
      </w:pPr>
    </w:p>
    <w:p>
      <w:pPr>
        <w:ind w:left="500" w:right="380" w:hanging="492"/>
        <w:spacing w:after="0" w:line="282" w:lineRule="auto"/>
        <w:tabs>
          <w:tab w:leader="none" w:pos="4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55,248 shares of Common Stock held by Mr. Zenner directly, and (ii) 92,820 shares of Common Stock underlying outstanding stock options exercisable within 60 days of April 18, 2022.</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00" w:hanging="492"/>
        <w:spacing w:after="0" w:line="266"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38,246,650 shares of Common Stock owned directly or beneficially by our executive officers or members of our Board and (ii) 11,632,485 shares of Common Stock underlying outstanding stock options, restricted stock units, and warrants exercisable within 60 days of April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0620"/>
          </w:cols>
          <w:pgMar w:left="320" w:top="121"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64"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directors, officers and greater than 10% stockholders to file with the SEC reports of ownership and changes in ownership regarding their holdings in our securities.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2021, all of our directors and officers subject to Section 16(a) of the Exchange Act timely complied with the filing requirements of Section 16(a) of the Securities Exchange Act of 1934, as amended, except that Dr. de Silva was delinquent in filing one Form 3 filing, reporting his initial beneficial ownership interest information, which did not include any transactions, and one Form 4 filing, reporting a stock option grant, due to administrative difficulties. In making this statement, we have relied upon the written representations of our directors and officers, and copies of the reports that they have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120"/>
          </w:cols>
          <w:pgMar w:left="320" w:top="121"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and Procedures, setting forth the policies and procedures for the review and approval or ratification of related person transactions. Under the policy,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the absence of an appointed Chief Financial Officer, our management has determined that the Company’s Controller will present any such related person transactions to our Audit Committee. In reviewing and approving any such transaction, our Audit Committee considers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w:t>
      </w:r>
    </w:p>
    <w:p>
      <w:pPr>
        <w:spacing w:after="0" w:line="7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our directors, executive officers and stockholders owning 5% or more of our outstanding Common Stock since January 1,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2022 Offering</w:t>
      </w:r>
    </w:p>
    <w:p>
      <w:pPr>
        <w:spacing w:after="0" w:line="12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April 2022, we completed an SEC-registered securities offering pursuant to which we issued and sold an aggregate of 27,428,572 shares of our Common Stock and accompanying warrants to purchase 20,571,429 shares of our Common Stock, at a combined purchase price of $1.41, for aggregate gross proceeds to us of approximately $36.0 million. The following table sets forth the number of shares of Common Stock purchased in our private placement offering by executive officers, as of the time of the offering, directors and related parties thereto: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80" w:type="dxa"/>
            <w:vAlign w:val="bottom"/>
            <w:gridSpan w:val="2"/>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980" w:type="dxa"/>
            <w:vAlign w:val="bottom"/>
            <w:tcBorders>
              <w:top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b w:val="1"/>
                <w:bCs w:val="1"/>
                <w:i w:val="1"/>
                <w:iCs w:val="1"/>
                <w:color w:val="auto"/>
              </w:rPr>
              <w:t>5% Stockholders</w:t>
            </w:r>
            <w:r>
              <w:rPr>
                <w:rFonts w:ascii="Times New Roman" w:cs="Times New Roman" w:eastAsia="Times New Roman" w:hAnsi="Times New Roman"/>
                <w:sz w:val="18"/>
                <w:szCs w:val="18"/>
                <w:b w:val="1"/>
                <w:bCs w:val="1"/>
                <w:i w:val="1"/>
                <w:iCs w:val="1"/>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$9,421,056.00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40" w:hanging="332"/>
        <w:spacing w:after="0" w:line="282"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details regarding certain of these stockholders and their equity holdings are provided in this proxy statement under the caption “Security Ownership of Certain Beneficial Owners and Management.”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our Named Executive Officers. For more information regarding these agreements, see the section in this proxy statement entitled “Executive and Director Compensation Employment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a director or an executive officer in any action or proceeding, including any action or proceeding by or in right of us, arising out of such person’s services as a director or executive officer.</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Stockholders’ Proposals</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or Nominations to be Brought Before the Annual Meeting. </w:t>
      </w:r>
      <w:r>
        <w:rPr>
          <w:rFonts w:ascii="Times New Roman" w:cs="Times New Roman" w:eastAsia="Times New Roman" w:hAnsi="Times New Roman"/>
          <w:sz w:val="18"/>
          <w:szCs w:val="18"/>
          <w:color w:val="auto"/>
        </w:rPr>
        <w:t>Stockholders intending to present a proposal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Company must receive notice of such a proposal or nomination for the 2023 Annual Meeting of Stockholders no earlier than the close of business on February 17, 2023 and no later than the close of business on March 19, 2023. The notice must contain the information required by the Amended and Restated Bylaws, a copy of which is available upon request to our Secretary. In the event that the date of the 2023 Annual Meeting of Stockholders is more than 30 days before or more than 60 days after June 17, 2023, then our Secretary must receive such written notice not earlier than the close of business on the 120th day prior to the 2023 Annual Meeting and not later than the close of business on the 90th day prior to the 2023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8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5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the Company’s Proxy Materials for the 2023 Annual Meeting</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who wishes to submit a proposal for inclusion in our proxy materials must comply with Rule 14a-8 promulgated under the Exchange Act. For such proposals to be included in our proxy materials for presentation at our 2023 Annual Meeting of Stockholders, all applicable requirements of Rule 14a-8 must be satisfied, and we must receive such proposals no later than December 19, 2022 at our offices at 65 Grove Street, Watertown, Massachusetts 02472, Attn: Secretary.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whose Notice of Annual Meeting of Stockholders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Selecta’s Annual Report on Form 10-K</w:t>
      </w:r>
    </w:p>
    <w:p>
      <w:pPr>
        <w:spacing w:after="0" w:line="200" w:lineRule="exact"/>
        <w:rPr>
          <w:sz w:val="20"/>
          <w:szCs w:val="20"/>
          <w:color w:val="auto"/>
        </w:rPr>
      </w:pPr>
    </w:p>
    <w:p>
      <w:pPr>
        <w:spacing w:after="0" w:line="27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 copy of Selecta’s Annual Report on Form 10-K for the fiscal year ended December 31, 2021, including financial statements and schedules thereto but not including exhibits, as filed with the SEC, will be sent to any stockholder of record on April 18, 2022 without charge upon written request addressed to:</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this proxy statement and our Annual Report on Form 10-K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also may access our Annual Report on Form 10-K for the year ended December 31, 2021 on the “Corporate Governance”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“Investors &amp; Media” page of at </w:t>
      </w:r>
      <w:r>
        <w:rPr>
          <w:rFonts w:ascii="Times New Roman" w:cs="Times New Roman" w:eastAsia="Times New Roman" w:hAnsi="Times New Roman"/>
          <w:sz w:val="18"/>
          <w:szCs w:val="18"/>
          <w:i w:val="1"/>
          <w:iCs w:val="1"/>
          <w:color w:val="auto"/>
        </w:rPr>
        <w:t>www.selectabio.com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518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Director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453390</wp:posOffset>
            </wp:positionV>
            <wp:extent cx="6000750" cy="7603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0" cy="760349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0139"/>
          </w:cols>
          <w:pgMar w:left="320" w:top="121" w:right="1440"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607695</wp:posOffset>
            </wp:positionV>
            <wp:extent cx="6000750" cy="7749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00750" cy="77495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58</w:t>
      </w:r>
    </w:p>
    <w:sectPr>
      <w:pgSz w:w="11900" w:h="16838" w:orient="portrait"/>
      <w:cols w:equalWidth="0" w:num="1">
        <w:col w:w="10139"/>
      </w:cols>
      <w:pgMar w:left="320" w:top="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2)"/>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bullet"/>
      <w:start w:val="1"/>
    </w:lvl>
  </w:abstractNum>
  <w:abstractNum w:abstractNumId="12">
    <w:nsid w:val="3A95F874"/>
    <w:multiLevelType w:val="hybridMultilevel"/>
    <w:lvl w:ilvl="0">
      <w:lvlJc w:val="left"/>
      <w:lvlText w:val="2"/>
      <w:numFmt w:val="bullet"/>
      <w:start w:val="1"/>
    </w:lvl>
  </w:abstractNum>
  <w:abstractNum w:abstractNumId="13">
    <w:nsid w:val="8138641"/>
    <w:multiLevelType w:val="hybridMultilevel"/>
    <w:lvl w:ilvl="0">
      <w:lvlJc w:val="left"/>
      <w:lvlText w:val="3"/>
      <w:numFmt w:val="bullet"/>
      <w:start w:val="1"/>
    </w:lvl>
  </w:abstractNum>
  <w:abstractNum w:abstractNumId="14">
    <w:nsid w:val="1E7FF521"/>
    <w:multiLevelType w:val="hybridMultilevel"/>
    <w:lvl w:ilvl="0">
      <w:lvlJc w:val="left"/>
      <w:lvlText w:val="4"/>
      <w:numFmt w:val="bullet"/>
      <w:start w:val="1"/>
    </w:lvl>
  </w:abstractNum>
  <w:abstractNum w:abstractNumId="15">
    <w:nsid w:val="7C3DBD3D"/>
    <w:multiLevelType w:val="hybridMultilevel"/>
    <w:lvl w:ilvl="0">
      <w:lvlJc w:val="left"/>
      <w:lvlText w:val="5"/>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X"/>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5"/>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lowerRoman"/>
      <w:start w:val="5"/>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Roman"/>
      <w:start w:val="3"/>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start w:val="18"/>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2022-05-03T07:27:33Z</dcterms:created>
  <dcterms:modified xsi:type="dcterms:W3CDTF">2022-05-03T07:27:33Z</dcterms:modified>
</cp:coreProperties>
</file>