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November 7, 2024</w:t>
      </w:r>
    </w:p>
    <w:p>
      <w:pPr>
        <w:spacing w:after="0" w:line="25" w:lineRule="exact"/>
        <w:rPr>
          <w:sz w:val="24"/>
          <w:szCs w:val="24"/>
          <w:color w:val="auto"/>
        </w:rPr>
      </w:pPr>
    </w:p>
    <w:p>
      <w:pPr>
        <w:ind w:left="9360"/>
        <w:spacing w:after="0"/>
        <w:rPr>
          <w:sz w:val="20"/>
          <w:szCs w:val="20"/>
          <w:color w:val="auto"/>
        </w:rPr>
      </w:pPr>
      <w:r>
        <w:rPr>
          <w:rFonts w:ascii="Times New Roman" w:cs="Times New Roman" w:eastAsia="Times New Roman" w:hAnsi="Times New Roman"/>
          <w:sz w:val="16"/>
          <w:szCs w:val="16"/>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111760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77470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CARTESIAN THERAPEUTICS,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79"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42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26-1622110</w:t>
            </w:r>
          </w:p>
        </w:tc>
      </w:tr>
      <w:tr>
        <w:trPr>
          <w:trHeight w:val="168"/>
        </w:trPr>
        <w:tc>
          <w:tcPr>
            <w:tcW w:w="4420" w:type="dxa"/>
            <w:vAlign w:val="bottom"/>
          </w:tcPr>
          <w:p>
            <w:pPr>
              <w:jc w:val="center"/>
              <w:ind w:right="1799"/>
              <w:spacing w:after="0" w:line="168" w:lineRule="exact"/>
              <w:rPr>
                <w:sz w:val="20"/>
                <w:szCs w:val="20"/>
                <w:color w:val="auto"/>
              </w:rPr>
            </w:pPr>
            <w:r>
              <w:rPr>
                <w:rFonts w:ascii="Times New Roman" w:cs="Times New Roman" w:eastAsia="Times New Roman" w:hAnsi="Times New Roman"/>
                <w:sz w:val="16"/>
                <w:szCs w:val="16"/>
                <w:color w:val="auto"/>
              </w:rPr>
              <w:t>(State or other jurisdiction</w:t>
            </w:r>
          </w:p>
        </w:tc>
        <w:tc>
          <w:tcPr>
            <w:tcW w:w="3080" w:type="dxa"/>
            <w:vAlign w:val="bottom"/>
          </w:tcPr>
          <w:p>
            <w:pPr>
              <w:jc w:val="center"/>
              <w:ind w:left="177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70"/>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b w:val="1"/>
                <w:bCs w:val="1"/>
                <w:color w:val="auto"/>
              </w:rPr>
              <w:t>7495 New Horizon Way</w:t>
            </w:r>
          </w:p>
        </w:tc>
        <w:tc>
          <w:tcPr>
            <w:tcW w:w="3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21703</w:t>
            </w:r>
          </w:p>
        </w:tc>
      </w:tr>
      <w:tr>
        <w:trPr>
          <w:trHeight w:val="212"/>
        </w:trPr>
        <w:tc>
          <w:tcPr>
            <w:tcW w:w="442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Frederick, Maryland</w:t>
            </w:r>
          </w:p>
        </w:tc>
        <w:tc>
          <w:tcPr>
            <w:tcW w:w="3080" w:type="dxa"/>
            <w:vAlign w:val="bottom"/>
          </w:tcPr>
          <w:p>
            <w:pPr>
              <w:spacing w:after="0"/>
              <w:rPr>
                <w:sz w:val="18"/>
                <w:szCs w:val="18"/>
                <w:color w:val="auto"/>
              </w:rPr>
            </w:pPr>
          </w:p>
        </w:tc>
      </w:tr>
      <w:tr>
        <w:trPr>
          <w:trHeight w:val="214"/>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80" w:type="dxa"/>
            <w:vAlign w:val="bottom"/>
          </w:tcPr>
          <w:p>
            <w:pPr>
              <w:jc w:val="center"/>
              <w:ind w:left="17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(301) 348-8698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registrant's principal executive offices)</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Amended and Restated 2016 Incentive Award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 Amended and Restated 2018 Employment Inducement Incentive Award Plan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Carsten Brunn, Ph.D.</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Cartesian Therapeutics,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7495 New Horizon Way</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Frederick, Maryland 21703</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Brian K. Rosenzweig</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Sarah C. Griffiths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Covington &amp; Burling LLP</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One International Place, Suite 1020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Boston, Massachusetts 02110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(617) 603-8805</w:t>
      </w:r>
    </w:p>
    <w:p>
      <w:pPr>
        <w:spacing w:after="0" w:line="213" w:lineRule="exact"/>
        <w:rPr>
          <w:sz w:val="24"/>
          <w:szCs w:val="24"/>
          <w:color w:val="auto"/>
        </w:rPr>
      </w:pPr>
    </w:p>
    <w:p>
      <w:pPr>
        <w:ind w:right="80" w:firstLine="324"/>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ectPr>
          <w:pgSz w:w="11900" w:h="16838" w:orient="portrait"/>
          <w:cols w:equalWidth="0" w:num="1">
            <w:col w:w="11240"/>
          </w:cols>
          <w:pgMar w:left="320" w:top="880" w:right="339" w:bottom="1440" w:gutter="0" w:footer="0" w:header="0"/>
        </w:sectPr>
      </w:pPr>
    </w:p>
    <w:p>
      <w:pPr>
        <w:spacing w:after="0" w:line="9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R</w:t>
      </w:r>
    </w:p>
    <w:p>
      <w:pPr>
        <w:spacing w:after="0" w:line="7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R</w:t>
      </w:r>
    </w:p>
    <w:p>
      <w:pPr>
        <w:spacing w:after="0" w:line="79" w:lineRule="exact"/>
        <w:rPr>
          <w:sz w:val="24"/>
          <w:szCs w:val="24"/>
          <w:color w:val="auto"/>
        </w:rPr>
      </w:pPr>
    </w:p>
    <w:p>
      <w:pPr>
        <w:sectPr>
          <w:pgSz w:w="11900" w:h="16838" w:orient="portrait"/>
          <w:cols w:equalWidth="0" w:num="4">
            <w:col w:w="3280" w:space="80"/>
            <w:col w:w="2300" w:space="720"/>
            <w:col w:w="1780" w:space="80"/>
            <w:col w:w="3000"/>
          </w:cols>
          <w:pgMar w:left="320" w:top="880" w:right="339" w:bottom="1440" w:gutter="0" w:footer="0" w:header="0"/>
          <w:type w:val="continuous"/>
        </w:sectPr>
      </w:pPr>
    </w:p>
    <w:p>
      <w:pPr>
        <w:ind w:left="6380"/>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6" w:lineRule="exact"/>
        <w:rPr>
          <w:sz w:val="24"/>
          <w:szCs w:val="24"/>
          <w:color w:val="auto"/>
        </w:rPr>
      </w:pPr>
    </w:p>
    <w:p>
      <w:pPr>
        <w:sectPr>
          <w:pgSz w:w="11900" w:h="16838" w:orient="portrait"/>
          <w:cols w:equalWidth="0" w:num="2">
            <w:col w:w="8160" w:space="80"/>
            <w:col w:w="3000"/>
          </w:cols>
          <w:pgMar w:left="320" w:top="880" w:right="339" w:bottom="1440" w:gutter="0" w:footer="0" w:header="0"/>
          <w:type w:val="continuous"/>
        </w:sectPr>
      </w:pPr>
    </w:p>
    <w:p>
      <w:pPr>
        <w:ind w:right="260" w:firstLine="324"/>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08"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for the purpose of registering an additional 3,682,447 shares of common stock, par value $0.0001 per share (the “Common Stock”), of Cartesian Therapeutics, Inc. (the “Registrant”) to be issued pursuant to the Registrant’s Amended and Restated 2016 Incentive Award Plan (the “Incentive Plan”) and an additional 360,000 shares of the Registrant’s Common Stock to be issued pursuant to the Registrant’s Amended and Restated 2018 Employment Inducement Incentive Award Plan (the “Inducement Plan”).</w:t>
      </w: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873" w:right="4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documents filed with the Securities and Exchange Commission (the “Commission”) pursuant to the Securities Exchange Act of 1934, as amended (the “Exchange Act”), are hereby incorporated by reference into this registration statement::</w:t>
      </w:r>
    </w:p>
    <w:p>
      <w:pPr>
        <w:spacing w:after="0" w:line="176" w:lineRule="exact"/>
        <w:rPr>
          <w:sz w:val="20"/>
          <w:szCs w:val="20"/>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auto"/>
          </w:rPr>
          <w:t xml:space="preserve">The Registrant’s definitive proxy statement on Schedule 14A for the 2024 annual meeting of stockholders, filed with the Commission on </w:t>
        </w:r>
        <w:r>
          <w:rPr>
            <w:rFonts w:ascii="Times New Roman" w:cs="Times New Roman" w:eastAsia="Times New Roman" w:hAnsi="Times New Roman"/>
            <w:sz w:val="18"/>
            <w:szCs w:val="18"/>
            <w:u w:val="single" w:color="auto"/>
            <w:color w:val="0000FF"/>
          </w:rPr>
          <w:t>April 26,</w:t>
        </w:r>
      </w:hyperlink>
      <w:r>
        <w:rPr>
          <w:rFonts w:ascii="Times New Roman" w:cs="Times New Roman" w:eastAsia="Times New Roman" w:hAnsi="Times New Roman"/>
          <w:sz w:val="18"/>
          <w:szCs w:val="18"/>
          <w:color w:val="auto"/>
        </w:rPr>
        <w:t xml:space="preserve"> </w:t>
      </w:r>
      <w:hyperlink r:id="rId12">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FF"/>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2023, filed with the Commission on </w:t>
      </w:r>
      <w:hyperlink r:id="rId13">
        <w:r>
          <w:rPr>
            <w:rFonts w:ascii="Times New Roman" w:cs="Times New Roman" w:eastAsia="Times New Roman" w:hAnsi="Times New Roman"/>
            <w:sz w:val="18"/>
            <w:szCs w:val="18"/>
            <w:u w:val="single" w:color="auto"/>
            <w:color w:val="0000FF"/>
          </w:rPr>
          <w:t>March 7,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quarters ended March 31, 2024, June 30, 2024, and September 30, 2024, filed with the Commission on </w:t>
      </w:r>
      <w:hyperlink r:id="rId14">
        <w:r>
          <w:rPr>
            <w:rFonts w:ascii="Times New Roman" w:cs="Times New Roman" w:eastAsia="Times New Roman" w:hAnsi="Times New Roman"/>
            <w:sz w:val="18"/>
            <w:szCs w:val="18"/>
            <w:u w:val="single" w:color="auto"/>
            <w:color w:val="0000FF"/>
          </w:rPr>
          <w:t>May 8, 2024</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FF"/>
          </w:rPr>
          <w:t>August 8, 2024</w:t>
        </w:r>
      </w:hyperlink>
      <w:r>
        <w:rPr>
          <w:rFonts w:ascii="Times New Roman" w:cs="Times New Roman" w:eastAsia="Times New Roman" w:hAnsi="Times New Roman"/>
          <w:sz w:val="18"/>
          <w:szCs w:val="18"/>
          <w:color w:val="auto"/>
        </w:rPr>
        <w:t xml:space="preserve">, and </w:t>
      </w:r>
      <w:hyperlink r:id="rId16">
        <w:r>
          <w:rPr>
            <w:rFonts w:ascii="Times New Roman" w:cs="Times New Roman" w:eastAsia="Times New Roman" w:hAnsi="Times New Roman"/>
            <w:sz w:val="18"/>
            <w:szCs w:val="18"/>
            <w:u w:val="single" w:color="auto"/>
            <w:color w:val="0000FF"/>
          </w:rPr>
          <w:t>November 7, 2024</w:t>
        </w:r>
      </w:hyperlink>
      <w:r>
        <w:rPr>
          <w:rFonts w:ascii="Times New Roman" w:cs="Times New Roman" w:eastAsia="Times New Roman" w:hAnsi="Times New Roman"/>
          <w:sz w:val="18"/>
          <w:szCs w:val="18"/>
          <w:color w:val="auto"/>
        </w:rPr>
        <w:t>, respectively;</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Registrant’s Current Reports on Form 8-K and 8-K/A filed with the Commission on </w:t>
      </w:r>
      <w:hyperlink r:id="rId17">
        <w:r>
          <w:rPr>
            <w:rFonts w:ascii="Times New Roman" w:cs="Times New Roman" w:eastAsia="Times New Roman" w:hAnsi="Times New Roman"/>
            <w:sz w:val="18"/>
            <w:szCs w:val="18"/>
            <w:u w:val="single" w:color="auto"/>
            <w:color w:val="0000FF"/>
          </w:rPr>
          <w:t>January 19, 2024</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FF"/>
          </w:rPr>
          <w:t>January 23,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FF"/>
          </w:rPr>
          <w:t>March 5, 2024</w:t>
        </w:r>
      </w:hyperlink>
      <w:r>
        <w:rPr>
          <w:rFonts w:ascii="Times New Roman" w:cs="Times New Roman" w:eastAsia="Times New Roman" w:hAnsi="Times New Roman"/>
          <w:sz w:val="18"/>
          <w:szCs w:val="18"/>
          <w:color w:val="auto"/>
        </w:rPr>
        <w:t xml:space="preserve"> (except for Item 7.01 and Exhibit 99.1 thereto), </w:t>
      </w:r>
      <w:hyperlink r:id="rId20">
        <w:r>
          <w:rPr>
            <w:rFonts w:ascii="Times New Roman" w:cs="Times New Roman" w:eastAsia="Times New Roman" w:hAnsi="Times New Roman"/>
            <w:sz w:val="18"/>
            <w:szCs w:val="18"/>
            <w:u w:val="single" w:color="auto"/>
            <w:color w:val="0000FF"/>
          </w:rPr>
          <w:t>March 14, 2024</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March 28,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(except for Item 7.01 and Exhibit 99.1 thereto), </w:t>
      </w:r>
      <w:hyperlink r:id="rId22">
        <w:r>
          <w:rPr>
            <w:rFonts w:ascii="Times New Roman" w:cs="Times New Roman" w:eastAsia="Times New Roman" w:hAnsi="Times New Roman"/>
            <w:sz w:val="18"/>
            <w:szCs w:val="18"/>
            <w:u w:val="single" w:color="auto"/>
            <w:color w:val="0000FF"/>
          </w:rPr>
          <w:t>April 1, 2024</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FF"/>
          </w:rPr>
          <w:t>April 9, 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(except for Item 7.01 and Exhibit 99.1 thereto),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April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May 22, 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(except for Item 7.01 and Exhibit 99.1 thereto),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June</w:t>
        </w:r>
      </w:hyperlink>
      <w:r>
        <w:rPr>
          <w:rFonts w:ascii="Times New Roman" w:cs="Times New Roman" w:eastAsia="Times New Roman" w:hAnsi="Times New Roman"/>
          <w:sz w:val="18"/>
          <w:szCs w:val="18"/>
          <w:color w:val="0000FF"/>
        </w:rPr>
        <w:t xml:space="preserve"> </w:t>
      </w:r>
      <w:hyperlink r:id="rId23">
        <w:r>
          <w:rPr>
            <w:rFonts w:ascii="Times New Roman" w:cs="Times New Roman" w:eastAsia="Times New Roman" w:hAnsi="Times New Roman"/>
            <w:sz w:val="18"/>
            <w:szCs w:val="18"/>
            <w:u w:val="single" w:color="auto"/>
            <w:color w:val="0000FF"/>
          </w:rPr>
          <w:t>17, 2024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4">
        <w:r>
          <w:rPr>
            <w:rFonts w:ascii="Times New Roman" w:cs="Times New Roman" w:eastAsia="Times New Roman" w:hAnsi="Times New Roman"/>
            <w:sz w:val="18"/>
            <w:szCs w:val="18"/>
            <w:u w:val="single" w:color="auto"/>
            <w:color w:val="0000FF"/>
          </w:rPr>
          <w:t xml:space="preserve">July 2, 2024 </w:t>
        </w:r>
      </w:hyperlink>
      <w:hyperlink r:id="rId23">
        <w:r>
          <w:rPr>
            <w:rFonts w:ascii="Times New Roman" w:cs="Times New Roman" w:eastAsia="Times New Roman" w:hAnsi="Times New Roman"/>
            <w:sz w:val="18"/>
            <w:szCs w:val="18"/>
            <w:color w:val="000000"/>
          </w:rPr>
          <w:t>(except for Item 7.01 and Exhibits 99.1 and 99.2 thereto),</w:t>
        </w:r>
        <w:r>
          <w:rPr>
            <w:rFonts w:ascii="Times New Roman" w:cs="Times New Roman" w:eastAsia="Times New Roman" w:hAnsi="Times New Roman"/>
            <w:sz w:val="18"/>
            <w:szCs w:val="18"/>
            <w:color w:val="0000FF"/>
          </w:rPr>
          <w:t xml:space="preserve"> </w:t>
        </w:r>
      </w:hyperlink>
      <w:hyperlink r:id="rId25">
        <w:r>
          <w:rPr>
            <w:rFonts w:ascii="Times New Roman" w:cs="Times New Roman" w:eastAsia="Times New Roman" w:hAnsi="Times New Roman"/>
            <w:sz w:val="18"/>
            <w:szCs w:val="18"/>
            <w:u w:val="single" w:color="auto"/>
            <w:color w:val="0000FF"/>
          </w:rPr>
          <w:t>September 23, 2024</w:t>
        </w:r>
      </w:hyperlink>
      <w:hyperlink r:id="rId23">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hyperlink>
      <w:hyperlink r:id="rId26">
        <w:r>
          <w:rPr>
            <w:rFonts w:ascii="Times New Roman" w:cs="Times New Roman" w:eastAsia="Times New Roman" w:hAnsi="Times New Roman"/>
            <w:sz w:val="18"/>
            <w:szCs w:val="18"/>
            <w:u w:val="single" w:color="auto"/>
            <w:color w:val="0000FF"/>
          </w:rPr>
          <w:t>September 26, 2024</w:t>
        </w:r>
      </w:hyperlink>
      <w:hyperlink r:id="rId23">
        <w:r>
          <w:rPr>
            <w:rFonts w:ascii="Times New Roman" w:cs="Times New Roman" w:eastAsia="Times New Roman" w:hAnsi="Times New Roman"/>
            <w:sz w:val="18"/>
            <w:szCs w:val="18"/>
            <w:color w:val="000000"/>
          </w:rPr>
          <w:t>; and</w:t>
        </w:r>
      </w:hyperlink>
    </w:p>
    <w:p>
      <w:pPr>
        <w:spacing w:after="0" w:line="179" w:lineRule="exact"/>
        <w:rPr>
          <w:rFonts w:ascii="Times New Roman" w:cs="Times New Roman" w:eastAsia="Times New Roman" w:hAnsi="Times New Roman"/>
          <w:sz w:val="18"/>
          <w:szCs w:val="18"/>
          <w:color w:val="0000FF"/>
        </w:rPr>
      </w:pPr>
    </w:p>
    <w:p>
      <w:pPr>
        <w:ind w:left="660" w:right="460" w:hanging="328"/>
        <w:spacing w:after="0" w:line="312"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contained in Exhibit 4.14 to the Registrant’s Annual Report on Form 10-K, filed with the Commission on </w:t>
      </w:r>
      <w:hyperlink r:id="rId27">
        <w:r>
          <w:rPr>
            <w:rFonts w:ascii="Times New Roman" w:cs="Times New Roman" w:eastAsia="Times New Roman" w:hAnsi="Times New Roman"/>
            <w:sz w:val="17"/>
            <w:szCs w:val="17"/>
            <w:u w:val="single" w:color="auto"/>
            <w:color w:val="0000FF"/>
          </w:rPr>
          <w:t>March 7, 2024</w:t>
        </w:r>
      </w:hyperlink>
      <w:r>
        <w:rPr>
          <w:rFonts w:ascii="Times New Roman" w:cs="Times New Roman" w:eastAsia="Times New Roman" w:hAnsi="Times New Roman"/>
          <w:sz w:val="17"/>
          <w:szCs w:val="17"/>
          <w:color w:val="auto"/>
        </w:rPr>
        <w:t>, and any amendment or report filed with the Commission for the purpose of updating such description; and</w:t>
      </w:r>
    </w:p>
    <w:p>
      <w:pPr>
        <w:spacing w:after="0" w:line="139" w:lineRule="exact"/>
        <w:rPr>
          <w:rFonts w:ascii="Times New Roman" w:cs="Times New Roman" w:eastAsia="Times New Roman" w:hAnsi="Times New Roman"/>
          <w:sz w:val="17"/>
          <w:szCs w:val="17"/>
          <w:color w:val="auto"/>
        </w:rPr>
      </w:pPr>
    </w:p>
    <w:p>
      <w:pPr>
        <w:ind w:left="660" w:hanging="328"/>
        <w:spacing w:after="0" w:line="266" w:lineRule="auto"/>
        <w:tabs>
          <w:tab w:leader="none" w:pos="655"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Registrant’s Registration Statements on Form S-8 (File Nos. </w:t>
      </w:r>
      <w:hyperlink r:id="rId28">
        <w:r>
          <w:rPr>
            <w:rFonts w:ascii="Times New Roman" w:cs="Times New Roman" w:eastAsia="Times New Roman" w:hAnsi="Times New Roman"/>
            <w:sz w:val="18"/>
            <w:szCs w:val="18"/>
            <w:u w:val="single" w:color="auto"/>
            <w:color w:val="0000FF"/>
          </w:rPr>
          <w:t>333-212215</w:t>
        </w:r>
      </w:hyperlink>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u w:val="single" w:color="auto"/>
            <w:color w:val="0000FF"/>
          </w:rPr>
          <w:t>333-224109</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FF"/>
          </w:rPr>
          <w:t>333-228264</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FF"/>
          </w:rPr>
          <w:t>333-230501</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FF"/>
          </w:rPr>
          <w:t>333-239075</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FF"/>
          </w:rPr>
          <w:t>333-256061</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FF"/>
          </w:rPr>
          <w:t>333-264691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35">
        <w:r>
          <w:rPr>
            <w:rFonts w:ascii="Times New Roman" w:cs="Times New Roman" w:eastAsia="Times New Roman" w:hAnsi="Times New Roman"/>
            <w:sz w:val="18"/>
            <w:szCs w:val="18"/>
            <w:u w:val="single" w:color="auto"/>
            <w:color w:val="0000FF"/>
          </w:rPr>
          <w:t>333-274036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36">
        <w:r>
          <w:rPr>
            <w:rFonts w:ascii="Times New Roman" w:cs="Times New Roman" w:eastAsia="Times New Roman" w:hAnsi="Times New Roman"/>
            <w:sz w:val="18"/>
            <w:szCs w:val="18"/>
            <w:u w:val="single" w:color="auto"/>
            <w:color w:val="0000FF"/>
          </w:rPr>
          <w:t>333-276486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with the Securities and Exchange Commission, relating to the Incentive Plan and the Inducement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Plan.</w:t>
      </w:r>
    </w:p>
    <w:p>
      <w:pPr>
        <w:spacing w:after="0" w:line="176" w:lineRule="exact"/>
        <w:rPr>
          <w:rFonts w:ascii="Times New Roman" w:cs="Times New Roman" w:eastAsia="Times New Roman" w:hAnsi="Times New Roman"/>
          <w:sz w:val="18"/>
          <w:szCs w:val="18"/>
          <w:color w:val="0000FF"/>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incorporated herein by reference shall be deemed to be modified or superseded for the purpose of this Registration Statement to the extent that a statement contained herein or in any subsequently filed document which also is, or is deemed to be, incorporated herein by reference modifies or supersedes such statement. Any such statement so modified or superseded shall not be deemed, except as so modified or superseded, to constitute a part of this Registration Statement.</w:t>
      </w:r>
    </w:p>
    <w:p>
      <w:pPr>
        <w:spacing w:after="0" w:line="200" w:lineRule="exact"/>
        <w:rPr>
          <w:rFonts w:ascii="Times New Roman" w:cs="Times New Roman" w:eastAsia="Times New Roman" w:hAnsi="Times New Roman"/>
          <w:sz w:val="18"/>
          <w:szCs w:val="18"/>
          <w:color w:val="0000FF"/>
        </w:rPr>
      </w:pPr>
    </w:p>
    <w:p>
      <w:pPr>
        <w:spacing w:after="0" w:line="204"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8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r>
      <w:tr>
        <w:trPr>
          <w:trHeight w:val="277"/>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3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Restated Certificate of Incorporation of the Registrant (incorporated herein by reference to Exhibit 3.1 of the Registrant’s</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Current Report on Form 8-K (File No. 001-37798) filed on June 29, 2016).</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3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(incorporated herein by reference to Exhibit 3.1 of</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 Registrant’s Current Report on Form 8-K (File No. 001-37798) filed on June 21, 2022).</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3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3</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(incorporated herein by reference to Exhibit 3.3 of</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 Registrant’s Current Report on Form 8-K (File No. 001-37798) filed on November 13, 2023).</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40">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Certificate of Incorporation (incorporated herein by reference to Exhibit 3.2 of</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 Registrant’s Current Report on Form 8-K (File No. 001-37798) filed on March 28, 2024).</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4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5</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herein by reference to Exhibit 3.2 of the Registrant’s</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Quarterly Report on Form 10-Q (File No. 001-37798) filed on November 13, 2023).</w:t>
            </w:r>
          </w:p>
        </w:tc>
      </w:tr>
      <w:tr>
        <w:trPr>
          <w:trHeight w:val="194"/>
        </w:trPr>
        <w:tc>
          <w:tcPr>
            <w:tcW w:w="260" w:type="dxa"/>
            <w:vAlign w:val="bottom"/>
            <w:gridSpan w:val="2"/>
          </w:tcPr>
          <w:p>
            <w:pPr>
              <w:ind w:left="20"/>
              <w:spacing w:after="0" w:line="194" w:lineRule="exact"/>
              <w:rPr>
                <w:rFonts w:ascii="Times New Roman" w:cs="Times New Roman" w:eastAsia="Times New Roman" w:hAnsi="Times New Roman"/>
                <w:sz w:val="18"/>
                <w:szCs w:val="18"/>
                <w:color w:val="0000FF"/>
                <w:w w:val="97"/>
              </w:rPr>
            </w:pPr>
            <w:hyperlink r:id="rId4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Form of Specimen Certificate Representing Common Stock (incorporated herein by reference to Exhibit 4.2 to the</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Registrant’s Registration Statement on Form S-1 filed on May 24, 2016, File No. 333-211555).</w:t>
            </w:r>
          </w:p>
        </w:tc>
      </w:tr>
      <w:tr>
        <w:trPr>
          <w:trHeight w:val="194"/>
        </w:trPr>
        <w:tc>
          <w:tcPr>
            <w:tcW w:w="20" w:type="dxa"/>
            <w:vAlign w:val="bottom"/>
          </w:tcPr>
          <w:p>
            <w:pPr>
              <w:spacing w:after="0"/>
              <w:rPr>
                <w:sz w:val="16"/>
                <w:szCs w:val="16"/>
                <w:color w:val="auto"/>
              </w:rPr>
            </w:pPr>
          </w:p>
        </w:tc>
        <w:tc>
          <w:tcPr>
            <w:tcW w:w="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5.</w:t>
            </w:r>
            <w:r>
              <w:rPr>
                <w:rFonts w:ascii="Times New Roman" w:cs="Times New Roman" w:eastAsia="Times New Roman" w:hAnsi="Times New Roman"/>
                <w:sz w:val="18"/>
                <w:szCs w:val="18"/>
                <w:u w:val="single" w:color="auto"/>
                <w:color w:val="0000FF"/>
                <w:w w:val="95"/>
              </w:rPr>
              <w:t>1</w:t>
            </w:r>
            <w:r>
              <w:rPr>
                <w:rFonts w:ascii="Times New Roman" w:cs="Times New Roman" w:eastAsia="Times New Roman" w:hAnsi="Times New Roman"/>
                <w:sz w:val="18"/>
                <w:szCs w:val="18"/>
                <w:color w:val="000000"/>
                <w:w w:val="95"/>
              </w:rPr>
              <w:t>*</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Opinion of Covington &amp; Burling LLP.</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00"/>
                <w:w w:val="98"/>
              </w:rPr>
              <w:t>*</w:t>
            </w: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Consent of Ernst &amp; Young LLP, the Registrant's independent registered public accounting firm.</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2</w:t>
            </w:r>
            <w:r>
              <w:rPr>
                <w:rFonts w:ascii="Times New Roman" w:cs="Times New Roman" w:eastAsia="Times New Roman" w:hAnsi="Times New Roman"/>
                <w:sz w:val="18"/>
                <w:szCs w:val="18"/>
                <w:color w:val="000000"/>
                <w:w w:val="98"/>
              </w:rPr>
              <w:t>*</w:t>
            </w: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Consent of Covington &amp; Burling LLP (included in Exhibit 5.1).</w:t>
            </w: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24.1*</w:t>
            </w: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pages of this Registration Statement).</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w w:val="95"/>
              </w:rPr>
            </w:pPr>
            <w:hyperlink r:id="rId43">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Cartesian Therapeutics, Inc. Amended and Restated 2016 Incentive Award Plan, and forms of award agreements</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thereunder (incorporated herein by reference to Exhibit 10.1 of the Registrant’s Registration Statement on Form S-1 (File</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No. 333-281204) filed on August 2, 2024).</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w w:val="95"/>
              </w:rPr>
            </w:pPr>
            <w:hyperlink r:id="rId44">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hyperlink>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Cartesian Therapeutics, Inc. Amended and Restated 2018 Employment Inducement Incentive Award Plan, and forms of</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award agreements thereunder (incorporated herein by reference to Exhibit 10.3 to the Registrant’s Registration Statement</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on Form S-1 (File No. 333-281204) filed on August 2, 2024).</w:t>
            </w:r>
          </w:p>
        </w:tc>
      </w:tr>
      <w:tr>
        <w:trPr>
          <w:trHeight w:val="194"/>
        </w:trPr>
        <w:tc>
          <w:tcPr>
            <w:tcW w:w="20" w:type="dxa"/>
            <w:vAlign w:val="bottom"/>
          </w:tcPr>
          <w:p>
            <w:pPr>
              <w:spacing w:after="0"/>
              <w:rPr>
                <w:sz w:val="16"/>
                <w:szCs w:val="16"/>
                <w:color w:val="auto"/>
              </w:rPr>
            </w:pPr>
          </w:p>
        </w:tc>
        <w:tc>
          <w:tcPr>
            <w:tcW w:w="18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rPr>
              <w:t>107.</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540" w:type="dxa"/>
            <w:vAlign w:val="bottom"/>
          </w:tcPr>
          <w:p>
            <w:pPr>
              <w:spacing w:after="0"/>
              <w:rPr>
                <w:sz w:val="16"/>
                <w:szCs w:val="16"/>
                <w:color w:val="auto"/>
              </w:rPr>
            </w:pPr>
          </w:p>
        </w:tc>
        <w:tc>
          <w:tcPr>
            <w:tcW w:w="88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Filing fee table.</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06"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the requirements for filing on Form S-8 and has duly caused this registration statement to be signed on its behalf by the undersigned, thereunto duly authorized, in the City of Frederick, State of Maryland, as of November 7, 2024.</w:t>
      </w:r>
    </w:p>
    <w:p>
      <w:pPr>
        <w:spacing w:after="0" w:line="26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297" w:lineRule="exact"/>
        <w:rPr>
          <w:sz w:val="20"/>
          <w:szCs w:val="20"/>
          <w:color w:val="auto"/>
        </w:rPr>
      </w:pPr>
    </w:p>
    <w:p>
      <w:pPr>
        <w:ind w:left="6460"/>
        <w:spacing w:after="0"/>
        <w:tabs>
          <w:tab w:leader="none" w:pos="6940" w:val="left"/>
        </w:tabs>
        <w:rPr>
          <w:sz w:val="20"/>
          <w:szCs w:val="20"/>
          <w:color w:val="auto"/>
        </w:rPr>
      </w:pPr>
      <w:r>
        <w:rPr>
          <w:rFonts w:ascii="Times New Roman" w:cs="Times New Roman" w:eastAsia="Times New Roman" w:hAnsi="Times New Roman"/>
          <w:sz w:val="18"/>
          <w:szCs w:val="18"/>
          <w:color w:val="auto"/>
        </w:rPr>
        <w:t>By:</w:t>
        <w:tab/>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726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765"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severally constitutes and appoints Carsten Brunn, Ph.D. and Blaine Davis,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329" w:lineRule="exact"/>
        <w:rPr>
          <w:sz w:val="20"/>
          <w:szCs w:val="20"/>
          <w:color w:val="auto"/>
        </w:rPr>
      </w:pPr>
    </w:p>
    <w:p>
      <w:pPr>
        <w:jc w:val="both"/>
        <w:ind w:firstLine="83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620" w:type="dxa"/>
            <w:vAlign w:val="bottom"/>
          </w:tcPr>
          <w:p>
            <w:pPr>
              <w:spacing w:after="0"/>
              <w:rPr>
                <w:sz w:val="17"/>
                <w:szCs w:val="17"/>
                <w:color w:val="auto"/>
              </w:rPr>
            </w:pPr>
          </w:p>
        </w:tc>
        <w:tc>
          <w:tcPr>
            <w:tcW w:w="5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84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20"/>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c>
          <w:tcPr>
            <w:tcW w:w="5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President and Chief Executive Officer, and Director</w:t>
            </w:r>
          </w:p>
        </w:tc>
        <w:tc>
          <w:tcPr>
            <w:tcW w:w="17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c>
          <w:tcPr>
            <w:tcW w:w="5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Blaine Davis</w:t>
            </w:r>
          </w:p>
        </w:tc>
        <w:tc>
          <w:tcPr>
            <w:tcW w:w="5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7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Blaine Davis</w:t>
            </w:r>
          </w:p>
        </w:tc>
        <w:tc>
          <w:tcPr>
            <w:tcW w:w="5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Carrie S. Cox</w:t>
            </w:r>
          </w:p>
        </w:tc>
        <w:tc>
          <w:tcPr>
            <w:tcW w:w="51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Chairman of the Board</w:t>
            </w:r>
          </w:p>
        </w:tc>
        <w:tc>
          <w:tcPr>
            <w:tcW w:w="17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Carrie S. Cox</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Timothy C. Barabe</w:t>
            </w:r>
          </w:p>
        </w:tc>
        <w:tc>
          <w:tcPr>
            <w:tcW w:w="5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Timothy C. Barabe</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Nishan de Silva, M.D.</w:t>
            </w:r>
          </w:p>
        </w:tc>
        <w:tc>
          <w:tcPr>
            <w:tcW w:w="5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Nishan de Silva, M.D.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Murat Kalayoglu, M.D. Ph.D.</w:t>
            </w:r>
          </w:p>
        </w:tc>
        <w:tc>
          <w:tcPr>
            <w:tcW w:w="5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Murat Kalayoglu, M.D. Ph.D.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Kemal Malik, MBBS</w:t>
            </w:r>
          </w:p>
        </w:tc>
        <w:tc>
          <w:tcPr>
            <w:tcW w:w="5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Kemal Malik, MBBS</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Singer, M.D. Ph.D.</w:t>
            </w:r>
          </w:p>
        </w:tc>
        <w:tc>
          <w:tcPr>
            <w:tcW w:w="5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Singer, M.D. Ph.D.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Timothy Springer, Ph.D.</w:t>
            </w:r>
          </w:p>
        </w:tc>
        <w:tc>
          <w:tcPr>
            <w:tcW w:w="5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Timothy Springer, Ph.D.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Patrick Zenner</w:t>
            </w:r>
          </w:p>
        </w:tc>
        <w:tc>
          <w:tcPr>
            <w:tcW w:w="5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November 7, 2024</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Patrick Zenner</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765" w:right="339" w:bottom="1440" w:gutter="0" w:footer="0" w:header="0"/>
        </w:sectPr>
      </w:pPr>
    </w:p>
    <w:bookmarkStart w:id="6" w:name="page7"/>
    <w:bookmarkEnd w:id="6"/>
    <w:p>
      <w:pPr>
        <w:ind w:left="102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60" w:type="dxa"/>
            <w:vAlign w:val="bottom"/>
            <w:tcBorders>
              <w:top w:val="single" w:sz="8" w:color="auto"/>
              <w:left w:val="single" w:sz="8" w:color="auto"/>
              <w:right w:val="single" w:sz="8" w:color="auto"/>
            </w:tcBorders>
          </w:tcPr>
          <w:p>
            <w:pPr>
              <w:spacing w:after="0"/>
              <w:rPr>
                <w:sz w:val="16"/>
                <w:szCs w:val="16"/>
                <w:color w:val="auto"/>
              </w:rPr>
            </w:pPr>
          </w:p>
        </w:tc>
        <w:tc>
          <w:tcPr>
            <w:tcW w:w="206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48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Proposed</w:t>
            </w:r>
          </w:p>
        </w:tc>
        <w:tc>
          <w:tcPr>
            <w:tcW w:w="1260" w:type="dxa"/>
            <w:vAlign w:val="bottom"/>
            <w:tcBorders>
              <w:top w:val="single" w:sz="8" w:color="auto"/>
              <w:right w:val="single" w:sz="8" w:color="auto"/>
            </w:tcBorders>
          </w:tcPr>
          <w:p>
            <w:pPr>
              <w:spacing w:after="0"/>
              <w:rPr>
                <w:sz w:val="16"/>
                <w:szCs w:val="16"/>
                <w:color w:val="auto"/>
              </w:rPr>
            </w:pP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81"/>
        </w:trPr>
        <w:tc>
          <w:tcPr>
            <w:tcW w:w="1260" w:type="dxa"/>
            <w:vAlign w:val="bottom"/>
            <w:tcBorders>
              <w:left w:val="single" w:sz="8" w:color="auto"/>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3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48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2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0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26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to be</w:t>
            </w:r>
          </w:p>
        </w:tc>
        <w:tc>
          <w:tcPr>
            <w:tcW w:w="124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Fee Rate</w:t>
            </w:r>
          </w:p>
        </w:tc>
        <w:tc>
          <w:tcPr>
            <w:tcW w:w="14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94"/>
        </w:trPr>
        <w:tc>
          <w:tcPr>
            <w:tcW w:w="1260" w:type="dxa"/>
            <w:vAlign w:val="bottom"/>
            <w:tcBorders>
              <w:left w:val="single" w:sz="8" w:color="auto"/>
              <w:right w:val="single" w:sz="8" w:color="auto"/>
            </w:tcBorders>
            <w:vMerge w:val="continue"/>
          </w:tcPr>
          <w:p>
            <w:pPr>
              <w:spacing w:after="0"/>
              <w:rPr>
                <w:sz w:val="8"/>
                <w:szCs w:val="8"/>
                <w:color w:val="auto"/>
              </w:rPr>
            </w:pPr>
          </w:p>
        </w:tc>
        <w:tc>
          <w:tcPr>
            <w:tcW w:w="206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0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6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18"/>
                <w:szCs w:val="18"/>
                <w:b w:val="1"/>
                <w:bCs w:val="1"/>
                <w:color w:val="auto"/>
                <w:vertAlign w:val="superscript"/>
              </w:rPr>
              <w:t>(1)</w:t>
            </w:r>
          </w:p>
        </w:tc>
        <w:tc>
          <w:tcPr>
            <w:tcW w:w="1240" w:type="dxa"/>
            <w:vAlign w:val="bottom"/>
            <w:tcBorders>
              <w:right w:val="single" w:sz="8" w:color="auto"/>
            </w:tcBorders>
            <w:vMerge w:val="continue"/>
          </w:tcPr>
          <w:p>
            <w:pPr>
              <w:spacing w:after="0"/>
              <w:rPr>
                <w:sz w:val="14"/>
                <w:szCs w:val="14"/>
                <w:color w:val="auto"/>
              </w:rPr>
            </w:pPr>
          </w:p>
        </w:tc>
        <w:tc>
          <w:tcPr>
            <w:tcW w:w="148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48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6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Rules 457(c)</w:t>
            </w:r>
          </w:p>
        </w:tc>
        <w:tc>
          <w:tcPr>
            <w:tcW w:w="1300" w:type="dxa"/>
            <w:vAlign w:val="bottom"/>
            <w:tcBorders>
              <w:right w:val="single" w:sz="8" w:color="auto"/>
            </w:tcBorders>
          </w:tcPr>
          <w:p>
            <w:pPr>
              <w:jc w:val="center"/>
              <w:ind w:right="117"/>
              <w:spacing w:after="0" w:line="191" w:lineRule="exact"/>
              <w:rPr>
                <w:sz w:val="20"/>
                <w:szCs w:val="20"/>
                <w:color w:val="auto"/>
              </w:rPr>
            </w:pPr>
            <w:r>
              <w:rPr>
                <w:rFonts w:ascii="Times New Roman" w:cs="Times New Roman" w:eastAsia="Times New Roman" w:hAnsi="Times New Roman"/>
                <w:sz w:val="17"/>
                <w:szCs w:val="17"/>
                <w:color w:val="auto"/>
              </w:rPr>
              <w:t xml:space="preserve">3,682,447 </w:t>
            </w:r>
            <w:r>
              <w:rPr>
                <w:rFonts w:ascii="Times New Roman" w:cs="Times New Roman" w:eastAsia="Times New Roman" w:hAnsi="Times New Roman"/>
                <w:sz w:val="22"/>
                <w:szCs w:val="22"/>
                <w:color w:val="auto"/>
                <w:vertAlign w:val="superscript"/>
              </w:rPr>
              <w:t>(2)</w:t>
            </w:r>
          </w:p>
        </w:tc>
        <w:tc>
          <w:tcPr>
            <w:tcW w:w="12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w w:val="96"/>
              </w:rPr>
              <w:t xml:space="preserve">$19.98 </w:t>
            </w:r>
            <w:r>
              <w:rPr>
                <w:rFonts w:ascii="Times New Roman" w:cs="Times New Roman" w:eastAsia="Times New Roman" w:hAnsi="Times New Roman"/>
                <w:sz w:val="22"/>
                <w:szCs w:val="22"/>
                <w:color w:val="auto"/>
                <w:w w:val="96"/>
                <w:vertAlign w:val="superscript"/>
              </w:rPr>
              <w:t>(3)</w:t>
            </w:r>
          </w:p>
        </w:tc>
        <w:tc>
          <w:tcPr>
            <w:tcW w:w="1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$73,575,291.06</w:t>
            </w:r>
          </w:p>
        </w:tc>
        <w:tc>
          <w:tcPr>
            <w:tcW w:w="1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$153.10 per</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$11,264.38</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$0.0001 per share, to be</w:t>
            </w: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 457(h)</w:t>
            </w: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$1,000,000</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issued under the</w:t>
            </w: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Registrant’s Amended and</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Restated 2016 Incentive</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Award Plan</w:t>
            </w:r>
          </w:p>
        </w:tc>
        <w:tc>
          <w:tcPr>
            <w:tcW w:w="12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Equity</w:t>
            </w:r>
          </w:p>
        </w:tc>
        <w:tc>
          <w:tcPr>
            <w:tcW w:w="20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Rules 457(c)</w:t>
            </w:r>
          </w:p>
        </w:tc>
        <w:tc>
          <w:tcPr>
            <w:tcW w:w="1300" w:type="dxa"/>
            <w:vAlign w:val="bottom"/>
            <w:tcBorders>
              <w:right w:val="single" w:sz="8" w:color="auto"/>
            </w:tcBorders>
          </w:tcPr>
          <w:p>
            <w:pPr>
              <w:jc w:val="center"/>
              <w:ind w:right="177"/>
              <w:spacing w:after="0" w:line="169" w:lineRule="exact"/>
              <w:rPr>
                <w:sz w:val="20"/>
                <w:szCs w:val="20"/>
                <w:color w:val="auto"/>
              </w:rPr>
            </w:pPr>
            <w:r>
              <w:rPr>
                <w:rFonts w:ascii="Times New Roman" w:cs="Times New Roman" w:eastAsia="Times New Roman" w:hAnsi="Times New Roman"/>
                <w:sz w:val="15"/>
                <w:szCs w:val="15"/>
                <w:color w:val="auto"/>
              </w:rPr>
              <w:t xml:space="preserve">360,000 </w:t>
            </w:r>
            <w:r>
              <w:rPr>
                <w:rFonts w:ascii="Times New Roman" w:cs="Times New Roman" w:eastAsia="Times New Roman" w:hAnsi="Times New Roman"/>
                <w:sz w:val="19"/>
                <w:szCs w:val="19"/>
                <w:color w:val="auto"/>
                <w:vertAlign w:val="superscript"/>
              </w:rPr>
              <w:t>(4)</w:t>
            </w:r>
          </w:p>
        </w:tc>
        <w:tc>
          <w:tcPr>
            <w:tcW w:w="12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rPr>
              <w:t xml:space="preserve">$19.98 </w:t>
            </w:r>
            <w:r>
              <w:rPr>
                <w:rFonts w:ascii="Times New Roman" w:cs="Times New Roman" w:eastAsia="Times New Roman" w:hAnsi="Times New Roman"/>
                <w:sz w:val="19"/>
                <w:szCs w:val="19"/>
                <w:color w:val="auto"/>
                <w:vertAlign w:val="superscript"/>
              </w:rPr>
              <w:t>(3)</w:t>
            </w:r>
          </w:p>
        </w:tc>
        <w:tc>
          <w:tcPr>
            <w:tcW w:w="14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$7,192,800.00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$153.10 per</w:t>
            </w:r>
          </w:p>
        </w:tc>
        <w:tc>
          <w:tcPr>
            <w:tcW w:w="14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$1,101.22</w:t>
            </w:r>
          </w:p>
        </w:tc>
        <w:tc>
          <w:tcPr>
            <w:tcW w:w="0" w:type="dxa"/>
            <w:vAlign w:val="bottom"/>
          </w:tcPr>
          <w:p>
            <w:pPr>
              <w:spacing w:after="0"/>
              <w:rPr>
                <w:sz w:val="1"/>
                <w:szCs w:val="1"/>
                <w:color w:val="auto"/>
              </w:rPr>
            </w:pPr>
          </w:p>
        </w:tc>
      </w:tr>
      <w:tr>
        <w:trPr>
          <w:trHeight w:val="225"/>
        </w:trPr>
        <w:tc>
          <w:tcPr>
            <w:tcW w:w="1260" w:type="dxa"/>
            <w:vAlign w:val="bottom"/>
            <w:tcBorders>
              <w:left w:val="single" w:sz="8" w:color="auto"/>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 share, to be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457(h)</w:t>
            </w:r>
          </w:p>
        </w:tc>
        <w:tc>
          <w:tcPr>
            <w:tcW w:w="13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issued under the</w:t>
            </w: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Registrant’s Amended and</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Restated 2018 Employment</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Inducement Award Plan</w:t>
            </w:r>
          </w:p>
        </w:tc>
        <w:tc>
          <w:tcPr>
            <w:tcW w:w="12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$80,768,091.06</w:t>
            </w: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$12,365.60</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 xml:space="preserve">Total Fee Offsets </w:t>
            </w:r>
            <w:r>
              <w:rPr>
                <w:rFonts w:ascii="Times New Roman" w:cs="Times New Roman" w:eastAsia="Times New Roman" w:hAnsi="Times New Roman"/>
                <w:sz w:val="23"/>
                <w:szCs w:val="23"/>
                <w:color w:val="auto"/>
                <w:w w:val="94"/>
                <w:vertAlign w:val="superscript"/>
              </w:rPr>
              <w:t>(5)</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Net Fee Due</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$12,365.60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60" w:right="140" w:hanging="328"/>
        <w:spacing w:after="0" w:line="24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“Securities Act”), this registration statement (this “Registration Statement”) shall be deemed to cover any additional securities that may from time to time be offered or issued under the Cartesian Therapeutics, Inc. Amended and Restated 2016 Incentive Award Plan (the “Incentive Plan”) and the Cartesian Therapeutics, Inc. Amended and Restated 2018 Employment Inducement Incentive Award Plan (the “Inducement Plan”) to prevent dilution resulting from stock splits, stock dividends or similar transactions.</w:t>
      </w:r>
    </w:p>
    <w:p>
      <w:pPr>
        <w:spacing w:after="0" w:line="9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3,682,447 shares of the Registrant’s common stock, par value $0.0001 per share (the “Common Stock”) that may become issuable under the Incentive Plan pursuant to its terms.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and based upon the average of the high and low prices of the Registrant’s Common Stock as reported on the Nasdaq Global Market on November 1, 2024.</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360,000 shares of Common Stock that may become issuable under the Inducement Plan pursuant to its terms.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ectPr>
          <w:pgSz w:w="11900" w:h="16838" w:orient="portrait"/>
          <w:cols w:equalWidth="0" w:num="1">
            <w:col w:w="11260"/>
          </w:cols>
          <w:pgMar w:left="320" w:top="765"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831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a:extLst>
                        <a:ext uri="{28A0092B-C50C-407E-A947-70E740481C1C}"/>
                      </a:extLst>
                    </a:blip>
                    <a:srcRect/>
                    <a:stretch>
                      <a:fillRect/>
                    </a:stretch>
                  </pic:blipFill>
                  <pic:spPr bwMode="auto">
                    <a:xfrm>
                      <a:off x="0" y="0"/>
                      <a:ext cx="519493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November 7, 2024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Cartesian Therapeutics, Inc.</w:t>
      </w:r>
    </w:p>
    <w:p>
      <w:pPr>
        <w:spacing w:after="0" w:line="225" w:lineRule="auto"/>
        <w:rPr>
          <w:sz w:val="20"/>
          <w:szCs w:val="20"/>
          <w:color w:val="auto"/>
        </w:rPr>
      </w:pPr>
      <w:r>
        <w:rPr>
          <w:rFonts w:ascii="Times New Roman" w:cs="Times New Roman" w:eastAsia="Times New Roman" w:hAnsi="Times New Roman"/>
          <w:sz w:val="20"/>
          <w:szCs w:val="20"/>
          <w:color w:val="auto"/>
        </w:rPr>
        <w:t>7495 New Horizon Way</w:t>
      </w:r>
    </w:p>
    <w:p>
      <w:pPr>
        <w:spacing w:after="0"/>
        <w:rPr>
          <w:sz w:val="20"/>
          <w:szCs w:val="20"/>
          <w:color w:val="auto"/>
        </w:rPr>
      </w:pPr>
      <w:r>
        <w:rPr>
          <w:rFonts w:ascii="Times New Roman" w:cs="Times New Roman" w:eastAsia="Times New Roman" w:hAnsi="Times New Roman"/>
          <w:sz w:val="20"/>
          <w:szCs w:val="20"/>
          <w:color w:val="auto"/>
        </w:rPr>
        <w:t>Frederick, MD 21703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4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0"/>
          <w:szCs w:val="20"/>
          <w:color w:val="auto"/>
        </w:rPr>
        <w:t>We have acted as counsel to Cartesian Therapeutics, Inc., a Delaware corporation (the “Company”), in connection with the registration by the Company under the Securities Act of 1933, as amended (the “Act”), of 4,042,447 shares of the Company’s common stock, par value $0.0001 per share (the “Shares”), issuable under the Company’s Amended and Restated 2016 Incentive Award Plan (the “Incentive Plan”) and under the Company’s Amended and Restated 2018 Employment Inducement Incentive Award Plan (the “Inducement Plan”), pursuant to the registration statement on Form S-8 being filed with the Securities and Exchange Commission on the date hereof (such registration statement is referred to herein as the “Registration Statement”).</w:t>
      </w:r>
    </w:p>
    <w:p>
      <w:pPr>
        <w:spacing w:after="0" w:line="2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195" w:lineRule="exact"/>
        <w:rPr>
          <w:sz w:val="20"/>
          <w:szCs w:val="20"/>
          <w:color w:val="auto"/>
        </w:rPr>
      </w:pPr>
    </w:p>
    <w:p>
      <w:pPr>
        <w:ind w:right="680" w:firstLine="648"/>
        <w:spacing w:after="0" w:line="283" w:lineRule="auto"/>
        <w:rPr>
          <w:sz w:val="20"/>
          <w:szCs w:val="20"/>
          <w:color w:val="auto"/>
        </w:rPr>
      </w:pPr>
      <w:r>
        <w:rPr>
          <w:rFonts w:ascii="Times New Roman" w:cs="Times New Roman" w:eastAsia="Times New Roman" w:hAnsi="Times New Roman"/>
          <w:sz w:val="20"/>
          <w:szCs w:val="20"/>
          <w:color w:val="auto"/>
        </w:rPr>
        <w:t>We have relied as to certain matters on information obtained from public officials, officers of the Company and other sources believed by us to be responsible.</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0"/>
          <w:szCs w:val="20"/>
          <w:color w:val="auto"/>
        </w:rPr>
        <w:t>Based upon the foregoing, we are of the opinion that the Shares have been duly authorized and, when issued and paid for in accordance with the terms of the Company’s Restated Certificate of Incorporation, as amended, the Incentive Plan or the Inducement Plan, as the case may be, and any individual agreements relating to such Shares, will be validly issued, fully paid and nonassessable.</w:t>
      </w:r>
    </w:p>
    <w:p>
      <w:pPr>
        <w:spacing w:after="0" w:line="195" w:lineRule="exact"/>
        <w:rPr>
          <w:sz w:val="20"/>
          <w:szCs w:val="20"/>
          <w:color w:val="auto"/>
        </w:rPr>
      </w:pPr>
    </w:p>
    <w:p>
      <w:pPr>
        <w:ind w:right="540" w:firstLine="648"/>
        <w:spacing w:after="0" w:line="283" w:lineRule="auto"/>
        <w:rPr>
          <w:sz w:val="20"/>
          <w:szCs w:val="20"/>
          <w:color w:val="auto"/>
        </w:rPr>
      </w:pPr>
      <w:r>
        <w:rPr>
          <w:rFonts w:ascii="Times New Roman" w:cs="Times New Roman" w:eastAsia="Times New Roman" w:hAnsi="Times New Roman"/>
          <w:sz w:val="20"/>
          <w:szCs w:val="20"/>
          <w:color w:val="auto"/>
        </w:rPr>
        <w:t>We are members of the bar of the State of New York. We do not express any opinion herein on any laws other than the General Corporation Law of the State of Delaware and reported judicial decisions interpreting such law.</w:t>
      </w:r>
    </w:p>
    <w:p>
      <w:pPr>
        <w:spacing w:after="0" w:line="18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We hereby consent to the filing of this opinion as Exhibit 5.1 to the Registration Statement. In giving such consent, we do not thereby admit that we are in the category of persons whose consent is required under Section 7 of the Act.</w:t>
      </w:r>
    </w:p>
    <w:p>
      <w:pPr>
        <w:spacing w:after="0" w:line="34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8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0"/>
          <w:szCs w:val="20"/>
          <w:color w:val="auto"/>
        </w:rPr>
        <w:t>/s/ Covington &amp; Burling LLP</w:t>
      </w:r>
    </w:p>
    <w:p>
      <w:pPr>
        <w:sectPr>
          <w:pgSz w:w="11900" w:h="16838" w:orient="portrait"/>
          <w:cols w:equalWidth="0" w:num="1">
            <w:col w:w="11240"/>
          </w:cols>
          <w:pgMar w:left="320" w:top="76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9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Cartesian Therapeutics, Inc. Amended and Restated 2016 Incentive Award Plan and Cartesian Therapeutics, Inc. Amended and Restated 2018 Employment Inducement Incentive Award Plan of our reports dated March 7, 2024, with respect to the consolidated financial statements of Cartesian Therapeutics, Inc., and the effectiveness of internal control over financial reporting of Cartesian Therapeutics, Inc., included in its Annual Report (Form 10-K) for the year ended December 31, 2023, filed with the Securities and Exchange Commission.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7,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45" Type="http://schemas.openxmlformats.org/officeDocument/2006/relationships/image" Target="media/image5.png"/><Relationship Id="rId46" Type="http://schemas.openxmlformats.org/officeDocument/2006/relationships/image" Target="media/image6.jpeg"/><Relationship Id="rId12" Type="http://schemas.openxmlformats.org/officeDocument/2006/relationships/hyperlink" Target="https://www.sec.gov/ix?doc=/Archives/edgar/data/1453687/000145368724000076/rnac-20240426.htm" TargetMode="External"/><Relationship Id="rId13" Type="http://schemas.openxmlformats.org/officeDocument/2006/relationships/hyperlink" Target="https://www.sec.gov/ix?doc=/Archives/edgar/data/1453687/000145368724000036/rnac-20231231.htm" TargetMode="External"/><Relationship Id="rId14" Type="http://schemas.openxmlformats.org/officeDocument/2006/relationships/hyperlink" Target="https://www.sec.gov/ix?doc=/Archives/edgar/data/1453687/000145368724000082/rnac-20240331.htm" TargetMode="External"/><Relationship Id="rId15" Type="http://schemas.openxmlformats.org/officeDocument/2006/relationships/hyperlink" Target="https://www.sec.gov/ix?doc=/Archives/edgar/data/1453687/000145368724000102/rnac-20240630.htm" TargetMode="External"/><Relationship Id="rId16" Type="http://schemas.openxmlformats.org/officeDocument/2006/relationships/hyperlink" Target="https://www.sec.gov/ix?doc=/Archives/edgar/data/0001453687/000145368724000124/rnac-20240930.htm" TargetMode="External"/><Relationship Id="rId17" Type="http://schemas.openxmlformats.org/officeDocument/2006/relationships/hyperlink" Target="https://www.sec.gov/ix?doc=/Archives/edgar/data/0001453687/000145368724000030/rnac-20240117.htm" TargetMode="External"/><Relationship Id="rId18" Type="http://schemas.openxmlformats.org/officeDocument/2006/relationships/hyperlink" Target="https://www.sec.gov/ix?doc=/Archives/edgar/data/0001453687/000114036124003407/ny20014884x4_8ka.htm" TargetMode="External"/><Relationship Id="rId19" Type="http://schemas.openxmlformats.org/officeDocument/2006/relationships/hyperlink" Target="https://www.sec.gov/ix?doc=/Archives/edgar/data/0001453687/000114036124011282/ef20023144_8k.htm" TargetMode="External"/><Relationship Id="rId20" Type="http://schemas.openxmlformats.org/officeDocument/2006/relationships/hyperlink" Target="https://www.sec.gov/ix?doc=/Archives/edgar/data/0001453687/000145368724000039/rnac-20240308.htm" TargetMode="External"/><Relationship Id="rId21" Type="http://schemas.openxmlformats.org/officeDocument/2006/relationships/hyperlink" Target="https://www.sec.gov/ix?doc=/Archives/edgar/data/0001453687/000145368724000048/rnac-20240326.htm" TargetMode="External"/><Relationship Id="rId22" Type="http://schemas.openxmlformats.org/officeDocument/2006/relationships/hyperlink" Target="https://www.sec.gov/ix?doc=/Archives/edgar/data/0001453687/000145368724000052/rnac-20240326.htm" TargetMode="External"/><Relationship Id="rId23" Type="http://schemas.openxmlformats.org/officeDocument/2006/relationships/hyperlink" Target="https://www.sec.gov/ix?doc=/Archives/edgar/data/0001453687/000145368724000088/rnac-20240614.htm" TargetMode="External"/><Relationship Id="rId24" Type="http://schemas.openxmlformats.org/officeDocument/2006/relationships/hyperlink" Target="https://www.sec.gov/ix?doc=/Archives/edgar/data/0001453687/000114036124032080/ef20031962_8k.htm" TargetMode="External"/><Relationship Id="rId25" Type="http://schemas.openxmlformats.org/officeDocument/2006/relationships/hyperlink" Target="https://www.sec.gov/ix?doc=/Archives/edgar/data/0001453687/000145368724000108/rnac-20240920.htm" TargetMode="External"/><Relationship Id="rId26" Type="http://schemas.openxmlformats.org/officeDocument/2006/relationships/hyperlink" Target="https://www.sec.gov/ix?doc=/Archives/edgar/data/0001453687/000145368724000110/rnac-20240925.htm" TargetMode="External"/><Relationship Id="rId27" Type="http://schemas.openxmlformats.org/officeDocument/2006/relationships/hyperlink" Target="https://www.sec.gov/Archives/edgar/data/1453687/000145368724000036/exhibit414descriptionofsec.htm" TargetMode="External"/><Relationship Id="rId28" Type="http://schemas.openxmlformats.org/officeDocument/2006/relationships/hyperlink" Target="https://www.sec.gov/Archives/edgar/data/1453687/000110465916129190/a15-22910_14s8.htm" TargetMode="External"/><Relationship Id="rId29" Type="http://schemas.openxmlformats.org/officeDocument/2006/relationships/hyperlink" Target="https://www.sec.gov/Archives/edgar/data/1453687/000145368718000018/selectabiosciencess-8_apri.htm" TargetMode="External"/><Relationship Id="rId30" Type="http://schemas.openxmlformats.org/officeDocument/2006/relationships/hyperlink" Target="https://www.sec.gov/Archives/edgar/data/1453687/000145368718000081/selectabiosciencess-8_nove.htm" TargetMode="External"/><Relationship Id="rId31" Type="http://schemas.openxmlformats.org/officeDocument/2006/relationships/hyperlink" Target="https://www.sec.gov/Archives/edgar/data/1453687/000145368719000036/selectabiosciencess-8_marc.htm" TargetMode="External"/><Relationship Id="rId32" Type="http://schemas.openxmlformats.org/officeDocument/2006/relationships/hyperlink" Target="https://www.sec.gov/Archives/edgar/data/1453687/000145368720000058/selectabiosciencess-8_june.htm" TargetMode="External"/><Relationship Id="rId33" Type="http://schemas.openxmlformats.org/officeDocument/2006/relationships/hyperlink" Target="https://www.sec.gov/Archives/edgar/data/1453687/000145368721000070/selectabiosciences_s8-2021.htm" TargetMode="External"/><Relationship Id="rId34" Type="http://schemas.openxmlformats.org/officeDocument/2006/relationships/hyperlink" Target="https://www.sec.gov/Archives/edgar/data/1453687/000145368722000088/selectabiosciences_s8-2022.htm" TargetMode="External"/><Relationship Id="rId35" Type="http://schemas.openxmlformats.org/officeDocument/2006/relationships/hyperlink" Target="https://www.sec.gov/Archives/edgar/data/1453687/000119312523214712/d642337ds8.htm" TargetMode="External"/><Relationship Id="rId36" Type="http://schemas.openxmlformats.org/officeDocument/2006/relationships/hyperlink" Target="https://www.sec.gov/Archives/edgar/data/1453687/000114036124002120/ny20014884x3_s8.htm" TargetMode="External"/><Relationship Id="rId37" Type="http://schemas.openxmlformats.org/officeDocument/2006/relationships/hyperlink" Target="https://www.sec.gov/Archives/edgar/data/1453687/000110465916129891/a16-14002_1ex3d1.htm" TargetMode="External"/><Relationship Id="rId38" Type="http://schemas.openxmlformats.org/officeDocument/2006/relationships/hyperlink" Target="https://www.sec.gov/Archives/edgar/data/0001453687/000145368722000109/exhibit31_charteramendment.htm" TargetMode="External"/><Relationship Id="rId39" Type="http://schemas.openxmlformats.org/officeDocument/2006/relationships/hyperlink" Target="https://www.sec.gov/Archives/edgar/data/1453687/000119312523275461/d869185dex33.htm" TargetMode="External"/><Relationship Id="rId40" Type="http://schemas.openxmlformats.org/officeDocument/2006/relationships/hyperlink" Target="https://www.sec.gov/Archives/edgar/data/0001453687/000145368724000048/exhibit32certificateofamen.htm" TargetMode="External"/><Relationship Id="rId41" Type="http://schemas.openxmlformats.org/officeDocument/2006/relationships/hyperlink" Target="https://www.sec.gov/Archives/edgar/data/1453687/000119312523276086/d549858dex32.htm" TargetMode="External"/><Relationship Id="rId42" Type="http://schemas.openxmlformats.org/officeDocument/2006/relationships/hyperlink" Target="https://www.sec.gov/Archives/edgar/data/1453687/000104746916013398/a2228672zs-1.htm" TargetMode="External"/><Relationship Id="rId43" Type="http://schemas.openxmlformats.org/officeDocument/2006/relationships/hyperlink" Target="https://www.sec.gov/Archives/edgar/data/0001453687/000114036124035433/ny20033174x1_ex10-1.htm" TargetMode="External"/><Relationship Id="rId44" Type="http://schemas.openxmlformats.org/officeDocument/2006/relationships/hyperlink" Target="https://www.sec.gov/Archives/edgar/data/0001453687/000114036124035433/ny20033174x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2024-11-07T06:48:03Z</dcterms:created>
  <dcterms:modified xsi:type="dcterms:W3CDTF">2024-11-07T06:48:03Z</dcterms:modified>
</cp:coreProperties>
</file>