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65 Grove Street, Watertown, MA 02472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923-1400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SELB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April 29, 2021, Selecta Biosciences, Inc. (the “Company”) and Asklepios BioPharmaceutical, Inc. (“AskBio”) issued a press release relating to their methylmalonic acidemia program. A copy of the above-referenced press release is filed as Exhibit 99.1 to this Current Report on Form 8-K.</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the Company and AskBio dated April 29,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Carsten Brunn, Ph.D.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7447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5829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300355</wp:posOffset>
            </wp:positionV>
            <wp:extent cx="125158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and AskBio Announce Updates to Methylmalonic Acidemia (MMA-101) Program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Methylmalonic Acidemia (</w:t>
      </w:r>
      <w:r>
        <w:rPr>
          <w:rFonts w:ascii="Arial" w:cs="Arial" w:eastAsia="Arial" w:hAnsi="Arial"/>
          <w:sz w:val="18"/>
          <w:szCs w:val="18"/>
          <w:i w:val="1"/>
          <w:iCs w:val="1"/>
          <w:color w:val="auto"/>
        </w:rPr>
        <w:t>MMA) program to become wholly-owned by Selecta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Selecta to postpone IND submission until at least the fourth quarter of 2021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Empty capsid (SEL-399) study remains on track –</w:t>
      </w:r>
    </w:p>
    <w:p>
      <w:pPr>
        <w:spacing w:after="0" w:line="2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WATERTOWN, Mass., and Research Triangle Park, N.C., April. 29, 2021 — </w:t>
      </w:r>
      <w:r>
        <w:rPr>
          <w:rFonts w:ascii="Arial" w:cs="Arial" w:eastAsia="Arial" w:hAnsi="Arial"/>
          <w:sz w:val="18"/>
          <w:szCs w:val="18"/>
          <w:color w:val="auto"/>
        </w:rPr>
        <w:t>Selecta Biosciences, Inc. (NASDAQ: SELB) and Asklepios</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Inc. (AskBio), today announced an update to the companies’ collaboration to evaluate gene therapy candidate MMA-101 and ImmTOR</w:t>
      </w:r>
      <w:r>
        <w:rPr>
          <w:rFonts w:ascii="Arial" w:cs="Arial" w:eastAsia="Arial" w:hAnsi="Arial"/>
          <w:sz w:val="15"/>
          <w:szCs w:val="15"/>
          <w:color w:val="auto"/>
        </w:rPr>
        <w:t>™</w:t>
      </w:r>
      <w:r>
        <w:rPr>
          <w:rFonts w:ascii="Arial" w:cs="Arial" w:eastAsia="Arial" w:hAnsi="Arial"/>
          <w:sz w:val="18"/>
          <w:szCs w:val="18"/>
          <w:color w:val="auto"/>
        </w:rPr>
        <w:t xml:space="preserve"> for the treatment of methylmalonic acidemia (MMA). Selecta will assume all rights to the MMA program and will continue to progress the MMA-101 and ImmTOR combination through clinical development. AskBio’s decision to give all rights to Selecta is based on an internal strategic review and prioritization of its portfolio.</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“Obtaining exclusive rights to the MMA program further strengthens Selecta’s wholly-owned gene therapy portfolio,” said Carsten Brunn, Ph.D., president and chief executive officer of Selecta. “We are grateful to the AskBio team for their partnership in progressing MMA-101 through IND-enabling studies and look forward to taking advantage of this opportunity to independently advance the program through clinical development. Additionally, we are pleased with the progress made to date in our first-in-human trial of ImmTOR for gene therapy with the empty capsid study, which remains a collaborative effort with AskBio.”</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a manufacturing issue we believe is related to a component sourced from a third-party, Selecta now expects that submission of the IND for MMA-101 and ImmTOR will be delayed until at least the fourth quarter of 2021. A detailed assessment of the manufacturing process is currently being conducted, and the Company expects to provide an update on program timelines as they are clarified. ImmTOR manufacturing continues to proceed smoothly, and there is no impact to any of Selecta’s ImmTOR programs.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dose-escalation trial of SEL-399, an adeno-associated viral serotype 8 (AAV8) empty vector capsid (EMC-101) containing no DNA combined with ImmTOR, is currently underway and progressing as expected. The study, being conducted in healthy volunteers at the SGS Life Sciences Clinical Pharmacology Unit in Antwerp, Belgium, is designed to evaluate the safety and preliminary efficacy of ImmTOR in gene therapy. Selecta and AskBio intend to provide topline data in the fourth quarter of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 Biosciences, Inc.</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Selecta Biosciences Inc. (NASDAQ: SELB) is a clinical stage biotechnology company leveraging its ImmTOR</w:t>
      </w:r>
      <w:r>
        <w:rPr>
          <w:rFonts w:ascii="Arial" w:cs="Arial" w:eastAsia="Arial" w:hAnsi="Arial"/>
          <w:sz w:val="13"/>
          <w:szCs w:val="13"/>
          <w:color w:val="auto"/>
        </w:rPr>
        <w:t>™</w:t>
      </w:r>
      <w:r>
        <w:rPr>
          <w:rFonts w:ascii="Arial" w:cs="Arial" w:eastAsia="Arial" w:hAnsi="Arial"/>
          <w:sz w:val="16"/>
          <w:szCs w:val="16"/>
          <w:color w:val="auto"/>
        </w:rPr>
        <w:t xml:space="preserve">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16"/>
          <w:szCs w:val="16"/>
          <w:u w:val="single" w:color="auto"/>
          <w:color w:val="auto"/>
        </w:rPr>
        <w:t>www.selectabio.com</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About AskBio</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Asklepios BioPharmaceutical, Inc. (AskBio), a wholly owned and independently operated subsidiary of Bayer AG acquired in 2020, is a fully integrated AAV gene therapy company dedicated to developing life-saving medicines that cure genetic diseases. The company maintains a portfolio of clinical programs across a range of neuromuscular, central nervous system, cardiovascular and metabolic disease indications with a clinical-stage pipeline that includes therapeutics for Pompe disease, Parkinson’s disease and congestive heart failure, as well as out-licensed clinical indications for hemophilia and Duchenne muscular dystrophy. AskBio’s gene therapy platform includes Pro10</w:t>
      </w:r>
      <w:r>
        <w:rPr>
          <w:rFonts w:ascii="Arial" w:cs="Arial" w:eastAsia="Arial" w:hAnsi="Arial"/>
          <w:sz w:val="13"/>
          <w:szCs w:val="13"/>
          <w:color w:val="auto"/>
        </w:rPr>
        <w:t>™</w:t>
      </w:r>
      <w:r>
        <w:rPr>
          <w:rFonts w:ascii="Arial" w:cs="Arial" w:eastAsia="Arial" w:hAnsi="Arial"/>
          <w:sz w:val="16"/>
          <w:szCs w:val="16"/>
          <w:color w:val="auto"/>
        </w:rPr>
        <w:t xml:space="preserve">, an industry-leading proprietary cell line manufacturing process, and an extensive AAV capsid and promoter library. With global headquarters in Research Triangle Park, North Carolina, and European headquarters in Edinburgh, UK, the company has generated hundreds of proprietary third-generation AAV capsids and promoters, several of which have entered clinical testing. Founded in 2001 and an early innovator in the gene therapy field, the company holds more than 500 patents in areas such as AAV production and chimeric and self-complementary capsids. Learn more at </w:t>
      </w:r>
      <w:r>
        <w:rPr>
          <w:rFonts w:ascii="Arial" w:cs="Arial" w:eastAsia="Arial" w:hAnsi="Arial"/>
          <w:sz w:val="16"/>
          <w:szCs w:val="16"/>
          <w:u w:val="single" w:color="auto"/>
          <w:color w:val="auto"/>
        </w:rPr>
        <w:t>www.askbio.com</w:t>
      </w:r>
      <w:r>
        <w:rPr>
          <w:rFonts w:ascii="Arial" w:cs="Arial" w:eastAsia="Arial" w:hAnsi="Arial"/>
          <w:sz w:val="16"/>
          <w:szCs w:val="16"/>
          <w:color w:val="auto"/>
        </w:rPr>
        <w:t xml:space="preserve"> or follow us on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AskBio Forward-Looking Statements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Any statements contained in this press release that are not statements of historical fact may be deemed to be forward-looking statements. Words such as “believes,” “anticipates,” “plans,” “expects,” “will,” “intends,” “potential,” “possible” and similar expressions are intended to identify forward-looking statements. These forward-looking statements include without limitation statements regarding AskBio’s pipeline of development candidates; AskBio’s collaboration with Selecta and AskBio’s clinical trials, including the SEL-399 trial, and manufacturing technology and process. These forward-looking statements involve risks and uncertainties, many of which are beyond AskBio’s control. Known risks include, among others: AskBio may not be able to execute on its business plans and goals, including meeting its expected or planned regulatory milestones and timelines, its reliance on third-parties, clinical development plans, manufacturing processes and plans, and bringing its product candidates to market, due to a variety of reasons, including the ongoing COVID-19 pandemic, possible limitations of company financial and other resources, manufacturing limitations that may not be anticipated or resolved in a timely manner, potential disagreements or other issues with our third-party collaborators and partners, and regulatory, court or agency feedback or decisions, such as feedback and decisions from the United States Food and Drug Administration or the United States Patent and Trademark Office. Any of the foregoing risks could materially and adversely affect AskBio’s business and results of operations. You should not place undue reliance on the forward-looking statements contained in this press release. AskBio does not undertake any obligation to publicly update its forward-looking statements based on events or circumstances after the date hereof.</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Selecta Forward-Looking Statements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the potential treatment applications of product candidates utilizing the ImmTOR platform in areas such as gene therapy, the ability of the Company and AskBio to develop and manufacture gene therapy products using ImmTOR and AskBio’s</w:t>
      </w:r>
    </w:p>
    <w:p>
      <w:pPr>
        <w:sectPr>
          <w:pgSz w:w="11900" w:h="16838" w:orient="portrait"/>
          <w:cols w:equalWidth="0" w:num="1">
            <w:col w:w="11000"/>
          </w:cols>
          <w:pgMar w:left="440" w:top="1336" w:right="45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technology, the rights of the Company and AskBio in the MMA program, the novelty of treatment paradigms that the Company is able to develop, whether the observations made in non-human primate study subjects will translate to studies performed with human beings, the potential of any therapies developed by the company and AskBio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t>
      </w:r>
      <w:r>
        <w:rPr>
          <w:rFonts w:ascii="Arial" w:cs="Arial" w:eastAsia="Arial" w:hAnsi="Arial"/>
          <w:sz w:val="18"/>
          <w:szCs w:val="18"/>
          <w:color w:val="auto"/>
        </w:rPr>
        <w:t>Bruce Mackle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+1-929-469-3859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bmackle@lifesciadvisors.com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Meredith Sosulski,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+1-929-469-3851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msosulski@lifescicomms.com</w:t>
      </w:r>
    </w:p>
    <w:p>
      <w:pPr>
        <w:sectPr>
          <w:pgSz w:w="11900" w:h="16838" w:orient="portrait"/>
          <w:cols w:equalWidth="0" w:num="1">
            <w:col w:w="11000"/>
          </w:cols>
          <w:pgMar w:left="440" w:top="134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AskBio: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Marmur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+1 973-906-1526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mmarmur@askbio.com</w:t>
      </w:r>
    </w:p>
    <w:sectPr>
      <w:pgSz w:w="11900" w:h="16838" w:orient="portrait"/>
      <w:cols w:equalWidth="0" w:num="1">
        <w:col w:w="10019"/>
      </w:cols>
      <w:pgMar w:left="440" w:top="13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2021-04-29T08:06:31Z</dcterms:created>
  <dcterms:modified xsi:type="dcterms:W3CDTF">2021-04-29T08:06:31Z</dcterms:modified>
</cp:coreProperties>
</file>