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91" w:lineRule="exact"/>
        <w:rPr>
          <w:sz w:val="24"/>
          <w:szCs w:val="24"/>
          <w:color w:val="auto"/>
        </w:rPr>
      </w:pPr>
    </w:p>
    <w:p>
      <w:pPr>
        <w:ind w:left="3740" w:right="1540" w:hanging="3475"/>
        <w:spacing w:after="0" w:line="372" w:lineRule="auto"/>
        <w:tabs>
          <w:tab w:leader="none" w:pos="718"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49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20" w:type="dxa"/>
            <w:vAlign w:val="bottom"/>
          </w:tcPr>
          <w:p>
            <w:pPr>
              <w:jc w:val="center"/>
              <w:ind w:left="22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480 Arsenal Way</w:t>
            </w:r>
          </w:p>
        </w:tc>
        <w:tc>
          <w:tcPr>
            <w:tcW w:w="4920" w:type="dxa"/>
            <w:vAlign w:val="bottom"/>
          </w:tcPr>
          <w:p>
            <w:pPr>
              <w:spacing w:after="0"/>
              <w:rPr>
                <w:sz w:val="24"/>
                <w:szCs w:val="24"/>
                <w:color w:val="auto"/>
              </w:rPr>
            </w:pP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Watertown, MA</w:t>
            </w:r>
          </w:p>
        </w:tc>
        <w:tc>
          <w:tcPr>
            <w:tcW w:w="4920" w:type="dxa"/>
            <w:vAlign w:val="bottom"/>
          </w:tcPr>
          <w:p>
            <w:pPr>
              <w:jc w:val="right"/>
              <w:ind w:right="990"/>
              <w:spacing w:after="0"/>
              <w:rPr>
                <w:sz w:val="20"/>
                <w:szCs w:val="20"/>
                <w:color w:val="auto"/>
              </w:rPr>
            </w:pPr>
            <w:r>
              <w:rPr>
                <w:rFonts w:ascii="Arial" w:cs="Arial" w:eastAsia="Arial" w:hAnsi="Arial"/>
                <w:sz w:val="18"/>
                <w:szCs w:val="18"/>
                <w:b w:val="1"/>
                <w:bCs w:val="1"/>
                <w:color w:val="auto"/>
              </w:rPr>
              <w:t>02472</w:t>
            </w: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color w:val="auto"/>
                <w:w w:val="93"/>
              </w:rPr>
              <w:t>(Address Of Principal Executive Offices)</w:t>
            </w:r>
          </w:p>
        </w:tc>
        <w:tc>
          <w:tcPr>
            <w:tcW w:w="492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65"/>
        </w:trPr>
        <w:tc>
          <w:tcPr>
            <w:tcW w:w="4540" w:type="dxa"/>
            <w:vAlign w:val="bottom"/>
          </w:tcPr>
          <w:p>
            <w:pPr>
              <w:spacing w:after="0"/>
              <w:rPr>
                <w:sz w:val="24"/>
                <w:szCs w:val="24"/>
                <w:color w:val="auto"/>
              </w:rPr>
            </w:pPr>
          </w:p>
        </w:tc>
        <w:tc>
          <w:tcPr>
            <w:tcW w:w="4920" w:type="dxa"/>
            <w:vAlign w:val="bottom"/>
          </w:tcPr>
          <w:p>
            <w:pPr>
              <w:jc w:val="right"/>
              <w:ind w:right="3690"/>
              <w:spacing w:after="0"/>
              <w:rPr>
                <w:sz w:val="20"/>
                <w:szCs w:val="20"/>
                <w:color w:val="auto"/>
              </w:rPr>
            </w:pPr>
            <w:r>
              <w:rPr>
                <w:rFonts w:ascii="Arial" w:cs="Arial" w:eastAsia="Arial" w:hAnsi="Arial"/>
                <w:sz w:val="18"/>
                <w:szCs w:val="18"/>
                <w:b w:val="1"/>
                <w:bCs w:val="1"/>
                <w:color w:val="auto"/>
                <w:w w:val="99"/>
              </w:rPr>
              <w:t>617-923-1400</w:t>
            </w:r>
          </w:p>
        </w:tc>
      </w:tr>
    </w:tbl>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102" w:lineRule="exact"/>
        <w:rPr>
          <w:sz w:val="24"/>
          <w:szCs w:val="24"/>
          <w:color w:val="auto"/>
        </w:rPr>
      </w:pPr>
    </w:p>
    <w:p>
      <w:pPr>
        <w:ind w:left="19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98" w:lineRule="exact"/>
        <w:rPr>
          <w:sz w:val="24"/>
          <w:szCs w:val="24"/>
          <w:color w:val="auto"/>
        </w:rPr>
      </w:pPr>
    </w:p>
    <w:p>
      <w:pPr>
        <w:sectPr>
          <w:pgSz w:w="11900" w:h="16838" w:orient="portrait"/>
          <w:cols w:equalWidth="0" w:num="2">
            <w:col w:w="7320" w:space="720"/>
            <w:col w:w="3380"/>
          </w:cols>
          <w:pgMar w:left="240" w:top="233" w:right="239" w:bottom="1440" w:gutter="0" w:footer="0" w:header="0"/>
          <w:type w:val="continuous"/>
        </w:sectPr>
      </w:pPr>
    </w:p>
    <w:p>
      <w:pPr>
        <w:ind w:left="19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ind w:left="77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233" w:right="239" w:bottom="1440" w:gutter="0" w:footer="0" w:header="0"/>
          <w:type w:val="continuous"/>
        </w:sectPr>
      </w:pPr>
    </w:p>
    <w:p>
      <w:pPr>
        <w:spacing w:after="0" w:line="22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 2017 the registrant had 22,336,576 shares of common stock, par value $0.0001 per share, outstanding.</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45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80" w:type="dxa"/>
            <w:vAlign w:val="bottom"/>
            <w:gridSpan w:val="6"/>
          </w:tcPr>
          <w:p>
            <w:pPr>
              <w:jc w:val="center"/>
              <w:ind w:right="4140"/>
              <w:spacing w:after="0"/>
              <w:rPr>
                <w:rFonts w:ascii="Arial" w:cs="Arial" w:eastAsia="Arial" w:hAnsi="Arial"/>
                <w:sz w:val="18"/>
                <w:szCs w:val="18"/>
                <w:color w:val="auto"/>
                <w:w w:val="98"/>
              </w:rPr>
            </w:pPr>
            <w:hyperlink w:anchor="page4">
              <w:r>
                <w:rPr>
                  <w:rFonts w:ascii="Arial" w:cs="Arial" w:eastAsia="Arial" w:hAnsi="Arial"/>
                  <w:sz w:val="18"/>
                  <w:szCs w:val="18"/>
                  <w:color w:val="auto"/>
                  <w:w w:val="98"/>
                </w:rPr>
                <w:t xml:space="preserve">Part </w:t>
              </w:r>
            </w:hyperlink>
            <w:r>
              <w:rPr>
                <w:rFonts w:ascii="Arial" w:cs="Arial" w:eastAsia="Arial" w:hAnsi="Arial"/>
                <w:sz w:val="18"/>
                <w:szCs w:val="18"/>
                <w:color w:val="auto"/>
                <w:w w:val="98"/>
              </w:rPr>
              <w:t>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288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2740" w:type="dxa"/>
            <w:vAlign w:val="bottom"/>
            <w:tcBorders>
              <w:top w:val="single" w:sz="8" w:color="auto"/>
            </w:tcBorders>
            <w:gridSpan w:val="5"/>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Balance Sheets as of September 30, 2017 (unaudited) and December 31, 2016</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w w:val="94"/>
              </w:rPr>
              <w:t>Consolidated Statements of Operations and Comprehensive Loss for the Three Months and Nine Months ended September 30,</w:t>
            </w:r>
          </w:p>
        </w:tc>
        <w:tc>
          <w:tcPr>
            <w:tcW w:w="180" w:type="dxa"/>
            <w:vAlign w:val="bottom"/>
            <w:gridSpan w:val="2"/>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237"/>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2017 and 2016 (unaudited)</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Statements of Changes in Stockholders' Equity (Deficit) (unaudited)</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5</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Statements of Cash Flows for the Nine Months ended September 30, 2017 and 2016 (unaudited)</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6</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9">
              <w:r>
                <w:rPr>
                  <w:rFonts w:ascii="Arial" w:cs="Arial" w:eastAsia="Arial" w:hAnsi="Arial"/>
                  <w:sz w:val="18"/>
                  <w:szCs w:val="18"/>
                  <w:color w:val="auto"/>
                  <w:w w:val="79"/>
                </w:rPr>
                <w:t>7</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4">
              <w:r>
                <w:rPr>
                  <w:rFonts w:ascii="Arial" w:cs="Arial" w:eastAsia="Arial" w:hAnsi="Arial"/>
                  <w:sz w:val="18"/>
                  <w:szCs w:val="18"/>
                  <w:color w:val="auto"/>
                  <w:w w:val="79"/>
                </w:rPr>
                <w:t>32</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3">
              <w:r>
                <w:rPr>
                  <w:rFonts w:ascii="Arial" w:cs="Arial" w:eastAsia="Arial" w:hAnsi="Arial"/>
                  <w:sz w:val="18"/>
                  <w:szCs w:val="18"/>
                  <w:color w:val="auto"/>
                  <w:w w:val="79"/>
                </w:rPr>
                <w:t>41</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3">
              <w:r>
                <w:rPr>
                  <w:rFonts w:ascii="Arial" w:cs="Arial" w:eastAsia="Arial" w:hAnsi="Arial"/>
                  <w:sz w:val="18"/>
                  <w:szCs w:val="18"/>
                  <w:color w:val="auto"/>
                  <w:w w:val="79"/>
                </w:rPr>
                <w:t>41</w:t>
              </w:r>
            </w:hyperlink>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5"/>
          </w:tcPr>
          <w:p>
            <w:pPr>
              <w:jc w:val="center"/>
              <w:ind w:right="4300"/>
              <w:spacing w:after="0"/>
              <w:rPr>
                <w:sz w:val="20"/>
                <w:szCs w:val="20"/>
                <w:color w:val="auto"/>
              </w:rPr>
            </w:pPr>
            <w:r>
              <w:rPr>
                <w:rFonts w:ascii="Arial" w:cs="Arial" w:eastAsia="Arial" w:hAnsi="Arial"/>
                <w:sz w:val="18"/>
                <w:szCs w:val="18"/>
                <w:color w:val="auto"/>
                <w:w w:val="95"/>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3040" w:type="dxa"/>
            <w:vAlign w:val="bottom"/>
            <w:gridSpan w:val="2"/>
          </w:tcPr>
          <w:p>
            <w:pPr>
              <w:ind w:left="180"/>
              <w:spacing w:after="0"/>
              <w:rPr>
                <w:sz w:val="20"/>
                <w:szCs w:val="20"/>
                <w:color w:val="auto"/>
              </w:rPr>
            </w:pPr>
            <w:r>
              <w:rPr>
                <w:rFonts w:ascii="Arial" w:cs="Arial" w:eastAsia="Arial" w:hAnsi="Arial"/>
                <w:sz w:val="18"/>
                <w:szCs w:val="18"/>
                <w:color w:val="auto"/>
              </w:rPr>
              <w:t>Legal Proceedings</w:t>
            </w:r>
          </w:p>
        </w:tc>
        <w:tc>
          <w:tcPr>
            <w:tcW w:w="2420" w:type="dxa"/>
            <w:vAlign w:val="bottom"/>
            <w:tcBorders>
              <w:top w:val="single" w:sz="8" w:color="auto"/>
            </w:tcBorders>
            <w:gridSpan w:val="3"/>
          </w:tcPr>
          <w:p>
            <w:pPr>
              <w:spacing w:after="0"/>
              <w:rPr>
                <w:sz w:val="24"/>
                <w:szCs w:val="24"/>
                <w:color w:val="auto"/>
              </w:rPr>
            </w:pPr>
          </w:p>
        </w:tc>
        <w:tc>
          <w:tcPr>
            <w:tcW w:w="430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4">
              <w:r>
                <w:rPr>
                  <w:rFonts w:ascii="Arial" w:cs="Arial" w:eastAsia="Arial" w:hAnsi="Arial"/>
                  <w:sz w:val="18"/>
                  <w:szCs w:val="18"/>
                  <w:color w:val="auto"/>
                  <w:w w:val="79"/>
                </w:rPr>
                <w:t>42</w:t>
              </w:r>
            </w:hyperlink>
          </w:p>
        </w:tc>
      </w:tr>
      <w:tr>
        <w:trPr>
          <w:trHeight w:val="57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4">
              <w:r>
                <w:rPr>
                  <w:rFonts w:ascii="Arial" w:cs="Arial" w:eastAsia="Arial" w:hAnsi="Arial"/>
                  <w:sz w:val="18"/>
                  <w:szCs w:val="18"/>
                  <w:color w:val="auto"/>
                  <w:w w:val="79"/>
                </w:rPr>
                <w:t>42</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1">
              <w:r>
                <w:rPr>
                  <w:rFonts w:ascii="Arial" w:cs="Arial" w:eastAsia="Arial" w:hAnsi="Arial"/>
                  <w:sz w:val="18"/>
                  <w:szCs w:val="18"/>
                  <w:color w:val="auto"/>
                  <w:w w:val="79"/>
                </w:rPr>
                <w:t>79</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2">
              <w:r>
                <w:rPr>
                  <w:rFonts w:ascii="Arial" w:cs="Arial" w:eastAsia="Arial" w:hAnsi="Arial"/>
                  <w:sz w:val="18"/>
                  <w:szCs w:val="18"/>
                  <w:color w:val="auto"/>
                  <w:w w:val="79"/>
                </w:rPr>
                <w:t>80</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2">
              <w:r>
                <w:rPr>
                  <w:rFonts w:ascii="Arial" w:cs="Arial" w:eastAsia="Arial" w:hAnsi="Arial"/>
                  <w:sz w:val="18"/>
                  <w:szCs w:val="18"/>
                  <w:color w:val="auto"/>
                  <w:w w:val="79"/>
                </w:rPr>
                <w:t>80</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2">
              <w:r>
                <w:rPr>
                  <w:rFonts w:ascii="Arial" w:cs="Arial" w:eastAsia="Arial" w:hAnsi="Arial"/>
                  <w:sz w:val="18"/>
                  <w:szCs w:val="18"/>
                  <w:color w:val="auto"/>
                  <w:w w:val="79"/>
                </w:rPr>
                <w:t>80</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2">
              <w:r>
                <w:rPr>
                  <w:rFonts w:ascii="Arial" w:cs="Arial" w:eastAsia="Arial" w:hAnsi="Arial"/>
                  <w:sz w:val="18"/>
                  <w:szCs w:val="18"/>
                  <w:color w:val="auto"/>
                  <w:w w:val="79"/>
                </w:rPr>
                <w:t>80</w:t>
              </w:r>
            </w:hyperlink>
          </w:p>
        </w:tc>
      </w:tr>
      <w:tr>
        <w:trPr>
          <w:trHeight w:val="588"/>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SIGNATURES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67"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72,151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58,656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25,485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86,816</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 and other deposits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16"/>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109,723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89,301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3,921</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Loans payable, current portion</w:t>
            </w: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13,706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rent and lease incentive</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payable, net of current portion</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12,439</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34,344</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(Notes 8 and 13)</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Preferred stock, $0.0001 par value; 10,000,000 shares authorized; no shares issued and outstanding at September 30, 2017 and December 31, 2016,</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1"/>
              </w:rPr>
              <w:t>Common stock, $0.0001 par value; 200,000,000 shares authorized; 22,120,507 and 18,438,742 shares issued and outstanding as of September 30, 2017</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and December 31, 2016, respectively.</w:t>
            </w: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266,836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211,125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Receivable from stock option exercises</w:t>
            </w: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(151,576)</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65,076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54,957</w:t>
            </w:r>
          </w:p>
        </w:tc>
        <w:tc>
          <w:tcPr>
            <w:tcW w:w="0" w:type="dxa"/>
            <w:vAlign w:val="bottom"/>
          </w:tcPr>
          <w:p>
            <w:pPr>
              <w:spacing w:after="0"/>
              <w:rPr>
                <w:sz w:val="1"/>
                <w:szCs w:val="1"/>
                <w:color w:val="auto"/>
              </w:rPr>
            </w:pPr>
          </w:p>
        </w:tc>
      </w:tr>
      <w:tr>
        <w:trPr>
          <w:trHeight w:val="216"/>
        </w:trPr>
        <w:tc>
          <w:tcPr>
            <w:tcW w:w="880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109,723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89,301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8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5,153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9,504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6,021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31,542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18,669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13,155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7,294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44,697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25,963</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(13,854)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(14,676)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(7,728)</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(45,777)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(22,127)</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91"/>
        </w:trPr>
        <w:tc>
          <w:tcPr>
            <w:tcW w:w="4700" w:type="dxa"/>
            <w:vAlign w:val="bottom"/>
          </w:tcPr>
          <w:p>
            <w:pPr>
              <w:ind w:left="280"/>
              <w:spacing w:after="0"/>
              <w:rPr>
                <w:sz w:val="20"/>
                <w:szCs w:val="20"/>
                <w:color w:val="auto"/>
              </w:rPr>
            </w:pPr>
            <w:r>
              <w:rPr>
                <w:rFonts w:ascii="Arial" w:cs="Arial" w:eastAsia="Arial" w:hAnsi="Arial"/>
                <w:sz w:val="14"/>
                <w:szCs w:val="14"/>
                <w:color w:val="auto"/>
              </w:rPr>
              <w:t>Unrealized gain (loss) on securities</w:t>
            </w:r>
          </w:p>
        </w:tc>
        <w:tc>
          <w:tcPr>
            <w:tcW w:w="34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(14,672)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(45,668)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(21,695)</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(14,676)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(45,777)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(22,127)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Accretion of redeemable convertible preferred stock</w:t>
            </w:r>
          </w:p>
        </w:tc>
        <w:tc>
          <w:tcPr>
            <w:tcW w:w="3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(14,676)</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(7,728)</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(45,777)</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(26,693)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22,082,207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18,108,014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19,803,551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7,881,625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Accumulated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70"/>
        </w:trPr>
        <w:tc>
          <w:tcPr>
            <w:tcW w:w="3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Additional</w:t>
            </w:r>
          </w:p>
        </w:tc>
        <w:tc>
          <w:tcPr>
            <w:tcW w:w="760" w:type="dxa"/>
            <w:vAlign w:val="bottom"/>
          </w:tcPr>
          <w:p>
            <w:pPr>
              <w:jc w:val="center"/>
              <w:ind w:left="211"/>
              <w:spacing w:after="0"/>
              <w:rPr>
                <w:sz w:val="20"/>
                <w:szCs w:val="20"/>
                <w:color w:val="auto"/>
              </w:rPr>
            </w:pPr>
            <w:r>
              <w:rPr>
                <w:rFonts w:ascii="Arial" w:cs="Arial" w:eastAsia="Arial" w:hAnsi="Arial"/>
                <w:sz w:val="10"/>
                <w:szCs w:val="10"/>
                <w:b w:val="1"/>
                <w:bCs w:val="1"/>
                <w:color w:val="auto"/>
                <w:w w:val="80"/>
              </w:rPr>
              <w:t>Stock</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other</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66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10"/>
                <w:szCs w:val="10"/>
                <w:b w:val="1"/>
                <w:bCs w:val="1"/>
                <w:color w:val="auto"/>
              </w:rPr>
              <w:t>Common stock</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center"/>
              <w:ind w:right="300"/>
              <w:spacing w:after="0" w:line="115" w:lineRule="exact"/>
              <w:rPr>
                <w:sz w:val="20"/>
                <w:szCs w:val="20"/>
                <w:color w:val="auto"/>
              </w:rPr>
            </w:pPr>
            <w:r>
              <w:rPr>
                <w:rFonts w:ascii="Arial" w:cs="Arial" w:eastAsia="Arial" w:hAnsi="Arial"/>
                <w:sz w:val="10"/>
                <w:szCs w:val="10"/>
                <w:b w:val="1"/>
                <w:bCs w:val="1"/>
                <w:color w:val="auto"/>
                <w:w w:val="92"/>
              </w:rPr>
              <w:t>paid</w:t>
            </w:r>
            <w:r>
              <w:rPr>
                <w:rFonts w:ascii="MS PGothic" w:cs="MS PGothic" w:eastAsia="MS PGothic" w:hAnsi="MS PGothic"/>
                <w:sz w:val="10"/>
                <w:szCs w:val="10"/>
                <w:b w:val="1"/>
                <w:bCs w:val="1"/>
                <w:color w:val="auto"/>
                <w:w w:val="92"/>
              </w:rPr>
              <w:t>‑</w:t>
            </w:r>
            <w:r>
              <w:rPr>
                <w:rFonts w:ascii="Arial" w:cs="Arial" w:eastAsia="Arial" w:hAnsi="Arial"/>
                <w:sz w:val="10"/>
                <w:szCs w:val="10"/>
                <w:b w:val="1"/>
                <w:bCs w:val="1"/>
                <w:color w:val="auto"/>
                <w:w w:val="92"/>
              </w:rPr>
              <w:t>In</w:t>
            </w:r>
          </w:p>
        </w:tc>
        <w:tc>
          <w:tcPr>
            <w:tcW w:w="760" w:type="dxa"/>
            <w:vAlign w:val="bottom"/>
          </w:tcPr>
          <w:p>
            <w:pPr>
              <w:jc w:val="center"/>
              <w:ind w:left="211"/>
              <w:spacing w:after="0"/>
              <w:rPr>
                <w:sz w:val="20"/>
                <w:szCs w:val="20"/>
                <w:color w:val="auto"/>
              </w:rPr>
            </w:pPr>
            <w:r>
              <w:rPr>
                <w:rFonts w:ascii="Arial" w:cs="Arial" w:eastAsia="Arial" w:hAnsi="Arial"/>
                <w:sz w:val="10"/>
                <w:szCs w:val="10"/>
                <w:b w:val="1"/>
                <w:bCs w:val="1"/>
                <w:color w:val="auto"/>
                <w:w w:val="84"/>
              </w:rPr>
              <w:t>option</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Accumulated</w:t>
            </w: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4"/>
              </w:rPr>
              <w:t>comprehensive</w:t>
            </w:r>
          </w:p>
        </w:tc>
        <w:tc>
          <w:tcPr>
            <w:tcW w:w="160" w:type="dxa"/>
            <w:vAlign w:val="bottom"/>
          </w:tcPr>
          <w:p>
            <w:pPr>
              <w:spacing w:after="0"/>
              <w:rPr>
                <w:sz w:val="23"/>
                <w:szCs w:val="23"/>
                <w:color w:val="auto"/>
              </w:rPr>
            </w:pPr>
          </w:p>
        </w:tc>
        <w:tc>
          <w:tcPr>
            <w:tcW w:w="860" w:type="dxa"/>
            <w:vAlign w:val="bottom"/>
          </w:tcPr>
          <w:p>
            <w:pPr>
              <w:jc w:val="right"/>
              <w:ind w:right="171"/>
              <w:spacing w:after="0"/>
              <w:rPr>
                <w:sz w:val="20"/>
                <w:szCs w:val="20"/>
                <w:color w:val="auto"/>
              </w:rPr>
            </w:pPr>
            <w:r>
              <w:rPr>
                <w:rFonts w:ascii="Arial" w:cs="Arial" w:eastAsia="Arial" w:hAnsi="Arial"/>
                <w:sz w:val="10"/>
                <w:szCs w:val="10"/>
                <w:b w:val="1"/>
                <w:bCs w:val="1"/>
                <w:color w:val="auto"/>
                <w:w w:val="93"/>
              </w:rPr>
              <w:t>Stockholders’</w:t>
            </w:r>
          </w:p>
        </w:tc>
      </w:tr>
      <w:tr>
        <w:trPr>
          <w:trHeight w:val="26"/>
        </w:trPr>
        <w:tc>
          <w:tcPr>
            <w:tcW w:w="36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4"/>
        </w:trPr>
        <w:tc>
          <w:tcPr>
            <w:tcW w:w="366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0"/>
                <w:szCs w:val="10"/>
                <w:b w:val="1"/>
                <w:bCs w:val="1"/>
                <w:color w:val="auto"/>
              </w:rPr>
              <w:t>Shares</w:t>
            </w:r>
          </w:p>
        </w:tc>
        <w:tc>
          <w:tcPr>
            <w:tcW w:w="4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Capital</w:t>
            </w:r>
          </w:p>
        </w:tc>
        <w:tc>
          <w:tcPr>
            <w:tcW w:w="760" w:type="dxa"/>
            <w:vAlign w:val="bottom"/>
          </w:tcPr>
          <w:p>
            <w:pPr>
              <w:jc w:val="center"/>
              <w:ind w:left="211"/>
              <w:spacing w:after="0"/>
              <w:rPr>
                <w:sz w:val="20"/>
                <w:szCs w:val="20"/>
                <w:color w:val="auto"/>
              </w:rPr>
            </w:pPr>
            <w:r>
              <w:rPr>
                <w:rFonts w:ascii="Arial" w:cs="Arial" w:eastAsia="Arial" w:hAnsi="Arial"/>
                <w:sz w:val="10"/>
                <w:szCs w:val="10"/>
                <w:b w:val="1"/>
                <w:bCs w:val="1"/>
                <w:color w:val="auto"/>
                <w:w w:val="85"/>
              </w:rPr>
              <w:t>receivable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8"/>
              </w:rPr>
              <w:t>deficit</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77"/>
              </w:rPr>
              <w:t>loss</w:t>
            </w:r>
          </w:p>
        </w:tc>
        <w:tc>
          <w:tcPr>
            <w:tcW w:w="1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0"/>
                <w:szCs w:val="10"/>
                <w:b w:val="1"/>
                <w:bCs w:val="1"/>
                <w:color w:val="auto"/>
              </w:rPr>
              <w:t>Equity</w:t>
            </w:r>
          </w:p>
        </w:tc>
      </w:tr>
      <w:tr>
        <w:trPr>
          <w:trHeight w:val="26"/>
        </w:trPr>
        <w:tc>
          <w:tcPr>
            <w:tcW w:w="3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Balance at December 31, 2016</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18,438,742</w:t>
            </w:r>
          </w:p>
        </w:tc>
        <w:tc>
          <w:tcPr>
            <w:tcW w:w="4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211,125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89"/>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(151,576)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(4,518)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54,957</w:t>
            </w:r>
          </w:p>
        </w:tc>
      </w:tr>
      <w:tr>
        <w:trPr>
          <w:trHeight w:val="20"/>
        </w:trPr>
        <w:tc>
          <w:tcPr>
            <w:tcW w:w="3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4"/>
        </w:trPr>
        <w:tc>
          <w:tcPr>
            <w:tcW w:w="3660" w:type="dxa"/>
            <w:vAlign w:val="bottom"/>
          </w:tcPr>
          <w:p>
            <w:pPr>
              <w:ind w:left="40"/>
              <w:spacing w:after="0"/>
              <w:rPr>
                <w:sz w:val="20"/>
                <w:szCs w:val="20"/>
                <w:color w:val="auto"/>
              </w:rPr>
            </w:pPr>
            <w:r>
              <w:rPr>
                <w:rFonts w:ascii="Arial" w:cs="Arial" w:eastAsia="Arial" w:hAnsi="Arial"/>
                <w:sz w:val="10"/>
                <w:szCs w:val="10"/>
                <w:color w:val="auto"/>
              </w:rPr>
              <w:t>Issuance of common stock under Employee Stock Purchase Plan</w:t>
            </w:r>
          </w:p>
        </w:tc>
        <w:tc>
          <w:tcPr>
            <w:tcW w:w="1000" w:type="dxa"/>
            <w:vAlign w:val="bottom"/>
          </w:tcPr>
          <w:p>
            <w:pPr>
              <w:jc w:val="right"/>
              <w:ind w:right="31"/>
              <w:spacing w:after="0"/>
              <w:rPr>
                <w:sz w:val="20"/>
                <w:szCs w:val="20"/>
                <w:color w:val="auto"/>
              </w:rPr>
            </w:pPr>
            <w:r>
              <w:rPr>
                <w:rFonts w:ascii="Arial" w:cs="Arial" w:eastAsia="Arial" w:hAnsi="Arial"/>
                <w:sz w:val="10"/>
                <w:szCs w:val="10"/>
                <w:color w:val="auto"/>
              </w:rPr>
              <w:t>16,263</w:t>
            </w:r>
          </w:p>
        </w:tc>
        <w:tc>
          <w:tcPr>
            <w:tcW w:w="4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7"/>
                <w:szCs w:val="17"/>
                <w:color w:val="auto"/>
              </w:rPr>
            </w:pPr>
          </w:p>
        </w:tc>
        <w:tc>
          <w:tcPr>
            <w:tcW w:w="860" w:type="dxa"/>
            <w:vAlign w:val="bottom"/>
          </w:tcPr>
          <w:p>
            <w:pPr>
              <w:jc w:val="right"/>
              <w:ind w:right="71"/>
              <w:spacing w:after="0"/>
              <w:rPr>
                <w:sz w:val="20"/>
                <w:szCs w:val="20"/>
                <w:color w:val="auto"/>
              </w:rPr>
            </w:pPr>
            <w:r>
              <w:rPr>
                <w:rFonts w:ascii="Arial" w:cs="Arial" w:eastAsia="Arial" w:hAnsi="Arial"/>
                <w:sz w:val="10"/>
                <w:szCs w:val="10"/>
                <w:color w:val="auto"/>
              </w:rPr>
              <w:t>180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7"/>
                <w:szCs w:val="17"/>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180</w:t>
            </w:r>
          </w:p>
        </w:tc>
      </w:tr>
      <w:tr>
        <w:trPr>
          <w:trHeight w:val="26"/>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Issuance of common stock upon exercise of options</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252,349</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620</w:t>
            </w:r>
          </w:p>
        </w:tc>
      </w:tr>
      <w:tr>
        <w:trPr>
          <w:trHeight w:val="244"/>
        </w:trPr>
        <w:tc>
          <w:tcPr>
            <w:tcW w:w="3660" w:type="dxa"/>
            <w:vAlign w:val="bottom"/>
          </w:tcPr>
          <w:p>
            <w:pPr>
              <w:ind w:left="4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 compensation expense</w:t>
            </w:r>
          </w:p>
        </w:tc>
        <w:tc>
          <w:tcPr>
            <w:tcW w:w="10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0"/>
                <w:szCs w:val="10"/>
                <w:color w:val="auto"/>
              </w:rPr>
              <w:t>2,872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2,872</w:t>
            </w:r>
          </w:p>
        </w:tc>
      </w:tr>
      <w:tr>
        <w:trPr>
          <w:trHeight w:val="26"/>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Issuance of common stock, license agreement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324,362</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5,000</w:t>
            </w:r>
          </w:p>
        </w:tc>
      </w:tr>
      <w:tr>
        <w:trPr>
          <w:trHeight w:val="244"/>
        </w:trPr>
        <w:tc>
          <w:tcPr>
            <w:tcW w:w="3660" w:type="dxa"/>
            <w:vAlign w:val="bottom"/>
          </w:tcPr>
          <w:p>
            <w:pPr>
              <w:ind w:left="40"/>
              <w:spacing w:after="0"/>
              <w:rPr>
                <w:sz w:val="20"/>
                <w:szCs w:val="20"/>
                <w:color w:val="auto"/>
              </w:rPr>
            </w:pPr>
            <w:r>
              <w:rPr>
                <w:rFonts w:ascii="Arial" w:cs="Arial" w:eastAsia="Arial" w:hAnsi="Arial"/>
                <w:sz w:val="10"/>
                <w:szCs w:val="10"/>
                <w:color w:val="auto"/>
              </w:rPr>
              <w:t>Issuance of common stock, Private placement net of issuance costs</w:t>
            </w:r>
          </w:p>
        </w:tc>
        <w:tc>
          <w:tcPr>
            <w:tcW w:w="1000" w:type="dxa"/>
            <w:vAlign w:val="bottom"/>
          </w:tcPr>
          <w:p>
            <w:pPr>
              <w:jc w:val="right"/>
              <w:ind w:right="31"/>
              <w:spacing w:after="0"/>
              <w:rPr>
                <w:sz w:val="20"/>
                <w:szCs w:val="20"/>
                <w:color w:val="auto"/>
              </w:rPr>
            </w:pPr>
            <w:r>
              <w:rPr>
                <w:rFonts w:ascii="Arial" w:cs="Arial" w:eastAsia="Arial" w:hAnsi="Arial"/>
                <w:sz w:val="10"/>
                <w:szCs w:val="10"/>
                <w:color w:val="auto"/>
              </w:rPr>
              <w:t>3,088,791</w:t>
            </w:r>
          </w:p>
        </w:tc>
        <w:tc>
          <w:tcPr>
            <w:tcW w:w="40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0"/>
                <w:szCs w:val="10"/>
                <w:color w:val="auto"/>
              </w:rPr>
              <w:t>47,114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47,115</w:t>
            </w:r>
          </w:p>
        </w:tc>
      </w:tr>
      <w:tr>
        <w:trPr>
          <w:trHeight w:val="26"/>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Currency translation adjustment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79</w:t>
            </w:r>
          </w:p>
        </w:tc>
      </w:tr>
      <w:tr>
        <w:trPr>
          <w:trHeight w:val="244"/>
        </w:trPr>
        <w:tc>
          <w:tcPr>
            <w:tcW w:w="3660" w:type="dxa"/>
            <w:vAlign w:val="bottom"/>
          </w:tcPr>
          <w:p>
            <w:pPr>
              <w:ind w:left="40"/>
              <w:spacing w:after="0"/>
              <w:rPr>
                <w:sz w:val="20"/>
                <w:szCs w:val="20"/>
                <w:color w:val="auto"/>
              </w:rPr>
            </w:pPr>
            <w:r>
              <w:rPr>
                <w:rFonts w:ascii="Arial" w:cs="Arial" w:eastAsia="Arial" w:hAnsi="Arial"/>
                <w:sz w:val="10"/>
                <w:szCs w:val="10"/>
                <w:color w:val="auto"/>
              </w:rPr>
              <w:t>Unrealized gains (losses) on securities</w:t>
            </w:r>
          </w:p>
        </w:tc>
        <w:tc>
          <w:tcPr>
            <w:tcW w:w="10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30</w:t>
            </w:r>
          </w:p>
        </w:tc>
      </w:tr>
      <w:tr>
        <w:trPr>
          <w:trHeight w:val="26"/>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Net loss</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(45,777)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(45,777)</w:t>
            </w:r>
          </w:p>
        </w:tc>
      </w:tr>
      <w:tr>
        <w:trPr>
          <w:trHeight w:val="230"/>
        </w:trPr>
        <w:tc>
          <w:tcPr>
            <w:tcW w:w="3660" w:type="dxa"/>
            <w:vAlign w:val="bottom"/>
          </w:tcPr>
          <w:p>
            <w:pPr>
              <w:ind w:left="40"/>
              <w:spacing w:after="0"/>
              <w:rPr>
                <w:sz w:val="20"/>
                <w:szCs w:val="20"/>
                <w:color w:val="auto"/>
              </w:rPr>
            </w:pPr>
            <w:r>
              <w:rPr>
                <w:rFonts w:ascii="Arial" w:cs="Arial" w:eastAsia="Arial" w:hAnsi="Arial"/>
                <w:sz w:val="10"/>
                <w:szCs w:val="10"/>
                <w:color w:val="auto"/>
              </w:rPr>
              <w:t>Balance at September 30, 2017</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22,120,507</w:t>
            </w:r>
          </w:p>
        </w:tc>
        <w:tc>
          <w:tcPr>
            <w:tcW w:w="4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266,836</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(197,353)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(4,409)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65,076</w:t>
            </w:r>
          </w:p>
        </w:tc>
      </w:tr>
      <w:tr>
        <w:trPr>
          <w:trHeight w:val="20"/>
        </w:trPr>
        <w:tc>
          <w:tcPr>
            <w:tcW w:w="3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07" w:lineRule="exact"/>
        <w:rPr>
          <w:sz w:val="20"/>
          <w:szCs w:val="20"/>
          <w:color w:val="auto"/>
        </w:rPr>
      </w:pPr>
    </w:p>
    <w:p>
      <w:pPr>
        <w:jc w:val="right"/>
        <w:ind w:right="430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right"/>
        <w:ind w:right="434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(Amounts in thousands)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7"/>
                <w:szCs w:val="17"/>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(45,777)</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(22,127)</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545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r>
      <w:tr>
        <w:trPr>
          <w:trHeight w:val="264"/>
        </w:trPr>
        <w:tc>
          <w:tcPr>
            <w:tcW w:w="8580" w:type="dxa"/>
            <w:vAlign w:val="bottom"/>
          </w:tcPr>
          <w:p>
            <w:pPr>
              <w:ind w:left="260"/>
              <w:spacing w:after="0"/>
              <w:rPr>
                <w:sz w:val="20"/>
                <w:szCs w:val="20"/>
                <w:color w:val="auto"/>
              </w:rPr>
            </w:pPr>
            <w:r>
              <w:rPr>
                <w:rFonts w:ascii="Arial" w:cs="Arial" w:eastAsia="Arial" w:hAnsi="Arial"/>
                <w:sz w:val="14"/>
                <w:szCs w:val="14"/>
                <w:color w:val="auto"/>
              </w:rPr>
              <w:t>Loss on disposal of fixed assets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6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w:t>
            </w:r>
          </w:p>
        </w:tc>
      </w:tr>
      <w:tr>
        <w:trPr>
          <w:trHeight w:val="264"/>
        </w:trPr>
        <w:tc>
          <w:tcPr>
            <w:tcW w:w="8580" w:type="dxa"/>
            <w:vAlign w:val="bottom"/>
          </w:tcPr>
          <w:p>
            <w:pPr>
              <w:ind w:left="2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Change in fair value of redeemable convertible preferred stock warrant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341</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Restricted cash and other deposits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507</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586</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Contingently repayable grant funding</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(39,365)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(21,239)</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Maturities of Short-term government obligations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41,115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6,900</w:t>
            </w: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Purchase of Short-term investments</w:t>
            </w: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(48,736)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(23,318)</w:t>
            </w:r>
          </w:p>
        </w:tc>
      </w:tr>
      <w:tr>
        <w:trPr>
          <w:trHeight w:val="80"/>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6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(8,205)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(16,896)</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Vesting of restricted stock</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long-term debt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(12,934)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Deferred IPO costs paid</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(4,068)</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Initial Public Offering, net of underwriters' discounts and commissions</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68,871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Proceeds from Private Placement, net of issuance costs ($2.9 million)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47,120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long-term debt, net of expenses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20,999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Exercise of stock options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5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60,985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64,867</w:t>
            </w:r>
          </w:p>
        </w:tc>
      </w:tr>
      <w:tr>
        <w:trPr>
          <w:trHeight w:val="25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13,495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27,151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58,656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32,337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72,151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59,488</w:t>
            </w:r>
          </w:p>
        </w:tc>
      </w:tr>
      <w:tr>
        <w:trPr>
          <w:trHeight w:val="252"/>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Cash paid during the year for: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88"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property and equipment not yet paid</w:t>
      </w:r>
    </w:p>
    <w:p>
      <w:pPr>
        <w:spacing w:after="0" w:line="177" w:lineRule="exact"/>
        <w:rPr>
          <w:sz w:val="20"/>
          <w:szCs w:val="20"/>
          <w:color w:val="auto"/>
        </w:rPr>
      </w:pPr>
    </w:p>
    <w:p>
      <w:pPr>
        <w:ind w:left="40" w:right="2640"/>
        <w:spacing w:after="0" w:line="402" w:lineRule="auto"/>
        <w:rPr>
          <w:sz w:val="20"/>
          <w:szCs w:val="20"/>
          <w:color w:val="auto"/>
        </w:rPr>
      </w:pPr>
      <w:r>
        <w:rPr>
          <w:rFonts w:ascii="Arial" w:cs="Arial" w:eastAsia="Arial" w:hAnsi="Arial"/>
          <w:sz w:val="14"/>
          <w:szCs w:val="14"/>
          <w:color w:val="auto"/>
        </w:rPr>
        <w:t>Reclassification of deferred IPO costs from non-current assets to additional paid-in capital Debt issuance costs included in account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Accrued dividends and accretion of preferred stock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Private placement offering costs in accounts payable and accrued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gain on marketable securities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ind w:left="1020"/>
        <w:spacing w:after="0"/>
        <w:tabs>
          <w:tab w:leader="none" w:pos="2480" w:val="left"/>
        </w:tabs>
        <w:rPr>
          <w:sz w:val="20"/>
          <w:szCs w:val="20"/>
          <w:color w:val="auto"/>
        </w:rPr>
      </w:pPr>
      <w:r>
        <w:rPr>
          <w:rFonts w:ascii="Arial" w:cs="Arial" w:eastAsia="Arial" w:hAnsi="Arial"/>
          <w:sz w:val="14"/>
          <w:szCs w:val="14"/>
          <w:color w:val="auto"/>
        </w:rPr>
        <w:t>660</w:t>
      </w:r>
      <w:r>
        <w:rPr>
          <w:sz w:val="20"/>
          <w:szCs w:val="20"/>
          <w:color w:val="auto"/>
        </w:rPr>
        <w:tab/>
      </w:r>
      <w:r>
        <w:rPr>
          <w:rFonts w:ascii="Arial" w:cs="Arial" w:eastAsia="Arial" w:hAnsi="Arial"/>
          <w:sz w:val="14"/>
          <w:szCs w:val="14"/>
          <w:color w:val="auto"/>
        </w:rPr>
        <w:t>729</w:t>
      </w:r>
    </w:p>
    <w:p>
      <w:pPr>
        <w:spacing w:after="0" w:line="379" w:lineRule="exact"/>
        <w:rPr>
          <w:sz w:val="20"/>
          <w:szCs w:val="20"/>
          <w:color w:val="auto"/>
        </w:rPr>
      </w:pPr>
    </w:p>
    <w:p>
      <w:pPr>
        <w:spacing w:after="0"/>
        <w:tabs>
          <w:tab w:leader="none" w:pos="1140" w:val="left"/>
          <w:tab w:leader="none" w:pos="1480" w:val="left"/>
          <w:tab w:leader="none" w:pos="25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31</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4,369</w:t>
      </w:r>
    </w:p>
    <w:p>
      <w:pPr>
        <w:spacing w:after="0" w:line="109" w:lineRule="exact"/>
        <w:rPr>
          <w:sz w:val="20"/>
          <w:szCs w:val="20"/>
          <w:color w:val="auto"/>
        </w:rPr>
      </w:pPr>
    </w:p>
    <w:p>
      <w:pPr>
        <w:jc w:val="both"/>
        <w:ind w:left="1100"/>
        <w:spacing w:after="0"/>
        <w:tabs>
          <w:tab w:leader="none" w:pos="25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4,566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7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r>
      <w:tr>
        <w:trPr>
          <w:trHeight w:val="270"/>
        </w:trPr>
        <w:tc>
          <w:tcPr>
            <w:tcW w:w="580" w:type="dxa"/>
            <w:vAlign w:val="bottom"/>
          </w:tcPr>
          <w:p>
            <w:pPr>
              <w:jc w:val="right"/>
              <w:ind w:right="4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7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60" w:type="dxa"/>
            <w:vAlign w:val="bottom"/>
          </w:tcPr>
          <w:p>
            <w:pPr>
              <w:ind w:left="500"/>
              <w:spacing w:after="0"/>
              <w:rPr>
                <w:sz w:val="20"/>
                <w:szCs w:val="20"/>
                <w:color w:val="auto"/>
              </w:rPr>
            </w:pPr>
            <w:r>
              <w:rPr>
                <w:rFonts w:ascii="Arial" w:cs="Arial" w:eastAsia="Arial" w:hAnsi="Arial"/>
                <w:sz w:val="14"/>
                <w:szCs w:val="14"/>
                <w:color w:val="auto"/>
                <w:w w:val="89"/>
              </w:rPr>
              <w:t>16</w:t>
            </w:r>
          </w:p>
        </w:tc>
      </w:tr>
    </w:tbl>
    <w:p>
      <w:pPr>
        <w:spacing w:after="0" w:line="200" w:lineRule="exact"/>
        <w:rPr>
          <w:sz w:val="20"/>
          <w:szCs w:val="20"/>
          <w:color w:val="auto"/>
        </w:rPr>
      </w:pPr>
    </w:p>
    <w:p>
      <w:pPr>
        <w:sectPr>
          <w:pgSz w:w="11900" w:h="16838" w:orient="portrait"/>
          <w:cols w:equalWidth="0" w:num="2">
            <w:col w:w="7880" w:space="720"/>
            <w:col w:w="2820"/>
          </w:cols>
          <w:pgMar w:left="240" w:top="125" w:right="239" w:bottom="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b w:val="1"/>
          <w:bCs w:val="1"/>
          <w:color w:val="auto"/>
        </w:rPr>
        <w:t>.</w:t>
      </w:r>
    </w:p>
    <w:p>
      <w:pPr>
        <w:sectPr>
          <w:pgSz w:w="11900" w:h="16838" w:orient="portrait"/>
          <w:cols w:equalWidth="0" w:num="1">
            <w:col w:w="11420"/>
          </w:cols>
          <w:pgMar w:left="240" w:top="125"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25"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(Year Ended December 31, 2016 and Unaudited Three Months and Nine Months Ended September 30,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accompanying unaudited consolidated financial statements for the three and nine months ended September 30, 2017 and 2016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2016 included in the Company’s Annual Report on Form 10-K that was filed with the SEC on March 28, 2017 (the "Annual Report on Form 10-K").</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unaudited interim financial statements have been prepared on the same basis as the audited consolidated financial statements. In the opinion of management, the accompanying unaudited interim consolidated financial statements contain all adjustments which are necessary for a fair statement of the Company’s financial position as of September 30, 2017 and consolidated results of operations for the three and nine months ended September 30, 2017 and cash flows for the nine months ended September 30, 2017. Such adjustments are of a normal and recurring nature. The results of operations for the three and nine months ended September 30, 2017 are not necessarily indicative of the results of operations that may be expected for the year ending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incurred losses since inception and negative cash flows from operating activities. As of September 30, 2017 and December 31, 2016, the Company had an accumulated deficit of $197.4 million and $151.6 million, respectively. The Company’s cash and cash equivalents as of September 30, 2017 and December 31, 2016, includes $1.6 million and $2.4 million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the current operating plan, the Company expects that its cash, cash equivalents, short-term investments and short-term restricted cash as of September 30, 2017, will fund its operating expenses and capital expenditure requirements into mid-2019 based on the latest forecast. The Company has based this estimate on assumptions that may prove to be wrong, and the Company could use its capital resources sooner than it currently expects. Additionally, the process of testing product candidates in clinical trials is costly, and the timing of progress in these trials is uncertain. Because the Company’s product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candidates are in various stages of clinical and preclinical development and the outcome of these efforts is uncertain, the Company cannot estimate the actual amounts necessary to successfully complete the development and commercialization of its product candidates or whether, or when, it may achieve profitability.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September 30, 2017,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7" w:lineRule="exact"/>
        <w:rPr>
          <w:sz w:val="20"/>
          <w:szCs w:val="20"/>
          <w:color w:val="auto"/>
        </w:rPr>
      </w:pPr>
    </w:p>
    <w:p>
      <w:pPr>
        <w:ind w:right="786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income taxes, collectability of accounts receivable, useful lives of long-lived assets, accrued expenses, and accounting for project development. The Company assesses the above estimates on an ongoing basis; however, actual results could materially differ from those estimates.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made significant estimates and assumptions in determining the fair value of its common stock for those periods reported prior to the completion of the initial public offering of the Company’s common stock (the “IPO”). The Company utilized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included estimates and assumptions that require the Company’s judgment. These estimates and assumptions included a number of objective and subjective factors, including external market conditions affecting the biotechnology industry sector, the prices at which the Company sold shares of its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initial public offering, the Company’s Board of Directors and stockholders approved a one-for-3.9 reverse stock split of the Company’s common stock. The reverse stock split became effective June 7, 2016. All share and per share amounts presented have been retroactively adjusted for all periods presented to give effect to this reverse stock split, including reclassifying an amount equal to the reduction in par value of common stock to additional paid-in capital.</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Short-term Investments</w:t>
      </w:r>
    </w:p>
    <w:p>
      <w:pPr>
        <w:spacing w:after="0" w:line="229" w:lineRule="exact"/>
        <w:rPr>
          <w:sz w:val="20"/>
          <w:szCs w:val="20"/>
          <w:color w:val="auto"/>
        </w:rPr>
      </w:pPr>
    </w:p>
    <w:p>
      <w:pPr>
        <w:ind w:right="240"/>
        <w:spacing w:after="0" w:line="220" w:lineRule="exact"/>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investments as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18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September 30, 2017, the Company maintained approximately $1.7 million in Russian bank accounts, of which $1.6 million was held in U.S. dollars.</w:t>
      </w:r>
    </w:p>
    <w:p>
      <w:pPr>
        <w:spacing w:after="0" w:line="165" w:lineRule="exact"/>
        <w:rPr>
          <w:sz w:val="20"/>
          <w:szCs w:val="20"/>
          <w:color w:val="auto"/>
        </w:rPr>
      </w:pPr>
    </w:p>
    <w:p>
      <w:pPr>
        <w:ind w:right="160"/>
        <w:spacing w:after="0" w:line="221" w:lineRule="exact"/>
        <w:rPr>
          <w:sz w:val="20"/>
          <w:szCs w:val="20"/>
          <w:color w:val="auto"/>
        </w:rPr>
      </w:pPr>
      <w:r>
        <w:rPr>
          <w:rFonts w:ascii="Arial" w:cs="Arial" w:eastAsia="Arial" w:hAnsi="Arial"/>
          <w:sz w:val="18"/>
          <w:szCs w:val="18"/>
          <w:color w:val="auto"/>
        </w:rPr>
        <w:t>The Company has minimal credit risk as the majority of accounts receivable relates to amounts due under a government sponsored grant, collaboration with large pharmaceutical companies or grants from well</w:t>
      </w:r>
      <w:r>
        <w:rPr>
          <w:rFonts w:ascii="MS PGothic" w:cs="MS PGothic" w:eastAsia="MS PGothic" w:hAnsi="MS PGothic"/>
          <w:sz w:val="18"/>
          <w:szCs w:val="18"/>
          <w:color w:val="auto"/>
        </w:rPr>
        <w:t>‑</w:t>
      </w:r>
      <w:r>
        <w:rPr>
          <w:rFonts w:ascii="Arial" w:cs="Arial" w:eastAsia="Arial" w:hAnsi="Arial"/>
          <w:sz w:val="18"/>
          <w:szCs w:val="18"/>
          <w:color w:val="auto"/>
        </w:rPr>
        <w:t>known and supported non</w:t>
      </w:r>
      <w:r>
        <w:rPr>
          <w:rFonts w:ascii="MS PGothic" w:cs="MS PGothic" w:eastAsia="MS PGothic" w:hAnsi="MS PGothic"/>
          <w:sz w:val="18"/>
          <w:szCs w:val="18"/>
          <w:color w:val="auto"/>
        </w:rPr>
        <w:t>‑</w:t>
      </w:r>
      <w:r>
        <w:rPr>
          <w:rFonts w:ascii="Arial" w:cs="Arial" w:eastAsia="Arial" w:hAnsi="Arial"/>
          <w:sz w:val="18"/>
          <w:szCs w:val="18"/>
          <w:color w:val="auto"/>
        </w:rPr>
        <w:t>profit organizations. The Company did not have any off balance sheet arrangements as of September 30, 2017 and December 31,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restricted cash, accounts receivable, accounts payable, loans payable, and common stock warrants. The carrying amounts of cash equivalents, Short-term investments, restricted cash, accounts receivable, and accounts payable approximate their estimated fair value due to their Short-term maturities.</w:t>
      </w:r>
    </w:p>
    <w:p>
      <w:pPr>
        <w:spacing w:after="0" w:line="202" w:lineRule="exact"/>
        <w:rPr>
          <w:sz w:val="20"/>
          <w:szCs w:val="20"/>
          <w:color w:val="auto"/>
        </w:rPr>
      </w:pPr>
    </w:p>
    <w:p>
      <w:pPr>
        <w:ind w:right="26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3"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1"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3 inputs.</w:t>
      </w:r>
    </w:p>
    <w:p>
      <w:pPr>
        <w:spacing w:after="0" w:line="187"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w:t>
      </w:r>
    </w:p>
    <w:p>
      <w:pPr>
        <w:sectPr>
          <w:pgSz w:w="11900" w:h="16838" w:orient="portrait"/>
          <w:cols w:equalWidth="0" w:num="1">
            <w:col w:w="11400"/>
          </w:cols>
          <w:pgMar w:left="240" w:top="125" w:right="25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dislocation, the observability of prices and inputs may change for many instruments. This condition could cause an instrument to be reclassified within levels in the fair value hierarchy. There were no transfers within the fair value hierarchy during the nine months ended September 30, 2017 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Property and equipment are recorded at cost and depreciated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ind w:right="160"/>
        <w:spacing w:after="0" w:line="219" w:lineRule="exact"/>
        <w:rPr>
          <w:sz w:val="20"/>
          <w:szCs w:val="20"/>
          <w:color w:val="auto"/>
        </w:rPr>
      </w:pPr>
      <w:r>
        <w:rPr>
          <w:rFonts w:ascii="Arial" w:cs="Arial" w:eastAsia="Arial" w:hAnsi="Arial"/>
          <w:sz w:val="15"/>
          <w:szCs w:val="15"/>
          <w:color w:val="auto"/>
        </w:rPr>
        <w:t>The Company periodically evaluates its long</w:t>
      </w:r>
      <w:r>
        <w:rPr>
          <w:rFonts w:ascii="MS PGothic" w:cs="MS PGothic" w:eastAsia="MS PGothic" w:hAnsi="MS PGothic"/>
          <w:sz w:val="15"/>
          <w:szCs w:val="15"/>
          <w:color w:val="auto"/>
        </w:rPr>
        <w:t>‑</w:t>
      </w:r>
      <w:r>
        <w:rPr>
          <w:rFonts w:ascii="Arial" w:cs="Arial" w:eastAsia="Arial" w:hAnsi="Arial"/>
          <w:sz w:val="15"/>
          <w:szCs w:val="15"/>
          <w:color w:val="auto"/>
        </w:rPr>
        <w:t>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as of September 30, 2017 and December 31, 2016.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Foreign exchange translation</w:t>
            </w:r>
          </w:p>
        </w:tc>
        <w:tc>
          <w:tcPr>
            <w:tcW w:w="1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Unrealized gains (losses) on</w:t>
            </w:r>
          </w:p>
        </w:tc>
        <w:tc>
          <w:tcPr>
            <w:tcW w:w="240" w:type="dxa"/>
            <w:vAlign w:val="bottom"/>
          </w:tcPr>
          <w:p>
            <w:pPr>
              <w:spacing w:after="0"/>
              <w:rPr>
                <w:sz w:val="14"/>
                <w:szCs w:val="14"/>
                <w:color w:val="auto"/>
              </w:rPr>
            </w:pPr>
          </w:p>
        </w:tc>
        <w:tc>
          <w:tcPr>
            <w:tcW w:w="1680" w:type="dxa"/>
            <w:vAlign w:val="bottom"/>
          </w:tcPr>
          <w:p>
            <w:pPr>
              <w:jc w:val="right"/>
              <w:ind w:right="288"/>
              <w:spacing w:after="0"/>
              <w:rPr>
                <w:sz w:val="20"/>
                <w:szCs w:val="20"/>
                <w:color w:val="auto"/>
              </w:rPr>
            </w:pPr>
            <w:r>
              <w:rPr>
                <w:rFonts w:ascii="Arial" w:cs="Arial" w:eastAsia="Arial" w:hAnsi="Arial"/>
                <w:sz w:val="14"/>
                <w:szCs w:val="14"/>
                <w:b w:val="1"/>
                <w:bCs w:val="1"/>
                <w:color w:val="auto"/>
              </w:rPr>
              <w:t>Accumulated other</w:t>
            </w:r>
          </w:p>
        </w:tc>
      </w:tr>
      <w:tr>
        <w:trPr>
          <w:trHeight w:val="192"/>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9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2"/>
              </w:rPr>
              <w:t>comprehensive income (loss)</w:t>
            </w:r>
          </w:p>
        </w:tc>
      </w:tr>
      <w:tr>
        <w:trPr>
          <w:trHeight w:val="256"/>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(4,482)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(4,518)</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gain (loss) during the period</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(4,409)</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Comprehensive income (loss) is the total net earnings and all other non-owner changes in equity. Except for net income and unrealized gains and losses on available-for-sale securities and foreign exchange translation adjustments, the Company does not have any transactions or other economic events that qualify as comprehensive income (loss). There were no reclassifications out of accumulated other comprehensive income or loss as well as no tax effect for the period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Company’s revenue is primarily generated from research grants in both the United States and Russia, and, prior to its termination, a license and research collaboration agreement with Sanofi. The Company recognizes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Accordingly, revenue is recognized when all of the following criteria are met:</w:t>
      </w:r>
    </w:p>
    <w:p>
      <w:pPr>
        <w:spacing w:after="0" w:line="18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enters into collaborative arrangements for the development and commercialization of product candidates utilizing the Company’s Synthetic Vaccine Particles (SVP) technology. The terms of these agreements contain multiple deliverables which may include (i) licenses, or options to obtain licenses, to its technology platforms, (ii) rights to future technological improvements, (iii) research and development activities to be performed on behalf of the collaborative partner or as part of the collaboration, (iv) the manufacture of pre-clinical or clinical materials for the collaborative partner, and (v) options to acquire licenses for additional therapeutic areas. Payments to the Company under these agreements may include nonrefundable license fees, option fees, exercise fees, payments for research and development activities, payments for the manufacture of preclinical or clinical materials, payments based upon the achievement of certain milestones and royalties on product sales.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evaluating multiple element arrangements such as the agreements discussed in Note 13,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78"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The Company determines the estimated selling price for deliverables within each agreement using vendor</w:t>
      </w:r>
      <w:r>
        <w:rPr>
          <w:rFonts w:ascii="MS PGothic" w:cs="MS PGothic" w:eastAsia="MS PGothic" w:hAnsi="MS PGothic"/>
          <w:sz w:val="16"/>
          <w:szCs w:val="16"/>
          <w:color w:val="auto"/>
        </w:rPr>
        <w:t>‑</w:t>
      </w:r>
      <w:r>
        <w:rPr>
          <w:rFonts w:ascii="Arial" w:cs="Arial" w:eastAsia="Arial" w:hAnsi="Arial"/>
          <w:sz w:val="16"/>
          <w:szCs w:val="16"/>
          <w:color w:val="auto"/>
        </w:rPr>
        <w:t>specific objective evidence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(“TPE”) of selling price if VSOE is not available, or best estimate of selling price if neither VSOE nor TPE is available. Determining the best estimate of selling price for a deliverable requires significant judgment. Since the Company is a clinical stage company without a marketable product, and currently there is no technologically comparative product on the market, to determine either VSOE or TPE, the Company has used its best estimate of selling price to estimate the selling price for licenses and deliverables related to the Company’s proprietary technology. Under the circumstances, the Company considers market conditions as well as entity</w:t>
      </w:r>
      <w:r>
        <w:rPr>
          <w:rFonts w:ascii="MS PGothic" w:cs="MS PGothic" w:eastAsia="MS PGothic" w:hAnsi="MS PGothic"/>
          <w:sz w:val="16"/>
          <w:szCs w:val="16"/>
          <w:color w:val="auto"/>
        </w:rPr>
        <w:t>‑</w:t>
      </w:r>
      <w:r>
        <w:rPr>
          <w:rFonts w:ascii="Arial" w:cs="Arial" w:eastAsia="Arial" w:hAnsi="Arial"/>
          <w:sz w:val="16"/>
          <w:szCs w:val="16"/>
          <w:color w:val="auto"/>
        </w:rPr>
        <w:t>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Options for future deliverables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would be considered a deliverable at the inception of the arrangement and a corresponding amount would be included in the initial consideration.</w:t>
      </w:r>
    </w:p>
    <w:p>
      <w:pPr>
        <w:spacing w:after="0" w:line="189"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color w:val="auto"/>
        </w:rPr>
        <w:t>The Company may receive upfront payments when licensing its intellectual property in conjunction with a manufacturing or a research and development agreement. When management believes the license to its intellectual property does not have stand</w:t>
      </w:r>
      <w:r>
        <w:rPr>
          <w:rFonts w:ascii="MS PGothic" w:cs="MS PGothic" w:eastAsia="MS PGothic" w:hAnsi="MS PGothic"/>
          <w:sz w:val="18"/>
          <w:szCs w:val="18"/>
          <w:color w:val="auto"/>
        </w:rPr>
        <w:t>‑</w:t>
      </w:r>
      <w:r>
        <w:rPr>
          <w:rFonts w:ascii="Arial" w:cs="Arial" w:eastAsia="Arial" w:hAnsi="Arial"/>
          <w:sz w:val="18"/>
          <w:szCs w:val="18"/>
          <w:color w:val="auto"/>
        </w:rPr>
        <w:t>alone value from the other deliverables to be provided in the arrangement, the Company generally recognizes revenue attributed to the license over the Company’s contractual or estimated performance period. When management believes the license to its intellectual property has stand</w:t>
      </w:r>
      <w:r>
        <w:rPr>
          <w:rFonts w:ascii="MS PGothic" w:cs="MS PGothic" w:eastAsia="MS PGothic" w:hAnsi="MS PGothic"/>
          <w:sz w:val="18"/>
          <w:szCs w:val="18"/>
          <w:color w:val="auto"/>
        </w:rPr>
        <w:t>‑</w:t>
      </w:r>
      <w:r>
        <w:rPr>
          <w:rFonts w:ascii="Arial" w:cs="Arial" w:eastAsia="Arial" w:hAnsi="Arial"/>
          <w:sz w:val="18"/>
          <w:szCs w:val="18"/>
          <w:color w:val="auto"/>
        </w:rPr>
        <w:t>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deliveries of manufactured products and research and development efforts are recognized as the services are performed.</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the inception of each agreement that includes milestone payments, the Company evaluates whether each milestone is substantive and at risk to both parties based on the contingent nature of the milestone, specifically reviewing factors such as the scientific and other risks that must be overcome to achieve the milestone, whether the milestone consideration is reasonable relative to all deliverables and payment terms,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Agreements</w:t>
      </w:r>
    </w:p>
    <w:p>
      <w:pPr>
        <w:spacing w:after="0" w:line="229"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Grant revenue is generally recognized as the related research and development work is performed. Grant arrangements frequently include payment milestones which the Company has judged to be non</w:t>
      </w:r>
      <w:r>
        <w:rPr>
          <w:rFonts w:ascii="MS PGothic" w:cs="MS PGothic" w:eastAsia="MS PGothic" w:hAnsi="MS PGothic"/>
          <w:sz w:val="18"/>
          <w:szCs w:val="18"/>
          <w:color w:val="auto"/>
        </w:rPr>
        <w:t>‑</w:t>
      </w:r>
      <w:r>
        <w:rPr>
          <w:rFonts w:ascii="Arial" w:cs="Arial" w:eastAsia="Arial" w:hAnsi="Arial"/>
          <w:sz w:val="18"/>
          <w:szCs w:val="18"/>
          <w:color w:val="auto"/>
        </w:rPr>
        <w:t>substantive milestones as they are typically</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entitled to receive payment regardless of the outcome of the research work. Revenue under such arrangements is recognized using a proportional performance method, but not more than cash received.</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Amounts received prior to satisfying the above revenue recognition criteria are recorded as deferred revenue in the accompanying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221" w:lineRule="exact"/>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be realized.</w:t>
      </w:r>
    </w:p>
    <w:p>
      <w:pPr>
        <w:spacing w:after="0" w:line="202" w:lineRule="exact"/>
        <w:rPr>
          <w:sz w:val="20"/>
          <w:szCs w:val="20"/>
          <w:color w:val="auto"/>
        </w:rPr>
      </w:pPr>
    </w:p>
    <w:p>
      <w:pPr>
        <w:ind w:right="28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Prior to the completion of the IPO, the Company classified preferred stock as temporary equity and initially records it at the original issuance price, net of issuance costs and discounts. The carrying value was accreted up to the redemption value over the earliest redemption period. The carrying value was also adjusted for dividends expected to be paid upon redemption or liquidation according to the preferred stock terms on each balance sheet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determines the accounting classification of warrants that are issued, as either liability or equity, by first assessing whether the warrants meet liability classification in accordance with ASC 480-10, Accounting for Certain Financial Instruments with Characteristics of both Liabilities and Equity, and then in accordance with ASC 815-40, Accounting for Derivative Financial Instruments Indexed to, and Potentially Settled in, a Company’s Own Stock. Under ASC 480, 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our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color w:val="auto"/>
        </w:rPr>
        <w:t>The Company accounts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granted to employees and non</w:t>
      </w:r>
      <w:r>
        <w:rPr>
          <w:rFonts w:ascii="MS PGothic" w:cs="MS PGothic" w:eastAsia="MS PGothic" w:hAnsi="MS PGothic"/>
          <w:sz w:val="18"/>
          <w:szCs w:val="18"/>
          <w:color w:val="auto"/>
        </w:rPr>
        <w:t>‑</w:t>
      </w:r>
      <w:r>
        <w:rPr>
          <w:rFonts w:ascii="Arial" w:cs="Arial" w:eastAsia="Arial" w:hAnsi="Arial"/>
          <w:sz w:val="18"/>
          <w:szCs w:val="18"/>
          <w:color w:val="auto"/>
        </w:rPr>
        <w:t>employees using a fair value method.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awarded to employees is measured at the grant date fair value and is recognized over the requisite service period of the awards, usually the vesting period,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net of estimated forfeitures. Stock</w:t>
      </w:r>
      <w:r>
        <w:rPr>
          <w:rFonts w:ascii="MS PGothic" w:cs="MS PGothic" w:eastAsia="MS PGothic" w:hAnsi="MS PGothic"/>
          <w:sz w:val="18"/>
          <w:szCs w:val="18"/>
          <w:color w:val="auto"/>
        </w:rPr>
        <w:t>‑</w:t>
      </w:r>
      <w:r>
        <w:rPr>
          <w:rFonts w:ascii="Arial" w:cs="Arial" w:eastAsia="Arial" w:hAnsi="Arial"/>
          <w:sz w:val="18"/>
          <w:szCs w:val="18"/>
          <w:color w:val="auto"/>
        </w:rPr>
        <w:t>based</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compensation awarded to non</w:t>
      </w:r>
      <w:r>
        <w:rPr>
          <w:rFonts w:ascii="MS PGothic" w:cs="MS PGothic" w:eastAsia="MS PGothic" w:hAnsi="MS PGothic"/>
          <w:sz w:val="18"/>
          <w:szCs w:val="18"/>
          <w:color w:val="auto"/>
        </w:rPr>
        <w:t>‑</w:t>
      </w:r>
      <w:r>
        <w:rPr>
          <w:rFonts w:ascii="Arial" w:cs="Arial" w:eastAsia="Arial" w:hAnsi="Arial"/>
          <w:sz w:val="18"/>
          <w:szCs w:val="18"/>
          <w:color w:val="auto"/>
        </w:rPr>
        <w:t>employees are subject to revaluation over their vesting terms. The Company reduces recorded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in the financial statements is based on awards that are ultimately expected to vest.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Comprehensive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loss consists of both: (i) all components of net loss and (ii) all components of comprehensive loss other than net loss, referred to as other comprehensive loss. For all periods presented, other comprehensive loss is comprised of foreign currency translation adjustments and the unrealized gains and losses on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40"/>
        <w:spacing w:after="0" w:line="219" w:lineRule="exact"/>
        <w:rPr>
          <w:sz w:val="20"/>
          <w:szCs w:val="20"/>
          <w:color w:val="auto"/>
        </w:rPr>
      </w:pPr>
      <w:r>
        <w:rPr>
          <w:rFonts w:ascii="Arial" w:cs="Arial" w:eastAsia="Arial" w:hAnsi="Arial"/>
          <w:sz w:val="16"/>
          <w:szCs w:val="16"/>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6"/>
          <w:szCs w:val="16"/>
          <w:color w:val="auto"/>
        </w:rPr>
        <w:t>‑</w:t>
      </w:r>
      <w:r>
        <w:rPr>
          <w:rFonts w:ascii="Arial" w:cs="Arial" w:eastAsia="Arial" w:hAnsi="Arial"/>
          <w:sz w:val="16"/>
          <w:szCs w:val="16"/>
          <w:color w:val="auto"/>
        </w:rPr>
        <w:t>dilutive and basic and diluted loss per share have been the same.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The difference between rent expense recognized and rental payments is recorded as deferred rent in the accompanying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September 30, 2017 and December 31, 2016,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the Company adopts as of the specified effective date.</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amends the guidance for revenue recognition to replace numerous industry- 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amendments in ASU 2014-09 are effective for reporting periods beginning after December 15, 2017. Early adoption is permitted, but not before December 15, 2016. The new standard will be effective for us beginning January 1, 2018.</w:t>
      </w:r>
    </w:p>
    <w:p>
      <w:pPr>
        <w:spacing w:after="0" w:line="18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initiated an assessment of the potential changes from adopting ASU 2014-09. The assessment includes identifying and analyzing the impact of the standard by reviewing the Company's current accounting policies and practices to identify potential differences that would result from applying the requirements of the new standard to each revenue contract associated with all of the Company's revenue streams. As of September 30, 2017, the Company had two revenue contracts that would require assessment under ASU 2014-09. The Company plans to adopt the new standard effective January 1, 2018 using the modified retrospective method. The Company continues to monitor additional changes, modifications, clarifications or interpretations being undertaken by the FASB, which may impact the Company’s current conclusions. The Company is still evaluating aspects of ASU 2014-09 and has not determined how it may impact its financial position, results of operations or related disclosures.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(“ASU 2014-15”). ASU 2014-15 requires management to assess an entity’s ability to continue as a going concern and to provide related disclosures in certain circumstances. The requirement of ASU 2014-15 became effective for the annual financial statement period ending after December 15, 2016. We adopted ASU 2014-15 for the year ended December 31, 2016, and the adoption did not have a material effect on the Company's consolidated financial statements.</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Recognition and Measurement of Financial Assets and Financial Liabilities (Topic 825)</w:t>
      </w:r>
      <w:r>
        <w:rPr>
          <w:rFonts w:ascii="Arial" w:cs="Arial" w:eastAsia="Arial" w:hAnsi="Arial"/>
          <w:sz w:val="17"/>
          <w:szCs w:val="17"/>
          <w:color w:val="auto"/>
        </w:rPr>
        <w:t xml:space="preserve"> (“ASU 2016-01”)</w:t>
      </w:r>
      <w:r>
        <w:rPr>
          <w:rFonts w:ascii="Arial" w:cs="Arial" w:eastAsia="Arial" w:hAnsi="Arial"/>
          <w:sz w:val="17"/>
          <w:szCs w:val="17"/>
          <w:i w:val="1"/>
          <w:iCs w:val="1"/>
          <w:color w:val="auto"/>
        </w:rPr>
        <w:t>.</w:t>
      </w:r>
      <w:r>
        <w:rPr>
          <w:rFonts w:ascii="Arial" w:cs="Arial" w:eastAsia="Arial" w:hAnsi="Arial"/>
          <w:sz w:val="17"/>
          <w:szCs w:val="17"/>
          <w:color w:val="auto"/>
        </w:rPr>
        <w:t xml:space="preserve"> The amendments in this Update supersede the guidance to classify equity securities with readily determinable fair values into different categories (that is, trading or available-for-sale) and require equity securities (including other ownership interests, such as partnerships, unincorporated joint ventures, and limited liability companies) to be measured at fair value with changes in the fair value recognized through net income. The amendments allow equity investments that do not have readily determinable fair values to be remeasured at fair value either upon the occurrence of an observable price change or upon identification of an impairment. The amendments also require enhanced disclosures about those investments. This guidance is effective for annual reporting beginning after December 15, 2017, including interim periods within the year of adoption, and calls for prospective application, with early application permitted. Accordingly, the standard is effective for the Company on January 1, 2018. The Company is currently evaluating the effect of the adoption of this guidance on its consolidated financial statements.</w:t>
      </w:r>
    </w:p>
    <w:p>
      <w:pPr>
        <w:spacing w:after="0" w:line="18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The Company is currently evaluating the effect of the adoption of this guidance on its consolidated financial statements.</w:t>
      </w:r>
    </w:p>
    <w:p>
      <w:pPr>
        <w:spacing w:after="0" w:line="17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 xml:space="preserve">In March 2016, the FASB issued ASU No. 2016-9,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2016-9”), which simplifies several aspects of accounting for share-based payment transactions including the income tax consequences, classification of awards as either equity or liabilities, the estimation of forfeitures, shares withheld for taxes and classification on the statement of cash flows. This guidance is effective for the Company on January 1, 2017 and early adoption was permitted. The Company adopted ASU 2016-09 during the first fiscal quarter ended on March 31, 2017. As part of the adoption of this guidance the Company will continue to use estimated forfeitures in its calculation of stock-based compensation expense.</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excess tax benefits and tax deficiencies from stock-based compensation awards accounted for under ASC 718 are recognized as income tax benefit or expense, respectively, in the statements of operations. The income tax related items had no effect on the current period presentation as the Company maintains a full valuation allowance against its deferred tax assets. In addition, excess tax benefits for share-based payments are presented as an operating activity in the statements of cash flows rather than financing activity. The changes have been applied prospectively in accordance with the ASU and prior periods have not been adjusted. As a result of the adoption on January 1, 2017, the net operating losses deferred tax assets were increased by $0.3 million, which was offset by a corresponding increase in the valuation allowance.</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Statements of Cash Flows - Classifications of Certain Cash Receipts and Cash Payments</w:t>
      </w:r>
      <w:r>
        <w:rPr>
          <w:rFonts w:ascii="Arial" w:cs="Arial" w:eastAsia="Arial" w:hAnsi="Arial"/>
          <w:sz w:val="17"/>
          <w:szCs w:val="17"/>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The Company is currently evaluating the effect of the adoption of this guidance on its consolidated financial statements.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November 2016, the FASB issued ASU No. 2016-18, S</w:t>
      </w:r>
      <w:r>
        <w:rPr>
          <w:rFonts w:ascii="Arial" w:cs="Arial" w:eastAsia="Arial" w:hAnsi="Arial"/>
          <w:sz w:val="16"/>
          <w:szCs w:val="16"/>
          <w:i w:val="1"/>
          <w:iCs w:val="1"/>
          <w:color w:val="auto"/>
        </w:rPr>
        <w:t>tatement of Cash Flows, Restricted Cash</w:t>
      </w:r>
      <w:r>
        <w:rPr>
          <w:rFonts w:ascii="Arial" w:cs="Arial" w:eastAsia="Arial" w:hAnsi="Arial"/>
          <w:sz w:val="16"/>
          <w:szCs w:val="16"/>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 of period and end of period to total amounts shown on the statement of cash flows. This guidance is effective for annual reporting periods beginning after December 15, 2017, including interim periods within that reporting period, with early adoption permitted. Upon implementation of ASU 2016-18 the Company will present $0.4 million in the Consolidated Statements of Cash Flows in the "Cash and cash equivalents at beginning of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2017 and December 31, 2016, the Company’s available-for-sale marketable securities consisted of debt securities issued by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corporate debt securities.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available-for-sale marketable securities by major type of security as of September 30, 2017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September 30, 2017</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Amortized Cost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right"/>
              <w:ind w:right="260"/>
              <w:spacing w:after="0" w:line="153" w:lineRule="exact"/>
              <w:rPr>
                <w:sz w:val="20"/>
                <w:szCs w:val="20"/>
                <w:color w:val="auto"/>
              </w:rPr>
            </w:pPr>
            <w:r>
              <w:rPr>
                <w:rFonts w:ascii="Arial" w:cs="Arial" w:eastAsia="Arial" w:hAnsi="Arial"/>
                <w:sz w:val="14"/>
                <w:szCs w:val="14"/>
                <w:b w:val="1"/>
                <w:bCs w:val="1"/>
                <w:color w:val="auto"/>
              </w:rPr>
              <w:t>Gross Unrealized</w:t>
            </w:r>
          </w:p>
        </w:tc>
        <w:tc>
          <w:tcPr>
            <w:tcW w:w="144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Gains</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32,241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32,237</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32,241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32,237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15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5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24,821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17</w:t>
            </w:r>
          </w:p>
        </w:tc>
        <w:tc>
          <w:tcPr>
            <w:tcW w:w="6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(53)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24,785</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c>
          <w:tcPr>
            <w:tcW w:w="2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 available-for-sale marketable securities are classified in the Company’s Condensed Balance Sheets as Short-term deposits and investments.</w:t>
      </w:r>
    </w:p>
    <w:p>
      <w:pPr>
        <w:spacing w:after="0" w:line="2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classifies its marketable debt securities based on their contractual maturity dates. As of September 30, 2017, the Company’s marketable debt securities mature at various dates through March 2018. The fair values and amortized cost of marketable debt securities by contractual maturity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than one year</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32,237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32,241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24,785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September 30, 2017 the Company held a total of 25 positions, 22 of which were in an unrealized loss position, none of which had been in an unrealized loss position for 12 months or greater. The aggregate fair value of the investments in an unrealized loss position is $28.0 million. Based on the Company’s review of these securities, the Company believes that the cost basis of its available-for-sale marketable securities is recoverable and it had no other-than-temporary impairments on these securities as of September 30, 2017. The Company does not intend to sell these debt securities and the Company believes it is not more-likely-than-not that it will be required to sell these securities before the recovery of their amortized cost basis, which may be at maturity.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Because the Company has reported a net loss attributable to common stockholders for all periods presented, basic and diluted net loss per share attributable to common stockholders are the same for those periods.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Numerator: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5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(22,127)</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280"/>
              <w:spacing w:after="0"/>
              <w:rPr>
                <w:sz w:val="20"/>
                <w:szCs w:val="20"/>
                <w:color w:val="auto"/>
              </w:rPr>
            </w:pPr>
            <w:r>
              <w:rPr>
                <w:rFonts w:ascii="Arial" w:cs="Arial" w:eastAsia="Arial" w:hAnsi="Arial"/>
                <w:sz w:val="14"/>
                <w:szCs w:val="14"/>
                <w:color w:val="auto"/>
              </w:rPr>
              <w:t>Less: accretion on preferred stock</w:t>
            </w:r>
          </w:p>
        </w:tc>
        <w:tc>
          <w:tcPr>
            <w:tcW w:w="2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80"/>
        </w:trPr>
        <w:tc>
          <w:tcPr>
            <w:tcW w:w="56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(26,693)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62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outstanding—basic and diluted</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22,082,207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18,108,014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19,803,551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7,881,625</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620" w:type="dxa"/>
            <w:vAlign w:val="bottom"/>
          </w:tcPr>
          <w:p>
            <w:pPr>
              <w:ind w:left="40"/>
              <w:spacing w:after="0"/>
              <w:rPr>
                <w:sz w:val="20"/>
                <w:szCs w:val="20"/>
                <w:color w:val="auto"/>
              </w:rPr>
            </w:pPr>
            <w:r>
              <w:rPr>
                <w:rFonts w:ascii="Arial" w:cs="Arial" w:eastAsia="Arial" w:hAnsi="Arial"/>
                <w:sz w:val="14"/>
                <w:szCs w:val="14"/>
                <w:color w:val="auto"/>
              </w:rPr>
              <w:t>Net loss per share attributable to common stockholders—basic and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Potential common shares issuable upon conversion of warrants to purchase common stock and stock options that are excluded from the computation of diluted weighted average shares outstanding are as follows: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1008"/>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r>
      <w:tr>
        <w:trPr>
          <w:trHeight w:val="217"/>
        </w:trPr>
        <w:tc>
          <w:tcPr>
            <w:tcW w:w="8120" w:type="dxa"/>
            <w:vAlign w:val="bottom"/>
          </w:tcPr>
          <w:p>
            <w:pPr>
              <w:spacing w:after="0"/>
              <w:rPr>
                <w:sz w:val="18"/>
                <w:szCs w:val="18"/>
                <w:color w:val="auto"/>
              </w:rPr>
            </w:pPr>
          </w:p>
        </w:tc>
        <w:tc>
          <w:tcPr>
            <w:tcW w:w="160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53"/>
        </w:trPr>
        <w:tc>
          <w:tcPr>
            <w:tcW w:w="8120" w:type="dxa"/>
            <w:vAlign w:val="bottom"/>
          </w:tcPr>
          <w:p>
            <w:pPr>
              <w:spacing w:after="0"/>
              <w:rPr>
                <w:sz w:val="4"/>
                <w:szCs w:val="4"/>
                <w:color w:val="auto"/>
              </w:rPr>
            </w:pPr>
          </w:p>
        </w:tc>
        <w:tc>
          <w:tcPr>
            <w:tcW w:w="2240" w:type="dxa"/>
            <w:vAlign w:val="bottom"/>
            <w:tcBorders>
              <w:bottom w:val="single" w:sz="8" w:color="auto"/>
            </w:tcBorders>
            <w:gridSpan w:val="3"/>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8"/>
        </w:trPr>
        <w:tc>
          <w:tcPr>
            <w:tcW w:w="8120" w:type="dxa"/>
            <w:vAlign w:val="bottom"/>
          </w:tcPr>
          <w:p>
            <w:pPr>
              <w:spacing w:after="0"/>
              <w:rPr>
                <w:sz w:val="20"/>
                <w:szCs w:val="20"/>
                <w:color w:val="auto"/>
              </w:rPr>
            </w:pPr>
          </w:p>
        </w:tc>
        <w:tc>
          <w:tcPr>
            <w:tcW w:w="2240" w:type="dxa"/>
            <w:vAlign w:val="bottom"/>
            <w:gridSpan w:val="3"/>
          </w:tcPr>
          <w:p>
            <w:pPr>
              <w:jc w:val="center"/>
              <w:ind w:left="1008"/>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tcPr>
          <w:p>
            <w:pPr>
              <w:spacing w:after="0"/>
              <w:rPr>
                <w:sz w:val="20"/>
                <w:szCs w:val="20"/>
                <w:color w:val="auto"/>
              </w:rPr>
            </w:pPr>
          </w:p>
        </w:tc>
      </w:tr>
      <w:tr>
        <w:trPr>
          <w:trHeight w:val="203"/>
        </w:trPr>
        <w:tc>
          <w:tcPr>
            <w:tcW w:w="8120" w:type="dxa"/>
            <w:vAlign w:val="bottom"/>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2,419,540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2,140,295</w:t>
            </w:r>
          </w:p>
        </w:tc>
      </w:tr>
      <w:tr>
        <w:trPr>
          <w:trHeight w:val="80"/>
        </w:trPr>
        <w:tc>
          <w:tcPr>
            <w:tcW w:w="8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19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113,795</w:t>
            </w:r>
          </w:p>
        </w:tc>
      </w:tr>
      <w:tr>
        <w:trPr>
          <w:trHeight w:val="80"/>
        </w:trPr>
        <w:tc>
          <w:tcPr>
            <w:tcW w:w="8120" w:type="dxa"/>
            <w:vAlign w:val="bottom"/>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2,595,972</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2,254,090</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September 30, 2017 and December 31, 2016, and indicate the level within the fair value hierarchy where each measurement is classified. Below is a summary of assets measured at fair value on a recurring basis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67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r>
      <w:tr>
        <w:trPr>
          <w:trHeight w:val="256"/>
        </w:trPr>
        <w:tc>
          <w:tcPr>
            <w:tcW w:w="6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Money market funds, included in cash equivalents</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10,062</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10,062</w:t>
            </w:r>
          </w:p>
        </w:tc>
        <w:tc>
          <w:tcPr>
            <w:tcW w:w="20" w:type="dxa"/>
            <w:vAlign w:val="bottom"/>
          </w:tcPr>
          <w:p>
            <w:pPr>
              <w:spacing w:after="0"/>
              <w:rPr>
                <w:sz w:val="22"/>
                <w:szCs w:val="22"/>
                <w:color w:val="auto"/>
              </w:rPr>
            </w:pPr>
          </w:p>
        </w:tc>
      </w:tr>
      <w:tr>
        <w:trPr>
          <w:trHeight w:val="258"/>
        </w:trPr>
        <w:tc>
          <w:tcPr>
            <w:tcW w:w="6780" w:type="dxa"/>
            <w:vAlign w:val="bottom"/>
          </w:tcPr>
          <w:p>
            <w:pPr>
              <w:ind w:left="40"/>
              <w:spacing w:after="0"/>
              <w:rPr>
                <w:sz w:val="20"/>
                <w:szCs w:val="20"/>
                <w:color w:val="auto"/>
              </w:rPr>
            </w:pPr>
            <w:r>
              <w:rPr>
                <w:rFonts w:ascii="Arial" w:cs="Arial" w:eastAsia="Arial" w:hAnsi="Arial"/>
                <w:sz w:val="14"/>
                <w:szCs w:val="14"/>
                <w:color w:val="auto"/>
              </w:rPr>
              <w:t>Corporate bonds, included in investments</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32,237</w:t>
            </w:r>
          </w:p>
        </w:tc>
        <w:tc>
          <w:tcPr>
            <w:tcW w:w="2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32,237</w:t>
            </w:r>
          </w:p>
        </w:tc>
        <w:tc>
          <w:tcPr>
            <w:tcW w:w="20" w:type="dxa"/>
            <w:vAlign w:val="bottom"/>
          </w:tcPr>
          <w:p>
            <w:pPr>
              <w:spacing w:after="0"/>
              <w:rPr>
                <w:sz w:val="22"/>
                <w:szCs w:val="22"/>
                <w:color w:val="auto"/>
              </w:rPr>
            </w:pPr>
          </w:p>
        </w:tc>
      </w:tr>
      <w:tr>
        <w:trPr>
          <w:trHeight w:val="776"/>
        </w:trPr>
        <w:tc>
          <w:tcPr>
            <w:tcW w:w="6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6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5"/>
              </w:rPr>
              <w:t>(level 2)</w:t>
            </w:r>
          </w:p>
        </w:tc>
        <w:tc>
          <w:tcPr>
            <w:tcW w:w="2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22"/>
                <w:szCs w:val="22"/>
                <w:color w:val="auto"/>
              </w:rPr>
            </w:pPr>
          </w:p>
        </w:tc>
      </w:tr>
      <w:tr>
        <w:trPr>
          <w:trHeight w:val="256"/>
        </w:trPr>
        <w:tc>
          <w:tcPr>
            <w:tcW w:w="6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Money market funds, included in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24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20" w:type="dxa"/>
            <w:vAlign w:val="bottom"/>
            <w:shd w:val="clear" w:color="auto" w:fill="CCEEFF"/>
          </w:tcPr>
          <w:p>
            <w:pPr>
              <w:spacing w:after="0"/>
              <w:rPr>
                <w:sz w:val="22"/>
                <w:szCs w:val="22"/>
                <w:color w:val="auto"/>
              </w:rPr>
            </w:pPr>
          </w:p>
        </w:tc>
      </w:tr>
      <w:tr>
        <w:trPr>
          <w:trHeight w:val="264"/>
        </w:trPr>
        <w:tc>
          <w:tcPr>
            <w:tcW w:w="6780" w:type="dxa"/>
            <w:vAlign w:val="bottom"/>
          </w:tcPr>
          <w:p>
            <w:pPr>
              <w:ind w:left="40"/>
              <w:spacing w:after="0"/>
              <w:rPr>
                <w:sz w:val="20"/>
                <w:szCs w:val="20"/>
                <w:color w:val="auto"/>
              </w:rPr>
            </w:pPr>
            <w:r>
              <w:rPr>
                <w:rFonts w:ascii="Arial" w:cs="Arial" w:eastAsia="Arial" w:hAnsi="Arial"/>
                <w:sz w:val="14"/>
                <w:szCs w:val="14"/>
                <w:color w:val="auto"/>
              </w:rPr>
              <w:t>Tri-party repurchase agreements, included in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27,000</w:t>
            </w:r>
          </w:p>
        </w:tc>
        <w:tc>
          <w:tcPr>
            <w:tcW w:w="20" w:type="dxa"/>
            <w:vAlign w:val="bottom"/>
          </w:tcPr>
          <w:p>
            <w:pPr>
              <w:spacing w:after="0"/>
              <w:rPr>
                <w:sz w:val="22"/>
                <w:szCs w:val="22"/>
                <w:color w:val="auto"/>
              </w:rPr>
            </w:pPr>
          </w:p>
        </w:tc>
      </w:tr>
      <w:tr>
        <w:trPr>
          <w:trHeight w:val="276"/>
        </w:trPr>
        <w:tc>
          <w:tcPr>
            <w:tcW w:w="6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 included in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24,785</w:t>
            </w:r>
          </w:p>
        </w:tc>
        <w:tc>
          <w:tcPr>
            <w:tcW w:w="24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24,785</w:t>
            </w:r>
          </w:p>
        </w:tc>
        <w:tc>
          <w:tcPr>
            <w:tcW w:w="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September 30, 2017, all cash and cash equivalent investments where held in money market funds. At December 31, 2016, all cash and cash equivalent investments where held in money market funds and tri-party repurchase agreements. The tri-party repurchase agreements are collateralized by government securities for an amount not less than 102% of their value. All tri-party repurchase agreements have maturities of three months or less at the time of investment.</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average maturity date for Corporate Bonds, included in investments at September 30, 2017 and December 31, 2016 was 152 days and 297 days, respectively. Fair value of Corporate Bonds approximates amortized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8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70"/>
        </w:trPr>
        <w:tc>
          <w:tcPr>
            <w:tcW w:w="8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Laboratory equipment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4,713</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equipment and software</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Leasehold improvements</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Furniture and fixtures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Office equipment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r>
      <w:tr>
        <w:trPr>
          <w:trHeight w:val="21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5,787</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w:t>
            </w:r>
          </w:p>
        </w:tc>
      </w:tr>
      <w:tr>
        <w:trPr>
          <w:trHeight w:val="216"/>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Depreciation expense was $0.2 million and $0.1 million for the three months ended September 30, 2017 and 2016, respectively, and $0.6 million and $0.5 million for the nine months ended September 30, 2017 and 2016, respectively.</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70"/>
        </w:trPr>
        <w:tc>
          <w:tcPr>
            <w:tcW w:w="8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Payroll and employee related expenses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1,551</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Collaboration and licensing</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patent fees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794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professional fees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grant refund</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interest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479</w:t>
            </w:r>
          </w:p>
        </w:tc>
      </w:tr>
      <w:tr>
        <w:trPr>
          <w:trHeight w:val="21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3,921</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40"/>
        <w:spacing w:after="0" w:line="220" w:lineRule="exact"/>
        <w:rPr>
          <w:sz w:val="20"/>
          <w:szCs w:val="20"/>
          <w:color w:val="auto"/>
        </w:rPr>
      </w:pPr>
      <w:r>
        <w:rPr>
          <w:rFonts w:ascii="Arial" w:cs="Arial" w:eastAsia="Arial" w:hAnsi="Arial"/>
          <w:sz w:val="16"/>
          <w:szCs w:val="16"/>
          <w:color w:val="auto"/>
        </w:rPr>
        <w:t>The Company has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Headquarters Lease, the Company secured a letter of credit for $0.3 million which renews automatically each year and is classified in restricted cash and other deposits in the accompanying consolidated balance sheets.</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August 2016, the Company signed an amendment to the Headquarters Lease, which extends the term through March 31, 2020. The Headquarters Lease includes a rent escalation clause, and accordingly, rent expense is being recognized on a straight-line basis over the term.</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Deferred rent and lease incentive liability totaled $0.2 million and $0.3 million as of September 30, 2017 and December 31, 2016, respectively. Included in that amount, the current portion of deferred rent and lease incentive liability is classified as accrued expenses and was less than $0.1 million at September 30, 2017 and December 31, 2016, respectively.</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facility. Rent expense is recognized as incurred.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Rent expense for the three months ended September 30, 2017 and 2016 was $0.5 million and $0.4 million, respectively. For the nine months ended September 30, 2017 and 2016, the rent expense was 1.4 million and $1.1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future minimum lease payments under the Headquarters Lease, as amended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60" w:type="dxa"/>
            <w:vAlign w:val="bottom"/>
          </w:tcPr>
          <w:p>
            <w:pPr>
              <w:ind w:left="40"/>
              <w:spacing w:after="0"/>
              <w:rPr>
                <w:sz w:val="20"/>
                <w:szCs w:val="20"/>
                <w:color w:val="auto"/>
              </w:rPr>
            </w:pPr>
            <w:r>
              <w:rPr>
                <w:rFonts w:ascii="Arial" w:cs="Arial" w:eastAsia="Arial" w:hAnsi="Arial"/>
                <w:sz w:val="14"/>
                <w:szCs w:val="14"/>
                <w:color w:val="auto"/>
              </w:rPr>
              <w:t>Year ended December 31,</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1,244</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color w:val="auto"/>
              </w:rPr>
              <w:t>2018</w:t>
            </w:r>
          </w:p>
        </w:tc>
        <w:tc>
          <w:tcPr>
            <w:tcW w:w="5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1,291</w:t>
            </w: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w:t>
            </w:r>
          </w:p>
        </w:tc>
      </w:tr>
      <w:tr>
        <w:trPr>
          <w:trHeight w:val="21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w:t>
            </w:r>
          </w:p>
        </w:tc>
      </w:tr>
      <w:tr>
        <w:trPr>
          <w:trHeight w:val="21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minimum lease payments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w:t>
      </w:r>
    </w:p>
    <w:p>
      <w:pPr>
        <w:sectPr>
          <w:pgSz w:w="11900" w:h="16838" w:orient="portrait"/>
          <w:cols w:equalWidth="0" w:num="1">
            <w:col w:w="11420"/>
          </w:cols>
          <w:pgMar w:left="240" w:top="125"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violations,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Term Loan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9, 2013, the Company entered into a loan and security agreement with Oxford Finance LLC (“Oxford”) and Square 1 Bank (“Square 1”) to borrow up to $7.5 million. The Company initially borrowed $3.0 million in August 2013 and subsequently borrowed an additional $4.5 million in July 2014. In December 2015, the Company refinanced this debt facility to increase the amount of the borrowing to $12.0 million and to extend the repayment term. The amounts borrowed are collectively referred to as the “2015 Term Loan”. The lenders for the refinanced debt facility are Oxford and Pacific Western Bank (“Pacific Western”). Pacific Western had acquired Square 1 since the time of the original loan. Such a change in lender does not constitute third party financing on its own, and does not require extinguishment accounting. As a result of the refinancing, the stated interest rate was also adjusted to reflect the current market borrowing rate.</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the extinguishment of the 2015 Term Loan debt in September 2017 that is discussed in greater detail below, the 2015 Term Loan was collateralized by substantially all of the assets of the Company and bore interest at 8.1% per annum. The monthly payments for the 2015 Term Loan were initially interest only through January 2017. Principal repayments for the 2015 Term Loan were due over 30 monthly installments beginning on February 1, 2017.</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2015 Term Loan could be prepaid at the Company’s option at any time prior to maturity subject to a prepayment fee of 2% if prepaid after the first anniversary but before the second anniversaries, and 1% if prepaid after the second anniversary. The 2015 Term Loan did not include any financial covenants. The 2015 Term Loan required a final payment fee of 6.0% on the aggregate principal amounts borrowed upon repayment at maturity, on a prepayment date, or upon default. The final payment fee totaling $0.7 million was recorded as a loan discount.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2015 Term Loan,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up to 17,888 shares of the Company’s common stock at an exercise price of $16.77 per share. These warrants are classified as permanent equity in the accompanying consolidated balance sheets and will expire ten years from the date of issuance.</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Additionally, with the refinancing of the 2015 Term Loan at December 31, 2015, the Company granted the lenders 37,978 shares of the Company’s Series E Preferred which also was converted at the IPO to warrants to purchase up to 15,094 shares of Company’s common stock at an exercise price of $11.32 per share. These warrants are classified as permanent equity in the accompanying consolidated balance sheets and will expire ten years from the date of issuance.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initial grant date fair value of the Series D Preferred and Series E Preferred warrants was $0.1 million and $0.1 million for each issuance respectively, and was recorded as a loan discount.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December 2016, a total of 16,493 warrants to purchase common stock were exercised under a cashless exercise, resulting in a net issuance of 4,697 shares of common stock. The warrant exercise price had been established at the time that the warrants were converted.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12, 2017, the Company entered into a term loan facility of up to $21.0 million (the “2017 Term Loan”) with Silicon Valley Bank, a California corporation (“SVB”), the proceeds of which were used to repay the 2015 Term Loan and for general corporate and working capital purposes. The Company refers to the 2015 Term Loan and the 2017 Term Loan, collectively, as the “Term Loans.” The 2017 Term Loan is governed by a loan and security agreement, dated September 12, 2017, between the Company and SVB (the “Loan Agreement”). The 2017 Term Loan was funded in full on September 13, 2017 (the “Funding Date”).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of $0.7 million during the nine months ended September 30, 2017, which is reflected in the consolidated statements of operations and comprehensive loss under the header “Loss on extinguishment of debt”.</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provides for interest-only payments monthly until August 31, 2019. Thereafter, amortization payments will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w:t>
      </w:r>
    </w:p>
    <w:p>
      <w:pPr>
        <w:spacing w:after="0" w:line="2" w:lineRule="exact"/>
        <w:rPr>
          <w:sz w:val="20"/>
          <w:szCs w:val="20"/>
          <w:color w:val="auto"/>
        </w:rPr>
      </w:pPr>
    </w:p>
    <w:p>
      <w:pPr>
        <w:jc w:val="both"/>
        <w:ind w:right="480" w:firstLine="8"/>
        <w:spacing w:after="0" w:line="323" w:lineRule="auto"/>
        <w:tabs>
          <w:tab w:leader="none" w:pos="265" w:val="left"/>
        </w:tabs>
        <w:numPr>
          <w:ilvl w:val="0"/>
          <w:numId w:val="8"/>
        </w:numPr>
        <w:rPr>
          <w:rFonts w:ascii="Arial" w:cs="Arial" w:eastAsia="Arial" w:hAnsi="Arial"/>
          <w:sz w:val="16"/>
          <w:szCs w:val="16"/>
          <w:color w:val="auto"/>
        </w:rPr>
      </w:pPr>
      <w:r>
        <w:rPr>
          <w:rFonts w:ascii="Arial" w:cs="Arial" w:eastAsia="Arial" w:hAnsi="Arial"/>
          <w:sz w:val="16"/>
          <w:szCs w:val="16"/>
          <w:color w:val="auto"/>
        </w:rPr>
        <w:t>pays on the date of such prepayment (A) all outstanding principal plus accrued and unpaid interest, and (B) a prepayment premium of 3% if prepaid before the first anniversary, 2% if prepaid after the first anniversary but before the second anniversaries, and 1% if prepaid after the second anniversary.</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9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financial statements. The Company reassesses the identified features on a quarterly basis to determine if they require bifurcation.</w:t>
      </w:r>
    </w:p>
    <w:p>
      <w:pPr>
        <w:spacing w:after="0" w:line="18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As of September 30, 2017 and December 31, 2016, the outstanding principal balances under the Term Loans were $21.0 million and $12.0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on the 2017 Term Loan as of September 30, 2017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Pr>
          <w:p>
            <w:pPr>
              <w:ind w:left="40"/>
              <w:spacing w:after="0"/>
              <w:rPr>
                <w:sz w:val="20"/>
                <w:szCs w:val="20"/>
                <w:color w:val="auto"/>
              </w:rPr>
            </w:pPr>
            <w:r>
              <w:rPr>
                <w:rFonts w:ascii="Arial" w:cs="Arial" w:eastAsia="Arial" w:hAnsi="Arial"/>
                <w:sz w:val="14"/>
                <w:szCs w:val="14"/>
                <w:color w:val="auto"/>
              </w:rPr>
              <w:t>Remaining for 2017</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296</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998</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4,470</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9,048</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8,649</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1,753</w:t>
            </w:r>
          </w:p>
        </w:tc>
      </w:tr>
      <w:tr>
        <w:trPr>
          <w:trHeight w:val="184"/>
        </w:trPr>
        <w:tc>
          <w:tcPr>
            <w:tcW w:w="994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25,214</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w:t>
            </w:r>
          </w:p>
        </w:tc>
      </w:tr>
      <w:tr>
        <w:trPr>
          <w:trHeight w:val="197"/>
        </w:trPr>
        <w:tc>
          <w:tcPr>
            <w:tcW w:w="9940" w:type="dxa"/>
            <w:vAlign w:val="bottom"/>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(1,096)</w:t>
            </w:r>
          </w:p>
        </w:tc>
      </w:tr>
      <w:tr>
        <w:trPr>
          <w:trHeight w:val="222"/>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Current portion of loans payable</w:t>
            </w: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84"/>
        </w:trPr>
        <w:tc>
          <w:tcPr>
            <w:tcW w:w="9940" w:type="dxa"/>
            <w:vAlign w:val="bottom"/>
          </w:tcPr>
          <w:p>
            <w:pPr>
              <w:ind w:left="40"/>
              <w:spacing w:after="0"/>
              <w:rPr>
                <w:sz w:val="20"/>
                <w:szCs w:val="20"/>
                <w:color w:val="auto"/>
              </w:rPr>
            </w:pPr>
            <w:r>
              <w:rPr>
                <w:rFonts w:ascii="Arial" w:cs="Arial" w:eastAsia="Arial" w:hAnsi="Arial"/>
                <w:sz w:val="14"/>
                <w:szCs w:val="14"/>
                <w:color w:val="auto"/>
              </w:rPr>
              <w:t>Loans payable, net of current portion</w:t>
            </w:r>
          </w:p>
        </w:tc>
        <w:tc>
          <w:tcPr>
            <w:tcW w:w="5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20,954</w:t>
            </w:r>
          </w:p>
        </w:tc>
      </w:tr>
      <w:tr>
        <w:trPr>
          <w:trHeight w:val="26"/>
        </w:trPr>
        <w:tc>
          <w:tcPr>
            <w:tcW w:w="9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three months ended September 30, 2017 and 2016, the Company recognized $0.3 million, respectively, of interest expense related to the Term Loans. A total of $0.9 million was recorded as interest expense related to the Term Loans for the nine months ended September 30,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Prior to the completion of its IPO, the Company had 37,835,623 and 28,804,969 authorized shares of preferred stock, par value $0.0001 per share (the "Preferred Stock") as of December 31, 2015 and 2014, respectively. The Company issued Preferred Stock to investors for cash or as settlement for outstanding debt under convertible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issued and outstanding Preferred Stock of (i) 2,589,868 shares of Series A redeemable convertible preferred stock (“Series A Preferred”),</w:t>
      </w:r>
    </w:p>
    <w:p>
      <w:pPr>
        <w:spacing w:after="0" w:line="46" w:lineRule="exact"/>
        <w:rPr>
          <w:sz w:val="20"/>
          <w:szCs w:val="20"/>
          <w:color w:val="auto"/>
        </w:rPr>
      </w:pPr>
    </w:p>
    <w:p>
      <w:pPr>
        <w:jc w:val="both"/>
        <w:ind w:right="320" w:firstLine="8"/>
        <w:spacing w:after="0" w:line="295"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 All outstanding shares of the Company’s convertible preferred stock automatically converted into 10,126,118 shares of the Company’s common stock upon the closing of the IPO on June 27, 2016.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Shelf Registration Statement</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August 10, 2017, the Company filed a universal shelf registration statement on Form S-3 with the SEC to sell up to $200 million of equity and/or debt securities and entered into a sales agreement with Jefferies LLC, as sales agent, pursuant to which the Company may, from time to time, issue and sell common stock with an aggregate value of up to $50 million in an at-the-market, or ATM, offering. The shelf registration statement was declared effective by the SEC on August 28, 2017. As of September 30, 3017, no securities have been issued from this shelf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June 26, 2017, the Company entered into a securities purchase agreement (the "Institutional Purchase Agreement") with a select group of institutional investors (the “Institutional Investors”) and a securities purchase agreement with Timothy Springer, Ph.D., a member of the board of directors (the "Springer Purchase Agreement") for a private placement of the Company's securities (the "2017 PIPE"). The closing of the 2017 PIPE occurred on June 27, 2017.</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6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After deducting for placement agent fees and offering expenses, the aggregate net proceeds from the 2017 PIPE was approximately $47.2 million. The Company expects to use the proceeds from the 2017 PIPE towards working capital requirements and general corporate purposes.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Securities and Exchange Commission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registration statement was declared effective by the SEC on July 21, 2017.</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agreed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25" w:right="2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21, 2016 the Company completed the IPO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IPO on June 27, 2016, all outstanding shares of the Company’s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September 30, 2017, the Company has 200,000,000 shares of common stock authorized for issuance, $0.0001 par value per share, with 22,120,507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September 30, 2017, no dividends have been declared or paid on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Upon the liquidation of the Company, the common stockholders are entitled to receive all assets of the Company available for distribution to such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Periods ending</w:t>
            </w:r>
          </w:p>
        </w:tc>
      </w:tr>
      <w:tr>
        <w:trPr>
          <w:trHeight w:val="264"/>
        </w:trPr>
        <w:tc>
          <w:tcPr>
            <w:tcW w:w="790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790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1700" w:type="dxa"/>
            <w:vAlign w:val="bottom"/>
          </w:tcPr>
          <w:p>
            <w:pPr>
              <w:spacing w:after="0"/>
              <w:rPr>
                <w:sz w:val="22"/>
                <w:szCs w:val="22"/>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common warrants</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97,302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1,309,243</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939,317</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common stock options</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2,419,540</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2,128,346</w:t>
            </w:r>
          </w:p>
        </w:tc>
      </w:tr>
      <w:tr>
        <w:trPr>
          <w:trHeight w:val="216"/>
        </w:trPr>
        <w:tc>
          <w:tcPr>
            <w:tcW w:w="7900" w:type="dxa"/>
            <w:vAlign w:val="bottom"/>
          </w:tcPr>
          <w:p>
            <w:pPr>
              <w:ind w:left="4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3,905,215</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3,164,965</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500" w:firstLine="8"/>
        <w:spacing w:after="0" w:line="503" w:lineRule="auto"/>
        <w:tabs>
          <w:tab w:leader="none" w:pos="2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spacing w:after="0" w:line="1" w:lineRule="exact"/>
        <w:rPr>
          <w:sz w:val="20"/>
          <w:szCs w:val="20"/>
          <w:color w:val="auto"/>
        </w:rPr>
      </w:pPr>
    </w:p>
    <w:p>
      <w:pPr>
        <w:ind w:right="260"/>
        <w:spacing w:after="0" w:line="219" w:lineRule="exact"/>
        <w:rPr>
          <w:sz w:val="20"/>
          <w:szCs w:val="20"/>
          <w:color w:val="auto"/>
        </w:rPr>
      </w:pPr>
      <w:r>
        <w:rPr>
          <w:rFonts w:ascii="Arial" w:cs="Arial" w:eastAsia="Arial" w:hAnsi="Arial"/>
          <w:sz w:val="16"/>
          <w:szCs w:val="16"/>
          <w:color w:val="auto"/>
        </w:rPr>
        <w:t>The Company maintained the 2008 Stock Incentive Plan (the “2008 Plan”) for employees, consultants, advisors, and directors. The 2008 Plan provided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and restricted stock awards as determined by the Board. As of September 30, 2017, a total of 2,213,412 shares of common stock were authorized for grants under the 2008 Plan with 18,947 shares available for future grants. Stock options that are granted under the 2008 Plan, and subject to cancellation become available under the 2016 Plan as shares available for future grants. All unvested stock options granted under the 2008 Plan may be exercised into restricted stock subject to forfeiture provisions upon termination.</w:t>
      </w:r>
    </w:p>
    <w:p>
      <w:pPr>
        <w:spacing w:after="0" w:line="204" w:lineRule="exact"/>
        <w:rPr>
          <w:sz w:val="20"/>
          <w:szCs w:val="20"/>
          <w:color w:val="auto"/>
        </w:rPr>
      </w:pPr>
    </w:p>
    <w:p>
      <w:pPr>
        <w:ind w:right="80"/>
        <w:spacing w:after="0" w:line="218" w:lineRule="exact"/>
        <w:rPr>
          <w:sz w:val="20"/>
          <w:szCs w:val="20"/>
          <w:color w:val="auto"/>
        </w:rPr>
      </w:pPr>
      <w:r>
        <w:rPr>
          <w:rFonts w:ascii="Arial" w:cs="Arial" w:eastAsia="Arial" w:hAnsi="Arial"/>
          <w:sz w:val="18"/>
          <w:szCs w:val="18"/>
          <w:color w:val="auto"/>
        </w:rPr>
        <w:t>The 2008 Plan provided that the exercise price of incentive stock options cannot be less than 100% of the fair market value of the common stock on the grant date for participants who own 10% or less of the total combined voting power of the Company, and not less than 110% for participants who own more than 10% of the Company’s voting power. Options and restricted stock granted under the 2008 Plan vest over periods as determined by the Board, which are generally four years and, for options, with terms that generally expire ten years from the grant date. The fair value of each option award was estimated on the grant date using Black</w:t>
      </w:r>
      <w:r>
        <w:rPr>
          <w:rFonts w:ascii="MS PGothic" w:cs="MS PGothic" w:eastAsia="MS PGothic" w:hAnsi="MS PGothic"/>
          <w:sz w:val="18"/>
          <w:szCs w:val="18"/>
          <w:color w:val="auto"/>
        </w:rPr>
        <w:t>‑</w:t>
      </w:r>
      <w:r>
        <w:rPr>
          <w:rFonts w:ascii="Arial" w:cs="Arial" w:eastAsia="Arial" w:hAnsi="Arial"/>
          <w:sz w:val="18"/>
          <w:szCs w:val="18"/>
          <w:color w:val="auto"/>
        </w:rPr>
        <w:t>Scholes. Expected volatilities were based on historical volatilities from guideline companies, since there was no active market for the Company’s common stock. The Company used the “simplified” method to estimate the expected life of options granted and are expected to be outstanding.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used is the rate for a U.S. Treasury zero coupon issue with a remaining life consistent with the options expected life on the grant date. The Company has not paid, and does not expect to pay, any cash dividends in the foreseeable future. Forfeitures were estimated at the time of grant and were adjusted, if</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necessary, in subsequent periods if actual forfeitures differed from those estimates. The Company had estimated a forfeitures rate of 10% based on historical attrition trends. The Company records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only on the awards that are expected to vest.</w:t>
      </w:r>
    </w:p>
    <w:p>
      <w:pPr>
        <w:spacing w:after="0" w:line="2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the effective date of our Registration Statement on Form S-1 relating to the initial public offering of our common stock on June 21, 2016, the Company ceased granting awards under the 2008 Plan; however, awards issued under the 2008 Plan remain subject to the terms of the 2008 Plan and the applicable 2008 Plan agreement.</w:t>
      </w:r>
    </w:p>
    <w:p>
      <w:pPr>
        <w:spacing w:after="0" w:line="181"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restricted stock and other stock and cash based awards as determined by the Board. As of September 30, 2017, a total of 1,947,779 shares of common stock are authorized for grants under the 2016 Plan with 949,103 shares available for future grant.</w:t>
      </w:r>
    </w:p>
    <w:p>
      <w:pPr>
        <w:spacing w:after="0" w:line="2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2016 Plan provides that the exercise price of incentive stock options cannot be less than 100% of the fair market value of the common stock on the grant date for participants who own 10% or less of the total combined voting power of the Company, and not less than 110% for participants who own more than 10% of the Company’s voting power. Options and restricted stock granted under the 2016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for employee stock option grants issued during the nine months ended September 30, 2017 and 2016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5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8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8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64"/>
        </w:trPr>
        <w:tc>
          <w:tcPr>
            <w:tcW w:w="8520" w:type="dxa"/>
            <w:vAlign w:val="bottom"/>
          </w:tcPr>
          <w:p>
            <w:pPr>
              <w:ind w:left="40"/>
              <w:spacing w:after="0"/>
              <w:rPr>
                <w:sz w:val="20"/>
                <w:szCs w:val="20"/>
                <w:color w:val="auto"/>
              </w:rPr>
            </w:pPr>
            <w:r>
              <w:rPr>
                <w:rFonts w:ascii="Arial" w:cs="Arial" w:eastAsia="Arial" w:hAnsi="Arial"/>
                <w:sz w:val="14"/>
                <w:szCs w:val="14"/>
                <w:color w:val="auto"/>
              </w:rPr>
              <w:t>Expected dividend yield</w:t>
            </w:r>
          </w:p>
        </w:tc>
        <w:tc>
          <w:tcPr>
            <w:tcW w:w="88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w:t>
            </w: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w:t>
            </w:r>
          </w:p>
        </w:tc>
      </w:tr>
      <w:tr>
        <w:trPr>
          <w:trHeight w:val="264"/>
        </w:trPr>
        <w:tc>
          <w:tcPr>
            <w:tcW w:w="85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8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95.62%</w:t>
            </w:r>
          </w:p>
        </w:tc>
      </w:tr>
      <w:tr>
        <w:trPr>
          <w:trHeight w:val="276"/>
        </w:trPr>
        <w:tc>
          <w:tcPr>
            <w:tcW w:w="8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9.79</w:t>
            </w:r>
          </w:p>
        </w:tc>
      </w:tr>
    </w:tbl>
    <w:p>
      <w:pPr>
        <w:spacing w:after="0" w:line="200" w:lineRule="exact"/>
        <w:rPr>
          <w:sz w:val="20"/>
          <w:szCs w:val="20"/>
          <w:color w:val="auto"/>
        </w:rPr>
      </w:pPr>
    </w:p>
    <w:p>
      <w:pPr>
        <w:spacing w:after="0" w:line="21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resulting weighted average grant date fair value of stock options granted to employees during the nine months ended September 30, 2017 and 2016 was $13.04 and $9.79, respectively. The aggregate intrinsic value of stock options exercised during the nine months ended September 30, 2017 and 2016 was $2.0 million and $0.1 million, respectively.</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Employee stock-based compensation for the three and nine months ended September 30, 2017 was $1.2 million and $2.5 million, respectively, as compared to $0.5 million and $1.1 million, respectively, for the comparable 2016 periods.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2017 and 2016, total unrecognized compensation expense related to unvested employee stock options was $9.7 million and $5.5 million, respectively, which is expected to be recognized over a weighted average period of 2.9 years and 3.2 years, respectively.</w:t>
      </w:r>
    </w:p>
    <w:p>
      <w:pPr>
        <w:spacing w:after="0" w:line="170"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color w:val="auto"/>
        </w:rPr>
        <w:t>During the nine months ended September 30, 2017, there were no options granted to non-employees. The weighted average assumptions used for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that were granted during the nine months ended September 30, 2016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944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94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02"/>
        </w:trPr>
        <w:tc>
          <w:tcPr>
            <w:tcW w:w="944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Risk</w:t>
            </w:r>
            <w:r>
              <w:rPr>
                <w:rFonts w:ascii="MS PGothic" w:cs="MS PGothic" w:eastAsia="MS PGothic" w:hAnsi="MS PGothic"/>
                <w:sz w:val="14"/>
                <w:szCs w:val="14"/>
                <w:color w:val="auto"/>
              </w:rPr>
              <w:t>‑</w:t>
            </w:r>
            <w:r>
              <w:rPr>
                <w:rFonts w:ascii="Arial" w:cs="Arial" w:eastAsia="Arial" w:hAnsi="Arial"/>
                <w:sz w:val="14"/>
                <w:szCs w:val="14"/>
                <w:color w:val="auto"/>
              </w:rPr>
              <w:t>free interest rate</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210"/>
        </w:trPr>
        <w:tc>
          <w:tcPr>
            <w:tcW w:w="9440" w:type="dxa"/>
            <w:vAlign w:val="bottom"/>
          </w:tcPr>
          <w:p>
            <w:pPr>
              <w:ind w:left="40"/>
              <w:spacing w:after="0"/>
              <w:rPr>
                <w:sz w:val="20"/>
                <w:szCs w:val="20"/>
                <w:color w:val="auto"/>
              </w:rPr>
            </w:pPr>
            <w:r>
              <w:rPr>
                <w:rFonts w:ascii="Arial" w:cs="Arial" w:eastAsia="Arial" w:hAnsi="Arial"/>
                <w:sz w:val="14"/>
                <w:szCs w:val="14"/>
                <w:color w:val="auto"/>
              </w:rPr>
              <w:t>Expected dividend yield</w:t>
            </w:r>
          </w:p>
        </w:tc>
        <w:tc>
          <w:tcPr>
            <w:tcW w:w="1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9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 (in years)</w:t>
            </w:r>
          </w:p>
        </w:tc>
        <w:tc>
          <w:tcPr>
            <w:tcW w:w="1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9.41</w:t>
            </w:r>
          </w:p>
        </w:tc>
      </w:tr>
      <w:tr>
        <w:trPr>
          <w:trHeight w:val="191"/>
        </w:trPr>
        <w:tc>
          <w:tcPr>
            <w:tcW w:w="944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1980" w:type="dxa"/>
            <w:vAlign w:val="bottom"/>
          </w:tcPr>
          <w:p>
            <w:pPr>
              <w:jc w:val="right"/>
              <w:spacing w:after="0"/>
              <w:rPr>
                <w:sz w:val="20"/>
                <w:szCs w:val="20"/>
                <w:color w:val="auto"/>
              </w:rPr>
            </w:pPr>
            <w:r>
              <w:rPr>
                <w:rFonts w:ascii="Arial" w:cs="Arial" w:eastAsia="Arial" w:hAnsi="Arial"/>
                <w:sz w:val="14"/>
                <w:szCs w:val="14"/>
                <w:color w:val="auto"/>
              </w:rPr>
              <w:t>87.75%</w:t>
            </w:r>
          </w:p>
        </w:tc>
      </w:tr>
    </w:tbl>
    <w:p>
      <w:pPr>
        <w:spacing w:after="0" w:line="200" w:lineRule="exact"/>
        <w:rPr>
          <w:sz w:val="20"/>
          <w:szCs w:val="20"/>
          <w:color w:val="auto"/>
        </w:rPr>
      </w:pPr>
    </w:p>
    <w:p>
      <w:pPr>
        <w:spacing w:after="0" w:line="230" w:lineRule="exact"/>
        <w:rPr>
          <w:sz w:val="20"/>
          <w:szCs w:val="20"/>
          <w:color w:val="auto"/>
        </w:rPr>
      </w:pPr>
    </w:p>
    <w:p>
      <w:pPr>
        <w:ind w:right="400"/>
        <w:spacing w:after="0" w:line="221" w:lineRule="exact"/>
        <w:rPr>
          <w:sz w:val="20"/>
          <w:szCs w:val="20"/>
          <w:color w:val="auto"/>
        </w:rPr>
      </w:pPr>
      <w:r>
        <w:rPr>
          <w:rFonts w:ascii="Arial" w:cs="Arial" w:eastAsia="Arial" w:hAnsi="Arial"/>
          <w:sz w:val="17"/>
          <w:szCs w:val="17"/>
          <w:color w:val="auto"/>
        </w:rPr>
        <w:t>The unvested options held by non</w:t>
      </w:r>
      <w:r>
        <w:rPr>
          <w:rFonts w:ascii="MS PGothic" w:cs="MS PGothic" w:eastAsia="MS PGothic" w:hAnsi="MS PGothic"/>
          <w:sz w:val="17"/>
          <w:szCs w:val="17"/>
          <w:color w:val="auto"/>
        </w:rPr>
        <w:t>‑</w:t>
      </w:r>
      <w:r>
        <w:rPr>
          <w:rFonts w:ascii="Arial" w:cs="Arial" w:eastAsia="Arial" w:hAnsi="Arial"/>
          <w:sz w:val="17"/>
          <w:szCs w:val="17"/>
          <w:color w:val="auto"/>
        </w:rPr>
        <w:t>employees are revalued using the Company’s estimate of fair value on each vesting and reporting date through the remaining vesting period. Non-employee stock-based compensation for the three and nine months ended September 30, 2017 were $0.1 million and $0.3 million, respectively, as compared to $0.1 million and $0.2 million, respectively, for the comparable 2016 periods.</w:t>
      </w:r>
    </w:p>
    <w:p>
      <w:pPr>
        <w:spacing w:after="0" w:line="202" w:lineRule="exact"/>
        <w:rPr>
          <w:sz w:val="20"/>
          <w:szCs w:val="20"/>
          <w:color w:val="auto"/>
        </w:rPr>
      </w:pPr>
    </w:p>
    <w:p>
      <w:pPr>
        <w:ind w:right="320"/>
        <w:spacing w:after="0" w:line="223" w:lineRule="exact"/>
        <w:rPr>
          <w:sz w:val="20"/>
          <w:szCs w:val="20"/>
          <w:color w:val="auto"/>
        </w:rPr>
      </w:pPr>
      <w:r>
        <w:rPr>
          <w:rFonts w:ascii="Arial" w:cs="Arial" w:eastAsia="Arial" w:hAnsi="Arial"/>
          <w:sz w:val="18"/>
          <w:szCs w:val="18"/>
          <w:color w:val="auto"/>
        </w:rPr>
        <w:t>As of September 30, 2017 and 2016,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$0.6 million and $1.0 million, respectively.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2008 Plan and the 2016 Plan during the nine months ended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line="161" w:lineRule="exact"/>
              <w:rPr>
                <w:sz w:val="20"/>
                <w:szCs w:val="20"/>
                <w:color w:val="auto"/>
              </w:rPr>
            </w:pPr>
            <w:r>
              <w:rPr>
                <w:rFonts w:ascii="Arial" w:cs="Arial" w:eastAsia="Arial" w:hAnsi="Arial"/>
                <w:sz w:val="14"/>
                <w:szCs w:val="14"/>
                <w:b w:val="1"/>
                <w:bCs w:val="1"/>
                <w:color w:val="auto"/>
                <w:w w:val="91"/>
              </w:rPr>
              <w:t>Weighted</w:t>
            </w:r>
            <w:r>
              <w:rPr>
                <w:rFonts w:ascii="MS PGothic" w:cs="MS PGothic" w:eastAsia="MS PGothic" w:hAnsi="MS PGothic"/>
                <w:sz w:val="14"/>
                <w:szCs w:val="14"/>
                <w:b w:val="1"/>
                <w:bCs w:val="1"/>
                <w:color w:val="auto"/>
                <w:w w:val="91"/>
              </w:rPr>
              <w:t>‑</w:t>
            </w:r>
            <w:r>
              <w:rPr>
                <w:rFonts w:ascii="Arial" w:cs="Arial" w:eastAsia="Arial" w:hAnsi="Arial"/>
                <w:sz w:val="14"/>
                <w:szCs w:val="14"/>
                <w:b w:val="1"/>
                <w:bCs w:val="1"/>
                <w:color w:val="auto"/>
                <w:w w:val="91"/>
              </w:rPr>
              <w:t>average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1,809,945</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17,459</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560,100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18.25</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(189,617)</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(15,684)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September 30, 2017</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2,164,744</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10.73</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16,791</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at September 30,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1,017,735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12,180</w:t>
            </w: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 and expected to vest at September 30, 2017</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2,010,425</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10.36</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16,302</w:t>
            </w:r>
          </w:p>
        </w:tc>
      </w:tr>
      <w:tr>
        <w:trPr>
          <w:trHeight w:val="224"/>
        </w:trPr>
        <w:tc>
          <w:tcPr>
            <w:tcW w:w="47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318,342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4,044</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(63,546)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September 30, 2017</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254,796</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4.76</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3,465</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at September 30,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211,542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2,980</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Vested and expected to vest at September 30, 2017</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254,796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3,465</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Under the ESPP, the Company has set two six-month offering periods during each calendar year, one beginning March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and the other beginning September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w:t>
      </w:r>
    </w:p>
    <w:p>
      <w:pPr>
        <w:spacing w:after="0" w:line="2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total of 357,456 shares of common stock are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three and nine months ended September 30, 2017, the Company issued 16,263 shares of common stock under the ESPP. As of September 30, 2017, there were 341,193 shares of common stock available for future issuance under the ESPP.</w:t>
      </w:r>
    </w:p>
    <w:p>
      <w:pPr>
        <w:spacing w:after="0" w:line="20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 fair value of the purchase rights granted under the ESPP for each of the six month offering periods beginning March 1, 2017 and September 1, 2017 were estimated by applying the Black-Scholes option-pricing model using the following range of assumptions: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Nine Months Ended September</w:t>
            </w:r>
          </w:p>
        </w:tc>
      </w:tr>
      <w:tr>
        <w:trPr>
          <w:trHeight w:val="192"/>
        </w:trPr>
        <w:tc>
          <w:tcPr>
            <w:tcW w:w="9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30, 2017</w:t>
            </w:r>
          </w:p>
        </w:tc>
        <w:tc>
          <w:tcPr>
            <w:tcW w:w="720" w:type="dxa"/>
            <w:vAlign w:val="bottom"/>
            <w:tcBorders>
              <w:bottom w:val="single" w:sz="8" w:color="auto"/>
            </w:tcBorders>
          </w:tcPr>
          <w:p>
            <w:pPr>
              <w:spacing w:after="0"/>
              <w:rPr>
                <w:sz w:val="16"/>
                <w:szCs w:val="16"/>
                <w:color w:val="auto"/>
              </w:rPr>
            </w:pPr>
          </w:p>
        </w:tc>
      </w:tr>
      <w:tr>
        <w:trPr>
          <w:trHeight w:val="196"/>
        </w:trPr>
        <w:tc>
          <w:tcPr>
            <w:tcW w:w="9360" w:type="dxa"/>
            <w:vAlign w:val="bottom"/>
          </w:tcPr>
          <w:p>
            <w:pPr>
              <w:ind w:left="40"/>
              <w:spacing w:after="0"/>
              <w:rPr>
                <w:sz w:val="20"/>
                <w:szCs w:val="20"/>
                <w:color w:val="auto"/>
              </w:rPr>
            </w:pPr>
            <w:r>
              <w:rPr>
                <w:rFonts w:ascii="Arial" w:cs="Arial" w:eastAsia="Arial" w:hAnsi="Arial"/>
                <w:sz w:val="14"/>
                <w:szCs w:val="14"/>
                <w:color w:val="auto"/>
              </w:rPr>
              <w:t>Fair value of common stock</w:t>
            </w:r>
          </w:p>
        </w:tc>
        <w:tc>
          <w:tcPr>
            <w:tcW w:w="740" w:type="dxa"/>
            <w:vAlign w:val="bottom"/>
          </w:tcPr>
          <w:p>
            <w:pPr>
              <w:jc w:val="center"/>
              <w:ind w:left="108"/>
              <w:spacing w:after="0"/>
              <w:rPr>
                <w:sz w:val="20"/>
                <w:szCs w:val="20"/>
                <w:color w:val="auto"/>
              </w:rPr>
            </w:pPr>
            <w:r>
              <w:rPr>
                <w:rFonts w:ascii="Arial" w:cs="Arial" w:eastAsia="Arial" w:hAnsi="Arial"/>
                <w:sz w:val="14"/>
                <w:szCs w:val="14"/>
                <w:color w:val="auto"/>
                <w:w w:val="93"/>
              </w:rPr>
              <w:t>$13.08</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720" w:type="dxa"/>
            <w:vAlign w:val="bottom"/>
          </w:tcPr>
          <w:p>
            <w:pPr>
              <w:jc w:val="center"/>
              <w:ind w:right="128"/>
              <w:spacing w:after="0"/>
              <w:rPr>
                <w:sz w:val="20"/>
                <w:szCs w:val="20"/>
                <w:color w:val="auto"/>
              </w:rPr>
            </w:pPr>
            <w:r>
              <w:rPr>
                <w:rFonts w:ascii="Arial" w:cs="Arial" w:eastAsia="Arial" w:hAnsi="Arial"/>
                <w:sz w:val="14"/>
                <w:szCs w:val="14"/>
                <w:color w:val="auto"/>
                <w:w w:val="93"/>
              </w:rPr>
              <w:t>$18.02</w:t>
            </w:r>
          </w:p>
        </w:tc>
      </w:tr>
      <w:tr>
        <w:trPr>
          <w:trHeight w:val="29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7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5"/>
              </w:rPr>
              <w:t>0.79%</w:t>
            </w:r>
          </w:p>
        </w:tc>
        <w:tc>
          <w:tcPr>
            <w:tcW w:w="6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5"/>
              </w:rPr>
              <w:t>1.19%</w:t>
            </w:r>
          </w:p>
        </w:tc>
      </w:tr>
      <w:tr>
        <w:trPr>
          <w:trHeight w:val="278"/>
        </w:trPr>
        <w:tc>
          <w:tcPr>
            <w:tcW w:w="936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740" w:type="dxa"/>
            <w:vAlign w:val="bottom"/>
          </w:tcPr>
          <w:p>
            <w:pPr>
              <w:jc w:val="center"/>
              <w:ind w:left="108"/>
              <w:spacing w:after="0"/>
              <w:rPr>
                <w:sz w:val="20"/>
                <w:szCs w:val="20"/>
                <w:color w:val="auto"/>
              </w:rPr>
            </w:pPr>
            <w:r>
              <w:rPr>
                <w:rFonts w:ascii="Arial" w:cs="Arial" w:eastAsia="Arial" w:hAnsi="Arial"/>
                <w:sz w:val="14"/>
                <w:szCs w:val="14"/>
                <w:color w:val="auto"/>
                <w:w w:val="92"/>
              </w:rPr>
              <w:t>46.73%</w:t>
            </w:r>
          </w:p>
        </w:tc>
        <w:tc>
          <w:tcPr>
            <w:tcW w:w="600" w:type="dxa"/>
            <w:vAlign w:val="bottom"/>
          </w:tcPr>
          <w:p>
            <w:pPr>
              <w:jc w:val="center"/>
              <w:spacing w:after="0"/>
              <w:rPr>
                <w:sz w:val="20"/>
                <w:szCs w:val="20"/>
                <w:color w:val="auto"/>
              </w:rPr>
            </w:pPr>
            <w:r>
              <w:rPr>
                <w:rFonts w:ascii="Arial" w:cs="Arial" w:eastAsia="Arial" w:hAnsi="Arial"/>
                <w:sz w:val="20"/>
                <w:szCs w:val="20"/>
                <w:color w:val="auto"/>
              </w:rPr>
              <w:t>-</w:t>
            </w:r>
          </w:p>
        </w:tc>
        <w:tc>
          <w:tcPr>
            <w:tcW w:w="720" w:type="dxa"/>
            <w:vAlign w:val="bottom"/>
          </w:tcPr>
          <w:p>
            <w:pPr>
              <w:jc w:val="center"/>
              <w:ind w:right="128"/>
              <w:spacing w:after="0"/>
              <w:rPr>
                <w:sz w:val="20"/>
                <w:szCs w:val="20"/>
                <w:color w:val="auto"/>
              </w:rPr>
            </w:pPr>
            <w:r>
              <w:rPr>
                <w:rFonts w:ascii="Arial" w:cs="Arial" w:eastAsia="Arial" w:hAnsi="Arial"/>
                <w:sz w:val="14"/>
                <w:szCs w:val="14"/>
                <w:color w:val="auto"/>
                <w:w w:val="92"/>
              </w:rPr>
              <w:t>75.78%</w:t>
            </w:r>
          </w:p>
        </w:tc>
      </w:tr>
      <w:tr>
        <w:trPr>
          <w:trHeight w:val="29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 (years)</w:t>
            </w:r>
          </w:p>
        </w:tc>
        <w:tc>
          <w:tcPr>
            <w:tcW w:w="7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2"/>
              </w:rPr>
              <w:t>0.1</w:t>
            </w:r>
          </w:p>
        </w:tc>
        <w:tc>
          <w:tcPr>
            <w:tcW w:w="6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2"/>
              </w:rPr>
              <w:t>0.5</w:t>
            </w:r>
          </w:p>
        </w:tc>
      </w:tr>
      <w:tr>
        <w:trPr>
          <w:trHeight w:val="191"/>
        </w:trPr>
        <w:tc>
          <w:tcPr>
            <w:tcW w:w="9360" w:type="dxa"/>
            <w:vAlign w:val="bottom"/>
          </w:tcPr>
          <w:p>
            <w:pPr>
              <w:ind w:left="40"/>
              <w:spacing w:after="0"/>
              <w:rPr>
                <w:sz w:val="20"/>
                <w:szCs w:val="20"/>
                <w:color w:val="auto"/>
              </w:rPr>
            </w:pPr>
            <w:r>
              <w:rPr>
                <w:rFonts w:ascii="Arial" w:cs="Arial" w:eastAsia="Arial" w:hAnsi="Arial"/>
                <w:sz w:val="14"/>
                <w:szCs w:val="14"/>
                <w:color w:val="auto"/>
              </w:rPr>
              <w:t>Expected dividend yield</w:t>
            </w:r>
          </w:p>
        </w:tc>
        <w:tc>
          <w:tcPr>
            <w:tcW w:w="7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720" w:type="dxa"/>
            <w:vAlign w:val="bottom"/>
          </w:tcPr>
          <w:p>
            <w:pPr>
              <w:spacing w:after="0"/>
              <w:rPr>
                <w:sz w:val="16"/>
                <w:szCs w:val="16"/>
                <w:color w:val="auto"/>
              </w:rPr>
            </w:pPr>
          </w:p>
        </w:tc>
      </w:tr>
    </w:tbl>
    <w:p>
      <w:pPr>
        <w:spacing w:after="0" w:line="21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the three and nine months ended September 30, 2017, the Company recorded less than $0.1 million and $0.1 million, respectively, of stock-based compensation expense under the ESPP. There was no stock-based compensation expense related to the ESPP recorded for the three and nine months ended September 30, 2016.</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the ESPP and restricted common stock in the following expense categories of its consolidated statements of operations and comprehensive loss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4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r>
      <w:tr>
        <w:trPr>
          <w:trHeight w:val="256"/>
        </w:trPr>
        <w:tc>
          <w:tcPr>
            <w:tcW w:w="5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353</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280</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w:t>
            </w:r>
          </w:p>
        </w:tc>
      </w:tr>
      <w:tr>
        <w:trPr>
          <w:trHeight w:val="243"/>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1,314</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633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1,281</w:t>
            </w:r>
          </w:p>
        </w:tc>
      </w:tr>
      <w:tr>
        <w:trPr>
          <w:trHeight w:val="20"/>
        </w:trPr>
        <w:tc>
          <w:tcPr>
            <w:tcW w:w="5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9320" w:firstLine="8"/>
        <w:spacing w:after="0" w:line="566" w:lineRule="auto"/>
        <w:tabs>
          <w:tab w:leader="none" w:pos="2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Spark License Agreement</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SVP™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pacing w:after="0" w:line="18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License Agreement may be terminated by Spark for convenience upon ninety days’ notice. Either party may terminate the License Agreement on a target-by-target basis for material breach with respect to such target.</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Spark Purchase Agreement are subject to customary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Beyond the Initial Closing, the Spark Purchase Agreement contemplated potential future sales of shares by the Company to Spark as follows:</w:t>
      </w:r>
    </w:p>
    <w:p>
      <w:pPr>
        <w:spacing w:after="0" w:line="225" w:lineRule="exact"/>
        <w:rPr>
          <w:sz w:val="20"/>
          <w:szCs w:val="20"/>
          <w:color w:val="auto"/>
        </w:rPr>
      </w:pPr>
    </w:p>
    <w:p>
      <w:pPr>
        <w:ind w:left="660" w:right="4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46" w:lineRule="exact"/>
        <w:rPr>
          <w:rFonts w:ascii="Arial" w:cs="Arial" w:eastAsia="Arial" w:hAnsi="Arial"/>
          <w:sz w:val="17"/>
          <w:szCs w:val="17"/>
          <w:color w:val="auto"/>
        </w:rPr>
      </w:pPr>
    </w:p>
    <w:p>
      <w:pPr>
        <w:ind w:left="660" w:right="1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87" w:lineRule="exact"/>
        <w:rPr>
          <w:sz w:val="20"/>
          <w:szCs w:val="20"/>
          <w:color w:val="auto"/>
        </w:rPr>
      </w:pPr>
    </w:p>
    <w:p>
      <w:pPr>
        <w:ind w:left="660" w:right="200"/>
        <w:spacing w:after="0" w:line="324" w:lineRule="auto"/>
        <w:rPr>
          <w:sz w:val="20"/>
          <w:szCs w:val="20"/>
          <w:color w:val="auto"/>
        </w:rPr>
      </w:pPr>
      <w:r>
        <w:rPr>
          <w:rFonts w:ascii="Arial" w:cs="Arial" w:eastAsia="Arial" w:hAnsi="Arial"/>
          <w:sz w:val="18"/>
          <w:szCs w:val="18"/>
          <w:color w:val="auto"/>
        </w:rPr>
        <w:t>amount equal to 115.0% of the average daily VWAP of the common stock during the thirty consecutive calendar days leading up to and ending on the day prior to the Second Acquisition Right notification date.</w:t>
      </w:r>
    </w:p>
    <w:p>
      <w:pPr>
        <w:spacing w:after="0" w:line="14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8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the Spark License Agreement and Spark Purchase Agreement, the Company has made contractual payments defined in the MIT license agreement (Note 15) totaling $1.9 million for the MIT sub-license provided to Spark, and $0.3 million relative to the calculated premium paid by Spark for the equity investment made under the First Acquisition Right outlined in the Spark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Spark License Agreement contains the following deliverables: (1) certain exclusive, worldwide, royalty bearing licenses to the Company’s intellectual property and a license to conduct certain research activities under the collaboration, or the License Deliverable, (2) options to research, develop and commercialize gene therapies utilizing the SVP technology for up to four additional target therapy options, or the Option Deliverable, and (3) manufactured supply of pre-clinical and clinical SVP, or the Supply Deliverable. The Company considered the provisions of the multiple-element arrangement guidance in determining how to recognize the revenue associated with the identified deliverables. The Company has accounted for access to certain of the Company's technology through the various licenses and rights to use under the license deliverables listed above and the delivery of the manufactured supply as a single unit of accounting. The deliverables are not considered to have standalone value from one another and amounts allocated to these obligations will be recognized throughout the estimated period of delivery of the supply.</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Option Deliverable is determined to be substantive at the outset of the agreement, and therefore will not be considered an element of the arrangement when allocating the consideration as there is considerable uncertainty that the options would be exercised. Although the options are not considered a deliverable at inception, it was determined that there is a significant and incremental discount that requires inclusion as an element of the initial allocation of contract consideration.</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the Company evaluated the Spark Purchase Agreement and the Spark License agreement as one arrangement and determined that the initial purchase of common stock combined with the embedded future stock Acquisition Rights had a fair value of $2.7 million and this amount was recorded in equity.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evaluated and determined that the Acquisition Rights under the Spark Purchase Agreement are not freestanding instruments as these rights are not legally detachable from the Company’s common stock. In addition, the Company has further assessed that the Acquisition Rights were clearly and closely related to the economic characteristic and risk of the common stock. The Company determined that the Acquisition Rights are embedded and inseparable from the initial stock purchase and no subsequent remeasurement is necessary.</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Allocable arrangement consideration at inception consisted of the total non-contingent payments aggregating to $15 million. The Company allocated $2.7 million to equity (representing the fair value of the initial purchase of common stock combined with the embedded future stock Acquisition Rights), $7.1 million to the License and Supply Deliverable combined unit of accounting and $5.2 million to the discount on the Option Deliverable. The total arrangement consideration for the License and Supply deliverable and the Option deliverable was allocated using the relative best estimate of selling price method to each deliverable. The best estimate of selling price for the License and Supply deliverable was determined using a discounted cash flow model that includes Level 3 fair value measurements. The best estimate of selling price for the Option Deliverable was determined based on the fair value of the license minus the strike price of the option. The consideration allocated to the combined unit of accounting for the License and Supply Deliverable, totaling $7.1 million, will be recognized based on the expected deliveries over an initial term which is estimated to be approximately four years. The discount associated with the Option Deliverable, totaling $5.2 million, will be recognized, if the options are exercised, over the related expected deliveries of supply. If the options expire without exercise, the related deferred revenue will be recognized upon expiration (December 1, 2019).</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recognized less than $0.1 million in revenues related to the Spark License Agreement during the three and nine months ended September 30, 2017. There were no revenues recognized for the three and nine months ended September 30, 2016.</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determined that each potential future clinical and regulatory milestone was non-substantive, therefore, any consideration received will be allocated to the License and Supply Deliverable and Option Deliverable using the relative selling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Sales-based milestones and royalty payments are expected to be recognized when earned.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2017, there was $12.2 million of deferred revenue related to this agreement. A total of $3.2 million was recorded as a current liability and $9.0 million was classified as a long term liability in the accompanying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Letter Agreement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up to an agreed upon cap.</w:t>
      </w:r>
    </w:p>
    <w:p>
      <w:pPr>
        <w:spacing w:after="0" w:line="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 Collaboration Agreement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November 27, 2012, the Company and Sanofi entered into a license and research collaboration agreement focused on the identification and development of vaccines against food allergies (the “Sanofi Agreement”). Under the arrangement, the Company agreed to perform research to identify an initial vaccine candidate for development and commercialization by Sanofi under an exclusive license.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Sanofi Agreement, the Company received an upfront payment of $2.0 million for the initial indication in November 2012 and an additional payment of $3.0 million in August 2013. In November 2014, Sanofi exercised the option to include celiac disease as an additional indication, and in May 2015, the Sanofi Agreement was amended to add terms specific to the celiac disease indication and to terminate Sanofi's right to exercise its option for any additional indications. Sanofi paid the Company an additional $2.0 million upon the exercise of the option in May 2015 and an additional $1.0 million in July 2016 upon attaining the first milestone for the celiac disease indication. To date, Sanofi has paid the Company $8.0 million in the aggregate under the Sanofi Agreement.</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as authorized by Sanofi or permitted under the Sanofi Agreement, during the term of the Sanofi Agreement, exclusivity obligations prevent the Company from researching, developing, or commercializing products in these indications or granting third party licenses under the intellectual property rights and technologies licensed to Sanofi for use in these indications.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identified the deliverables under the arrangement as the license, the research necessary to identify the development candidate, and participation of the Joint Research Committee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no revenue for the three and nine months ended September 30, 2017, and $0.2 million and $0.6 million for the three and nine months ended September 30, 2016,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Sanofi Collaboration Agreement</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On November 9, 2016, the Company received written notice from Sanofi that Sanofi had elected to terminate in its entirety the Sanofi Agreement. The termination of the Sanofi Agreement was effective on May 8, 2017, or the Termination Date, which was six months from the date of the notice.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discussed above, Sanofi has paid the Company $8.0 million in the aggregate under the Sanofi Agreement to date. The Company would have been eligible to receive additional development-based, regulatory-based and sales-based milestone payments and tiered royalties on net sales of any approved product generated by the collaboration had the Sanofi Agreement not been terminated. As of December 31, 2016, the Company recognized the remaining $2.2 million in revenue associated with the Sanofi Agreement, as the Company has no further performance obligation under the contact.</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All rights granted to Sanofi terminated and reverted to the Company effective on the Termination Date, and Sanofi is required to grant to the Company a royalty bearing, exclusive license, with the right to grant sublicenses, under certain Sanofi intellectual property solely to the extent necessary to research, develop, make, have made, use, offer for sale, import, export and otherwise commercialize the vaccine candidates developed under the Sanofi Agreement. The exclusivity obligations discussed above also expired on the Termination Date.</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has exercised its right to acquire the development programs under the Sanofi Agreement. The Company is solely responsible for performing and funding any development and clinical trial activities relating to further development of vaccine candidates that it chooses to undertake after the Termination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and Collaboration Agreements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not entered into other research and collaboration agreements in 2017 and the Company recognized no revenue with respect to other research and collaboration agreements for the three and nine months ended September 30, 2017. For any other research or collaboration agreements that the Company was part of during 2016, no revenue was recognized in the three months ended September 30, 2016 and less than $0.1 million was recognized for the nine months ended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NIH</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two grants through the NIH. The first grant, for an aggregate amount of $8.1 million, was awarded in May 2014 to support research in the development of a next generation vaccine for smoking cessation and relapse prevention. The Company recognized no revenue for the three and nine months ended September 30, 2017. For the three and nine months ended September 30, 2016, the Company recognized revenue of $0.7 million and $3.7 million, respectively.</w:t>
      </w:r>
    </w:p>
    <w:p>
      <w:pPr>
        <w:spacing w:after="0" w:line="187"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The second grant is for an aggregate amount of $0.2 million, which was awarded in September 2015 for the development of nanoparticles for immune tolerance to factor VIII. The Company recognized no revenue and less than $0.1 million for the three months ended September 30, 2017 and 2016, respectively, and less than $0.1 million for each of the nine months ended September 30, 2017 and 2016, related to this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together with Sanofi, entered into a joint grant with JDRF in September 2014 for $0.4 million to conduct Type 1 Diabetes research. The Company recognized no revenue for the three months ended September 30, 2017 and less than $0.1 million for the three months ended September 30, 2016. During the nine months ended September 30, 2017 and 2016 the Company recognized less than $0.1 million and $0.1 million related to this grant,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 and Melinda Gates Foundation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is recognized on a proportional performance basis as it relates to employee time expended on the research, along with reimbursement for external costs directly related to, and approved, by the grant terms. For the three months ended September 30, 2017 and 2016, the Company recognized revenue of less than $0.1 million and $0.1 million, respectively. Total revenue recognized for the nine months ended September 30, 2017 and 2016 was $0.1 million and $0.4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Minpromtorg</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the clinical trial was delayed or terminated prior to completion. As a</w:t>
      </w:r>
    </w:p>
    <w:p>
      <w:pPr>
        <w:sectPr>
          <w:pgSz w:w="11900" w:h="16838" w:orient="portrait"/>
          <w:cols w:equalWidth="0" w:num="1">
            <w:col w:w="11400"/>
          </w:cols>
          <w:pgMar w:left="240" w:top="125"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25" w:right="2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result of the penalty provision, the Company concluded the amounts received under the agreement were not fixed or determinable. In 2014, the Company terminated its plan to conduct the clinical trial in Russia subjecting the Company to the penalty obligation.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2015, the Company received an executed final settlement agreement from Minpromtorg that included the repayment of funds previously received by the Company totaling $0.2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Through September 30, 2017, the Company received payments totaling approximately $1.4 million. No additional payments are expected to be received under the terms of the contract.</w:t>
      </w:r>
    </w:p>
    <w:p>
      <w:pPr>
        <w:spacing w:after="0" w:line="18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first audit period expired on December 31, 2015, and as a result $0.4 million of revenue was recognized for the year ended December 31, 2015. The second and third audit periods expired during the twelve months ended December 31, 2016, and as a result $0.5 million of revenue was recognized for the year ended December 31, 2016. The third audit period, is the final audit to be conducted under the contract. As of December 31, 2016, the deferred revenue associated with Minpromtorg contract has been fully recognized. There was no revenue recognized during the three and nine months ended September 30, 2017, and a total of less than $0.1 million and $0.2 million of revenue recognized during the three and nine months ended September 30, 2016,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Skolkovo</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November 28, 2014, the Company executed a grant awarded by Skolkovo for the development of a therapeutic vaccine using nanoparticles to treat chronic infection caused by human papillomavirus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has received from Skolkovo $1.8 million through the nine months ended September 30, 2017.</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the Skolkovo audit or the expiration of the audit term.</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14.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part of the Series B Preferred and Series D Preferred financings (as described in Note 11), the Company’s landlord (the “Landlord”) purchased 49,254 shares of Series B Preferred at $2.03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11). The Landlord paid the same price as the price paid by other investors in each of these Preferred Stock purchases. At the IPO, all preferred stock was converted to common stock.</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2017 PIPE, the Company sold to Timothy Springer, Ph.D., a member of its Board of Directors, an aggregate of 338,791 shares of common stock at a purchase price equal to $17.71 per share, which was equal to the most recent consolidated closing bid price on the Nasdaq Global Market on June 23, 2017. In addition, the Company sold warrants to Dr. Springer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w:t>
      </w:r>
    </w:p>
    <w:p>
      <w:pPr>
        <w:spacing w:after="0" w:line="18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 incurred expenses for consulting services provided by its founders totaling less than $0.1 million and $0.1 million during the three months ended September 30, 2017 and 2016, respectively, and $0.2 million for each of the nine months ended September 30, 2017 and 2016.</w:t>
      </w:r>
    </w:p>
    <w:p>
      <w:pPr>
        <w:spacing w:after="0" w:line="143"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License Agreements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MIT</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8"/>
          <w:szCs w:val="18"/>
          <w:color w:val="auto"/>
        </w:rPr>
        <w:t>‑</w:t>
      </w:r>
      <w:r>
        <w:rPr>
          <w:rFonts w:ascii="Arial" w:cs="Arial" w:eastAsia="Arial" w:hAnsi="Arial"/>
          <w:sz w:val="18"/>
          <w:szCs w:val="18"/>
          <w:color w:val="auto"/>
        </w:rPr>
        <w:t>bearing license to utilize patents held by MIT in exchange for upfront consideration and annual license maintenance fees. Such fees are expensed as incurred and have not been material to any period presented. In the event the Company sublicenses the MIT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0"/>
        <w:spacing w:after="0" w:line="220" w:lineRule="exact"/>
        <w:rPr>
          <w:sz w:val="20"/>
          <w:szCs w:val="20"/>
          <w:color w:val="auto"/>
        </w:rPr>
      </w:pPr>
      <w:r>
        <w:rPr>
          <w:rFonts w:ascii="Arial" w:cs="Arial" w:eastAsia="Arial" w:hAnsi="Arial"/>
          <w:sz w:val="17"/>
          <w:szCs w:val="17"/>
          <w:color w:val="auto"/>
        </w:rPr>
        <w:t>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7"/>
          <w:szCs w:val="17"/>
          <w:color w:val="auto"/>
        </w:rPr>
        <w:t>‑</w:t>
      </w:r>
      <w:r>
        <w:rPr>
          <w:rFonts w:ascii="Arial" w:cs="Arial" w:eastAsia="Arial" w:hAnsi="Arial"/>
          <w:sz w:val="17"/>
          <w:szCs w:val="17"/>
          <w:color w:val="auto"/>
        </w:rPr>
        <w:t>cross</w:t>
      </w:r>
      <w:r>
        <w:rPr>
          <w:rFonts w:ascii="MS PGothic" w:cs="MS PGothic" w:eastAsia="MS PGothic" w:hAnsi="MS PGothic"/>
          <w:sz w:val="17"/>
          <w:szCs w:val="17"/>
          <w:color w:val="auto"/>
        </w:rPr>
        <w:t>‑</w:t>
      </w:r>
      <w:r>
        <w:rPr>
          <w:rFonts w:ascii="Arial" w:cs="Arial" w:eastAsia="Arial" w:hAnsi="Arial"/>
          <w:sz w:val="17"/>
          <w:szCs w:val="17"/>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7"/>
          <w:szCs w:val="17"/>
          <w:color w:val="auto"/>
        </w:rPr>
        <w:t>‑</w:t>
      </w:r>
      <w:r>
        <w:rPr>
          <w:rFonts w:ascii="Arial" w:cs="Arial" w:eastAsia="Arial" w:hAnsi="Arial"/>
          <w:sz w:val="17"/>
          <w:szCs w:val="17"/>
          <w:color w:val="auto"/>
        </w:rPr>
        <w:t>time expense in 2008.</w:t>
      </w:r>
    </w:p>
    <w:p>
      <w:pPr>
        <w:spacing w:after="0" w:line="20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As of September 30, 2017, and in connection with the execution of the Spark License Agreement, the Company has made contractual payments pursuant to the Exclusive Patent License totaling $1.9 million for the sublicense granted to Spark, and $0.3 million relative to the calculated premium paid by Spark for the initial equity investment and the First Acquisition Right made under the Spark Purchase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2014, the Company entered into a license agreement with Shenyang Sunshine Pharmaceutical Co., Ltd. (“3SBio”), which is referred to as the 3SBio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License. Pursuant to the 3SBio License, which was amended and restated in May 2017, the Company was granted an exclusive license to certain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pegsiticase</w:t>
      </w:r>
      <w:r>
        <w:rPr>
          <w:rFonts w:ascii="MS PGothic" w:cs="MS PGothic" w:eastAsia="MS PGothic" w:hAnsi="MS PGothic"/>
          <w:sz w:val="16"/>
          <w:szCs w:val="16"/>
          <w:color w:val="auto"/>
        </w:rPr>
        <w:t>‑</w:t>
      </w:r>
      <w:r>
        <w:rPr>
          <w:rFonts w:ascii="Arial" w:cs="Arial" w:eastAsia="Arial" w:hAnsi="Arial"/>
          <w:sz w:val="16"/>
          <w:szCs w:val="16"/>
          <w:color w:val="auto"/>
        </w:rPr>
        <w:t>related patents and related “know</w:t>
      </w:r>
      <w:r>
        <w:rPr>
          <w:rFonts w:ascii="MS PGothic" w:cs="MS PGothic" w:eastAsia="MS PGothic" w:hAnsi="MS PGothic"/>
          <w:sz w:val="16"/>
          <w:szCs w:val="16"/>
          <w:color w:val="auto"/>
        </w:rPr>
        <w:t>‑</w:t>
      </w:r>
      <w:r>
        <w:rPr>
          <w:rFonts w:ascii="Arial" w:cs="Arial" w:eastAsia="Arial" w:hAnsi="Arial"/>
          <w:sz w:val="16"/>
          <w:szCs w:val="16"/>
          <w:color w:val="auto"/>
        </w:rPr>
        <w:t>how” owned or in</w:t>
      </w:r>
      <w:r>
        <w:rPr>
          <w:rFonts w:ascii="MS PGothic" w:cs="MS PGothic" w:eastAsia="MS PGothic" w:hAnsi="MS PGothic"/>
          <w:sz w:val="16"/>
          <w:szCs w:val="16"/>
          <w:color w:val="auto"/>
        </w:rPr>
        <w:t>‑</w:t>
      </w:r>
      <w:r>
        <w:rPr>
          <w:rFonts w:ascii="Arial" w:cs="Arial" w:eastAsia="Arial" w:hAnsi="Arial"/>
          <w:sz w:val="16"/>
          <w:szCs w:val="16"/>
          <w:color w:val="auto"/>
        </w:rPr>
        <w:t>licensed by 3SBio for the worldwide (except for Greater China and Japan)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products based thereupon for human therapeutic, diagnostic and prophylactic use. The Company was also granted a worldwide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Greater China) exclusive license to develop, commercialize and manufacture or have manufactured products combining the Company’s proprietary SVP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with pegsiticase or related compounds supplied by 3SBio (or otherwise supplied if the Company’s rights to manufacture are in effect) for human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therapeutic, diagnostic and prophylactic use. The Company was also granted a co</w:t>
      </w:r>
      <w:r>
        <w:rPr>
          <w:rFonts w:ascii="MS PGothic" w:cs="MS PGothic" w:eastAsia="MS PGothic" w:hAnsi="MS PGothic"/>
          <w:sz w:val="16"/>
          <w:szCs w:val="16"/>
          <w:color w:val="auto"/>
        </w:rPr>
        <w:t>‑</w:t>
      </w:r>
      <w:r>
        <w:rPr>
          <w:rFonts w:ascii="Arial" w:cs="Arial" w:eastAsia="Arial" w:hAnsi="Arial"/>
          <w:sz w:val="16"/>
          <w:szCs w:val="16"/>
          <w:color w:val="auto"/>
        </w:rPr>
        <w:t>exclusive license to manufacture and have manufactured pegsiticase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compounds for preclinical and clinical use or, if the 3SBio License is terminated for 3SBio’s material breach, for any use under the 3SBio 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the Company is obligated to obtain all of its supply of such compounds for Phase 3 clinical trials and commercial use from 3SBio under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supply agreements to be negotiated.</w:t>
      </w:r>
    </w:p>
    <w:p>
      <w:pPr>
        <w:spacing w:after="0" w:line="211"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United States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7"/>
          <w:szCs w:val="17"/>
          <w:color w:val="auto"/>
        </w:rPr>
        <w:t>‑</w:t>
      </w:r>
      <w:r>
        <w:rPr>
          <w:rFonts w:ascii="Arial" w:cs="Arial" w:eastAsia="Arial" w:hAnsi="Arial"/>
          <w:sz w:val="17"/>
          <w:szCs w:val="17"/>
          <w:color w:val="auto"/>
        </w:rPr>
        <w:t>based payments under the 3SBio License. An additional liability totaling $2.0 million for milestone payments was expensed in 2016, and is included with Accounts Payable on the balance sheet as of December 31, 2016.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related to the pegsiticase component of products at percentages ranging from the low</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mid single digits for products containing the Company’s SVP technology, and a range of no more than ten percent points from the mid</w:t>
      </w:r>
      <w:r>
        <w:rPr>
          <w:rFonts w:ascii="MS PGothic" w:cs="MS PGothic" w:eastAsia="MS PGothic" w:hAnsi="MS PGothic"/>
          <w:sz w:val="17"/>
          <w:szCs w:val="17"/>
          <w:color w:val="auto"/>
        </w:rPr>
        <w:t>‑</w:t>
      </w:r>
      <w:r>
        <w:rPr>
          <w:rFonts w:ascii="Arial" w:cs="Arial" w:eastAsia="Arial" w:hAnsi="Arial"/>
          <w:sz w:val="17"/>
          <w:szCs w:val="17"/>
          <w:color w:val="auto"/>
        </w:rPr>
        <w:t>single digits to low double</w:t>
      </w:r>
      <w:r>
        <w:rPr>
          <w:rFonts w:ascii="MS PGothic" w:cs="MS PGothic" w:eastAsia="MS PGothic" w:hAnsi="MS PGothic"/>
          <w:sz w:val="17"/>
          <w:szCs w:val="17"/>
          <w:color w:val="auto"/>
        </w:rPr>
        <w:t>‑</w:t>
      </w:r>
      <w:r>
        <w:rPr>
          <w:rFonts w:ascii="Arial" w:cs="Arial" w:eastAsia="Arial" w:hAnsi="Arial"/>
          <w:sz w:val="17"/>
          <w:szCs w:val="17"/>
          <w:color w:val="auto"/>
        </w:rPr>
        <w:t>digits for products without the Company’s SVP technology. The Company will pay these royalties to 3SBio, subject to specified reductions,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until the later of (i) the date that all of the patent rights for that product have expired in that country, or (ii) a specified number of years from the first commercial sale of such product in such country.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3SBio License expires on the date of expiration of all of the Company’s royalty payment obligations unless earlier terminated by either party for an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in certain circumstances. The Company may also terminate the 3SBio License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or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effective upon 60 days’ prior written notice to 3SBio or, with respect to a given product, immediately upon written notice to 3SBio if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identifies a safety or efficacy concern related to such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260"/>
        <w:spacing w:after="0" w:line="219" w:lineRule="exact"/>
        <w:rPr>
          <w:sz w:val="20"/>
          <w:szCs w:val="20"/>
          <w:color w:val="auto"/>
        </w:rPr>
      </w:pPr>
      <w:r>
        <w:rPr>
          <w:rFonts w:ascii="Arial" w:cs="Arial" w:eastAsia="Arial" w:hAnsi="Arial"/>
          <w:sz w:val="17"/>
          <w:szCs w:val="17"/>
          <w:color w:val="auto"/>
        </w:rPr>
        <w:t>In May 2016, the Company entered into a license agreement with the Massachusetts Eye and Ear Infirmary and The Schepens Eye Research Institute, Inc. (collectively, “MEE”), which is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owned or controlled by MEE, for use of Anc80 gene therapy vectors for gene augmentation therapies expressing certain target sequences.</w:t>
      </w: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MEE License, the Company agreed to pay MEE a license fee in the low six figures, annual license maintenance fees ranging from the</w:t>
      </w:r>
    </w:p>
    <w:p>
      <w:pPr>
        <w:spacing w:after="0" w:line="35"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mid</w:t>
      </w:r>
      <w:r>
        <w:rPr>
          <w:rFonts w:ascii="MS PGothic" w:cs="MS PGothic" w:eastAsia="MS PGothic" w:hAnsi="MS PGothic"/>
          <w:sz w:val="18"/>
          <w:szCs w:val="18"/>
          <w:color w:val="auto"/>
        </w:rPr>
        <w:t>‑</w:t>
      </w:r>
      <w:r>
        <w:rPr>
          <w:rFonts w:ascii="Arial" w:cs="Arial" w:eastAsia="Arial" w:hAnsi="Arial"/>
          <w:sz w:val="18"/>
          <w:szCs w:val="18"/>
          <w:color w:val="auto"/>
        </w:rPr>
        <w:t>twenty thousands to mid</w:t>
      </w:r>
      <w:r>
        <w:rPr>
          <w:rFonts w:ascii="MS PGothic" w:cs="MS PGothic" w:eastAsia="MS PGothic" w:hAnsi="MS PGothic"/>
          <w:sz w:val="18"/>
          <w:szCs w:val="18"/>
          <w:color w:val="auto"/>
        </w:rPr>
        <w:t>‑</w:t>
      </w:r>
      <w:r>
        <w:rPr>
          <w:rFonts w:ascii="Arial" w:cs="Arial" w:eastAsia="Arial" w:hAnsi="Arial"/>
          <w:sz w:val="18"/>
          <w:szCs w:val="18"/>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$4.2 million to $37.0 million and sales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$50.0 million to $70.0 million; tiered royalties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equal to a percentage of net sales ranging from mid</w:t>
      </w:r>
      <w:r>
        <w:rPr>
          <w:rFonts w:ascii="MS PGothic" w:cs="MS PGothic" w:eastAsia="MS PGothic" w:hAnsi="MS PGothic"/>
          <w:sz w:val="18"/>
          <w:szCs w:val="18"/>
          <w:color w:val="auto"/>
        </w:rPr>
        <w:t>‑</w:t>
      </w:r>
      <w:r>
        <w:rPr>
          <w:rFonts w:ascii="Arial" w:cs="Arial" w:eastAsia="Arial" w:hAnsi="Arial"/>
          <w:sz w:val="18"/>
          <w:szCs w:val="18"/>
          <w:color w:val="auto"/>
        </w:rPr>
        <w:t>single digits to mid</w:t>
      </w:r>
      <w:r>
        <w:rPr>
          <w:rFonts w:ascii="MS PGothic" w:cs="MS PGothic" w:eastAsia="MS PGothic" w:hAnsi="MS PGothic"/>
          <w:sz w:val="18"/>
          <w:szCs w:val="18"/>
          <w:color w:val="auto"/>
        </w:rPr>
        <w:t>‑</w:t>
      </w:r>
      <w:r>
        <w:rPr>
          <w:rFonts w:ascii="Arial" w:cs="Arial" w:eastAsia="Arial" w:hAnsi="Arial"/>
          <w:sz w:val="18"/>
          <w:szCs w:val="18"/>
          <w:color w:val="auto"/>
        </w:rPr>
        <w:t>teens, subject to the prevalence of the targeted disease and certain reductions; and a percentage, in a range expected to be in the mid</w:t>
      </w:r>
      <w:r>
        <w:rPr>
          <w:rFonts w:ascii="MS PGothic" w:cs="MS PGothic" w:eastAsia="MS PGothic" w:hAnsi="MS PGothic"/>
          <w:sz w:val="18"/>
          <w:szCs w:val="18"/>
          <w:color w:val="auto"/>
        </w:rPr>
        <w:t>‑</w:t>
      </w:r>
      <w:r>
        <w:rPr>
          <w:rFonts w:ascii="Arial" w:cs="Arial" w:eastAsia="Arial" w:hAnsi="Arial"/>
          <w:sz w:val="18"/>
          <w:szCs w:val="18"/>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8"/>
          <w:szCs w:val="18"/>
          <w:color w:val="auto"/>
        </w:rPr>
        <w:t>‑</w:t>
      </w:r>
      <w:r>
        <w:rPr>
          <w:rFonts w:ascii="Arial" w:cs="Arial" w:eastAsia="Arial" w:hAnsi="Arial"/>
          <w:sz w:val="18"/>
          <w:szCs w:val="18"/>
          <w:color w:val="auto"/>
        </w:rPr>
        <w:t>six figures to mid</w:t>
      </w:r>
      <w:r>
        <w:rPr>
          <w:rFonts w:ascii="MS PGothic" w:cs="MS PGothic" w:eastAsia="MS PGothic" w:hAnsi="MS PGothic"/>
          <w:sz w:val="18"/>
          <w:szCs w:val="18"/>
          <w:color w:val="auto"/>
        </w:rPr>
        <w:t>‑</w:t>
      </w:r>
      <w:r>
        <w:rPr>
          <w:rFonts w:ascii="Arial" w:cs="Arial" w:eastAsia="Arial" w:hAnsi="Arial"/>
          <w:sz w:val="18"/>
          <w:szCs w:val="18"/>
          <w:color w:val="auto"/>
        </w:rPr>
        <w:t>six figures, depending on the prevalence of the targeted disease.</w:t>
      </w:r>
    </w:p>
    <w:p>
      <w:pPr>
        <w:spacing w:after="0" w:line="20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2016, the Company had paid a total of $0.1 million in license fees due under the MEE License. No additional license fees are due under the MEE License as of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provide for any income taxes in any of the three or nine month periods ended September 30, 2017 or 2016.</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2014, the Company's Russian subsidiary was granted a 10 year tax holiday in Russia. The Company's foreign operations continue to benefit from the tax holiday, which is set to expire December 31, 2023.</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U.S. net deferred tax assets. As required by the provisions of ASC 740, Income Taxes, management has determined that it is more-likely-than-not that the Company will not utilize the benefits of federal and state U.S. net deferred tax assets for financial reporting purposes. Accordingly, the net deferred tax assets are subject to a full valuation allowance at September 30, 2017 and December 31, 2016.</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401(k) Savings Plan</w:t>
      </w:r>
    </w:p>
    <w:p>
      <w:pPr>
        <w:spacing w:after="0" w:line="229" w:lineRule="exact"/>
        <w:rPr>
          <w:sz w:val="20"/>
          <w:szCs w:val="20"/>
          <w:color w:val="auto"/>
        </w:rPr>
      </w:pPr>
    </w:p>
    <w:p>
      <w:pPr>
        <w:ind w:right="80"/>
        <w:spacing w:after="0" w:line="220" w:lineRule="exact"/>
        <w:rPr>
          <w:sz w:val="20"/>
          <w:szCs w:val="20"/>
          <w:color w:val="auto"/>
        </w:rPr>
      </w:pPr>
      <w:r>
        <w:rPr>
          <w:rFonts w:ascii="Arial" w:cs="Arial" w:eastAsia="Arial" w:hAnsi="Arial"/>
          <w:sz w:val="17"/>
          <w:szCs w:val="17"/>
          <w:color w:val="auto"/>
        </w:rPr>
        <w:t>The Company maintains a defined</w:t>
      </w:r>
      <w:r>
        <w:rPr>
          <w:rFonts w:ascii="MS PGothic" w:cs="MS PGothic" w:eastAsia="MS PGothic" w:hAnsi="MS PGothic"/>
          <w:sz w:val="17"/>
          <w:szCs w:val="17"/>
          <w:color w:val="auto"/>
        </w:rPr>
        <w:t>‑</w:t>
      </w:r>
      <w:r>
        <w:rPr>
          <w:rFonts w:ascii="Arial" w:cs="Arial" w:eastAsia="Arial" w:hAnsi="Arial"/>
          <w:sz w:val="17"/>
          <w:szCs w:val="17"/>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 contributions pursuant to the 401(k) Plan’s matching formula. All matching contributions vest ratably over 4 years and participant contributions vest immediately.</w:t>
      </w:r>
    </w:p>
    <w:p>
      <w:pPr>
        <w:spacing w:after="0" w:line="20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Contributions by the Company totaling less than $0.1 million for the three months ended September 30, 2017 and 2016, and $0.2 million and $0.1 million for the nine months ended September 30, 2017 and 2016, respectively, have been recorded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26, 2017, the Company appointed John H. Leaman, M.D. as Chief Financial Officer, Head of Corporate Strategy and Treasurer of the Company. Dr. Leaman was also designated as the Company’s principal accounting officer, and succeeds David Siewers as Chief Financial Officer, Treasurer and principal accounting officer.</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31, 2017 Spark paid the Company a $2.5 million milestone payment pursuant to the license agreement with Spark.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80"/>
        <w:spacing w:after="0" w:line="221" w:lineRule="exact"/>
        <w:rPr>
          <w:sz w:val="20"/>
          <w:szCs w:val="20"/>
          <w:color w:val="auto"/>
        </w:rPr>
      </w:pPr>
      <w:r>
        <w:rPr>
          <w:rFonts w:ascii="Arial" w:cs="Arial" w:eastAsia="Arial" w:hAnsi="Arial"/>
          <w:sz w:val="17"/>
          <w:szCs w:val="17"/>
          <w:color w:val="auto"/>
        </w:rPr>
        <w:t>We are a clinical</w:t>
      </w:r>
      <w:r>
        <w:rPr>
          <w:rFonts w:ascii="MS PGothic" w:cs="MS PGothic" w:eastAsia="MS PGothic" w:hAnsi="MS PGothic"/>
          <w:sz w:val="17"/>
          <w:szCs w:val="17"/>
          <w:color w:val="auto"/>
        </w:rPr>
        <w:t>‑</w:t>
      </w:r>
      <w:r>
        <w:rPr>
          <w:rFonts w:ascii="Arial" w:cs="Arial" w:eastAsia="Arial" w:hAnsi="Arial"/>
          <w:sz w:val="17"/>
          <w:szCs w:val="17"/>
          <w:color w:val="auto"/>
        </w:rPr>
        <w:t>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w:t>
      </w:r>
    </w:p>
    <w:p>
      <w:pPr>
        <w:spacing w:after="0" w:line="202" w:lineRule="exact"/>
        <w:rPr>
          <w:sz w:val="20"/>
          <w:szCs w:val="20"/>
          <w:color w:val="auto"/>
        </w:rPr>
      </w:pPr>
    </w:p>
    <w:p>
      <w:pPr>
        <w:ind w:right="180"/>
        <w:spacing w:after="0" w:line="218" w:lineRule="exact"/>
        <w:rPr>
          <w:sz w:val="20"/>
          <w:szCs w:val="20"/>
          <w:color w:val="auto"/>
        </w:rPr>
      </w:pPr>
      <w:r>
        <w:rPr>
          <w:rFonts w:ascii="Arial" w:cs="Arial" w:eastAsia="Arial" w:hAnsi="Arial"/>
          <w:sz w:val="17"/>
          <w:szCs w:val="17"/>
          <w:color w:val="auto"/>
        </w:rPr>
        <w:t>Our proprietary SVP technology encapsulates an immunomodulator in biodegradable nanoparticles to induce antigen</w:t>
      </w:r>
      <w:r>
        <w:rPr>
          <w:rFonts w:ascii="MS PGothic" w:cs="MS PGothic" w:eastAsia="MS PGothic" w:hAnsi="MS PGothic"/>
          <w:sz w:val="17"/>
          <w:szCs w:val="17"/>
          <w:color w:val="auto"/>
        </w:rPr>
        <w:t>‑</w:t>
      </w:r>
      <w:r>
        <w:rPr>
          <w:rFonts w:ascii="Arial" w:cs="Arial" w:eastAsia="Arial" w:hAnsi="Arial"/>
          <w:sz w:val="17"/>
          <w:szCs w:val="17"/>
          <w:color w:val="auto"/>
        </w:rPr>
        <w:t>specific immune tolerance to mitigate the formation of anti</w:t>
      </w:r>
      <w:r>
        <w:rPr>
          <w:rFonts w:ascii="MS PGothic" w:cs="MS PGothic" w:eastAsia="MS PGothic" w:hAnsi="MS PGothic"/>
          <w:sz w:val="17"/>
          <w:szCs w:val="17"/>
          <w:color w:val="auto"/>
        </w:rPr>
        <w:t>‑</w:t>
      </w:r>
      <w:r>
        <w:rPr>
          <w:rFonts w:ascii="Arial" w:cs="Arial" w:eastAsia="Arial" w:hAnsi="Arial"/>
          <w:sz w:val="17"/>
          <w:szCs w:val="17"/>
          <w:color w:val="auto"/>
        </w:rPr>
        <w:t>drug antibodies, or ADAs, in response to life</w:t>
      </w:r>
      <w:r>
        <w:rPr>
          <w:rFonts w:ascii="MS PGothic" w:cs="MS PGothic" w:eastAsia="MS PGothic" w:hAnsi="MS PGothic"/>
          <w:sz w:val="17"/>
          <w:szCs w:val="17"/>
          <w:color w:val="auto"/>
        </w:rPr>
        <w:t>‑</w:t>
      </w:r>
      <w:r>
        <w:rPr>
          <w:rFonts w:ascii="Arial" w:cs="Arial" w:eastAsia="Arial" w:hAnsi="Arial"/>
          <w:sz w:val="17"/>
          <w:szCs w:val="17"/>
          <w:color w:val="auto"/>
        </w:rPr>
        <w:t>sustaining biologic drugs. We believe our SVP technology has the potential for broad application to both enhance existing biologic drugs and enable novel therapies. Our lead product candidate, SEL</w:t>
      </w:r>
      <w:r>
        <w:rPr>
          <w:rFonts w:ascii="MS PGothic" w:cs="MS PGothic" w:eastAsia="MS PGothic" w:hAnsi="MS PGothic"/>
          <w:sz w:val="17"/>
          <w:szCs w:val="17"/>
          <w:color w:val="auto"/>
        </w:rPr>
        <w:t>‑</w:t>
      </w:r>
      <w:r>
        <w:rPr>
          <w:rFonts w:ascii="Arial" w:cs="Arial" w:eastAsia="Arial" w:hAnsi="Arial"/>
          <w:sz w:val="17"/>
          <w:szCs w:val="17"/>
          <w:color w:val="auto"/>
        </w:rPr>
        <w:t>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w:t>
      </w:r>
      <w:r>
        <w:rPr>
          <w:rFonts w:ascii="MS PGothic" w:cs="MS PGothic" w:eastAsia="MS PGothic" w:hAnsi="MS PGothic"/>
          <w:sz w:val="17"/>
          <w:szCs w:val="17"/>
          <w:color w:val="auto"/>
        </w:rPr>
        <w:t>‑</w:t>
      </w:r>
      <w:r>
        <w:rPr>
          <w:rFonts w:ascii="Arial" w:cs="Arial" w:eastAsia="Arial" w:hAnsi="Arial"/>
          <w:sz w:val="17"/>
          <w:szCs w:val="17"/>
          <w:color w:val="auto"/>
        </w:rPr>
        <w:t>212 is currently in a comprehensive Phase 1/2 clinical program. The Phase 1/2 clinical program is designed to evaluate the ability of SEL 212 to control uric acid levels and mitigate the formation of ADAs. It is comprised of two Phase 1 clinical trials, which have been completed, and a Phase 2 clinical trial, which commenced in October 2016 and that we expect to hold our end-of-phase 3 meeting with the FDA in the first half of 2018.</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SEL-212, we have two other product candidates in clinical development: SEL-403 and SELA-070. We are developing SEL-403, which is a combination of LMB-100 and SVP-Rapamycin, for the treatment of pancreatic cancer and mesothelioma. LMB-100 is a next-generation immunotoxin that is currently in Phase 1 clinical development at the Center for Cancer Research at the National Cancer Institute. We are also developing SELA-070, a nicotine vaccine product candidate for smoking cessation and relapse prevention. In May 2017, we commenced dosing of SELA-070 in a Phase 1 clinical trial assessing safety, tolerability and pharmacodynamic profile.</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also developing two gene therapy product candidates in preclinical development for rare inborn errors of metabolism. SEL-302, our lead gene therapy product candidate, is a potential treatment for methylmalonic acidemia. Our second gene therapy product candidate, SEL-313, is being developed to treat ornithine transcarbamylase deficiency.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Since inception, we have incurred significant operating losses. We incurred net losses of $45.8 million and $22.1 million for the nine months ended September 30, 2017 and 2016, respectively. As of September 30, 2017, we had an accumulated deficit of $197.4 million. We expect to continue incurring significant expenses and operating losses for at least the next several years as we:</w:t>
      </w:r>
    </w:p>
    <w:p>
      <w:pPr>
        <w:spacing w:after="0" w:line="181" w:lineRule="exact"/>
        <w:rPr>
          <w:sz w:val="20"/>
          <w:szCs w:val="20"/>
          <w:color w:val="auto"/>
        </w:rPr>
      </w:pPr>
    </w:p>
    <w:p>
      <w:pPr>
        <w:ind w:left="240" w:hanging="232"/>
        <w:spacing w:after="0" w:line="207" w:lineRule="exact"/>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and expand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clinical trials for other product candidates including SEL-403;</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225"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ectPr>
          <w:pgSz w:w="11900" w:h="16838" w:orient="portrait"/>
          <w:cols w:equalWidth="0" w:num="1">
            <w:col w:w="11400"/>
          </w:cols>
          <w:pgMar w:left="240" w:top="125" w:right="25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operational and financial personnel, to execute our business plan; and</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expect that our existing cash, cash equivalents, short-term investments and restricted cash as of September 30, 2017, will enable us to fund our operating expenses and capital expenditure requirements into mid-2019. For additional information, see “-Liquidity and Capital Resources.”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100"/>
        <w:spacing w:after="0" w:line="218"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13 to our consolidated financial statements included elsewhere in this Quarterly Report on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research and development costs are often devoted to expanding our programs and are not necessarily allocable to a specific target.</w:t>
      </w:r>
    </w:p>
    <w:p>
      <w:pPr>
        <w:spacing w:after="0" w:line="206"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We have incurred a total of $136.7 million in research and development expenses from inception through September 30, 2017,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and the remainder being spent on our various discovery and preclinical stage product candidate programs and the general expansion of our technology.</w:t>
      </w:r>
    </w:p>
    <w:p>
      <w:pPr>
        <w:spacing w:after="0" w:line="202" w:lineRule="exact"/>
        <w:rPr>
          <w:sz w:val="20"/>
          <w:szCs w:val="20"/>
          <w:color w:val="auto"/>
        </w:rPr>
      </w:pPr>
    </w:p>
    <w:p>
      <w:pPr>
        <w:jc w:val="both"/>
        <w:ind w:right="60"/>
        <w:spacing w:after="0" w:line="220" w:lineRule="exact"/>
        <w:rPr>
          <w:sz w:val="20"/>
          <w:szCs w:val="20"/>
          <w:color w:val="auto"/>
        </w:rPr>
      </w:pPr>
      <w:r>
        <w:rPr>
          <w:rFonts w:ascii="Arial" w:cs="Arial" w:eastAsia="Arial" w:hAnsi="Arial"/>
          <w:sz w:val="16"/>
          <w:szCs w:val="16"/>
          <w:color w:val="auto"/>
        </w:rPr>
        <w:t>As we expand the clinical development of SEL</w:t>
      </w:r>
      <w:r>
        <w:rPr>
          <w:rFonts w:ascii="MS PGothic" w:cs="MS PGothic" w:eastAsia="MS PGothic" w:hAnsi="MS PGothic"/>
          <w:sz w:val="16"/>
          <w:szCs w:val="16"/>
          <w:color w:val="auto"/>
        </w:rPr>
        <w:t>‑</w:t>
      </w:r>
      <w:r>
        <w:rPr>
          <w:rFonts w:ascii="Arial" w:cs="Arial" w:eastAsia="Arial" w:hAnsi="Arial"/>
          <w:sz w:val="16"/>
          <w:szCs w:val="16"/>
          <w:color w:val="auto"/>
        </w:rPr>
        <w:t>212, we expect our research and development expenses to increase. In addition, as a result of the termination of the Sanofi Agreement, which was effective on May 8, 2017, we exercised our right to acquire the development programs under the Sanofi Agreement. The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Sanofi Agreement.</w:t>
      </w:r>
    </w:p>
    <w:p>
      <w:pPr>
        <w:spacing w:after="0" w:line="203" w:lineRule="exact"/>
        <w:rPr>
          <w:sz w:val="20"/>
          <w:szCs w:val="20"/>
          <w:color w:val="auto"/>
        </w:rPr>
      </w:pPr>
    </w:p>
    <w:p>
      <w:pPr>
        <w:ind w:right="60"/>
        <w:spacing w:after="0" w:line="219"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will be necessary to complete the development of SEL</w:t>
      </w:r>
      <w:r>
        <w:rPr>
          <w:rFonts w:ascii="MS PGothic" w:cs="MS PGothic" w:eastAsia="MS PGothic" w:hAnsi="MS PGothic"/>
          <w:sz w:val="17"/>
          <w:szCs w:val="17"/>
          <w:color w:val="auto"/>
        </w:rPr>
        <w:t>‑</w:t>
      </w:r>
      <w:r>
        <w:rPr>
          <w:rFonts w:ascii="Arial" w:cs="Arial" w:eastAsia="Arial" w:hAnsi="Arial"/>
          <w:sz w:val="17"/>
          <w:szCs w:val="17"/>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research and development expenses during the periods indicated (in thousands, except percentages):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190"/>
        </w:trPr>
        <w:tc>
          <w:tcPr>
            <w:tcW w:w="6520" w:type="dxa"/>
            <w:vAlign w:val="bottom"/>
          </w:tcPr>
          <w:p>
            <w:pPr>
              <w:ind w:left="40"/>
              <w:spacing w:after="0"/>
              <w:rPr>
                <w:sz w:val="20"/>
                <w:szCs w:val="20"/>
                <w:color w:val="auto"/>
              </w:rPr>
            </w:pPr>
            <w:r>
              <w:rPr>
                <w:rFonts w:ascii="Arial" w:cs="Arial" w:eastAsia="Arial" w:hAnsi="Arial"/>
                <w:sz w:val="14"/>
                <w:szCs w:val="14"/>
                <w:color w:val="auto"/>
              </w:rPr>
              <w:t>External research and development expenses: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5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6520" w:type="dxa"/>
            <w:vAlign w:val="bottom"/>
          </w:tcPr>
          <w:p>
            <w:pPr>
              <w:ind w:left="280"/>
              <w:spacing w:after="0"/>
              <w:rPr>
                <w:sz w:val="20"/>
                <w:szCs w:val="20"/>
                <w:color w:val="auto"/>
              </w:rPr>
            </w:pPr>
            <w:r>
              <w:rPr>
                <w:rFonts w:ascii="Arial" w:cs="Arial" w:eastAsia="Arial" w:hAnsi="Arial"/>
                <w:sz w:val="14"/>
                <w:szCs w:val="14"/>
                <w:color w:val="auto"/>
              </w:rPr>
              <w:t>SEL-212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4,162</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13,491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5,322</w:t>
            </w:r>
          </w:p>
        </w:tc>
      </w:tr>
      <w:tr>
        <w:trPr>
          <w:trHeight w:val="80"/>
        </w:trPr>
        <w:tc>
          <w:tcPr>
            <w:tcW w:w="6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191"/>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SELA-070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3,067</w:t>
            </w:r>
          </w:p>
        </w:tc>
      </w:tr>
      <w:tr>
        <w:trPr>
          <w:trHeight w:val="80"/>
        </w:trPr>
        <w:tc>
          <w:tcPr>
            <w:tcW w:w="6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191"/>
        </w:trPr>
        <w:tc>
          <w:tcPr>
            <w:tcW w:w="6520" w:type="dxa"/>
            <w:vAlign w:val="bottom"/>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1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1,173</w:t>
            </w:r>
          </w:p>
        </w:tc>
      </w:tr>
      <w:tr>
        <w:trPr>
          <w:trHeight w:val="80"/>
        </w:trPr>
        <w:tc>
          <w:tcPr>
            <w:tcW w:w="6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191"/>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Internal research and development expenses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9,107</w:t>
            </w:r>
          </w:p>
        </w:tc>
      </w:tr>
      <w:tr>
        <w:trPr>
          <w:trHeight w:val="80"/>
        </w:trPr>
        <w:tc>
          <w:tcPr>
            <w:tcW w:w="65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r>
      <w:tr>
        <w:trPr>
          <w:trHeight w:val="184"/>
        </w:trPr>
        <w:tc>
          <w:tcPr>
            <w:tcW w:w="6520" w:type="dxa"/>
            <w:vAlign w:val="bottom"/>
          </w:tcPr>
          <w:p>
            <w:pPr>
              <w:ind w:left="40"/>
              <w:spacing w:after="0"/>
              <w:rPr>
                <w:sz w:val="20"/>
                <w:szCs w:val="20"/>
                <w:color w:val="auto"/>
              </w:rPr>
            </w:pPr>
            <w:r>
              <w:rPr>
                <w:rFonts w:ascii="Arial" w:cs="Arial" w:eastAsia="Arial" w:hAnsi="Arial"/>
                <w:sz w:val="14"/>
                <w:szCs w:val="14"/>
                <w:color w:val="auto"/>
              </w:rPr>
              <w:t>Total research and development expenses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9,504</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6,021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31,542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18,669</w:t>
            </w:r>
          </w:p>
        </w:tc>
      </w:tr>
      <w:tr>
        <w:trPr>
          <w:trHeight w:val="53"/>
        </w:trPr>
        <w:tc>
          <w:tcPr>
            <w:tcW w:w="6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General and administrative expenses consist primarily of salaries and related benefits,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related to our executive, finance, business development and support functions. Other general and administrative expenses include facility</w:t>
      </w:r>
      <w:r>
        <w:rPr>
          <w:rFonts w:ascii="MS PGothic" w:cs="MS PGothic" w:eastAsia="MS PGothic" w:hAnsi="MS PGothic"/>
          <w:sz w:val="18"/>
          <w:szCs w:val="18"/>
          <w:color w:val="auto"/>
        </w:rPr>
        <w:t>‑</w:t>
      </w:r>
      <w:r>
        <w:rPr>
          <w:rFonts w:ascii="Arial" w:cs="Arial" w:eastAsia="Arial" w:hAnsi="Arial"/>
          <w:sz w:val="18"/>
          <w:szCs w:val="18"/>
          <w:color w:val="auto"/>
        </w:rPr>
        <w:t>related costs not otherwise allocated to research and development expenses, travel expenses for our general and administrative personnel and professional fees for auditing, tax and corporate legal services, including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 portfolio.</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ind w:right="700"/>
        <w:spacing w:after="0" w:line="312" w:lineRule="auto"/>
        <w:rPr>
          <w:sz w:val="20"/>
          <w:szCs w:val="20"/>
          <w:color w:val="auto"/>
        </w:rPr>
      </w:pPr>
      <w:r>
        <w:rPr>
          <w:rFonts w:ascii="Arial" w:cs="Arial" w:eastAsia="Arial" w:hAnsi="Arial"/>
          <w:sz w:val="16"/>
          <w:szCs w:val="16"/>
          <w:color w:val="auto"/>
        </w:rPr>
        <w:t>The Company recognized a loss on extinguishment of debt of $0.7 million for the three and nine months ended September 30, 2017. The loss on extinguishment of debt consists of a final payment fee, a loan prepayment fee, the write-off of unamortized debt issuance costs, unamortized warrant valuation discount and miscellaneous costs incurred as a result of our repayment of the 2015 Term Loan totaling $10.0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the three and nine months ended September 30, 2017 and 2016 was de minimis.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September 30, 2017 and December 31, 2016, we maintained cash of $1.7 million and $2.5 million, respectively, in Russian banks, of which $1.6 million and $1.6 million was denominated in U.S. dollars for the periods ended September 30, 2017 and December 31, 2016, respectively. The amounts denominated in U.S. dollars and used in transacting the day to day operations are subject to transaction gains and losses, which are reported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of December 31, 2016, we had net operating loss carryforwards, or NOLs, for federal and state income tax purposes of $102.1 million and $95.6 million, respectively, which expire at various times through 2036. In 2014, our wholly owned subsidiary, Selecta RUS, was granted a “Skolkovo designated” resident status in Russia. As a result, the subsidiary operates as a corporate tax-exempt entity, with lower employee and employment taxes. All foreign net operating loss carryforwards have been eliminated. The state NOLs began expiring in 2015 and will continue to expire through 2036. At December 31, 2016, we</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had available federal and state research and development income tax credits of approximately $2.1 million and $1.5 million respectively, which may be available to reduce future income taxes, if any, at various times through 2036.</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Utilization of the NOLs and credits may be subject to a substantial annual limitation due to ownership change limitations provided by Section 382 of the Internal Revenue Code of 1986, as amended. The annual limitation may result in the expiration of our NOLs and credits before we can use them. We have recorded a valuation allowance on our deferred tax assets, including our deferred tax assets related to our NOLs and research and development tax credit carryforwards. We commissioned a study to analyze and determine if any historical ownership changes have occurred to determine if there are any permanent limitations on our ability to utilize NOLs and other tax attributes in the future. However, we may experience ownership changes as a result of subsequent shifts in our stock ownership. As a result, we are unable to estimate the effect of these limitations, if any, on our ability to utilize NOLs and other tax attributes in the future.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September 30, 2017 and 2016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1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6"/>
                <w:szCs w:val="16"/>
                <w:color w:val="auto"/>
              </w:rPr>
            </w:pPr>
          </w:p>
        </w:tc>
        <w:tc>
          <w:tcPr>
            <w:tcW w:w="1680" w:type="dxa"/>
            <w:vAlign w:val="bottom"/>
            <w:gridSpan w:val="3"/>
            <w:vMerge w:val="restart"/>
          </w:tcPr>
          <w:p>
            <w:pPr>
              <w:jc w:val="center"/>
              <w:ind w:left="288"/>
              <w:spacing w:after="0"/>
              <w:rPr>
                <w:sz w:val="20"/>
                <w:szCs w:val="20"/>
                <w:color w:val="auto"/>
              </w:rPr>
            </w:pPr>
            <w:r>
              <w:rPr>
                <w:rFonts w:ascii="Arial" w:cs="Arial" w:eastAsia="Arial" w:hAnsi="Arial"/>
                <w:sz w:val="14"/>
                <w:szCs w:val="14"/>
                <w:b w:val="1"/>
                <w:bCs w:val="1"/>
                <w:color w:val="auto"/>
                <w:w w:val="91"/>
              </w:rPr>
              <w:t>Increase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88"/>
              </w:rPr>
              <w:t>(decrease)</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w:t>
            </w: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During the three months ended September 30, 2017, total revenue decreased by $1.0 million, or 97%, as compared to the three months ended September 30, 2016. The decrease was the result of reduced revenue from the Company's NIDA grant, resulting in a $0.7 million reduction year over year, as well as a $0.2 million decrease in other grant revenues, all resulting from the wind down of the grant terms. Collaboration revenues decreased by $0.1 million as a result of the termination of the Sanofi collaboration in November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September 30, 2017 and 2016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 September 30,</w:t>
            </w:r>
          </w:p>
        </w:tc>
        <w:tc>
          <w:tcPr>
            <w:tcW w:w="500" w:type="dxa"/>
            <w:vAlign w:val="bottom"/>
          </w:tcPr>
          <w:p>
            <w:pPr>
              <w:spacing w:after="0"/>
              <w:rPr>
                <w:sz w:val="16"/>
                <w:szCs w:val="16"/>
                <w:color w:val="auto"/>
              </w:rPr>
            </w:pPr>
          </w:p>
        </w:tc>
        <w:tc>
          <w:tcPr>
            <w:tcW w:w="16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1"/>
              </w:rPr>
              <w:t>Increase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9,504</w:t>
            </w:r>
          </w:p>
        </w:tc>
        <w:tc>
          <w:tcPr>
            <w:tcW w:w="5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6,021</w:t>
            </w: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3,483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C2C2C"/>
        </w:rPr>
        <w:t>three months ended September 30, 2017, our research and development expenses increased by $3.5 million, or 58%, as compared to the</w:t>
      </w:r>
      <w:r>
        <w:rPr>
          <w:rFonts w:ascii="Arial" w:cs="Arial" w:eastAsia="Arial" w:hAnsi="Arial"/>
          <w:sz w:val="18"/>
          <w:szCs w:val="18"/>
          <w:color w:val="auto"/>
        </w:rPr>
        <w:t xml:space="preserve"> </w:t>
      </w:r>
      <w:r>
        <w:rPr>
          <w:rFonts w:ascii="Arial" w:cs="Arial" w:eastAsia="Arial" w:hAnsi="Arial"/>
          <w:sz w:val="18"/>
          <w:szCs w:val="18"/>
          <w:color w:val="2C2C2C"/>
        </w:rPr>
        <w:t>comparable period in 2016, reflecting the incremental costs for headcount, consulting and clinical activities to continue and expand the Phase 2 stage of our Phase 1/2 clinical program for our lead product candidate SEL-212 and consulting, licensing, supplies and testing activities to initiate or expand research on our other pipeline indications.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September 30, 2017 and 2016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 September 30,</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w w:val="94"/>
              </w:rPr>
              <w:t>(unaudited)</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4,377</w:t>
            </w:r>
          </w:p>
        </w:tc>
        <w:tc>
          <w:tcPr>
            <w:tcW w:w="5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2,495</w:t>
            </w:r>
          </w:p>
        </w:tc>
        <w:tc>
          <w:tcPr>
            <w:tcW w:w="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1,882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the three months ended September 30, 2017, our general and administrative expenses increased $1.9 million, or 75%, as compared to the same period in 2016, primarily due to (i) $0.7 million related to growth in headcount to support public company filings and control processes, (ii) a $0.4 million increase in professional fees related to the universal shelf registration</w:t>
      </w:r>
    </w:p>
    <w:p>
      <w:pPr>
        <w:sectPr>
          <w:pgSz w:w="11900" w:h="16838" w:orient="portrait"/>
          <w:cols w:equalWidth="0" w:num="1">
            <w:col w:w="11420"/>
          </w:cols>
          <w:pgMar w:left="240" w:top="125" w:right="239" w:bottom="865"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865"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filing, (iii) $0.5 million of stock compensation expense, (iv) $0.4 million relating to the continued increase in our patent inventory and reimbursement of expenses for our patent in-licensing activities and (v) $0.1 million of office and facilities expense resulting from increased headcount, offset by a $0.2 million reduction in licensing fees associated with collaborations.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Investment income increased by $0.1 million during the three months ended September 30, 2017 as compared to the comparable period in 2016. This increase was due to an increase of $12.4 million of investments held by us as of September 30, 2017 as compared to the holdings as of 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recognized a loss on extinguishment of debt of $0.7 million for the three and nine months ended September 30, 2017. There was no extinguishment of debt during the three or nine months ended September 30, 2016. The loss on extinguishment of debt consists of the unamortized portion of the final fee payment, a loan prepayment fee, the write-off of unamortized debt issuance costs, unamortized warrant valuation discount and miscellaneous costs incurred as a result of our repayment of the 2015 Term Loan totaling $10.0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gain (loss)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recognized a foreign currency loss of less than $0.1 million during each of the three months ended September 30, 2017 and 2016, reflecting the fluctuation of the U.S. dollar to the Russian ruble from the beginning to the end of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Interest expense was $0.3 million for each of the three months ended September 30, 2017 and 2016,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three months ended September 30, 2017 and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nine months ended September 30, 2017 and 2016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16"/>
                <w:szCs w:val="16"/>
                <w:color w:val="auto"/>
              </w:rPr>
            </w:pPr>
          </w:p>
        </w:tc>
        <w:tc>
          <w:tcPr>
            <w:tcW w:w="1720" w:type="dxa"/>
            <w:vAlign w:val="bottom"/>
            <w:gridSpan w:val="3"/>
            <w:vMerge w:val="restart"/>
          </w:tcPr>
          <w:p>
            <w:pPr>
              <w:jc w:val="center"/>
              <w:ind w:left="248"/>
              <w:spacing w:after="0"/>
              <w:rPr>
                <w:sz w:val="20"/>
                <w:szCs w:val="20"/>
                <w:color w:val="auto"/>
              </w:rPr>
            </w:pPr>
            <w:r>
              <w:rPr>
                <w:rFonts w:ascii="Arial" w:cs="Arial" w:eastAsia="Arial" w:hAnsi="Arial"/>
                <w:sz w:val="14"/>
                <w:szCs w:val="14"/>
                <w:b w:val="1"/>
                <w:bCs w:val="1"/>
                <w:color w:val="auto"/>
                <w:w w:val="91"/>
              </w:rPr>
              <w:t>Increase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88"/>
              </w:rPr>
              <w:t>(decrease)</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(4,340)</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w:t>
            </w: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2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5,153</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nine months ended September 30, 2017, total revenue decreased by $5.0 million, or 96%, as compared to the nine months ended September 30, 2016. The decrease in grant revenue was the result of reduced revenue from our NIDA grant, resulting in a $3.7 million reduction year over year, as well as a $0.6 million decrease in other grant revenues resulting from the wind down of grant terms. Collaboration revenues decreased $0.6 million as a result of the termination of the Sanofi collaboration in November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nine months ended September 30, 2017 and 2016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Nine Months Ended September 30,</w:t>
            </w:r>
          </w:p>
        </w:tc>
        <w:tc>
          <w:tcPr>
            <w:tcW w:w="460" w:type="dxa"/>
            <w:vAlign w:val="bottom"/>
          </w:tcPr>
          <w:p>
            <w:pPr>
              <w:spacing w:after="0"/>
              <w:rPr>
                <w:sz w:val="16"/>
                <w:szCs w:val="16"/>
                <w:color w:val="auto"/>
              </w:rPr>
            </w:pPr>
          </w:p>
        </w:tc>
        <w:tc>
          <w:tcPr>
            <w:tcW w:w="16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w w:val="94"/>
              </w:rPr>
              <w:t>(unaudited)</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31,542</w:t>
            </w:r>
          </w:p>
        </w:tc>
        <w:tc>
          <w:tcPr>
            <w:tcW w:w="5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18,669</w:t>
            </w: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12,873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During the nine months ended September 30, 2017, our research and development expenses increased by $12.9 million, or 69%, as compared to the comparable period in 2016, </w:t>
      </w:r>
      <w:r>
        <w:rPr>
          <w:rFonts w:ascii="Arial" w:cs="Arial" w:eastAsia="Arial" w:hAnsi="Arial"/>
          <w:sz w:val="18"/>
          <w:szCs w:val="18"/>
          <w:color w:val="2C2C2C"/>
        </w:rPr>
        <w:t>reflecting the incremental costs for headcount, consulting and clinical</w:t>
      </w:r>
    </w:p>
    <w:p>
      <w:pPr>
        <w:sectPr>
          <w:pgSz w:w="11900" w:h="16838" w:orient="portrait"/>
          <w:cols w:equalWidth="0" w:num="1">
            <w:col w:w="11420"/>
          </w:cols>
          <w:pgMar w:left="240" w:top="125" w:right="239" w:bottom="1027"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027"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C2C2C"/>
        </w:rPr>
        <w:t>costs to continue and expand the Phase 2 stage of our Phase 1/2 clinical program for our lead product candidate SEL-212 and consulting, licensing, supplies and testing activities to initiate or expand research on our other pipeline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nine months ended September 30, 2017 and 2016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Nine Months Ended September 30,</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w w:val="94"/>
              </w:rPr>
              <w:t>(unaudited)</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13,155</w:t>
            </w:r>
          </w:p>
        </w:tc>
        <w:tc>
          <w:tcPr>
            <w:tcW w:w="5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7,294</w:t>
            </w:r>
          </w:p>
        </w:tc>
        <w:tc>
          <w:tcPr>
            <w:tcW w:w="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5,861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the nine months ended September 30, 2017, our general and administrative expenses increased $5.9 million, or 80%, as compared to the comparable 2016 period, primarily due to (i) $2.0 million related to growth in headcount to support public company filings and control processes, (ii) a $0.2 million increase in consulting fees for market research and investor relations, (iii) $1.1 million of stock compensation expense, (iv) $0.1 million of licensing fees associated with collaborations, (v) $1.3 million relating to the continued increase in our patent inventory and reimbursement of expenses for our patent in-licensing activities,</w:t>
      </w:r>
    </w:p>
    <w:p>
      <w:pPr>
        <w:spacing w:after="0" w:line="2" w:lineRule="exact"/>
        <w:rPr>
          <w:sz w:val="20"/>
          <w:szCs w:val="20"/>
          <w:color w:val="auto"/>
        </w:rPr>
      </w:pPr>
    </w:p>
    <w:p>
      <w:pPr>
        <w:ind w:right="220" w:firstLine="8"/>
        <w:spacing w:after="0" w:line="261" w:lineRule="auto"/>
        <w:tabs>
          <w:tab w:leader="none" w:pos="3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$0.4 million of office and facilities expense resulting from increased headcount (vii) a $0.6 million increase in professional fees related to the universal shelf registration filing and (viii) $0.2 million of other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Investment income increased by $0.3 million during the nine months ended September 30, 2017 as compared to the comparable period in 2016. This increase was due to an increase of $12.4 million of investments held by the Company as of September 30, 2017 compared to the holdings as of 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recognized a loss on extinguishment of debt of $0.7 million for the three and nine months ended September 30, 2017. There was no extinguishment of debt during the three or nine months ended September 30, 2016. The loss on extinguishment of debt consists of the unamortized portion of the final fee payment, a loan prepayment fee, the write-off of unamortized debt issuance costs, unamortized warrant valuation discount and miscellaneous costs incurred as a result of our repayment of the 2015 Term Loan totaling $10.0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gain (loss)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recognized a foreign currency loss of $0.1 million and $0.4 million during the nine months ended September 30, 2017 and 2016, respectively, reflecting the fluctuation of the U.S. dollar to the Russian ruble from the beginning to the end of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was $0.8 million and $0.9 million for the nine months ended September 30, 2017 and 2016,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nine months ended September 30, 2017 and 2016.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From our inception through September 30, 2017, we had raised an aggregate of $302.2 million to fund our operations, of which $118.5 million was from the sale of preferred stock, $9.9 million was from government grants, $25.3 million was from borrowings under our credit facility, $36.8 million was through our collaborations and license agreements, $64.5 million in combined net proceeds was raised from our initial public offering in June 2016 and the underwriters' exercise in part of their option to purchase additional shares of our common stock in July 2016, and $47.2 million in combined net proceeds was raised from our private placement of common stock in June 2017, or the 2017 PIPE.</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June 26, 2017, we entered into a Securities Purchase Agreement, or the Institutional Purchase Agreement, with the purchasers named therein, or the Institutional Investors, and a Securities Purchase Agreement, or the Springer Purchase Agreement, with Timothy Springer, Ph.D., a member of our board of directors.</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Pursuant to the Institutional Purchase Agreement, we agreed to sell an aggregate of 2,750,000 shares of our common stock to the Institutional Investors for aggregate gross proceeds of $44.0 million, at a purchase price equal to $16.00 per share. Pursuant to the Springer Purchase Agreement, we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or the Warrant Shares, exercisable at $17.71 per Warrant Share. The purchase price for each warrant was equal to $0.125 for each Warrant Share, consistent with Nasdaq Global Market requirements for an “at the market” offering. The Springer Offering resulted in additional aggregate gross proceeds to us of approximately $6.0 million for total aggregate gross proceeds to us of $50.0 million. On June 27, 2017, in connection with issuance of the Warrant Shares, we entered into a Common Stock Purchase Warrant with Dr. Springer, or the Warrant. The Warrant has a term of five years. We closed under the Institutional Purchase Agreement and the Springer Purchase Agreement on June 27, 2017.</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August 10, 2017, we entered into a sales agreement with Jefferies LLC, as sales agent, or the Sales Agreement, pursuant to which we may, from time to time, issue and sell common stock with an aggregate value of up to $50 million in an at-the-market, or ATM, offering. During the third quarter of 2017, there were no sales of common stock pursuant to the Sales Agreement.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2017, our cash, cash equivalents, Short-term deposits and Short-term investments were $104.4 million, of which $1.7 million was held by our Russian subsidiary designated solely for use in its operations including $0.1 million of restricted cash. Our Russian subsidiary cash is consolidated for financial reporting purposes.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to our existing cash equivalents and Short-term investments, we receive research and development funding pursuant to our research grants and collaboration agreements. In November 2016, we received written notice from Sanofi that Sanofi had elected to terminate in its entirety the Sanofi Agreement. The termination of the Sanofi Agreement was effective on May 8, 2017. Currently, funding from research grants and payments under our remaining collaboration agreements represent our only source of committed external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which was effective on May 8, 2017, we exercised our right to acquire the</w:t>
      </w: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5"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development programs under the Sanofi Agreement. This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Based on the current operating plan, we expect that our cash, cash equivalents, short-term investments and restricted cash as of September 30, 2017, will fund our operating expenses and capital expenditure requirements into mid-2019.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65"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and results of our clinical trials with our other product candidates, including SEL-403;</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ability to enter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80"/>
          </w:cols>
          <w:pgMar w:left="240" w:top="125" w:right="2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for the nine months ended September 30, 2017 and 2016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Beginning of the period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58,656</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32,337</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(39,365)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(21,239)</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(8,205)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(16,896)</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64,867</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 of the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59,488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Net cash used in operating activities was $39.4 million for the nine months ended September 30, 2017 as compared to $21.2 million for the nine months ended September 30, 2016. The increase in net cash used in operating activities of $18.1 million reflects a $23.6 million increase in recorded net loss associated with the increased research and development expenses as we advanced from Phase 1 to Phase 2 clinical trials coupled with (i) $2.4 million in net cash used to pay outstanding accounts payable associated with operations and (ii) a decrease in recorded deferred revenues of $0.4 million offset by (i) an increase in recorded accrued expenses and other liabilities of $4.5 million (ii) a $1.5 million reduction in restricted cash and other assets (iii) an increase in (non-cash) stock-based compensation expense of $1.6 million and (iv) a $0.7 million loss on early extinguishment of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Net cash used in investing activities was $8.2 million for the nine months ended September 30, 2017, as compared to $16.9 million of net cash used in investing activities for the nine months ended September 30, 2016. The net change in cash of $8.7 million used in investing activities for the nine months ended September 30, 2017 resulted from the purchase of additional Short-term investments totaling $25.4 million combined with additional equipment purchases of $0.1 million offset by maturities of Short-term investments of $34.2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provided by financing activities was $61.0 million for the nine months ended September 30, 2017 as compared to $64.9 million for the nine months ended September 30, 2016. The decrease of $3.9 million resulted from (i) $47.1 million of net cash derived from the 2017 PIPE, (ii) $21.0 million from the issuance of the 2017 Term Loan, (iii) $5.0 million received in connection with the issuance of common stock to Spark pursuant to contractual equity acquisition rights, (iv) $0.6 million from the exercise of employee stock options and (v) $0.1 million in proceeds from the issuance of common stock under the ESPP, offset by $12.9 million of loan repayments made during the nine months ended September 30, 2017 as opposed to the net cash of $64.8 million received in connection with our IPO related activities in 2016.</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functional currency of our Russian subsidiary is the Russian ruble. The statement of cash flows for our Russian subsidiary is translated using the average translation rate applicable during the period except that all cash and cash equivalents, Short-term investments and restricted cash at the beginning of the period is translated using the exchange rate as of the beginning balance sheet date, and cash and cash equivalents, Short-term investments and restricted cash at the end of the period is translated using the exchange rate as of the ending balance sheet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September 2017, we repaid $10.0 million in outstanding debt for the 2015 Term Loan and also entered into a $21.0 million Term Loan. See Note 9 to our consolidated financial statements for information about the 2015 Term Loan repayment and the terms of the 2017 Term Loan agreement. Other than the item previously discussed, there have been no material changes, outside of the ordinary course of business, to our contractual obligations and commitments as previously disclosed in our 2016 Annual Report on Form 10-K for the year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September 30, 2017, we did not have any off-balance sheet arrangements as defined in the rules and regulations of the Securities and Exchange Commission.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discussion and analysis of our financial condition and results of operations is based on our financial statements, which we have prepared in accordance with United States generally accepted accounting principles.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nine months ended September 30, 2017, there were no material changes to our critical accounting policies as reported in our 2016 Annual Report on Form 10-K.</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September 30, 2017 and December 31, 2016, we had cash, cash equivalents, Short-term deposits and Short-term investments of $104.4 million and $84.1 million, respectively, consisting of non</w:t>
      </w:r>
      <w:r>
        <w:rPr>
          <w:rFonts w:ascii="MS PGothic" w:cs="MS PGothic" w:eastAsia="MS PGothic" w:hAnsi="MS PGothic"/>
          <w:sz w:val="18"/>
          <w:szCs w:val="18"/>
          <w:color w:val="auto"/>
        </w:rPr>
        <w:t>‑</w:t>
      </w:r>
      <w:r>
        <w:rPr>
          <w:rFonts w:ascii="Arial" w:cs="Arial" w:eastAsia="Arial" w:hAnsi="Arial"/>
          <w:sz w:val="18"/>
          <w:szCs w:val="18"/>
          <w:color w:val="auto"/>
        </w:rPr>
        <w:t>interest and interest</w:t>
      </w:r>
      <w:r>
        <w:rPr>
          <w:rFonts w:ascii="MS PGothic" w:cs="MS PGothic" w:eastAsia="MS PGothic" w:hAnsi="MS PGothic"/>
          <w:sz w:val="18"/>
          <w:szCs w:val="18"/>
          <w:color w:val="auto"/>
        </w:rPr>
        <w:t>‑</w:t>
      </w:r>
      <w:r>
        <w:rPr>
          <w:rFonts w:ascii="Arial" w:cs="Arial" w:eastAsia="Arial" w:hAnsi="Arial"/>
          <w:sz w:val="18"/>
          <w:szCs w:val="18"/>
          <w:color w:val="auto"/>
        </w:rPr>
        <w:t>bearing money market accounts, repurchase agreements, short-term investments of treasuries and government obligations. Our primary exposure to market risk is interest rate sensitivity, which is affected by changes in the general level of U.S. interest rates. Due to the short</w:t>
      </w:r>
      <w:r>
        <w:rPr>
          <w:rFonts w:ascii="MS PGothic" w:cs="MS PGothic" w:eastAsia="MS PGothic" w:hAnsi="MS PGothic"/>
          <w:sz w:val="18"/>
          <w:szCs w:val="18"/>
          <w:color w:val="auto"/>
        </w:rPr>
        <w:t>‑</w:t>
      </w:r>
      <w:r>
        <w:rPr>
          <w:rFonts w:ascii="Arial" w:cs="Arial" w:eastAsia="Arial" w:hAnsi="Arial"/>
          <w:sz w:val="18"/>
          <w:szCs w:val="18"/>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September 30, 2017, we held $1.7 million of total cash in Russian banks to support our Russian subsidiary, which includes $1.6 million of cash and cash equivalents and $0.1 million of restricted cash, of which $1.6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September 30, 2017 that have materially affected, or is reasonably likely to materially affect, our internal control over financial reporting.</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Since inception, we have incurred significant operating losses in every year. Our net loss was $45.8 million for the nine months ended September 30, 2017 and $36.2 million and $25.2 million for the years ended December 31, 2016 and 2015, respectively. As of September 30, 2017, we had an accumulated deficit of $197.4 million. To date, we have financed our operations primarily through our initial public offering of our common stock, a private placement of our common stock, issuances of preferred stock, debt, research grants and research collaborations. We currently have no source of product revenue, and we do not expect to generate product revenue for the foreseeable future. All of our revenue to date has been collaboration and grant revenue. In November 2016, we received written notice from Sanofi that Sanofi had elected to terminate in its entirety our license and research collaboration agreement with Sanofi, or the Sanofi Agreement. As a result of the termination of the Sanofi Agreement, which was effective on May 8, 2017, we will not receive any future payments related to the Sanofi Agreement.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SVP-enabled therapies. We expect to continue to incur significant expenses and operating losses for the foreseeable future. We expect that our expenses will increase substantially as we:</w:t>
      </w:r>
    </w:p>
    <w:p>
      <w:pPr>
        <w:spacing w:after="0" w:line="183" w:lineRule="exact"/>
        <w:rPr>
          <w:sz w:val="20"/>
          <w:szCs w:val="20"/>
          <w:color w:val="auto"/>
        </w:rPr>
      </w:pPr>
    </w:p>
    <w:p>
      <w:pPr>
        <w:ind w:left="240" w:hanging="232"/>
        <w:spacing w:after="0" w:line="207" w:lineRule="exact"/>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clinical trials for our other product candidates, including SEL-403;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scale up external manufacturing capabilities to commercialize any products for which we may obtain regulatory approval;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9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7" w:lineRule="exact"/>
        <w:rPr>
          <w:sz w:val="20"/>
          <w:szCs w:val="20"/>
          <w:color w:val="auto"/>
        </w:rPr>
      </w:pPr>
    </w:p>
    <w:p>
      <w:pPr>
        <w:ind w:left="340" w:right="180" w:hanging="251"/>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1"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We expect our expenses to increase in connection with our ongoing activities, particularly as we conduct our clinical trials of SEL</w:t>
      </w:r>
      <w:r>
        <w:rPr>
          <w:rFonts w:ascii="MS PGothic" w:cs="MS PGothic" w:eastAsia="MS PGothic" w:hAnsi="MS PGothic"/>
          <w:sz w:val="17"/>
          <w:szCs w:val="17"/>
          <w:color w:val="auto"/>
        </w:rPr>
        <w:t>‑</w:t>
      </w:r>
      <w:r>
        <w:rPr>
          <w:rFonts w:ascii="Arial" w:cs="Arial" w:eastAsia="Arial" w:hAnsi="Arial"/>
          <w:sz w:val="17"/>
          <w:szCs w:val="17"/>
          <w:color w:val="auto"/>
        </w:rPr>
        <w:t>212, SEL-403 and SELA-070,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believe that our existing cash, cash equivalents and investments, and restricted cash as of September 30, 2017 will enable us to fund our operating expenses and capital expenditure requirements into mid-2019. We have based this estimate on assumptions that may prove to be wrong, and we could use our capital resources sooner than we currently expect. Our future capital requirements will depend on many factors, including:</w:t>
      </w:r>
    </w:p>
    <w:p>
      <w:pPr>
        <w:spacing w:after="0" w:line="166" w:lineRule="exact"/>
        <w:rPr>
          <w:sz w:val="20"/>
          <w:szCs w:val="20"/>
          <w:color w:val="auto"/>
        </w:rPr>
      </w:pPr>
    </w:p>
    <w:p>
      <w:pPr>
        <w:ind w:left="240" w:hanging="232"/>
        <w:spacing w:after="0" w:line="207" w:lineRule="exact"/>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and SEL-403;</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hanging="332"/>
        <w:spacing w:after="0" w:line="223" w:lineRule="exact"/>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w:t>
      </w:r>
    </w:p>
    <w:p>
      <w:pPr>
        <w:sectPr>
          <w:pgSz w:w="11900" w:h="16838" w:orient="portrait"/>
          <w:cols w:equalWidth="0" w:num="1">
            <w:col w:w="11380"/>
          </w:cols>
          <w:pgMar w:left="240" w:top="125" w:right="279" w:bottom="1440" w:gutter="0" w:footer="0" w:header="0"/>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80"/>
          </w:cols>
          <w:pgMar w:left="240" w:top="125" w:right="2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Revenues from research and development activities in collaboration with Sanofi represented a significant portion of our revenues and the loss of these revenues may adversely affect our business and our liquidity.</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from research and development activities under the Sanofi Agreement were a significant source of revenues in 2016. In November 2016, we received written notice from Sanofi that Sanofi had elected to terminate in its entirety the Sanofi Agreement. The termination of the Sanofi Agreement was effective on May 8, 2017, which was six months from the date of the notice. The loss of revenue derived from research and development activities under the Sanofi Agreement may adversely affect our business and our liquidity. In addition, Sanofi's termination of this agreement could adversely affect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Other than SEL-212, our lead product candidate, SEL-403, our product candidate utilizing LMB-100 in combination with SVP-Rapamycin, and SELA-070, our nicotine vaccine product candidate for smoking cessation and relapse prevention, our product candidates are still in preclinical development. While we have completed our Phase 1 clinical trial for SEL</w:t>
      </w:r>
      <w:r>
        <w:rPr>
          <w:rFonts w:ascii="MS PGothic" w:cs="MS PGothic" w:eastAsia="MS PGothic" w:hAnsi="MS PGothic"/>
          <w:sz w:val="17"/>
          <w:szCs w:val="17"/>
          <w:color w:val="auto"/>
        </w:rPr>
        <w:t>‑</w:t>
      </w:r>
      <w:r>
        <w:rPr>
          <w:rFonts w:ascii="Arial" w:cs="Arial" w:eastAsia="Arial" w:hAnsi="Arial"/>
          <w:sz w:val="17"/>
          <w:szCs w:val="17"/>
          <w:color w:val="auto"/>
        </w:rPr>
        <w:t>212, we have not yet completed any other clinical trials for SEL</w:t>
      </w:r>
      <w:r>
        <w:rPr>
          <w:rFonts w:ascii="MS PGothic" w:cs="MS PGothic" w:eastAsia="MS PGothic" w:hAnsi="MS PGothic"/>
          <w:sz w:val="17"/>
          <w:szCs w:val="17"/>
          <w:color w:val="auto"/>
        </w:rPr>
        <w:t>‑</w:t>
      </w:r>
      <w:r>
        <w:rPr>
          <w:rFonts w:ascii="Arial" w:cs="Arial" w:eastAsia="Arial" w:hAnsi="Arial"/>
          <w:sz w:val="17"/>
          <w:szCs w:val="17"/>
          <w:color w:val="auto"/>
        </w:rPr>
        <w:t>212 or any other product candidate. We initiated our Phase 2 clinical trial of SEL</w:t>
      </w:r>
      <w:r>
        <w:rPr>
          <w:rFonts w:ascii="MS PGothic" w:cs="MS PGothic" w:eastAsia="MS PGothic" w:hAnsi="MS PGothic"/>
          <w:sz w:val="17"/>
          <w:szCs w:val="17"/>
          <w:color w:val="auto"/>
        </w:rPr>
        <w:t>‑</w:t>
      </w:r>
      <w:r>
        <w:rPr>
          <w:rFonts w:ascii="Arial" w:cs="Arial" w:eastAsia="Arial" w:hAnsi="Arial"/>
          <w:sz w:val="17"/>
          <w:szCs w:val="17"/>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(“SVB”), the proceeds of which were used to repay our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the charter of our subsidiary, Selecta RUS, prohibits distributions to us in violation of Russian law or if, as a result of such distribution, Selecta RUS would be insolvent or its net assets would be less than its charter capital and statutory</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reserves. Selecta RUS held $1.7 million of total cash in Russian banks as of September 30, 2017, including $1.6 million of cash and cash equivalents and $0.1 million of restricted cash.</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We have net operating loss carryforwards, or NOLs, for federal and state income tax purposes which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NOLs to offset future taxable income. If the U.S. Internal Revenue Service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very early in our clinical development efforts and may not be successful in our efforts to use our SVP technology to build a pipeline of product candidates and develop marketable drugs.</w:t>
      </w:r>
    </w:p>
    <w:p>
      <w:pPr>
        <w:spacing w:after="0" w:line="170"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We are primarily using our SVP technology to improve and enable biologics that treat rare and serious diseases, with an initial focus on developing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severe gout. We are also leveraging our SVP platform to pursue programs in additional therapeutic areas such as oncology and gene therapy.</w:t>
      </w:r>
    </w:p>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For instance, in May 2017 we licensed LMB-100, a potent anti-bacterial toxin, and are currently planning a Phase 1b trial of our product candidate SEL-403 to evaluate LMB-100 in combination with our SVP technology in patients with rare, serious and aggressive forms of cancer, including pancreatic cancer and mesothelioma. In addition, we are developing two gene therapy product candidates for rare inborn errors of metabolism. Our lead gene therapy program is a potential treatment for </w:t>
      </w:r>
      <w:r>
        <w:rPr>
          <w:rFonts w:ascii="Arial" w:cs="Arial" w:eastAsia="Arial" w:hAnsi="Arial"/>
          <w:sz w:val="18"/>
          <w:szCs w:val="18"/>
          <w:color w:val="333333"/>
        </w:rPr>
        <w:t>methylmalonic acidemia</w:t>
      </w:r>
      <w:r>
        <w:rPr>
          <w:rFonts w:ascii="Arial" w:cs="Arial" w:eastAsia="Arial" w:hAnsi="Arial"/>
          <w:sz w:val="18"/>
          <w:szCs w:val="18"/>
          <w:color w:val="auto"/>
        </w:rPr>
        <w:t>. This product candidate is known as SEL-302. Our second gene therapy product candidate, or SEL-313, is intended to treat ornithine transcarbamylase deficiency.</w:t>
      </w:r>
    </w:p>
    <w:p>
      <w:pPr>
        <w:spacing w:after="0" w:line="188"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While we believe our preclinical and clinical data to date have validated our technology to a degree, we are at an early stage of development and our technology has not yet led to, and may never lead to, approvable or marketable drugs. We are developing additional product candidates to address the problem of anti</w:t>
      </w:r>
      <w:r>
        <w:rPr>
          <w:rFonts w:ascii="MS PGothic" w:cs="MS PGothic" w:eastAsia="MS PGothic" w:hAnsi="MS PGothic"/>
          <w:sz w:val="16"/>
          <w:szCs w:val="16"/>
          <w:color w:val="auto"/>
        </w:rPr>
        <w:t>‑</w:t>
      </w:r>
      <w:r>
        <w:rPr>
          <w:rFonts w:ascii="Arial" w:cs="Arial" w:eastAsia="Arial" w:hAnsi="Arial"/>
          <w:sz w:val="16"/>
          <w:szCs w:val="16"/>
          <w:color w:val="auto"/>
        </w:rPr>
        <w:t>drug antibodies, and immunogenicity in biologic therapy and other areas. We may have problems identifying new product candidates and applying our technologies to these other areas.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206"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and maintaining coverage and adequate reimbursement by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government payors, for our products, if approved;</w:t>
      </w:r>
    </w:p>
    <w:p>
      <w:pPr>
        <w:spacing w:after="0" w:line="236" w:lineRule="exact"/>
        <w:rPr>
          <w:rFonts w:ascii="Arial" w:cs="Arial" w:eastAsia="Arial" w:hAnsi="Arial"/>
          <w:sz w:val="17"/>
          <w:szCs w:val="17"/>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24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b w:val="1"/>
          <w:bCs w:val="1"/>
          <w:i w:val="1"/>
          <w:iCs w:val="1"/>
          <w:color w:val="auto"/>
        </w:rPr>
        <w:t>Our product candidates are based on our SVP technology, which is an unproven approach designed to induce antigen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specific immune tolerance to biologic drugs or stimulate the immune system.</w:t>
      </w:r>
    </w:p>
    <w:p>
      <w:pPr>
        <w:spacing w:after="0" w:line="203"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All of our product candidates are derived from our SVP technology, which is an unproven approach to inducing antigen</w:t>
      </w:r>
      <w:r>
        <w:rPr>
          <w:rFonts w:ascii="MS PGothic" w:cs="MS PGothic" w:eastAsia="MS PGothic" w:hAnsi="MS PGothic"/>
          <w:sz w:val="16"/>
          <w:szCs w:val="16"/>
          <w:color w:val="auto"/>
        </w:rPr>
        <w:t>‑</w:t>
      </w:r>
      <w:r>
        <w:rPr>
          <w:rFonts w:ascii="Arial" w:cs="Arial" w:eastAsia="Arial" w:hAnsi="Arial"/>
          <w:sz w:val="16"/>
          <w:szCs w:val="16"/>
          <w:color w:val="auto"/>
        </w:rPr>
        <w:t>specific tolerance or stimulating the immune system. In addition, SEL</w:t>
      </w:r>
      <w:r>
        <w:rPr>
          <w:rFonts w:ascii="MS PGothic" w:cs="MS PGothic" w:eastAsia="MS PGothic" w:hAnsi="MS PGothic"/>
          <w:sz w:val="16"/>
          <w:szCs w:val="16"/>
          <w:color w:val="auto"/>
        </w:rPr>
        <w:t>‑</w:t>
      </w:r>
      <w:r>
        <w:rPr>
          <w:rFonts w:ascii="Arial" w:cs="Arial" w:eastAsia="Arial" w:hAnsi="Arial"/>
          <w:sz w:val="16"/>
          <w:szCs w:val="16"/>
          <w:color w:val="auto"/>
        </w:rPr>
        <w:t>212, our lead product candidate, uses pegsiticase, a biologic, which we source primarily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203" w:lineRule="exact"/>
        <w:rPr>
          <w:sz w:val="20"/>
          <w:szCs w:val="20"/>
          <w:color w:val="auto"/>
        </w:rPr>
      </w:pPr>
    </w:p>
    <w:p>
      <w:pPr>
        <w:ind w:right="400"/>
        <w:spacing w:after="0" w:line="223" w:lineRule="exact"/>
        <w:rPr>
          <w:sz w:val="20"/>
          <w:szCs w:val="20"/>
          <w:color w:val="auto"/>
        </w:rPr>
      </w:pPr>
      <w:r>
        <w:rPr>
          <w:rFonts w:ascii="Arial" w:cs="Arial" w:eastAsia="Arial" w:hAnsi="Arial"/>
          <w:sz w:val="18"/>
          <w:szCs w:val="18"/>
          <w:color w:val="auto"/>
        </w:rPr>
        <w:t>As a result, we cannot be certain that our approach, or our development of SEL</w:t>
      </w:r>
      <w:r>
        <w:rPr>
          <w:rFonts w:ascii="MS PGothic" w:cs="MS PGothic" w:eastAsia="MS PGothic" w:hAnsi="MS PGothic"/>
          <w:sz w:val="18"/>
          <w:szCs w:val="18"/>
          <w:color w:val="auto"/>
        </w:rPr>
        <w:t>‑</w:t>
      </w:r>
      <w:r>
        <w:rPr>
          <w:rFonts w:ascii="Arial" w:cs="Arial" w:eastAsia="Arial" w:hAnsi="Arial"/>
          <w:sz w:val="18"/>
          <w:szCs w:val="18"/>
          <w:color w:val="auto"/>
        </w:rPr>
        <w:t>212, will lead to the development or approval of marketable products. In addition:</w:t>
      </w:r>
    </w:p>
    <w:p>
      <w:pPr>
        <w:spacing w:after="0" w:line="20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due to the unproven nature of our SVP therapeutics, they may have different efficacy and safety rates in various indications;</w:t>
      </w:r>
    </w:p>
    <w:p>
      <w:pPr>
        <w:spacing w:after="0" w:line="225" w:lineRule="exact"/>
        <w:rPr>
          <w:rFonts w:ascii="Arial" w:cs="Arial" w:eastAsia="Arial" w:hAnsi="Arial"/>
          <w:sz w:val="18"/>
          <w:szCs w:val="18"/>
          <w:color w:val="auto"/>
        </w:rPr>
      </w:pPr>
    </w:p>
    <w:p>
      <w:pPr>
        <w:ind w:left="340" w:right="40" w:hanging="332"/>
        <w:spacing w:after="0" w:line="221" w:lineRule="exact"/>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pacing w:after="0" w:line="201" w:lineRule="exact"/>
        <w:rPr>
          <w:rFonts w:ascii="Arial" w:cs="Arial" w:eastAsia="Arial" w:hAnsi="Arial"/>
          <w:sz w:val="18"/>
          <w:szCs w:val="18"/>
          <w:color w:val="auto"/>
        </w:rPr>
      </w:pPr>
    </w:p>
    <w:p>
      <w:pPr>
        <w:ind w:left="340" w:right="100" w:hanging="332"/>
        <w:spacing w:after="0" w:line="221" w:lineRule="exact"/>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a biologics license application for SEL</w:t>
      </w:r>
      <w:r>
        <w:rPr>
          <w:rFonts w:ascii="MS PGothic" w:cs="MS PGothic" w:eastAsia="MS PGothic" w:hAnsi="MS PGothic"/>
          <w:sz w:val="18"/>
          <w:szCs w:val="18"/>
          <w:color w:val="auto"/>
        </w:rPr>
        <w:t>‑</w:t>
      </w:r>
      <w:r>
        <w:rPr>
          <w:rFonts w:ascii="Arial" w:cs="Arial" w:eastAsia="Arial" w:hAnsi="Arial"/>
          <w:sz w:val="18"/>
          <w:szCs w:val="18"/>
          <w:color w:val="auto"/>
        </w:rPr>
        <w:t>212 or another product and a pre</w:t>
      </w:r>
      <w:r>
        <w:rPr>
          <w:rFonts w:ascii="MS PGothic" w:cs="MS PGothic" w:eastAsia="MS PGothic" w:hAnsi="MS PGothic"/>
          <w:sz w:val="18"/>
          <w:szCs w:val="18"/>
          <w:color w:val="auto"/>
        </w:rPr>
        <w:t>‑</w:t>
      </w:r>
      <w:r>
        <w:rPr>
          <w:rFonts w:ascii="Arial" w:cs="Arial" w:eastAsia="Arial" w:hAnsi="Arial"/>
          <w:sz w:val="18"/>
          <w:szCs w:val="18"/>
          <w:color w:val="auto"/>
        </w:rPr>
        <w:t>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are applying our SVP technology to antigen-specific immune tolerance for gene therapy involving gene augmentation, replacement or editing. So far no gene therapy product has been approved for a genetic disease in the United States and only two such products have been approved in the European Union.</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SVP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requirements of the FDA, the European Medicines Agency, or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and clinical trial requirements for novel product candidates can be more expensive and take longer than for other, better known or more extensively studied product candidates.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or (“NIH Guidelines”). 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 synthetic nucleic acid molecules. Specifically, under the modified NIH Guidelines, RAC review of the protocol will be required only in exceptional cases where (a) an oversight body such as an Institutional Biosafety Committee, or IBC, which provides local review and oversight of research utilizing recombinant or synthetic nucleic acid molecules, or an IRB determines that the protocol would significantly benefit from RAC review, and (b) the protocol (i) uses a new vector, genetic material, or delivery methodology that represents a first-in-human experience and thus presents an unknown risk, and/or (ii) relies on preclinical safety data that were obtained using a new preclinical model system of unknown and unconfirmed value, and/or (iii) involves a proposed vector, gene construct, or method of delivery associated with possible toxicities that are not widely known and that may render it difficult for oversight bodies to</w:t>
      </w:r>
    </w:p>
    <w:p>
      <w:pPr>
        <w:sectPr>
          <w:pgSz w:w="11900" w:h="16838" w:orient="portrait"/>
          <w:cols w:equalWidth="0" w:num="1">
            <w:col w:w="11400"/>
          </w:cols>
          <w:pgMar w:left="240" w:top="125" w:right="25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25" w:right="2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evaluate the protocol rigorously.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the IBC approves the protocol, and the IBC cannot approve the protocol until confirmation from the NIH that such registration is complete. In the event that RAC review is warranted, the protocol registration process cannot be completed until RAC review has taken place.</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FDA decides whether individual gene therapy protocols may proceed, the RAC public review process, if undertaken, can delay the initiation of a clinical trial. Conversely, the FDA can delay or prevent the initiation of a clinical study even if the RAC has provided a favorable review the study is not subject to in-depth, public RAC review. In addition, clinical trials involving a gene therapy product candidate must be authorized by an applicable IRB and an IBC, which provides oversight of recombinant DNA research.</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2012, the European Medicines Agency approved a gene therapy product called Glybera, which is the first gene therapy product approved by regulatory authorities anywhere in the Western world. GlaxoSmithKline plc’s Strimvelis and uniQure N.V.’s Glybera, are the only two gene therapy products for a genetic disease that have received marketing authorization from the European Commission. In October 2017 UniQure let its marketing authorization for Glybera in Europe expire after deciding not to pursue a renewal for commercial reasons. We cannot predict how long it will take or how much it will cost to obtain regulatory approvals for a gene therapy product candidate in either the United States or the European Union or how long it will take to commercialize a gene therapy product candidate. Regulatory requirements governing gene therapy products have changed frequently and may continue to change in the future. Adverse developments in clinical trials of gene therapy products conducted by others may cause the FDA or other oversight bodies to modify the requirements for testing or approval of any of our product candidates. Similarly, the EMA may issue new guidelines concerning the development and marketing authorization for gene therapy medicinal products and require that we comply with these new guidelines.</w:t>
      </w:r>
    </w:p>
    <w:p>
      <w:pPr>
        <w:spacing w:after="0" w:line="18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70"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principally focused on SEL</w:t>
      </w:r>
      <w:r>
        <w:rPr>
          <w:rFonts w:ascii="MS PGothic" w:cs="MS PGothic" w:eastAsia="MS PGothic" w:hAnsi="MS PGothic"/>
          <w:sz w:val="16"/>
          <w:szCs w:val="16"/>
          <w:color w:val="auto"/>
        </w:rPr>
        <w:t>‑</w:t>
      </w:r>
      <w:r>
        <w:rPr>
          <w:rFonts w:ascii="Arial" w:cs="Arial" w:eastAsia="Arial" w:hAnsi="Arial"/>
          <w:sz w:val="16"/>
          <w:szCs w:val="16"/>
          <w:color w:val="auto"/>
        </w:rPr>
        <w:t>212. As a result, we may forego or delay our pursuit of opportunities with other product candidates or for other indications that later prove to have greater commercial potential. Our resource</w:t>
      </w:r>
      <w:r>
        <w:rPr>
          <w:rFonts w:ascii="MS PGothic" w:cs="MS PGothic" w:eastAsia="MS PGothic" w:hAnsi="MS PGothic"/>
          <w:sz w:val="16"/>
          <w:szCs w:val="16"/>
          <w:color w:val="auto"/>
        </w:rPr>
        <w:t>‑</w:t>
      </w:r>
      <w:r>
        <w:rPr>
          <w:rFonts w:ascii="Arial" w:cs="Arial" w:eastAsia="Arial" w:hAnsi="Arial"/>
          <w:sz w:val="16"/>
          <w:szCs w:val="16"/>
          <w:color w:val="auto"/>
        </w:rPr>
        <w:t>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2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lead product candidate, SEL-212, is currently being evaluated in a Phase 2 clinical program that we initiated in October 2016 and that we expect to hold our end-of-phase 2 meeting with the FDA in the first half of 2018. In May 2017, we announced we in-licensed LMB-100, a next-generation immunotoxin that is currently in a Phase 1 clinical program at the Center for Cancer Research at the NCI, for pancreatic cancer, mesothelioma and other cancers. For this product candidate, known as SEL-403, we plan to co-administer LMB-100 with SVP-Rapamycin. In May 2017, we commenced dosing for a Phase 1 clinical trial for SELA-070, a nicotine vaccine candidate in development for smoking cessation and relapse prevention, to assess its safety, tolerability and pharmacodynamic profile. Aside from these programs, our other product candidates are in preclinical development. It is impossible to predict when or if any of our product candidates will prove effective and safe in</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CROs, or clinical trial sites;</w:t>
      </w:r>
    </w:p>
    <w:p>
      <w:pPr>
        <w:spacing w:after="0" w:line="225"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48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80" w:hanging="332"/>
        <w:spacing w:after="0" w:line="27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172" w:lineRule="exact"/>
        <w:rPr>
          <w:rFonts w:ascii="Arial" w:cs="Arial" w:eastAsia="Arial" w:hAnsi="Arial"/>
          <w:sz w:val="17"/>
          <w:szCs w:val="17"/>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25" w:right="2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2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87" w:lineRule="exact"/>
        <w:rPr>
          <w:sz w:val="20"/>
          <w:szCs w:val="20"/>
          <w:color w:val="auto"/>
        </w:rPr>
      </w:pPr>
    </w:p>
    <w:p>
      <w:pPr>
        <w:ind w:right="100"/>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which affects approximately 50,000 patients in the United States. Accordingly, there is a limited number of patients who could enroll in our clinical studies.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ectPr>
          <w:pgSz w:w="11900" w:h="16838" w:orient="portrait"/>
          <w:cols w:equalWidth="0" w:num="1">
            <w:col w:w="11420"/>
          </w:cols>
          <w:pgMar w:left="240" w:top="125" w:right="239" w:bottom="784"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784"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83"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7"/>
          <w:szCs w:val="17"/>
          <w:color w:val="auto"/>
        </w:rPr>
        <w:t>‑</w:t>
      </w:r>
      <w:r>
        <w:rPr>
          <w:rFonts w:ascii="Arial" w:cs="Arial" w:eastAsia="Arial" w:hAnsi="Arial"/>
          <w:sz w:val="17"/>
          <w:szCs w:val="17"/>
          <w:color w:val="auto"/>
        </w:rPr>
        <w:t>approval commitments that render the approved product not commercially viable.</w:t>
      </w:r>
    </w:p>
    <w:p>
      <w:pPr>
        <w:spacing w:after="0" w:line="204"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Although the FDA and other regulatory authorities have approved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in the past, they are monitoring whether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pose any specific health and human safety risks. While they have not issued any regulations to date, it is possible that the FDA and other regulatory authorities could issue regulations in the future regarding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that could adversely affect our product candidates.</w:t>
      </w:r>
    </w:p>
    <w:p>
      <w:pPr>
        <w:spacing w:after="0" w:line="2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3" w:lineRule="exact"/>
        <w:rPr>
          <w:sz w:val="20"/>
          <w:szCs w:val="20"/>
          <w:color w:val="auto"/>
        </w:rPr>
      </w:pPr>
    </w:p>
    <w:p>
      <w:pPr>
        <w:ind w:right="120"/>
        <w:spacing w:after="0" w:line="220" w:lineRule="exact"/>
        <w:rPr>
          <w:sz w:val="20"/>
          <w:szCs w:val="20"/>
          <w:color w:val="auto"/>
        </w:rPr>
      </w:pPr>
      <w:r>
        <w:rPr>
          <w:rFonts w:ascii="Arial" w:cs="Arial" w:eastAsia="Arial" w:hAnsi="Arial"/>
          <w:sz w:val="16"/>
          <w:szCs w:val="16"/>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6"/>
          <w:szCs w:val="16"/>
          <w:color w:val="auto"/>
        </w:rPr>
        <w:t>‑</w:t>
      </w:r>
      <w:r>
        <w:rPr>
          <w:rFonts w:ascii="Arial" w:cs="Arial" w:eastAsia="Arial" w:hAnsi="Arial"/>
          <w:sz w:val="16"/>
          <w:szCs w:val="16"/>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w:t>
      </w:r>
    </w:p>
    <w:p>
      <w:pPr>
        <w:sectPr>
          <w:pgSz w:w="11900" w:h="16838" w:orient="portrait"/>
          <w:cols w:equalWidth="0" w:num="1">
            <w:col w:w="11400"/>
          </w:cols>
          <w:pgMar w:left="240" w:top="125" w:right="25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125" w:right="2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(pegloticase) previously obtained orphan drug status for chronic refractory gout, although the exclusivity period has lapsed. However, Krystexxa could in the future obtain orphan drug status for chronic tophaceous gout, an indication we plan to pursue.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24"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7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26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on 3SBio in China as our primary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87"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color w:val="auto"/>
        </w:rPr>
        <w:t>We obtain the biologic pegsiticase,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 primarily from 3SBio in China. Under our license agreement with 3SBio, we have limited rights to manufacture pegsiticase and, while we have entered into a contract with a back-up supplier located outside of China, we expect to continue to rely on 3SBio as the primary supplier of pegsiticase for the foreseeable future. .</w:t>
      </w:r>
    </w:p>
    <w:p>
      <w:pPr>
        <w:spacing w:after="0" w:line="202" w:lineRule="exact"/>
        <w:rPr>
          <w:sz w:val="20"/>
          <w:szCs w:val="20"/>
          <w:color w:val="auto"/>
        </w:rPr>
      </w:pPr>
    </w:p>
    <w:p>
      <w:pPr>
        <w:ind w:right="80"/>
        <w:spacing w:after="0" w:line="217" w:lineRule="exact"/>
        <w:rPr>
          <w:sz w:val="20"/>
          <w:szCs w:val="20"/>
          <w:color w:val="auto"/>
        </w:rPr>
      </w:pPr>
      <w:r>
        <w:rPr>
          <w:rFonts w:ascii="Arial" w:cs="Arial" w:eastAsia="Arial" w:hAnsi="Arial"/>
          <w:sz w:val="16"/>
          <w:szCs w:val="16"/>
          <w:color w:val="auto"/>
        </w:rPr>
        <w:t>Any disruption in production or inability of 3SBio in China to produce adequate quantities of pegsiticase to meet our needs, whether as a result of a natural disaster or other causes, could impair our ability to operate our business on a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w:t>
      </w:r>
      <w:r>
        <w:rPr>
          <w:rFonts w:ascii="MS PGothic" w:cs="MS PGothic" w:eastAsia="MS PGothic" w:hAnsi="MS PGothic"/>
          <w:sz w:val="16"/>
          <w:szCs w:val="16"/>
          <w:color w:val="auto"/>
        </w:rPr>
        <w:t>‑</w:t>
      </w:r>
      <w:r>
        <w:rPr>
          <w:rFonts w:ascii="Arial" w:cs="Arial" w:eastAsia="Arial" w:hAnsi="Arial"/>
          <w:sz w:val="16"/>
          <w:szCs w:val="16"/>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71" w:lineRule="exact"/>
        <w:rPr>
          <w:sz w:val="20"/>
          <w:szCs w:val="20"/>
          <w:color w:val="auto"/>
        </w:rPr>
      </w:pPr>
    </w:p>
    <w:p>
      <w:pPr>
        <w:ind w:right="14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460" w:hanging="332"/>
        <w:spacing w:after="0" w:line="223"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3" w:lineRule="exact"/>
        <w:rPr>
          <w:rFonts w:ascii="Arial" w:cs="Arial" w:eastAsia="Arial" w:hAnsi="Arial"/>
          <w:sz w:val="18"/>
          <w:szCs w:val="18"/>
          <w:color w:val="auto"/>
        </w:rPr>
      </w:pPr>
    </w:p>
    <w:p>
      <w:pPr>
        <w:ind w:left="340" w:right="680" w:hanging="332"/>
        <w:spacing w:after="0" w:line="223"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jc w:val="both"/>
        <w:ind w:left="340" w:right="80" w:hanging="332"/>
        <w:spacing w:after="0" w:line="221"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ectPr>
          <w:pgSz w:w="11900" w:h="16838" w:orient="portrait"/>
          <w:cols w:equalWidth="0" w:num="1">
            <w:col w:w="11400"/>
          </w:cols>
          <w:pgMar w:left="240" w:top="125" w:right="25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25" w:right="2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line="207"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ind w:right="100"/>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CMOs are is unable to comply with cGMP regulations or if the FDA does not approve their facilities upon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60" w:hanging="332"/>
        <w:spacing w:after="0" w:line="221" w:lineRule="exact"/>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1"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68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would potentially lose the right to pursue further development or commercialization of the applicable product candidates;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 and</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currently have, and in the future may have, a limited number of collaborations and the loss of, or a disruption in our relationship with, any one or more of such collaborators may could harm our business.</w:t>
      </w:r>
    </w:p>
    <w:p>
      <w:pPr>
        <w:spacing w:after="0" w:line="17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For example, in November 2016, we received written notice from Sanofi that Sanofi had elected to terminate in its entirety the Sanofi Agreement, which was effective on May 8, 2017, and as a result we will not receive any future payments related in the Sanofi Agreement.</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in June 2017 we notified Spark Therapeutics, Inc., or Spark, that our license agreement with Spark would automatically terminate because Spark had not made a required milestone payment by May 31, 2017, unless the payment was made within five days. While we subsequently entered into a letter agreement with Spark, pursuant to which the parties agreed that Spark would make the milestone payment by June 6, 2017 and we revoked our notice of termination, there can be no assurance that our license agreement with Spark will not be terminated in the future.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Quarterly Report also apply to the activities of our therapeutic program collaborators and there can be no assurance that our collaborations will produce positive results or successful products on a timely basis or at all.</w:t>
      </w:r>
    </w:p>
    <w:p>
      <w:pPr>
        <w:spacing w:after="0" w:line="1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540"/>
        <w:spacing w:after="0" w:line="223"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clinical trial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0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60"/>
        <w:spacing w:after="0" w:line="224" w:lineRule="exact"/>
        <w:rPr>
          <w:sz w:val="20"/>
          <w:szCs w:val="20"/>
          <w:color w:val="auto"/>
        </w:rPr>
      </w:pPr>
      <w:r>
        <w:rPr>
          <w:rFonts w:ascii="Arial" w:cs="Arial" w:eastAsia="Arial" w:hAnsi="Arial"/>
          <w:sz w:val="17"/>
          <w:szCs w:val="17"/>
          <w:color w:val="auto"/>
        </w:rPr>
        <w:t>clinical trials. We also are required to register ongoing clinical trials and post the results of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 xml:space="preserve">sponsored database, </w:t>
      </w:r>
      <w:r>
        <w:rPr>
          <w:rFonts w:ascii="Arial" w:cs="Arial" w:eastAsia="Arial" w:hAnsi="Arial"/>
          <w:sz w:val="17"/>
          <w:szCs w:val="17"/>
          <w:i w:val="1"/>
          <w:iCs w:val="1"/>
          <w:color w:val="auto"/>
        </w:rPr>
        <w:t>ClinicalTrials.gov</w:t>
      </w:r>
      <w:r>
        <w:rPr>
          <w:rFonts w:ascii="Arial" w:cs="Arial" w:eastAsia="Arial" w:hAnsi="Arial"/>
          <w:sz w:val="17"/>
          <w:szCs w:val="17"/>
          <w:color w:val="auto"/>
        </w:rPr>
        <w:t>, within specified timeframes. Failure to do so can result in fines, adverse publicity and civil and criminal sanctions.</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1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Arial" w:cs="Arial" w:eastAsia="Arial" w:hAnsi="Arial"/>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193"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w:t>
      </w:r>
      <w:r>
        <w:rPr>
          <w:rFonts w:ascii="MS PGothic" w:cs="MS PGothic" w:eastAsia="MS PGothic" w:hAnsi="MS PGothic"/>
          <w:sz w:val="18"/>
          <w:szCs w:val="18"/>
          <w:color w:val="auto"/>
        </w:rPr>
        <w:t>‑</w:t>
      </w:r>
      <w:r>
        <w:rPr>
          <w:rFonts w:ascii="Arial" w:cs="Arial" w:eastAsia="Arial" w:hAnsi="Arial"/>
          <w:sz w:val="18"/>
          <w:szCs w:val="18"/>
          <w:color w:val="auto"/>
        </w:rPr>
        <w:t>party payors and governmental agencies for our product candidates.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ectPr>
          <w:pgSz w:w="11900" w:h="16838" w:orient="portrait"/>
          <w:cols w:equalWidth="0" w:num="1">
            <w:col w:w="11380"/>
          </w:cols>
          <w:pgMar w:left="240" w:top="125" w:right="279" w:bottom="1440" w:gutter="0" w:footer="0" w:header="0"/>
        </w:sect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80"/>
          </w:cols>
          <w:pgMar w:left="240" w:top="125" w:right="2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if approved, may fail to offer material commercial advantages over other treatments.</w:t>
      </w:r>
    </w:p>
    <w:p>
      <w:pPr>
        <w:spacing w:after="0" w:line="225"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w:t>
      </w:r>
      <w:r>
        <w:rPr>
          <w:rFonts w:ascii="MS PGothic" w:cs="MS PGothic" w:eastAsia="MS PGothic" w:hAnsi="MS PGothic"/>
          <w:sz w:val="16"/>
          <w:szCs w:val="16"/>
          <w:color w:val="auto"/>
        </w:rPr>
        <w:t>‑</w:t>
      </w:r>
      <w:r>
        <w:rPr>
          <w:rFonts w:ascii="Arial" w:cs="Arial" w:eastAsia="Arial" w:hAnsi="Arial"/>
          <w:sz w:val="16"/>
          <w:szCs w:val="16"/>
          <w:color w:val="auto"/>
        </w:rPr>
        <w:t>212 for the treatment of chronic severe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78"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14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203"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harm our business.</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Obtaining and maintaining adequate reimbursement for our products may be difficult. The process for determining whether a third</w:t>
      </w:r>
      <w:r>
        <w:rPr>
          <w:rFonts w:ascii="MS PGothic" w:cs="MS PGothic" w:eastAsia="MS PGothic" w:hAnsi="MS PGothic"/>
          <w:sz w:val="16"/>
          <w:szCs w:val="16"/>
          <w:color w:val="auto"/>
        </w:rPr>
        <w:t>‑</w:t>
      </w:r>
      <w:r>
        <w:rPr>
          <w:rFonts w:ascii="Arial" w:cs="Arial" w:eastAsia="Arial" w:hAnsi="Arial"/>
          <w:sz w:val="16"/>
          <w:szCs w:val="16"/>
          <w:color w:val="auto"/>
        </w:rPr>
        <w:t>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w:t>
      </w:r>
      <w:r>
        <w:rPr>
          <w:rFonts w:ascii="MS PGothic" w:cs="MS PGothic" w:eastAsia="MS PGothic" w:hAnsi="MS PGothic"/>
          <w:sz w:val="16"/>
          <w:szCs w:val="16"/>
          <w:color w:val="auto"/>
        </w:rPr>
        <w:t>‑</w:t>
      </w:r>
      <w:r>
        <w:rPr>
          <w:rFonts w:ascii="Arial" w:cs="Arial" w:eastAsia="Arial" w:hAnsi="Arial"/>
          <w:sz w:val="16"/>
          <w:szCs w:val="16"/>
          <w:color w:val="auto"/>
        </w:rPr>
        <w:t>party payors. Even if we do obtain adequate levels of reimbursement,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pharmaceutical companies provide them with predetermined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8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any approved product candidates, which could adversely affect our business, financial condition, results of operations and prospects.</w:t>
      </w:r>
    </w:p>
    <w:p>
      <w:pPr>
        <w:sectPr>
          <w:pgSz w:w="11900" w:h="16838" w:orient="portrait"/>
          <w:cols w:equalWidth="0" w:num="1">
            <w:col w:w="11360"/>
          </w:cols>
          <w:pgMar w:left="240" w:top="125" w:right="299" w:bottom="1440" w:gutter="0" w:footer="0" w:header="0"/>
        </w:sect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40" w:top="125" w:right="2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73"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b w:val="1"/>
          <w:bCs w:val="1"/>
          <w:i w:val="1"/>
          <w:iCs w:val="1"/>
          <w:color w:val="auto"/>
        </w:rPr>
        <w:t>Although we are not currently marketing our product candidates, including to healthcare providers, if and when we do, our relationships with healthcare providers, customers and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may be subject to applicable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4"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Healthcare providers, customers and third</w:t>
      </w:r>
      <w:r>
        <w:rPr>
          <w:rFonts w:ascii="MS PGothic" w:cs="MS PGothic" w:eastAsia="MS PGothic" w:hAnsi="MS PGothic"/>
          <w:sz w:val="18"/>
          <w:szCs w:val="18"/>
          <w:color w:val="auto"/>
        </w:rPr>
        <w:t>‑</w:t>
      </w:r>
      <w:r>
        <w:rPr>
          <w:rFonts w:ascii="Arial" w:cs="Arial" w:eastAsia="Arial" w:hAnsi="Arial"/>
          <w:sz w:val="18"/>
          <w:szCs w:val="18"/>
          <w:color w:val="auto"/>
        </w:rPr>
        <w:t>party payors will play a primary role in the recommendation and prescription of any product candidates for which we may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206" w:lineRule="exact"/>
        <w:rPr>
          <w:sz w:val="20"/>
          <w:szCs w:val="20"/>
          <w:color w:val="auto"/>
        </w:rPr>
      </w:pPr>
    </w:p>
    <w:p>
      <w:pPr>
        <w:ind w:left="340" w:right="140" w:hanging="332"/>
        <w:spacing w:after="0" w:line="219" w:lineRule="exact"/>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w:t>
      </w:r>
    </w:p>
    <w:p>
      <w:pPr>
        <w:spacing w:after="0" w:line="202" w:lineRule="exact"/>
        <w:rPr>
          <w:rFonts w:ascii="Arial" w:cs="Arial" w:eastAsia="Arial" w:hAnsi="Arial"/>
          <w:sz w:val="17"/>
          <w:szCs w:val="17"/>
          <w:color w:val="auto"/>
        </w:rPr>
      </w:pPr>
    </w:p>
    <w:p>
      <w:pPr>
        <w:ind w:left="340" w:right="160" w:hanging="332"/>
        <w:spacing w:after="0" w:line="31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46" w:lineRule="exact"/>
        <w:rPr>
          <w:rFonts w:ascii="Arial" w:cs="Arial" w:eastAsia="Arial" w:hAnsi="Arial"/>
          <w:sz w:val="16"/>
          <w:szCs w:val="16"/>
          <w:color w:val="auto"/>
        </w:rPr>
      </w:pPr>
    </w:p>
    <w:p>
      <w:pPr>
        <w:ind w:left="340" w:right="100" w:hanging="332"/>
        <w:spacing w:after="0" w:line="220"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to have committed a violation;</w:t>
      </w:r>
    </w:p>
    <w:p>
      <w:pPr>
        <w:spacing w:after="0" w:line="204" w:lineRule="exact"/>
        <w:rPr>
          <w:rFonts w:ascii="Arial" w:cs="Arial" w:eastAsia="Arial" w:hAnsi="Arial"/>
          <w:sz w:val="18"/>
          <w:szCs w:val="18"/>
          <w:color w:val="auto"/>
        </w:rPr>
      </w:pPr>
    </w:p>
    <w:p>
      <w:pPr>
        <w:jc w:val="both"/>
        <w:ind w:left="340" w:right="4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right="20" w:hanging="332"/>
        <w:spacing w:after="0" w:line="297"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60" w:hanging="332"/>
        <w:spacing w:after="0" w:line="218"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sales or marketing arrangements and claims involving healthcare items or services reimbursed by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pricing information; and state and foreign laws governing the privacy and security of health information in some circumstances, many of which differ from each other in significant ways and often are not preempted by HIPAA, thus complicating compliance efforts.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1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100"/>
        <w:spacing w:after="0" w:line="221"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in the United States, in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right="100" w:hanging="332"/>
        <w:spacing w:after="0" w:line="221"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sale discounts off negotiated prices of applicable brand drugs to eligible beneficiaries under their coverage gap period, as a condition for the manufacturer’s outpatient drugs to be covered under Medicare Part D;</w:t>
      </w:r>
    </w:p>
    <w:p>
      <w:pPr>
        <w:spacing w:after="0" w:line="201"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hanging="332"/>
        <w:spacing w:after="0" w:line="223"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a result, there have been delays in the implementation of, and action taken to repeal or replace, certain aspects of the ACA. We expect that the</w:t>
      </w:r>
    </w:p>
    <w:p>
      <w:pPr>
        <w:sectPr>
          <w:pgSz w:w="11900" w:h="16838" w:orient="portrait"/>
          <w:cols w:equalWidth="0" w:num="1">
            <w:col w:w="11380"/>
          </w:cols>
          <w:pgMar w:left="240" w:top="125"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80"/>
          </w:cols>
          <w:pgMar w:left="240" w:top="125" w:right="27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new presidential administration and U.S. Congress will continue to seek to modify, repeal, or otherwise invalidate all, or certain provisions of, the ACA. There is uncertainty with respect to the impact the current presidential administration and the U.S. Congress may have, if any, and any changes, which could have an impact on coverage and reimbursement for healthcare items and services covered by plans that were authorized by the ACA, will likely take time to unfold. We cannot predict the ultimate content, timing or effect of any healthcare reform legislation or the impact of potential legislation on us.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included aggregate reductions to Medicare payments to providers of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become increasingly aggressive in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80"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Legislative and regulatory proposals have been made to expand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other requirements.</w:t>
      </w:r>
    </w:p>
    <w:p>
      <w:pPr>
        <w:spacing w:after="0" w:line="206" w:lineRule="exact"/>
        <w:rPr>
          <w:sz w:val="20"/>
          <w:szCs w:val="20"/>
          <w:color w:val="auto"/>
        </w:rPr>
      </w:pPr>
    </w:p>
    <w:p>
      <w:pPr>
        <w:ind w:right="60"/>
        <w:spacing w:after="0" w:line="221" w:lineRule="exact"/>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risk mitigation tools. If any of our product candidates receives marketing approval, the accompanying label may limit the approved use of our product, which could limit sales of the product.</w:t>
      </w:r>
    </w:p>
    <w:p>
      <w:pPr>
        <w:spacing w:after="0" w:line="170"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8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ectPr>
          <w:pgSz w:w="11900" w:h="16838" w:orient="portrait"/>
          <w:cols w:equalWidth="0" w:num="1">
            <w:col w:w="11360"/>
          </w:cols>
          <w:pgMar w:left="240" w:top="125" w:right="299" w:bottom="784" w:gutter="0" w:footer="0" w:header="0"/>
        </w:sect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60"/>
          </w:cols>
          <w:pgMar w:left="240" w:top="125" w:right="299" w:bottom="784"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ind w:right="160"/>
        <w:spacing w:after="0" w:line="221" w:lineRule="exact"/>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right="120"/>
        <w:spacing w:after="0" w:line="217" w:lineRule="exact"/>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w:t>
      </w:r>
    </w:p>
    <w:p>
      <w:pPr>
        <w:spacing w:after="0" w:line="2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3"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currently own ten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Arial" w:cs="Arial" w:eastAsia="Arial" w:hAnsi="Arial"/>
          <w:sz w:val="18"/>
          <w:szCs w:val="18"/>
          <w:color w:val="auto"/>
        </w:rPr>
        <w:t>party product. These and other factors may provide opportunities for our competitors to design around our patents, should they issue.</w:t>
      </w:r>
    </w:p>
    <w:p>
      <w:pPr>
        <w:spacing w:after="0" w:line="20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addition, given the early stage of prosecution of our portfolio, it may be some time before we understand how patent offices react to our patent claims and whether they identify prior art of relevance that we have not already considered.</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some foreign countries do not protect proprietary rights to the same extent or in the same manner as the laws of the United States As a result, we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encounter significant problems in protecting and defending our intellectual property globally. If we are unable to prevent unauthorized disclosure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related to our product candidates and technology to third parties, we may not be able to establish or maintain a competitive advantage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market, which could adversely affect our business and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prevent all potential threats to competitive advantages we may have.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are illustrative:</w:t>
      </w:r>
    </w:p>
    <w:p>
      <w:pPr>
        <w:spacing w:after="0" w:line="225" w:lineRule="exact"/>
        <w:rPr>
          <w:sz w:val="20"/>
          <w:szCs w:val="20"/>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of our licensors or collaborators might not have been the first to make the inventions covered by the patents or pending patent applications that we own or have exclusively licensed;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of our licensors or collaborators might not have been the first to file patent applications covering certain of our inventions;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25"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granted patents that we own or have licensed may not cover our products or may be held not infringed, invalid or unenforceable, as a result of legal challenges by our competitors;</w:t>
      </w:r>
    </w:p>
    <w:p>
      <w:pPr>
        <w:spacing w:after="0" w:line="170" w:lineRule="exact"/>
        <w:rPr>
          <w:rFonts w:ascii="Arial" w:cs="Arial" w:eastAsia="Arial" w:hAnsi="Arial"/>
          <w:sz w:val="18"/>
          <w:szCs w:val="18"/>
          <w:color w:val="auto"/>
        </w:rPr>
      </w:pPr>
    </w:p>
    <w:p>
      <w:pPr>
        <w:ind w:left="340" w:right="220" w:hanging="332"/>
        <w:spacing w:after="0" w:line="223" w:lineRule="exact"/>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granted patents that we own or have licensed, especially patents that we either acquire or in</w:t>
      </w:r>
      <w:r>
        <w:rPr>
          <w:rFonts w:ascii="MS PGothic" w:cs="MS PGothic" w:eastAsia="MS PGothic" w:hAnsi="MS PGothic"/>
          <w:sz w:val="18"/>
          <w:szCs w:val="18"/>
          <w:color w:val="auto"/>
        </w:rPr>
        <w:t>‑</w:t>
      </w:r>
      <w:r>
        <w:rPr>
          <w:rFonts w:ascii="Arial" w:cs="Arial" w:eastAsia="Arial" w:hAnsi="Arial"/>
          <w:sz w:val="18"/>
          <w:szCs w:val="18"/>
          <w:color w:val="auto"/>
        </w:rPr>
        <w:t>license, if certain information was withheld from or misrepresented to the patent examiner, such patents might be held to be unenforceable;</w:t>
      </w:r>
    </w:p>
    <w:p>
      <w:pPr>
        <w:spacing w:after="0" w:line="20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 candidates;</w:t>
      </w:r>
    </w:p>
    <w:p>
      <w:pPr>
        <w:spacing w:after="0" w:line="170" w:lineRule="exact"/>
        <w:rPr>
          <w:rFonts w:ascii="Arial" w:cs="Arial" w:eastAsia="Arial" w:hAnsi="Arial"/>
          <w:sz w:val="18"/>
          <w:szCs w:val="18"/>
          <w:color w:val="auto"/>
        </w:rPr>
      </w:pPr>
    </w:p>
    <w:p>
      <w:pPr>
        <w:ind w:left="340" w:right="40" w:hanging="332"/>
        <w:spacing w:after="0" w:line="286"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340" w:right="540" w:hanging="332"/>
        <w:spacing w:after="0" w:line="223" w:lineRule="exact"/>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technologies,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identify relevant patents or may incorrectly interpret the relevance, scope or expiration of a patent, which might adversely affect our ability to develop and market our product candidates.</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47" w:lineRule="exact"/>
        <w:rPr>
          <w:sz w:val="20"/>
          <w:szCs w:val="20"/>
          <w:color w:val="auto"/>
        </w:rPr>
      </w:pPr>
    </w:p>
    <w:p>
      <w:pPr>
        <w:ind w:right="460"/>
        <w:spacing w:after="0" w:line="221" w:lineRule="exact"/>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w:t>
      </w:r>
      <w:r>
        <w:rPr>
          <w:rFonts w:ascii="MS PGothic" w:cs="MS PGothic" w:eastAsia="MS PGothic" w:hAnsi="MS PGothic"/>
          <w:sz w:val="17"/>
          <w:szCs w:val="17"/>
          <w:color w:val="auto"/>
        </w:rPr>
        <w:t>‑</w:t>
      </w:r>
      <w:r>
        <w:rPr>
          <w:rFonts w:ascii="Arial" w:cs="Arial" w:eastAsia="Arial" w:hAnsi="Arial"/>
          <w:sz w:val="17"/>
          <w:szCs w:val="17"/>
          <w:color w:val="auto"/>
        </w:rPr>
        <w:t>party patent.</w:t>
      </w:r>
    </w:p>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identify and correctly interpret relevant patents may negatively impact our ability to develop and market our product candidates.</w:t>
      </w:r>
    </w:p>
    <w:p>
      <w:pPr>
        <w:spacing w:after="0" w:line="225"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technology or information to compete with us. If any of our trade secrets were to be disclosed to, or independently developed by, a competitor, our competitive position would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Arial" w:cs="Arial" w:eastAsia="Arial" w:hAnsi="Arial"/>
          <w:sz w:val="17"/>
          <w:szCs w:val="17"/>
          <w:color w:val="auto"/>
        </w:rPr>
        <w:t>Smith Act. This introduces additional complexities into the prosecution and management of our portfolio.</w:t>
      </w:r>
    </w:p>
    <w:p>
      <w:pPr>
        <w:spacing w:after="0" w:line="20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6"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66" w:lineRule="exact"/>
        <w:rPr>
          <w:sz w:val="20"/>
          <w:szCs w:val="20"/>
          <w:color w:val="auto"/>
        </w:rPr>
      </w:pPr>
    </w:p>
    <w:p>
      <w:pPr>
        <w:ind w:right="500"/>
        <w:spacing w:after="0" w:line="223" w:lineRule="exact"/>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consuming and ultimately unsuccessful.</w:t>
      </w:r>
    </w:p>
    <w:p>
      <w:pPr>
        <w:spacing w:after="0" w:line="203"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Competitors may infringe our issued patents or other intellectual property. To counter infringement or unauthorized use, we may be required to file infringement claims, which can be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203" w:lineRule="exact"/>
        <w:rPr>
          <w:sz w:val="20"/>
          <w:szCs w:val="20"/>
          <w:color w:val="auto"/>
        </w:rPr>
      </w:pPr>
    </w:p>
    <w:p>
      <w:pPr>
        <w:ind w:right="40"/>
        <w:spacing w:after="0" w:line="220" w:lineRule="exact"/>
        <w:rPr>
          <w:sz w:val="20"/>
          <w:szCs w:val="20"/>
          <w:color w:val="auto"/>
        </w:rPr>
      </w:pPr>
      <w:r>
        <w:rPr>
          <w:rFonts w:ascii="Arial" w:cs="Arial" w:eastAsia="Arial" w:hAnsi="Arial"/>
          <w:sz w:val="16"/>
          <w:szCs w:val="16"/>
          <w:color w:val="auto"/>
        </w:rPr>
        <w:t>Any litigation to enforce or defend our patent rights, even if we were to prevail, could be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6" w:lineRule="exact"/>
        <w:rPr>
          <w:sz w:val="20"/>
          <w:szCs w:val="20"/>
          <w:color w:val="auto"/>
        </w:rPr>
      </w:pPr>
    </w:p>
    <w:p>
      <w:pPr>
        <w:ind w:right="80"/>
        <w:spacing w:after="0" w:line="217"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8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w:t>
      </w:r>
      <w:r>
        <w:rPr>
          <w:rFonts w:ascii="MS PGothic" w:cs="MS PGothic" w:eastAsia="MS PGothic" w:hAnsi="MS PGothic"/>
          <w:sz w:val="18"/>
          <w:szCs w:val="18"/>
          <w:color w:val="auto"/>
        </w:rPr>
        <w:t>‑</w:t>
      </w:r>
      <w:r>
        <w:rPr>
          <w:rFonts w:ascii="Arial" w:cs="Arial" w:eastAsia="Arial" w:hAnsi="Arial"/>
          <w:sz w:val="18"/>
          <w:szCs w:val="18"/>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340" w:right="320" w:hanging="332"/>
        <w:spacing w:after="0" w:line="223" w:lineRule="exact"/>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w:t>
      </w:r>
      <w:r>
        <w:rPr>
          <w:rFonts w:ascii="MS PGothic" w:cs="MS PGothic" w:eastAsia="MS PGothic" w:hAnsi="MS PGothic"/>
          <w:sz w:val="18"/>
          <w:szCs w:val="18"/>
          <w:color w:val="auto"/>
        </w:rPr>
        <w:t>‑</w:t>
      </w:r>
      <w:r>
        <w:rPr>
          <w:rFonts w:ascii="Arial" w:cs="Arial" w:eastAsia="Arial" w:hAnsi="Arial"/>
          <w:sz w:val="18"/>
          <w:szCs w:val="18"/>
          <w:color w:val="auto"/>
        </w:rPr>
        <w:t>consuming.</w:t>
      </w:r>
    </w:p>
    <w:p>
      <w:pPr>
        <w:spacing w:after="0" w:line="20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24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6"/>
          <w:szCs w:val="16"/>
          <w:color w:val="auto"/>
        </w:rPr>
        <w:t>‑</w:t>
      </w:r>
      <w:r>
        <w:rPr>
          <w:rFonts w:ascii="Arial" w:cs="Arial" w:eastAsia="Arial" w:hAnsi="Arial"/>
          <w:sz w:val="16"/>
          <w:szCs w:val="16"/>
          <w:color w:val="auto"/>
        </w:rPr>
        <w:t>party infringement or unauthorized use. This can be expensive, particularly for a company of our size, and 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3"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2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us, such academic advisor may not have the right to assign such inventions to us, as it may conflict with his or her obligations to assign all such intellectual property to his or her employing institution.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compositions, methods of use, processes or other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204" w:lineRule="exact"/>
        <w:rPr>
          <w:sz w:val="20"/>
          <w:szCs w:val="20"/>
          <w:color w:val="auto"/>
        </w:rPr>
      </w:pPr>
    </w:p>
    <w:p>
      <w:pPr>
        <w:ind w:right="18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8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names, and any failure or delay associated with such approval may adversely affect our business.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obtain issued patents in particular jurisdictions, our patent claims or other intellectual property rights may not be effective or sufficient to prevent third parties from so competing.</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which is an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process with uncertain outcomes. Accordingly, we may choose not to seek patent protection in certain countries, and we will not have the benefit of patent protection in such countries.</w:t>
      </w:r>
    </w:p>
    <w:p>
      <w:pPr>
        <w:spacing w:after="0" w:line="20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47"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competition from biosimilars, which may have a material adverse effect on the future commercial prospects of our product candidates</w:t>
      </w:r>
      <w:r>
        <w:rPr>
          <w:rFonts w:ascii="Arial" w:cs="Arial" w:eastAsia="Arial" w:hAnsi="Arial"/>
          <w:sz w:val="16"/>
          <w:szCs w:val="16"/>
          <w:b w:val="1"/>
          <w:bCs w:val="1"/>
          <w:color w:val="auto"/>
        </w:rPr>
        <w:t>.</w:t>
      </w:r>
    </w:p>
    <w:p>
      <w:pPr>
        <w:spacing w:after="0" w:line="252" w:lineRule="exact"/>
        <w:rPr>
          <w:sz w:val="20"/>
          <w:szCs w:val="20"/>
          <w:color w:val="auto"/>
        </w:rPr>
      </w:pPr>
    </w:p>
    <w:p>
      <w:pPr>
        <w:ind w:right="180"/>
        <w:spacing w:after="0" w:line="217" w:lineRule="exact"/>
        <w:rPr>
          <w:sz w:val="20"/>
          <w:szCs w:val="20"/>
          <w:color w:val="auto"/>
        </w:rPr>
      </w:pPr>
      <w:r>
        <w:rPr>
          <w:rFonts w:ascii="Arial" w:cs="Arial" w:eastAsia="Arial" w:hAnsi="Arial"/>
          <w:sz w:val="16"/>
          <w:szCs w:val="16"/>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w:t>
      </w:r>
      <w:r>
        <w:rPr>
          <w:rFonts w:ascii="MS PGothic" w:cs="MS PGothic" w:eastAsia="MS PGothic" w:hAnsi="MS PGothic"/>
          <w:sz w:val="16"/>
          <w:szCs w:val="16"/>
          <w:color w:val="auto"/>
        </w:rPr>
        <w:t>‑</w:t>
      </w:r>
      <w:r>
        <w:rPr>
          <w:rFonts w:ascii="Arial" w:cs="Arial" w:eastAsia="Arial" w:hAnsi="Arial"/>
          <w:sz w:val="16"/>
          <w:szCs w:val="16"/>
          <w:color w:val="auto"/>
        </w:rPr>
        <w:t>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It is possible that Congress may take measures to reduce or eliminate these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980"/>
        <w:spacing w:after="0" w:line="503" w:lineRule="auto"/>
        <w:rPr>
          <w:sz w:val="20"/>
          <w:szCs w:val="20"/>
          <w:color w:val="auto"/>
        </w:rPr>
      </w:pPr>
      <w:r>
        <w:rPr>
          <w:rFonts w:ascii="Arial" w:cs="Arial" w:eastAsia="Arial" w:hAnsi="Arial"/>
          <w:sz w:val="18"/>
          <w:szCs w:val="18"/>
          <w:b w:val="1"/>
          <w:bCs w:val="1"/>
          <w:color w:val="auto"/>
        </w:rPr>
        <w:t xml:space="preserve">RISKS RELATED TO EMPLOYEE MATTERS AND MANAGING GROWTH AND OTHER RISKS RELATED TO OUR BUSINESS </w:t>
      </w: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 Russia and internationally could adversely affect our business.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w:t>
      </w:r>
    </w:p>
    <w:p>
      <w:pPr>
        <w:spacing w:after="0" w:line="18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We may also rely on collaborators to commercialize any approved product candidates outside of the United States. Doing business in Russia and internationally involves a number of risks, including but not limited to:</w:t>
      </w:r>
    </w:p>
    <w:p>
      <w:pPr>
        <w:spacing w:after="0" w:line="170" w:lineRule="exact"/>
        <w:rPr>
          <w:sz w:val="20"/>
          <w:szCs w:val="20"/>
          <w:color w:val="auto"/>
        </w:rPr>
      </w:pPr>
    </w:p>
    <w:p>
      <w:pPr>
        <w:ind w:left="340" w:right="72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jc w:val="both"/>
        <w:ind w:left="340" w:right="12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1"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220" w:hanging="332"/>
        <w:spacing w:after="0" w:line="223" w:lineRule="exact"/>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Sanctions relating to Russia, and Russia’s response to those sanctions, could adversely affect our business.</w:t>
      </w:r>
    </w:p>
    <w:p>
      <w:pPr>
        <w:spacing w:after="0" w:line="225"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In response to the events in Crimea and other factors, the United States and the European Union have imposed sanctions on certain individuals, companies and financial institutions in Russia and additional sanctions could be forthcoming. In response, Russia has imposed entry bans on certain U.S. lawmakers and officials, and Russia has also announced that it is prepared to take additional retaliatory action in response to further Russia-related sanctions imposed by the United States in August 2017. If the United States and European Union were to impose additional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7"/>
          <w:szCs w:val="17"/>
          <w:color w:val="auto"/>
        </w:rPr>
        <w:t>‑</w:t>
      </w:r>
      <w:r>
        <w:rPr>
          <w:rFonts w:ascii="Arial" w:cs="Arial" w:eastAsia="Arial" w:hAnsi="Arial"/>
          <w:sz w:val="17"/>
          <w:szCs w:val="17"/>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 (4)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do so successfully is unproven. Any of these transactions could be material to our financial condition and operating results and expose us to many risks, including:</w:t>
      </w:r>
    </w:p>
    <w:p>
      <w:pPr>
        <w:spacing w:after="0" w:line="170"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2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ectPr>
          <w:pgSz w:w="11900" w:h="16838" w:orient="portrait"/>
          <w:cols w:equalWidth="0" w:num="1">
            <w:col w:w="11360"/>
          </w:cols>
          <w:pgMar w:left="240" w:top="125" w:right="299" w:bottom="568"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60"/>
          </w:cols>
          <w:pgMar w:left="240" w:top="125" w:right="299" w:bottom="568"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17% of our outstanding voting stock as of September 30, 2017.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Approximately 12.9 million shares of our common stock became eligible to be sold into the market on December 19, 2016, unless held by one of our affiliates, in which case the resale of those securities is subject to volume limitations under Rule 144 of the Securities Act of 1933, as amended, or Rule 144. Moreover, holders of an aggregate of approximately 12.3 million shares of our common stock as of the completion of the initial public offering of our common stock on June 27, 2016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In addition, on June 27, 2017, we issued and sold in a private placement 3,088,791 shares of our common stock and a warrant to purchase 79,130 shares of our common stock. Pursuant to a registration rights agreement entered into with the investors in the private placement, on July 13, 2017,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140"/>
        <w:spacing w:after="0" w:line="216" w:lineRule="exact"/>
        <w:rPr>
          <w:sz w:val="20"/>
          <w:szCs w:val="20"/>
          <w:color w:val="auto"/>
        </w:rPr>
      </w:pPr>
      <w:r>
        <w:rPr>
          <w:rFonts w:ascii="Arial" w:cs="Arial" w:eastAsia="Arial" w:hAnsi="Arial"/>
          <w:sz w:val="16"/>
          <w:szCs w:val="16"/>
          <w:color w:val="auto"/>
        </w:rPr>
        <w:t>$1.07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4" w:lineRule="exact"/>
        <w:rPr>
          <w:sz w:val="20"/>
          <w:szCs w:val="20"/>
          <w:color w:val="auto"/>
        </w:rPr>
      </w:pPr>
    </w:p>
    <w:p>
      <w:pPr>
        <w:ind w:left="340" w:right="60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125" w:right="25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16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sale of any shares of our common stock at such discount. In addition, as opportunities present themselves, we may enter into financing or similar arrangements in the future, including the issuance of debt securities, preferred stock or common stock. If we issue common stock or securities exercisable for or convertible into common stock, our common stockholders would experience additional dilution and, as a result, our stock price may decline.</w:t>
      </w:r>
    </w:p>
    <w:p>
      <w:pPr>
        <w:spacing w:after="0" w:line="188"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For instance, we recently completed a private placement that resulted in approximately $50.0 million in aggregate gross proceeds. On June 26, 2017 we entered into a securities purchase agreement, or the Institutional SPA, with the purchasers named therein, or the Institutional Investors, and a securities purchase agreement, or the Springer SPA, with Timothy Springer, Ph.D., a member of our board of directors.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the Institutional SPA, we agreed to sell an aggregate of 2,750,000 shares of our common stock to the Institutional Investors for aggregate gross proceeds of $44.0 million, at a purchase price equal to $16.00 per share. Pursuant to the Springer SPA, we agreed to sell to Dr. Springer an aggregate of 338,791 shares of our common stock at a purchase price equal to $17.71 per share, which was equal to the most recent consolidated closing bid price on the Nasdaq Global Market on June 23, 2017, and warrants to purchase 79,130 shares of common stock, exercisable at $17.71 per share. The closing of the Springer SPA resulted in additional aggregate gross proceeds to us of approximately $6.0 million for a total of $50.0 million. The closing of these transactions occurred on June 27, 2017. Pursuant to a registration rights agreement entered into with the investors in the private placement, on July 13, 2017,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on December 2, 2016 we entered into a stock purchase agreement, or the Spark SPA, with Spark in conjunction with our license agreement with Spark. Pursuant to the Spark SPA, we issued and sold 197,238 shares of our common stock to Spark for gross proceeds of $5.0 million, which purchase price per share represented a 115.0% premium to the average of the daily volume-weighted average price, or VWAP, of the common stock during the thirty consecutive calendar days ending on, and including, December 1, 2016. Spark has since made two additional investments of $5.0 million in our common stock, in each case at a 115.0% premium, pursuant to the terms and conditions of the Spark SPA. The first additional investment was consummated on June 8, 2017 when Spark purchased 324,362 shares of common stock pursuant to the Spark SPA, as amended by a letter agreement between Spark and us dated June 6, 2017, for an aggregate purchase price of $5.0 million. The second additional investment was consummated on October 31, 2017 when Spark purchased 205,254 shares of common stock for an aggregate purchase price of $5.0 million.</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w:t>
      </w:r>
    </w:p>
    <w:p>
      <w:pPr>
        <w:spacing w:after="0" w:line="2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could result in continuing uncertainty regarding compliance matters and higher costs necessitated by ongoing revisions to disclosure and governance practices.</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Pursuant to Section 404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continue to dedicate internal resources, engage outside consultants, developed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8" w:lineRule="exact"/>
        <w:rPr>
          <w:sz w:val="20"/>
          <w:szCs w:val="20"/>
          <w:color w:val="auto"/>
        </w:rPr>
      </w:pPr>
    </w:p>
    <w:p>
      <w:pPr>
        <w:ind w:left="340" w:hanging="324"/>
        <w:spacing w:after="0" w:line="223" w:lineRule="exact"/>
        <w:rPr>
          <w:sz w:val="20"/>
          <w:szCs w:val="20"/>
          <w:color w:val="auto"/>
        </w:rPr>
      </w:pPr>
      <w:r>
        <w:rPr>
          <w:rFonts w:ascii="Arial" w:cs="Arial" w:eastAsia="Arial" w:hAnsi="Arial"/>
          <w:sz w:val="18"/>
          <w:szCs w:val="18"/>
          <w:color w:val="auto"/>
        </w:rPr>
        <w:t>– a classified board of directors with three</w:t>
      </w:r>
      <w:r>
        <w:rPr>
          <w:rFonts w:ascii="MS PGothic" w:cs="MS PGothic" w:eastAsia="MS PGothic" w:hAnsi="MS PGothic"/>
          <w:sz w:val="18"/>
          <w:szCs w:val="18"/>
          <w:color w:val="auto"/>
        </w:rPr>
        <w:t>‑</w:t>
      </w:r>
      <w:r>
        <w:rPr>
          <w:rFonts w:ascii="Arial" w:cs="Arial" w:eastAsia="Arial" w:hAnsi="Arial"/>
          <w:sz w:val="18"/>
          <w:szCs w:val="18"/>
          <w:color w:val="auto"/>
        </w:rPr>
        <w:t>year staggered terms, which may delay the ability of stockholders to change the membership of a majority of our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no cumulative voting in the election of directors, which limits the ability of minority stockholders to elect director candidates;</w:t>
      </w:r>
    </w:p>
    <w:p>
      <w:pPr>
        <w:spacing w:after="0" w:line="225" w:lineRule="exact"/>
        <w:rPr>
          <w:sz w:val="20"/>
          <w:szCs w:val="20"/>
          <w:color w:val="auto"/>
        </w:rPr>
      </w:pPr>
    </w:p>
    <w:p>
      <w:pPr>
        <w:ind w:left="340" w:right="60" w:hanging="324"/>
        <w:spacing w:after="0" w:line="277" w:lineRule="auto"/>
        <w:rPr>
          <w:sz w:val="20"/>
          <w:szCs w:val="20"/>
          <w:color w:val="auto"/>
        </w:rPr>
      </w:pPr>
      <w:r>
        <w:rPr>
          <w:rFonts w:ascii="Arial" w:cs="Arial" w:eastAsia="Arial" w:hAnsi="Arial"/>
          <w:sz w:val="18"/>
          <w:szCs w:val="18"/>
          <w:color w:val="auto"/>
        </w:rPr>
        <w:t>– 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70" w:lineRule="exact"/>
        <w:rPr>
          <w:sz w:val="20"/>
          <w:szCs w:val="20"/>
          <w:color w:val="auto"/>
        </w:rPr>
      </w:pPr>
    </w:p>
    <w:p>
      <w:pPr>
        <w:ind w:left="340" w:hanging="324"/>
        <w:spacing w:after="0" w:line="308" w:lineRule="auto"/>
        <w:rPr>
          <w:sz w:val="20"/>
          <w:szCs w:val="20"/>
          <w:color w:val="auto"/>
        </w:rPr>
      </w:pPr>
      <w:r>
        <w:rPr>
          <w:rFonts w:ascii="Arial" w:cs="Arial" w:eastAsia="Arial" w:hAnsi="Arial"/>
          <w:sz w:val="17"/>
          <w:szCs w:val="17"/>
          <w:color w:val="auto"/>
        </w:rPr>
        <w:t>– 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the ability of our board of directors to alter our bylaws without obtaining stockholder approval;</w:t>
      </w:r>
    </w:p>
    <w:p>
      <w:pPr>
        <w:spacing w:after="0" w:line="225" w:lineRule="exact"/>
        <w:rPr>
          <w:sz w:val="20"/>
          <w:szCs w:val="20"/>
          <w:color w:val="auto"/>
        </w:rPr>
      </w:pPr>
    </w:p>
    <w:p>
      <w:pPr>
        <w:ind w:left="340" w:right="120" w:hanging="324"/>
        <w:spacing w:after="0" w:line="223" w:lineRule="exact"/>
        <w:rPr>
          <w:sz w:val="20"/>
          <w:szCs w:val="20"/>
          <w:color w:val="auto"/>
        </w:rPr>
      </w:pPr>
      <w:r>
        <w:rPr>
          <w:rFonts w:ascii="Arial" w:cs="Arial" w:eastAsia="Arial" w:hAnsi="Arial"/>
          <w:sz w:val="18"/>
          <w:szCs w:val="18"/>
          <w:color w:val="auto"/>
        </w:rPr>
        <w:t>– the required approval of the holders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shares entitled to vote at an election of directors to adopt, amend or repeal our bylaws or repeal the provisions of our restated certificate of incorporation regarding the election and removal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a prohibition on stockholder action by written consent, which forces stockholder action to be taken at an annual or special meeting of our stockholders;</w:t>
      </w:r>
    </w:p>
    <w:p>
      <w:pPr>
        <w:spacing w:after="0" w:line="248" w:lineRule="exact"/>
        <w:rPr>
          <w:sz w:val="20"/>
          <w:szCs w:val="20"/>
          <w:color w:val="auto"/>
        </w:rPr>
      </w:pPr>
    </w:p>
    <w:p>
      <w:pPr>
        <w:ind w:left="340" w:right="280" w:hanging="324"/>
        <w:spacing w:after="0" w:line="264" w:lineRule="auto"/>
        <w:rPr>
          <w:sz w:val="20"/>
          <w:szCs w:val="20"/>
          <w:color w:val="auto"/>
        </w:rPr>
      </w:pPr>
      <w:r>
        <w:rPr>
          <w:rFonts w:ascii="Arial" w:cs="Arial" w:eastAsia="Arial" w:hAnsi="Arial"/>
          <w:sz w:val="18"/>
          <w:szCs w:val="18"/>
          <w:color w:val="auto"/>
        </w:rPr>
        <w:t>– 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60" w:hanging="324"/>
        <w:spacing w:after="0" w:line="264" w:lineRule="auto"/>
        <w:rPr>
          <w:sz w:val="20"/>
          <w:szCs w:val="20"/>
          <w:color w:val="auto"/>
        </w:rPr>
      </w:pPr>
      <w:r>
        <w:rPr>
          <w:rFonts w:ascii="Arial" w:cs="Arial" w:eastAsia="Arial" w:hAnsi="Arial"/>
          <w:sz w:val="18"/>
          <w:szCs w:val="18"/>
          <w:color w:val="auto"/>
        </w:rPr>
        <w:t>– 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87"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we do not expect paying any cash dividends on our capital stock in the foreseeable future, capital appreciation, if any, will be your sole source of gain.</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our credit facility with SVB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21, 2016, we completed the initial public offering of our common stock and issued and sold 5,000,000 shares of our common stock at a public offering price of $14.00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offer and sale of all of the shares in the offering were registered under the Securities Act pursuant to a Registration Statement on Form S-1 (File No. 333-211555), as amended, which was declared effective by the Securities and Exchange Commission, or the SEC, on June 21, 2016, and a Registration Statement on Form S-1MEF (File No. 333-212162), which was automatically</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upon filing with the SEC on June 21, 2016. On July 25, 2016, we closed the underwriters’ over-allotment option in part, and we sold 289,633 shares at a price to the public of $14.00 per share.</w:t>
      </w:r>
    </w:p>
    <w:p>
      <w:pPr>
        <w:spacing w:after="0" w:line="17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net proceeds of approximately $64.5 million from our initial public offering have been invested in short-term, investment-grade, interest-bearing instruments and U.S. government securities. There has been no material change in the expected use of the net proceeds from our initial public offering as described in our final prospectus, dated June 21, 2016, filed with the SEC pursuant to Rule 424(b) relating to our Registration Statement on Form S-1.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exhibits filed as part of this Quarterly Report on Form 10-Q are set forth on the Exhibit Index, which Exhibit Index is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40" w:type="dxa"/>
            <w:vAlign w:val="bottom"/>
            <w:gridSpan w:val="2"/>
          </w:tcPr>
          <w:p>
            <w:pPr>
              <w:ind w:left="224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4040" w:type="dxa"/>
            <w:vAlign w:val="bottom"/>
          </w:tcPr>
          <w:p>
            <w:pPr>
              <w:spacing w:after="0"/>
              <w:rPr>
                <w:sz w:val="20"/>
                <w:szCs w:val="20"/>
                <w:color w:val="auto"/>
              </w:rPr>
            </w:pPr>
            <w:r>
              <w:rPr>
                <w:rFonts w:ascii="Arial" w:cs="Arial" w:eastAsia="Arial" w:hAnsi="Arial"/>
                <w:sz w:val="18"/>
                <w:szCs w:val="18"/>
                <w:color w:val="auto"/>
              </w:rPr>
              <w:t>Date: November 7, 2017</w:t>
            </w:r>
          </w:p>
        </w:tc>
        <w:tc>
          <w:tcPr>
            <w:tcW w:w="266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/s/ Werner Cautreels, Ph.D.</w:t>
            </w:r>
          </w:p>
        </w:tc>
      </w:tr>
      <w:tr>
        <w:trPr>
          <w:trHeight w:val="27"/>
        </w:trPr>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Werner Cautreels, Ph.D.</w:t>
            </w:r>
          </w:p>
        </w:tc>
      </w:tr>
      <w:tr>
        <w:trPr>
          <w:trHeight w:val="270"/>
        </w:trPr>
        <w:tc>
          <w:tcPr>
            <w:tcW w:w="40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70"/>
        </w:trPr>
        <w:tc>
          <w:tcPr>
            <w:tcW w:w="40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37"/>
        </w:trPr>
        <w:tc>
          <w:tcPr>
            <w:tcW w:w="4040" w:type="dxa"/>
            <w:vAlign w:val="bottom"/>
          </w:tcPr>
          <w:p>
            <w:pPr>
              <w:spacing w:after="0"/>
              <w:rPr>
                <w:sz w:val="20"/>
                <w:szCs w:val="20"/>
                <w:color w:val="auto"/>
              </w:rPr>
            </w:pPr>
            <w:r>
              <w:rPr>
                <w:rFonts w:ascii="Arial" w:cs="Arial" w:eastAsia="Arial" w:hAnsi="Arial"/>
                <w:sz w:val="18"/>
                <w:szCs w:val="18"/>
                <w:color w:val="auto"/>
              </w:rPr>
              <w:t>Date: November 7, 2017</w:t>
            </w:r>
          </w:p>
        </w:tc>
        <w:tc>
          <w:tcPr>
            <w:tcW w:w="266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spacing w:after="0"/>
              <w:rPr>
                <w:sz w:val="20"/>
                <w:szCs w:val="20"/>
                <w:color w:val="auto"/>
              </w:rPr>
            </w:pPr>
            <w:r>
              <w:rPr>
                <w:rFonts w:ascii="Arial" w:cs="Arial" w:eastAsia="Arial" w:hAnsi="Arial"/>
                <w:sz w:val="18"/>
                <w:szCs w:val="18"/>
                <w:color w:val="auto"/>
                <w:w w:val="90"/>
              </w:rPr>
              <w:t>/s/ John Leaman, M.D.</w:t>
            </w:r>
          </w:p>
        </w:tc>
      </w:tr>
      <w:tr>
        <w:trPr>
          <w:trHeight w:val="27"/>
        </w:trPr>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1"/>
              </w:rPr>
              <w:t>John Leaman, M.D.</w:t>
            </w:r>
          </w:p>
        </w:tc>
      </w:tr>
    </w:tbl>
    <w:p>
      <w:pPr>
        <w:spacing w:after="0" w:line="40"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Chief Financial Officer, Head of Corporate Strategy, and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Treasurer</w:t>
      </w:r>
    </w:p>
    <w:p>
      <w:pPr>
        <w:spacing w:after="0" w:line="4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300" w:type="dxa"/>
            <w:vAlign w:val="bottom"/>
            <w:gridSpan w:val="6"/>
          </w:tcPr>
          <w:p>
            <w:pPr>
              <w:spacing w:after="0"/>
              <w:rPr>
                <w:sz w:val="20"/>
                <w:szCs w:val="20"/>
                <w:color w:val="auto"/>
              </w:rPr>
            </w:pPr>
            <w:r>
              <w:rPr>
                <w:rFonts w:ascii="Arial" w:cs="Arial" w:eastAsia="Arial" w:hAnsi="Arial"/>
                <w:sz w:val="18"/>
                <w:szCs w:val="18"/>
                <w:color w:val="0000EE"/>
                <w:w w:val="90"/>
              </w:rPr>
              <w:t>Table of Contents</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88"/>
        </w:trPr>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 INDEX</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ind w:left="480"/>
              <w:spacing w:after="0"/>
              <w:rPr>
                <w:sz w:val="20"/>
                <w:szCs w:val="20"/>
                <w:color w:val="auto"/>
              </w:rPr>
            </w:pPr>
            <w:r>
              <w:rPr>
                <w:rFonts w:ascii="Arial" w:cs="Arial" w:eastAsia="Arial" w:hAnsi="Arial"/>
                <w:sz w:val="18"/>
                <w:szCs w:val="18"/>
                <w:b w:val="1"/>
                <w:bCs w:val="1"/>
                <w:color w:val="auto"/>
              </w:rPr>
              <w:t>Incorporated by Reference</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26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Filing</w:t>
            </w:r>
          </w:p>
        </w:tc>
        <w:tc>
          <w:tcPr>
            <w:tcW w:w="1140" w:type="dxa"/>
            <w:vAlign w:val="bottom"/>
          </w:tcPr>
          <w:p>
            <w:pPr>
              <w:jc w:val="right"/>
              <w:ind w:right="630"/>
              <w:spacing w:after="0"/>
              <w:rPr>
                <w:sz w:val="20"/>
                <w:szCs w:val="20"/>
                <w:color w:val="auto"/>
              </w:rPr>
            </w:pPr>
            <w:r>
              <w:rPr>
                <w:rFonts w:ascii="Arial" w:cs="Arial" w:eastAsia="Arial" w:hAnsi="Arial"/>
                <w:sz w:val="18"/>
                <w:szCs w:val="18"/>
                <w:b w:val="1"/>
                <w:bCs w:val="1"/>
                <w:color w:val="auto"/>
                <w:w w:val="95"/>
              </w:rPr>
              <w:t>Filed</w:t>
            </w:r>
          </w:p>
        </w:tc>
      </w:tr>
      <w:tr>
        <w:trPr>
          <w:trHeight w:val="234"/>
        </w:trPr>
        <w:tc>
          <w:tcPr>
            <w:tcW w:w="40" w:type="dxa"/>
            <w:vAlign w:val="bottom"/>
          </w:tcPr>
          <w:p>
            <w:pPr>
              <w:spacing w:after="0"/>
              <w:rPr>
                <w:sz w:val="20"/>
                <w:szCs w:val="20"/>
                <w:color w:val="auto"/>
              </w:rPr>
            </w:pPr>
          </w:p>
        </w:tc>
        <w:tc>
          <w:tcPr>
            <w:tcW w:w="1260" w:type="dxa"/>
            <w:vAlign w:val="bottom"/>
            <w:gridSpan w:val="5"/>
          </w:tcPr>
          <w:p>
            <w:pPr>
              <w:ind w:left="2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File No.</w:t>
            </w: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Date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760" w:type="dxa"/>
            <w:vAlign w:val="bottom"/>
            <w:gridSpan w:val="3"/>
          </w:tcPr>
          <w:p>
            <w:pPr>
              <w:jc w:val="center"/>
              <w:ind w:left="370"/>
              <w:spacing w:after="0" w:line="196" w:lineRule="exact"/>
              <w:rPr>
                <w:rFonts w:ascii="Arial" w:cs="Arial" w:eastAsia="Arial" w:hAnsi="Arial"/>
                <w:sz w:val="18"/>
                <w:szCs w:val="18"/>
                <w:color w:val="0000FF"/>
                <w:w w:val="87"/>
              </w:rPr>
            </w:pPr>
            <w:hyperlink r:id="rId1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FF"/>
                <w:w w:val="96"/>
              </w:rPr>
            </w:pPr>
            <w:hyperlink r:id="rId12">
              <w:r>
                <w:rPr>
                  <w:rFonts w:ascii="Arial" w:cs="Arial" w:eastAsia="Arial" w:hAnsi="Arial"/>
                  <w:sz w:val="18"/>
                  <w:szCs w:val="18"/>
                  <w:color w:val="0000FF"/>
                  <w:w w:val="96"/>
                </w:rPr>
                <w:t>Restated Certificate of Incorporation of Selecta</w:t>
              </w:r>
            </w:hyperlink>
          </w:p>
        </w:tc>
        <w:tc>
          <w:tcPr>
            <w:tcW w:w="120" w:type="dxa"/>
            <w:vAlign w:val="bottom"/>
          </w:tcPr>
          <w:p>
            <w:pPr>
              <w:spacing w:after="0"/>
              <w:rPr>
                <w:sz w:val="17"/>
                <w:szCs w:val="17"/>
                <w:color w:val="auto"/>
              </w:rPr>
            </w:pPr>
          </w:p>
        </w:tc>
        <w:tc>
          <w:tcPr>
            <w:tcW w:w="10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580" w:type="dxa"/>
            <w:vAlign w:val="bottom"/>
          </w:tcPr>
          <w:p>
            <w:pPr>
              <w:ind w:left="20"/>
              <w:spacing w:after="0" w:line="196"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7"/>
                <w:szCs w:val="17"/>
                <w:color w:val="auto"/>
              </w:rPr>
            </w:pPr>
          </w:p>
        </w:tc>
        <w:tc>
          <w:tcPr>
            <w:tcW w:w="102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12">
              <w:r>
                <w:rPr>
                  <w:rFonts w:ascii="Arial" w:cs="Arial" w:eastAsia="Arial" w:hAnsi="Arial"/>
                  <w:sz w:val="18"/>
                  <w:szCs w:val="18"/>
                  <w:color w:val="0000FF"/>
                  <w:w w:val="88"/>
                </w:rPr>
                <w:t>Biosciences, Inc.</w:t>
              </w:r>
            </w:hyperlink>
          </w:p>
        </w:tc>
        <w:tc>
          <w:tcPr>
            <w:tcW w:w="2180" w:type="dxa"/>
            <w:vAlign w:val="bottom"/>
            <w:tcBorders>
              <w:top w:val="single" w:sz="8" w:color="0000FF"/>
            </w:tcBorders>
            <w:gridSpan w:val="9"/>
          </w:tcPr>
          <w:p>
            <w:pPr>
              <w:spacing w:after="0"/>
              <w:rPr>
                <w:sz w:val="17"/>
                <w:szCs w:val="17"/>
                <w:color w:val="auto"/>
              </w:rPr>
            </w:pPr>
          </w:p>
        </w:tc>
        <w:tc>
          <w:tcPr>
            <w:tcW w:w="2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760" w:type="dxa"/>
            <w:vAlign w:val="bottom"/>
            <w:gridSpan w:val="3"/>
          </w:tcPr>
          <w:p>
            <w:pPr>
              <w:jc w:val="center"/>
              <w:ind w:left="370"/>
              <w:spacing w:after="0"/>
              <w:rPr>
                <w:rFonts w:ascii="Arial" w:cs="Arial" w:eastAsia="Arial" w:hAnsi="Arial"/>
                <w:sz w:val="18"/>
                <w:szCs w:val="18"/>
                <w:color w:val="0000FF"/>
                <w:w w:val="87"/>
              </w:rPr>
            </w:pPr>
            <w:hyperlink r:id="rId1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rPr>
            </w:pPr>
            <w:hyperlink r:id="rId13">
              <w:r>
                <w:rPr>
                  <w:rFonts w:ascii="Arial" w:cs="Arial" w:eastAsia="Arial" w:hAnsi="Arial"/>
                  <w:sz w:val="18"/>
                  <w:szCs w:val="18"/>
                  <w:color w:val="0000FF"/>
                </w:rPr>
                <w:t>Amended and Restated By-laws of Selecta</w:t>
              </w:r>
            </w:hyperlink>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580" w:type="dxa"/>
            <w:vAlign w:val="bottom"/>
          </w:tcPr>
          <w:p>
            <w:pPr>
              <w:ind w:left="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13">
              <w:r>
                <w:rPr>
                  <w:rFonts w:ascii="Arial" w:cs="Arial" w:eastAsia="Arial" w:hAnsi="Arial"/>
                  <w:sz w:val="18"/>
                  <w:szCs w:val="18"/>
                  <w:color w:val="0000FF"/>
                  <w:w w:val="88"/>
                </w:rPr>
                <w:t>Biosciences, Inc.</w:t>
              </w:r>
            </w:hyperlink>
          </w:p>
        </w:tc>
        <w:tc>
          <w:tcPr>
            <w:tcW w:w="1840" w:type="dxa"/>
            <w:vAlign w:val="bottom"/>
            <w:tcBorders>
              <w:top w:val="single" w:sz="8" w:color="0000FF"/>
            </w:tcBorders>
            <w:gridSpan w:val="3"/>
          </w:tcPr>
          <w:p>
            <w:pPr>
              <w:spacing w:after="0"/>
              <w:rPr>
                <w:sz w:val="17"/>
                <w:szCs w:val="17"/>
                <w:color w:val="auto"/>
              </w:rPr>
            </w:pPr>
          </w:p>
        </w:tc>
        <w:tc>
          <w:tcPr>
            <w:tcW w:w="5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1180" w:type="dxa"/>
            <w:vAlign w:val="bottom"/>
            <w:gridSpan w:val="4"/>
          </w:tcPr>
          <w:p>
            <w:pPr>
              <w:jc w:val="center"/>
              <w:spacing w:after="0"/>
              <w:rPr>
                <w:rFonts w:ascii="Arial" w:cs="Arial" w:eastAsia="Arial" w:hAnsi="Arial"/>
                <w:sz w:val="18"/>
                <w:szCs w:val="18"/>
                <w:color w:val="0000FF"/>
                <w:w w:val="85"/>
              </w:rPr>
            </w:pPr>
            <w:hyperlink r:id="rId1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w w:val="93"/>
              </w:rPr>
            </w:pPr>
            <w:hyperlink r:id="rId14">
              <w:r>
                <w:rPr>
                  <w:rFonts w:ascii="Arial" w:cs="Arial" w:eastAsia="Arial" w:hAnsi="Arial"/>
                  <w:sz w:val="18"/>
                  <w:szCs w:val="18"/>
                  <w:color w:val="0000FF"/>
                  <w:w w:val="93"/>
                </w:rPr>
                <w:t>Loan and Security Agreement, dated September</w:t>
              </w:r>
            </w:hyperlink>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580" w:type="dxa"/>
            <w:vAlign w:val="bottom"/>
          </w:tcPr>
          <w:p>
            <w:pPr>
              <w:ind w:left="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9/13/2017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8"/>
              </w:rPr>
            </w:pPr>
            <w:hyperlink r:id="rId14">
              <w:r>
                <w:rPr>
                  <w:rFonts w:ascii="Arial" w:cs="Arial" w:eastAsia="Arial" w:hAnsi="Arial"/>
                  <w:sz w:val="18"/>
                  <w:szCs w:val="18"/>
                  <w:color w:val="0000FF"/>
                  <w:w w:val="88"/>
                </w:rPr>
                <w:t>12, 2017, by and between the Registrant and</w:t>
              </w:r>
            </w:hyperlink>
          </w:p>
        </w:tc>
        <w:tc>
          <w:tcPr>
            <w:tcW w:w="260" w:type="dxa"/>
            <w:vAlign w:val="bottom"/>
            <w:tcBorders>
              <w:top w:val="single" w:sz="8" w:color="0000FF"/>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Silicon Valley Bank</w:t>
              </w:r>
            </w:hyperlink>
          </w:p>
        </w:tc>
        <w:tc>
          <w:tcPr>
            <w:tcW w:w="218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1180" w:type="dxa"/>
            <w:vAlign w:val="bottom"/>
            <w:gridSpan w:val="4"/>
          </w:tcPr>
          <w:p>
            <w:pPr>
              <w:jc w:val="center"/>
              <w:spacing w:after="0"/>
              <w:rPr>
                <w:rFonts w:ascii="Arial" w:cs="Arial" w:eastAsia="Arial" w:hAnsi="Arial"/>
                <w:sz w:val="18"/>
                <w:szCs w:val="18"/>
                <w:color w:val="0000FF"/>
                <w:w w:val="85"/>
              </w:rPr>
            </w:pPr>
            <w:hyperlink w:anchor="page8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Employment Agreement, dated October 26,</w:t>
              </w:r>
            </w:hyperlink>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580" w:type="dxa"/>
            <w:vAlign w:val="bottom"/>
          </w:tcPr>
          <w:p>
            <w:pPr>
              <w:ind w:left="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10/26/2017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20" w:type="dxa"/>
            <w:vAlign w:val="bottom"/>
            <w:tcBorders>
              <w:bottom w:val="single" w:sz="8" w:color="0000FF"/>
            </w:tcBorders>
            <w:gridSpan w:val="13"/>
          </w:tcPr>
          <w:p>
            <w:pPr>
              <w:spacing w:after="0" w:line="196" w:lineRule="exact"/>
              <w:rPr>
                <w:rFonts w:ascii="Arial" w:cs="Arial" w:eastAsia="Arial" w:hAnsi="Arial"/>
                <w:sz w:val="18"/>
                <w:szCs w:val="18"/>
                <w:color w:val="0000FF"/>
                <w:w w:val="88"/>
              </w:rPr>
            </w:pPr>
            <w:hyperlink w:anchor="page85">
              <w:r>
                <w:rPr>
                  <w:rFonts w:ascii="Arial" w:cs="Arial" w:eastAsia="Arial" w:hAnsi="Arial"/>
                  <w:sz w:val="18"/>
                  <w:szCs w:val="18"/>
                  <w:color w:val="0000FF"/>
                  <w:w w:val="88"/>
                </w:rPr>
                <w:t>2017, by and between the Registrant and John</w:t>
              </w:r>
            </w:hyperlink>
          </w:p>
        </w:tc>
        <w:tc>
          <w:tcPr>
            <w:tcW w:w="3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FF"/>
              </w:rPr>
            </w:pPr>
            <w:hyperlink w:anchor="page85">
              <w:r>
                <w:rPr>
                  <w:rFonts w:ascii="Arial" w:cs="Arial" w:eastAsia="Arial" w:hAnsi="Arial"/>
                  <w:sz w:val="18"/>
                  <w:szCs w:val="18"/>
                  <w:color w:val="0000FF"/>
                </w:rPr>
                <w:t>Leaman, M.D.</w:t>
              </w:r>
            </w:hyperlink>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80" w:type="dxa"/>
            <w:vAlign w:val="bottom"/>
            <w:gridSpan w:val="4"/>
          </w:tcPr>
          <w:p>
            <w:pPr>
              <w:jc w:val="center"/>
              <w:spacing w:after="0"/>
              <w:rPr>
                <w:rFonts w:ascii="Arial" w:cs="Arial" w:eastAsia="Arial" w:hAnsi="Arial"/>
                <w:sz w:val="18"/>
                <w:szCs w:val="18"/>
                <w:color w:val="0000FF"/>
                <w:w w:val="85"/>
              </w:rPr>
            </w:pPr>
            <w:hyperlink w:anchor="page10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Employment Agreement, dated October 26,</w:t>
              </w:r>
            </w:hyperlink>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tcBorders>
              <w:bottom w:val="single" w:sz="8" w:color="0000FF"/>
            </w:tcBorders>
            <w:gridSpan w:val="17"/>
          </w:tcPr>
          <w:p>
            <w:pPr>
              <w:spacing w:after="0" w:line="196" w:lineRule="exact"/>
              <w:rPr>
                <w:rFonts w:ascii="Arial" w:cs="Arial" w:eastAsia="Arial" w:hAnsi="Arial"/>
                <w:sz w:val="18"/>
                <w:szCs w:val="18"/>
                <w:color w:val="0000FF"/>
                <w:w w:val="88"/>
              </w:rPr>
            </w:pPr>
            <w:hyperlink w:anchor="page104">
              <w:r>
                <w:rPr>
                  <w:rFonts w:ascii="Arial" w:cs="Arial" w:eastAsia="Arial" w:hAnsi="Arial"/>
                  <w:sz w:val="18"/>
                  <w:szCs w:val="18"/>
                  <w:color w:val="0000FF"/>
                  <w:w w:val="88"/>
                </w:rPr>
                <w:t>2017, by and between the Registrant and Stephen</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FF"/>
              </w:rPr>
            </w:pPr>
            <w:hyperlink w:anchor="page104">
              <w:r>
                <w:rPr>
                  <w:rFonts w:ascii="Arial" w:cs="Arial" w:eastAsia="Arial" w:hAnsi="Arial"/>
                  <w:sz w:val="18"/>
                  <w:szCs w:val="18"/>
                  <w:color w:val="0000FF"/>
                </w:rPr>
                <w:t>Smolinski</w:t>
              </w:r>
            </w:hyperlink>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80" w:type="dxa"/>
            <w:vAlign w:val="bottom"/>
            <w:gridSpan w:val="4"/>
          </w:tcPr>
          <w:p>
            <w:pPr>
              <w:jc w:val="center"/>
              <w:spacing w:after="0"/>
              <w:rPr>
                <w:rFonts w:ascii="Arial" w:cs="Arial" w:eastAsia="Arial" w:hAnsi="Arial"/>
                <w:sz w:val="18"/>
                <w:szCs w:val="18"/>
                <w:color w:val="0000FF"/>
                <w:w w:val="85"/>
              </w:rPr>
            </w:pPr>
            <w:hyperlink w:anchor="page12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w w:val="94"/>
              </w:rPr>
            </w:pPr>
            <w:hyperlink w:anchor="page123">
              <w:r>
                <w:rPr>
                  <w:rFonts w:ascii="Arial" w:cs="Arial" w:eastAsia="Arial" w:hAnsi="Arial"/>
                  <w:sz w:val="18"/>
                  <w:szCs w:val="18"/>
                  <w:color w:val="0000FF"/>
                  <w:w w:val="94"/>
                </w:rPr>
                <w:t>Rule 13a-14(a) / 15d-14(a) Certification of Chief</w:t>
              </w:r>
            </w:hyperlink>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w:anchor="page123">
              <w:r>
                <w:rPr>
                  <w:rFonts w:ascii="Arial" w:cs="Arial" w:eastAsia="Arial" w:hAnsi="Arial"/>
                  <w:sz w:val="18"/>
                  <w:szCs w:val="18"/>
                  <w:color w:val="0000FF"/>
                  <w:w w:val="92"/>
                </w:rPr>
                <w:t>Executive Officer</w:t>
              </w:r>
            </w:hyperlink>
          </w:p>
        </w:tc>
        <w:tc>
          <w:tcPr>
            <w:tcW w:w="2240" w:type="dxa"/>
            <w:vAlign w:val="bottom"/>
            <w:tcBorders>
              <w:top w:val="single" w:sz="8" w:color="0000FF"/>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1180" w:type="dxa"/>
            <w:vAlign w:val="bottom"/>
            <w:gridSpan w:val="4"/>
          </w:tcPr>
          <w:p>
            <w:pPr>
              <w:jc w:val="center"/>
              <w:spacing w:after="0"/>
              <w:rPr>
                <w:rFonts w:ascii="Arial" w:cs="Arial" w:eastAsia="Arial" w:hAnsi="Arial"/>
                <w:sz w:val="18"/>
                <w:szCs w:val="18"/>
                <w:color w:val="0000FF"/>
                <w:w w:val="85"/>
              </w:rPr>
            </w:pPr>
            <w:hyperlink w:anchor="page12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w w:val="94"/>
              </w:rPr>
            </w:pPr>
            <w:hyperlink w:anchor="page124">
              <w:r>
                <w:rPr>
                  <w:rFonts w:ascii="Arial" w:cs="Arial" w:eastAsia="Arial" w:hAnsi="Arial"/>
                  <w:sz w:val="18"/>
                  <w:szCs w:val="18"/>
                  <w:color w:val="0000FF"/>
                  <w:w w:val="94"/>
                </w:rPr>
                <w:t>Rule 13a-14(a) / 15d-14(a) Certification of Chief</w:t>
              </w:r>
            </w:hyperlink>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24">
              <w:r>
                <w:rPr>
                  <w:rFonts w:ascii="Arial" w:cs="Arial" w:eastAsia="Arial" w:hAnsi="Arial"/>
                  <w:sz w:val="18"/>
                  <w:szCs w:val="18"/>
                  <w:color w:val="0000FF"/>
                </w:rPr>
                <w:t>Financial Officer</w:t>
              </w:r>
            </w:hyperlink>
          </w:p>
        </w:tc>
        <w:tc>
          <w:tcPr>
            <w:tcW w:w="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80" w:type="dxa"/>
            <w:vAlign w:val="bottom"/>
            <w:gridSpan w:val="4"/>
          </w:tcPr>
          <w:p>
            <w:pPr>
              <w:jc w:val="center"/>
              <w:spacing w:after="0"/>
              <w:rPr>
                <w:rFonts w:ascii="Arial" w:cs="Arial" w:eastAsia="Arial" w:hAnsi="Arial"/>
                <w:sz w:val="18"/>
                <w:szCs w:val="18"/>
                <w:color w:val="0000FF"/>
                <w:w w:val="85"/>
              </w:rPr>
            </w:pPr>
            <w:hyperlink w:anchor="page12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Section 1350 Certification of Chief Executive</w:t>
              </w:r>
            </w:hyperlink>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4"/>
              </w:rPr>
            </w:pPr>
            <w:hyperlink w:anchor="page125">
              <w:r>
                <w:rPr>
                  <w:rFonts w:ascii="Arial" w:cs="Arial" w:eastAsia="Arial" w:hAnsi="Arial"/>
                  <w:sz w:val="18"/>
                  <w:szCs w:val="18"/>
                  <w:color w:val="0000FF"/>
                  <w:w w:val="94"/>
                </w:rPr>
                <w:t>Officer</w:t>
              </w:r>
            </w:hyperlink>
          </w:p>
        </w:tc>
        <w:tc>
          <w:tcPr>
            <w:tcW w:w="2780" w:type="dxa"/>
            <w:vAlign w:val="bottom"/>
            <w:tcBorders>
              <w:top w:val="single" w:sz="8" w:color="0000FF"/>
            </w:tcBorders>
            <w:gridSpan w:val="10"/>
          </w:tcPr>
          <w:p>
            <w:pPr>
              <w:spacing w:after="0"/>
              <w:rPr>
                <w:sz w:val="17"/>
                <w:szCs w:val="17"/>
                <w:color w:val="auto"/>
              </w:rPr>
            </w:pPr>
          </w:p>
        </w:tc>
        <w:tc>
          <w:tcPr>
            <w:tcW w:w="32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1180" w:type="dxa"/>
            <w:vAlign w:val="bottom"/>
            <w:gridSpan w:val="4"/>
          </w:tcPr>
          <w:p>
            <w:pPr>
              <w:jc w:val="center"/>
              <w:spacing w:after="0"/>
              <w:rPr>
                <w:rFonts w:ascii="Arial" w:cs="Arial" w:eastAsia="Arial" w:hAnsi="Arial"/>
                <w:sz w:val="18"/>
                <w:szCs w:val="18"/>
                <w:color w:val="0000FF"/>
                <w:w w:val="85"/>
              </w:rPr>
            </w:pPr>
            <w:hyperlink w:anchor="page12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Section 1350 Certification of Chief Financial</w:t>
              </w:r>
            </w:hyperlink>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26">
              <w:r>
                <w:rPr>
                  <w:rFonts w:ascii="Arial" w:cs="Arial" w:eastAsia="Arial" w:hAnsi="Arial"/>
                  <w:sz w:val="18"/>
                  <w:szCs w:val="18"/>
                  <w:color w:val="0000FF"/>
                </w:rPr>
                <w:t>Officer</w:t>
              </w:r>
            </w:hyperlink>
          </w:p>
        </w:tc>
        <w:tc>
          <w:tcPr>
            <w:tcW w:w="3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20" w:type="dxa"/>
            <w:vAlign w:val="bottom"/>
            <w:gridSpan w:val="1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color w:val="auto"/>
                <w:w w:val="95"/>
              </w:rPr>
              <w:t>101.INS</w:t>
            </w:r>
          </w:p>
        </w:tc>
        <w:tc>
          <w:tcPr>
            <w:tcW w:w="40" w:type="dxa"/>
            <w:vAlign w:val="bottom"/>
          </w:tcPr>
          <w:p>
            <w:pPr>
              <w:spacing w:after="0"/>
              <w:rPr>
                <w:sz w:val="24"/>
                <w:szCs w:val="24"/>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3"/>
                <w:szCs w:val="23"/>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w w:val="95"/>
              </w:rPr>
              <w:t>XBRL Taxonomy Extension Schema Document</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0" w:type="dxa"/>
            <w:vAlign w:val="bottom"/>
          </w:tcPr>
          <w:p>
            <w:pPr>
              <w:spacing w:after="0"/>
              <w:rPr>
                <w:sz w:val="22"/>
                <w:szCs w:val="22"/>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101.CAL</w:t>
            </w:r>
          </w:p>
        </w:tc>
        <w:tc>
          <w:tcPr>
            <w:tcW w:w="40" w:type="dxa"/>
            <w:vAlign w:val="bottom"/>
          </w:tcPr>
          <w:p>
            <w:pPr>
              <w:spacing w:after="0"/>
              <w:rPr>
                <w:sz w:val="22"/>
                <w:szCs w:val="22"/>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Taxonomy Extension Calculation</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2"/>
                <w:szCs w:val="22"/>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w w:val="95"/>
              </w:rPr>
              <w:t>XBRL Taxonomy Extension Definition Linkbase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color w:val="auto"/>
                <w:w w:val="95"/>
              </w:rPr>
              <w:t>101.LAB</w:t>
            </w:r>
          </w:p>
        </w:tc>
        <w:tc>
          <w:tcPr>
            <w:tcW w:w="40" w:type="dxa"/>
            <w:vAlign w:val="bottom"/>
          </w:tcPr>
          <w:p>
            <w:pPr>
              <w:spacing w:after="0"/>
              <w:rPr>
                <w:sz w:val="22"/>
                <w:szCs w:val="22"/>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101.PRE</w:t>
            </w:r>
          </w:p>
        </w:tc>
        <w:tc>
          <w:tcPr>
            <w:tcW w:w="40" w:type="dxa"/>
            <w:vAlign w:val="bottom"/>
          </w:tcPr>
          <w:p>
            <w:pPr>
              <w:spacing w:after="0"/>
              <w:rPr>
                <w:sz w:val="22"/>
                <w:szCs w:val="22"/>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29" w:lineRule="exact"/>
        <w:rPr>
          <w:sz w:val="20"/>
          <w:szCs w:val="20"/>
          <w:color w:val="auto"/>
        </w:rPr>
      </w:pPr>
    </w:p>
    <w:p>
      <w:pPr>
        <w:ind w:left="66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660" w:hanging="4"/>
        <w:spacing w:after="0" w:line="277" w:lineRule="auto"/>
        <w:tabs>
          <w:tab w:leader="none" w:pos="8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information in this exhibit has been omitted and filed separately with the Securities and Exchange Commission pursuant to a confidential treatment request under 17 C.F.R. Sections 200.80(b)(4) and 24b-2.</w:t>
      </w:r>
    </w:p>
    <w:p>
      <w:pPr>
        <w:spacing w:after="0" w:line="170" w:lineRule="exact"/>
        <w:rPr>
          <w:sz w:val="20"/>
          <w:szCs w:val="20"/>
          <w:color w:val="auto"/>
        </w:rPr>
      </w:pPr>
    </w:p>
    <w:p>
      <w:pPr>
        <w:ind w:left="660" w:hanging="4"/>
        <w:spacing w:after="0" w:line="277" w:lineRule="auto"/>
        <w:tabs>
          <w:tab w:leader="none" w:pos="9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 Certain information in this exhibit has been omitted and filed separately with the Securities and Exchange Commission.</w:t>
      </w:r>
    </w:p>
    <w:p>
      <w:pPr>
        <w:sectPr>
          <w:pgSz w:w="11900" w:h="16838" w:orient="portrait"/>
          <w:cols w:equalWidth="0" w:num="1">
            <w:col w:w="11420"/>
          </w:cols>
          <w:pgMar w:left="240" w:top="108"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October 26, 2017 (the “</w:t>
      </w:r>
      <w:r>
        <w:rPr>
          <w:rFonts w:ascii="Arial" w:cs="Arial" w:eastAsia="Arial" w:hAnsi="Arial"/>
          <w:sz w:val="20"/>
          <w:szCs w:val="20"/>
          <w:u w:val="single" w:color="auto"/>
          <w:color w:val="auto"/>
        </w:rPr>
        <w:t>Effective Date</w:t>
      </w:r>
      <w:r>
        <w:rPr>
          <w:rFonts w:ascii="Arial" w:cs="Arial" w:eastAsia="Arial" w:hAnsi="Arial"/>
          <w:sz w:val="20"/>
          <w:szCs w:val="20"/>
          <w:color w:val="auto"/>
        </w:rPr>
        <w:t>”), is made by and between Selecta Biosciences,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John Leaman (“</w:t>
      </w:r>
      <w:r>
        <w:rPr>
          <w:rFonts w:ascii="Arial" w:cs="Arial" w:eastAsia="Arial" w:hAnsi="Arial"/>
          <w:sz w:val="20"/>
          <w:szCs w:val="20"/>
          <w:u w:val="single" w:color="auto"/>
          <w:color w:val="auto"/>
        </w:rPr>
        <w:t>Executive</w:t>
      </w:r>
      <w:r>
        <w:rPr>
          <w:rFonts w:ascii="Arial" w:cs="Arial" w:eastAsia="Arial" w:hAnsi="Arial"/>
          <w:sz w:val="20"/>
          <w:szCs w:val="20"/>
          <w:color w:val="auto"/>
        </w:rPr>
        <w:t>”) (collectively referred to as the “</w:t>
      </w:r>
      <w:r>
        <w:rPr>
          <w:rFonts w:ascii="Arial" w:cs="Arial" w:eastAsia="Arial" w:hAnsi="Arial"/>
          <w:sz w:val="20"/>
          <w:szCs w:val="20"/>
          <w:u w:val="single" w:color="auto"/>
          <w:color w:val="auto"/>
        </w:rPr>
        <w:t>Parties</w:t>
      </w:r>
      <w:r>
        <w:rPr>
          <w:rFonts w:ascii="Arial" w:cs="Arial" w:eastAsia="Arial" w:hAnsi="Arial"/>
          <w:sz w:val="20"/>
          <w:szCs w:val="20"/>
          <w:color w:val="auto"/>
        </w:rPr>
        <w:t>” or individually referred to as a “</w:t>
      </w:r>
      <w:r>
        <w:rPr>
          <w:rFonts w:ascii="Arial" w:cs="Arial" w:eastAsia="Arial" w:hAnsi="Arial"/>
          <w:sz w:val="20"/>
          <w:szCs w:val="20"/>
          <w:u w:val="single" w:color="auto"/>
          <w:color w:val="auto"/>
        </w:rPr>
        <w:t>Party</w:t>
      </w:r>
      <w:r>
        <w:rPr>
          <w:rFonts w:ascii="Arial" w:cs="Arial" w:eastAsia="Arial" w:hAnsi="Arial"/>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right="140" w:hanging="652"/>
        <w:spacing w:after="0" w:line="26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It is the desire of the Company to assure itself of the services of Executive following the Effective Date and thereafter by entering into this Agreement.</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Executive and the Company mutually desire that Executive provide services to the Company on the terms herein provided.</w:t>
      </w:r>
    </w:p>
    <w:p>
      <w:pPr>
        <w:spacing w:after="0" w:line="221" w:lineRule="exact"/>
        <w:rPr>
          <w:rFonts w:ascii="Arial" w:cs="Arial" w:eastAsia="Arial" w:hAnsi="Arial"/>
          <w:sz w:val="19"/>
          <w:szCs w:val="19"/>
          <w:color w:val="auto"/>
        </w:rPr>
      </w:pPr>
    </w:p>
    <w:p>
      <w:pPr>
        <w:ind w:left="5060"/>
        <w:spacing w:after="0"/>
        <w:rPr>
          <w:rFonts w:ascii="Arial" w:cs="Arial" w:eastAsia="Arial" w:hAnsi="Arial"/>
          <w:sz w:val="19"/>
          <w:szCs w:val="19"/>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NOW, THEREFORE, in consideration of the foregoing and of the respective covenants and agreements set forth below, the Parties hereto agree as follows:</w:t>
      </w:r>
    </w:p>
    <w:p>
      <w:pPr>
        <w:spacing w:after="0" w:line="184"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b w:val="1"/>
          <w:bCs w:val="1"/>
          <w:color w:val="auto"/>
        </w:rPr>
      </w:pPr>
    </w:p>
    <w:p>
      <w:pPr>
        <w:ind w:right="460" w:firstLine="656"/>
        <w:spacing w:after="0" w:line="347" w:lineRule="auto"/>
        <w:tabs>
          <w:tab w:leader="none" w:pos="1496" w:val="left"/>
        </w:tabs>
        <w:numPr>
          <w:ilvl w:val="1"/>
          <w:numId w:val="58"/>
        </w:numPr>
        <w:rPr>
          <w:rFonts w:ascii="Arial" w:cs="Arial" w:eastAsia="Arial" w:hAnsi="Arial"/>
          <w:sz w:val="16"/>
          <w:szCs w:val="16"/>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Effective on the Effective Date, the Company shall employ Executive and Executive shall be employed by the Company, for the period and in the positions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 and subject to the other terms and conditions herein provided.</w:t>
      </w:r>
    </w:p>
    <w:p>
      <w:pPr>
        <w:spacing w:after="0" w:line="130" w:lineRule="exact"/>
        <w:rPr>
          <w:rFonts w:ascii="Arial" w:cs="Arial" w:eastAsia="Arial" w:hAnsi="Arial"/>
          <w:sz w:val="16"/>
          <w:szCs w:val="16"/>
          <w:color w:val="auto"/>
        </w:rPr>
      </w:pPr>
    </w:p>
    <w:p>
      <w:pPr>
        <w:ind w:firstLine="656"/>
        <w:spacing w:after="0" w:line="270" w:lineRule="auto"/>
        <w:tabs>
          <w:tab w:leader="none" w:pos="1506" w:val="left"/>
        </w:tabs>
        <w:numPr>
          <w:ilvl w:val="1"/>
          <w:numId w:val="58"/>
        </w:numPr>
        <w:rPr>
          <w:rFonts w:ascii="Arial" w:cs="Arial" w:eastAsia="Arial" w:hAnsi="Arial"/>
          <w:sz w:val="18"/>
          <w:szCs w:val="18"/>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20"/>
          <w:szCs w:val="20"/>
          <w:u w:val="single" w:color="auto"/>
          <w:color w:val="auto"/>
        </w:rPr>
        <w:t>Section 3(b)</w:t>
      </w:r>
      <w:r>
        <w:rPr>
          <w:rFonts w:ascii="Arial" w:cs="Arial" w:eastAsia="Arial" w:hAnsi="Arial"/>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shall commence on the Effective Date and end on the date this Agreement is terminated under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firstLine="656"/>
        <w:spacing w:after="0" w:line="303" w:lineRule="auto"/>
        <w:tabs>
          <w:tab w:leader="none" w:pos="1496" w:val="left"/>
        </w:tabs>
        <w:numPr>
          <w:ilvl w:val="1"/>
          <w:numId w:val="58"/>
        </w:numPr>
        <w:rPr>
          <w:rFonts w:ascii="Arial" w:cs="Arial" w:eastAsia="Arial" w:hAnsi="Arial"/>
          <w:sz w:val="16"/>
          <w:szCs w:val="16"/>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Executive shall serve as the Chief Financial Officer and Head of Corporate Strategy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Arial" w:cs="Arial" w:eastAsia="Arial" w:hAnsi="Arial"/>
          <w:sz w:val="18"/>
          <w:szCs w:val="18"/>
          <w:u w:val="single" w:color="auto"/>
          <w:color w:val="auto"/>
        </w:rPr>
        <w:t>Board</w:t>
      </w:r>
      <w:r>
        <w:rPr>
          <w:rFonts w:ascii="Arial" w:cs="Arial" w:eastAsia="Arial" w:hAnsi="Arial"/>
          <w:sz w:val="18"/>
          <w:szCs w:val="18"/>
          <w:color w:val="auto"/>
        </w:rPr>
        <w:t>”)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Executive agrees to observe and comply with the rules and policies of the Company as adopted by the Company from time to time,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w:t>
      </w:r>
    </w:p>
    <w:p>
      <w:pPr>
        <w:sectPr>
          <w:pgSz w:w="11900" w:h="16838" w:orient="portrait"/>
          <w:cols w:equalWidth="0" w:num="1">
            <w:col w:w="11420"/>
          </w:cols>
          <w:pgMar w:left="240" w:top="576" w:right="23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each case as amended from time to time, as set forth in writing, and as delivered or made available to Executive (each, a “</w:t>
      </w:r>
      <w:r>
        <w:rPr>
          <w:rFonts w:ascii="Arial" w:cs="Arial" w:eastAsia="Arial" w:hAnsi="Arial"/>
          <w:sz w:val="19"/>
          <w:szCs w:val="19"/>
          <w:u w:val="single" w:color="auto"/>
          <w:color w:val="auto"/>
        </w:rPr>
        <w:t>Policy</w:t>
      </w:r>
      <w:r>
        <w:rPr>
          <w:rFonts w:ascii="Arial" w:cs="Arial" w:eastAsia="Arial" w:hAnsi="Arial"/>
          <w:sz w:val="19"/>
          <w:szCs w:val="19"/>
          <w:color w:val="auto"/>
        </w:rPr>
        <w:t>”).</w:t>
      </w:r>
    </w:p>
    <w:p>
      <w:pPr>
        <w:spacing w:after="0" w:line="248" w:lineRule="exact"/>
        <w:rPr>
          <w:sz w:val="20"/>
          <w:szCs w:val="20"/>
          <w:color w:val="auto"/>
        </w:rPr>
      </w:pPr>
    </w:p>
    <w:p>
      <w:pPr>
        <w:ind w:left="800" w:hanging="792"/>
        <w:spacing w:after="0"/>
        <w:tabs>
          <w:tab w:leader="none" w:pos="800" w:val="left"/>
        </w:tabs>
        <w:numPr>
          <w:ilvl w:val="0"/>
          <w:numId w:val="59"/>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Compensation and Related Matters</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b w:val="1"/>
          <w:bCs w:val="1"/>
          <w:color w:val="auto"/>
        </w:rPr>
      </w:pPr>
    </w:p>
    <w:p>
      <w:pPr>
        <w:ind w:right="40" w:firstLine="656"/>
        <w:spacing w:after="0" w:line="274" w:lineRule="auto"/>
        <w:tabs>
          <w:tab w:leader="none" w:pos="1496" w:val="left"/>
        </w:tabs>
        <w:numPr>
          <w:ilvl w:val="1"/>
          <w:numId w:val="59"/>
        </w:numPr>
        <w:rPr>
          <w:rFonts w:ascii="Arial" w:cs="Arial" w:eastAsia="Arial" w:hAnsi="Arial"/>
          <w:sz w:val="18"/>
          <w:szCs w:val="18"/>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During the Term, Executive shall receive a base salary at a rate of $390,000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Arial" w:cs="Arial" w:eastAsia="Arial" w:hAnsi="Arial"/>
          <w:sz w:val="20"/>
          <w:szCs w:val="20"/>
          <w:u w:val="single" w:color="auto"/>
          <w:color w:val="auto"/>
        </w:rPr>
        <w:t>Annual Base Salary</w:t>
      </w:r>
      <w:r>
        <w:rPr>
          <w:rFonts w:ascii="Arial" w:cs="Arial" w:eastAsia="Arial" w:hAnsi="Arial"/>
          <w:sz w:val="20"/>
          <w:szCs w:val="20"/>
          <w:color w:val="auto"/>
        </w:rPr>
        <w:t>”).</w:t>
      </w:r>
    </w:p>
    <w:p>
      <w:pPr>
        <w:spacing w:after="0" w:line="192" w:lineRule="exact"/>
        <w:rPr>
          <w:rFonts w:ascii="Arial" w:cs="Arial" w:eastAsia="Arial" w:hAnsi="Arial"/>
          <w:sz w:val="18"/>
          <w:szCs w:val="18"/>
          <w:color w:val="auto"/>
        </w:rPr>
      </w:pPr>
    </w:p>
    <w:p>
      <w:pPr>
        <w:ind w:firstLine="656"/>
        <w:spacing w:after="0" w:line="297" w:lineRule="auto"/>
        <w:tabs>
          <w:tab w:leader="none" w:pos="1506" w:val="left"/>
        </w:tabs>
        <w:numPr>
          <w:ilvl w:val="1"/>
          <w:numId w:val="59"/>
        </w:numPr>
        <w:rPr>
          <w:rFonts w:ascii="Arial" w:cs="Arial" w:eastAsia="Arial" w:hAnsi="Arial"/>
          <w:sz w:val="16"/>
          <w:szCs w:val="16"/>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Beginning with the Company’s 2018 fiscal year and during the Term, Executive will be eligible to participate in an annual incentive program established by the Board. Executive’s annual incentive compensation under such incentive program (the “</w:t>
      </w:r>
      <w:r>
        <w:rPr>
          <w:rFonts w:ascii="Arial" w:cs="Arial" w:eastAsia="Arial" w:hAnsi="Arial"/>
          <w:sz w:val="18"/>
          <w:szCs w:val="18"/>
          <w:u w:val="single" w:color="auto"/>
          <w:color w:val="auto"/>
        </w:rPr>
        <w:t>Incentive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shall be targeted at 40% of Executive’s Annual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The Incentive Bonus payable under the incentive program shall be based on the achievement of performance goals to be determined by the Board. Further, beginning with the Company’s 2018 fiscal year and during the Term, Executive will also be eligible to earn an additional annual special achievement bonus of up to 10% of Executive’s Annual Base Salary based on the achievement of additional performance goals to be determined by the Board (the “</w:t>
      </w:r>
      <w:r>
        <w:rPr>
          <w:rFonts w:ascii="Arial" w:cs="Arial" w:eastAsia="Arial" w:hAnsi="Arial"/>
          <w:sz w:val="18"/>
          <w:szCs w:val="18"/>
          <w:u w:val="single" w:color="auto"/>
          <w:color w:val="auto"/>
        </w:rPr>
        <w:t>Special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The Incentive Bonus and the Special Bonus are hereinafter referred to collectively as the “</w:t>
      </w:r>
      <w:r>
        <w:rPr>
          <w:rFonts w:ascii="Arial" w:cs="Arial" w:eastAsia="Arial" w:hAnsi="Arial"/>
          <w:sz w:val="18"/>
          <w:szCs w:val="18"/>
          <w:u w:val="single" w:color="auto"/>
          <w:color w:val="auto"/>
        </w:rPr>
        <w:t>Annual Bonus</w:t>
      </w:r>
      <w:r>
        <w:rPr>
          <w:rFonts w:ascii="Arial" w:cs="Arial" w:eastAsia="Arial" w:hAnsi="Arial"/>
          <w:sz w:val="18"/>
          <w:szCs w:val="18"/>
          <w:color w:val="auto"/>
        </w:rPr>
        <w:t>”. For the portion of the Company’s 2017 fiscal year during which Executive is employed, Executive will be eligible to receive a discretionary bonus in an amount to be determined by the Board (the “</w:t>
      </w:r>
      <w:r>
        <w:rPr>
          <w:rFonts w:ascii="Arial" w:cs="Arial" w:eastAsia="Arial" w:hAnsi="Arial"/>
          <w:sz w:val="18"/>
          <w:szCs w:val="18"/>
          <w:u w:val="single" w:color="auto"/>
          <w:color w:val="auto"/>
        </w:rPr>
        <w:t>2017 Prorated Bonus</w:t>
      </w:r>
      <w:r>
        <w:rPr>
          <w:rFonts w:ascii="Arial" w:cs="Arial" w:eastAsia="Arial" w:hAnsi="Arial"/>
          <w:sz w:val="18"/>
          <w:szCs w:val="18"/>
          <w:color w:val="auto"/>
        </w:rPr>
        <w:t>”). Notwithstanding the foregoing, the 2017 Prorated Bonus paid to Executive will not be less than $32,500 if the Executive remains employed by the Company through December 31, 2017, and the Annual Bonus paid to Executive for the Company’s 2018 fiscal year will not be less than $162,500 if the Executive remains employed by the Company through December 31,</w:t>
      </w:r>
    </w:p>
    <w:p>
      <w:pPr>
        <w:spacing w:after="0" w:line="5" w:lineRule="exact"/>
        <w:rPr>
          <w:rFonts w:ascii="Arial" w:cs="Arial" w:eastAsia="Arial" w:hAnsi="Arial"/>
          <w:sz w:val="16"/>
          <w:szCs w:val="16"/>
          <w:color w:val="auto"/>
        </w:rPr>
      </w:pPr>
    </w:p>
    <w:p>
      <w:pPr>
        <w:ind w:right="140"/>
        <w:spacing w:after="0" w:line="289" w:lineRule="auto"/>
        <w:rPr>
          <w:rFonts w:ascii="Arial" w:cs="Arial" w:eastAsia="Arial" w:hAnsi="Arial"/>
          <w:sz w:val="16"/>
          <w:szCs w:val="16"/>
          <w:color w:val="auto"/>
        </w:rPr>
      </w:pPr>
      <w:r>
        <w:rPr>
          <w:rFonts w:ascii="Arial" w:cs="Arial" w:eastAsia="Arial" w:hAnsi="Arial"/>
          <w:sz w:val="20"/>
          <w:szCs w:val="20"/>
          <w:color w:val="auto"/>
        </w:rPr>
        <w:t>2018. The payment of the 2017 Prorated Bonus and any Annual Bonus will be made on or before March 15 of the year following the calendar year in which it is earned.</w:t>
      </w:r>
    </w:p>
    <w:p>
      <w:pPr>
        <w:spacing w:after="0" w:line="175" w:lineRule="exact"/>
        <w:rPr>
          <w:rFonts w:ascii="Arial" w:cs="Arial" w:eastAsia="Arial" w:hAnsi="Arial"/>
          <w:sz w:val="16"/>
          <w:szCs w:val="16"/>
          <w:color w:val="auto"/>
        </w:rPr>
      </w:pPr>
    </w:p>
    <w:p>
      <w:pPr>
        <w:jc w:val="both"/>
        <w:ind w:right="140" w:firstLine="656"/>
        <w:spacing w:after="0" w:line="274" w:lineRule="auto"/>
        <w:tabs>
          <w:tab w:leader="none" w:pos="1496" w:val="left"/>
        </w:tabs>
        <w:numPr>
          <w:ilvl w:val="1"/>
          <w:numId w:val="59"/>
        </w:numPr>
        <w:rPr>
          <w:rFonts w:ascii="Arial" w:cs="Arial" w:eastAsia="Arial" w:hAnsi="Arial"/>
          <w:sz w:val="18"/>
          <w:szCs w:val="18"/>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Agreement.</w:t>
      </w:r>
    </w:p>
    <w:p>
      <w:pPr>
        <w:spacing w:after="0" w:line="192" w:lineRule="exact"/>
        <w:rPr>
          <w:rFonts w:ascii="Arial" w:cs="Arial" w:eastAsia="Arial" w:hAnsi="Arial"/>
          <w:sz w:val="18"/>
          <w:szCs w:val="18"/>
          <w:color w:val="auto"/>
        </w:rPr>
      </w:pPr>
    </w:p>
    <w:p>
      <w:pPr>
        <w:jc w:val="both"/>
        <w:ind w:firstLine="656"/>
        <w:spacing w:after="0" w:line="274" w:lineRule="auto"/>
        <w:tabs>
          <w:tab w:leader="none" w:pos="1506" w:val="left"/>
        </w:tabs>
        <w:numPr>
          <w:ilvl w:val="1"/>
          <w:numId w:val="59"/>
        </w:numPr>
        <w:rPr>
          <w:rFonts w:ascii="Arial" w:cs="Arial" w:eastAsia="Arial" w:hAnsi="Arial"/>
          <w:sz w:val="18"/>
          <w:szCs w:val="18"/>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92" w:lineRule="exact"/>
        <w:rPr>
          <w:rFonts w:ascii="Arial" w:cs="Arial" w:eastAsia="Arial" w:hAnsi="Arial"/>
          <w:sz w:val="18"/>
          <w:szCs w:val="18"/>
          <w:color w:val="auto"/>
        </w:rPr>
      </w:pPr>
    </w:p>
    <w:p>
      <w:pPr>
        <w:ind w:right="280" w:firstLine="656"/>
        <w:spacing w:after="0" w:line="278" w:lineRule="auto"/>
        <w:tabs>
          <w:tab w:leader="none" w:pos="1496" w:val="left"/>
        </w:tabs>
        <w:numPr>
          <w:ilvl w:val="1"/>
          <w:numId w:val="59"/>
        </w:numPr>
        <w:rPr>
          <w:rFonts w:ascii="Arial" w:cs="Arial" w:eastAsia="Arial" w:hAnsi="Arial"/>
          <w:sz w:val="18"/>
          <w:szCs w:val="18"/>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6" w:lineRule="exact"/>
        <w:rPr>
          <w:rFonts w:ascii="Arial" w:cs="Arial" w:eastAsia="Arial" w:hAnsi="Arial"/>
          <w:sz w:val="18"/>
          <w:szCs w:val="18"/>
          <w:color w:val="auto"/>
        </w:rPr>
      </w:pPr>
    </w:p>
    <w:p>
      <w:pPr>
        <w:ind w:right="140" w:firstLine="656"/>
        <w:spacing w:after="0" w:line="293" w:lineRule="auto"/>
        <w:tabs>
          <w:tab w:leader="none" w:pos="1476" w:val="left"/>
        </w:tabs>
        <w:numPr>
          <w:ilvl w:val="1"/>
          <w:numId w:val="59"/>
        </w:numPr>
        <w:rPr>
          <w:rFonts w:ascii="Arial" w:cs="Arial" w:eastAsia="Arial" w:hAnsi="Arial"/>
          <w:sz w:val="17"/>
          <w:szCs w:val="17"/>
          <w:color w:val="auto"/>
        </w:rPr>
      </w:pPr>
      <w:r>
        <w:rPr>
          <w:rFonts w:ascii="Arial" w:cs="Arial" w:eastAsia="Arial" w:hAnsi="Arial"/>
          <w:sz w:val="19"/>
          <w:szCs w:val="19"/>
          <w:u w:val="single" w:color="auto"/>
          <w:color w:val="auto"/>
        </w:rPr>
        <w:t>Key Person Insurance</w:t>
      </w:r>
      <w:r>
        <w:rPr>
          <w:rFonts w:ascii="Arial" w:cs="Arial" w:eastAsia="Arial" w:hAnsi="Arial"/>
          <w:sz w:val="19"/>
          <w:szCs w:val="19"/>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2</w:t>
      </w:r>
    </w:p>
    <w:p>
      <w:pPr>
        <w:sectPr>
          <w:pgSz w:w="11900" w:h="16838" w:orient="portrait"/>
          <w:cols w:equalWidth="0" w:num="1">
            <w:col w:w="11400"/>
          </w:cols>
          <w:pgMar w:left="240" w:top="595" w:right="259" w:bottom="1440" w:gutter="0" w:footer="0" w:header="0"/>
        </w:sectPr>
      </w:pPr>
    </w:p>
    <w:bookmarkStart w:id="86" w:name="page87"/>
    <w:bookmarkEnd w:id="86"/>
    <w:p>
      <w:pPr>
        <w:ind w:right="140"/>
        <w:spacing w:after="0" w:line="278" w:lineRule="auto"/>
        <w:rPr>
          <w:sz w:val="20"/>
          <w:szCs w:val="20"/>
          <w:color w:val="auto"/>
        </w:rPr>
      </w:pPr>
      <w:r>
        <w:rPr>
          <w:rFonts w:ascii="Arial" w:cs="Arial" w:eastAsia="Arial" w:hAnsi="Arial"/>
          <w:sz w:val="20"/>
          <w:szCs w:val="20"/>
          <w:color w:val="auto"/>
        </w:rPr>
        <w:t>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73" w:lineRule="exact"/>
        <w:rPr>
          <w:sz w:val="20"/>
          <w:szCs w:val="20"/>
          <w:color w:val="auto"/>
        </w:rPr>
      </w:pPr>
    </w:p>
    <w:p>
      <w:pPr>
        <w:ind w:right="40" w:firstLine="656"/>
        <w:spacing w:after="0" w:line="243" w:lineRule="auto"/>
        <w:tabs>
          <w:tab w:leader="none" w:pos="1059"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No later than the first regularly scheduled meeting of the Company’s Board of Directors following the Effective Date and subject to the approval of the Board, pursuant to the Company’s 2016 Incentive Award Plan (as it may be amended, the “</w:t>
      </w:r>
      <w:r>
        <w:rPr>
          <w:rFonts w:ascii="Arial" w:cs="Arial" w:eastAsia="Arial" w:hAnsi="Arial"/>
          <w:sz w:val="20"/>
          <w:szCs w:val="20"/>
          <w:u w:val="single" w:color="auto"/>
          <w:color w:val="auto"/>
        </w:rPr>
        <w:t>Plan</w:t>
      </w:r>
      <w:r>
        <w:rPr>
          <w:rFonts w:ascii="Arial" w:cs="Arial" w:eastAsia="Arial" w:hAnsi="Arial"/>
          <w:sz w:val="20"/>
          <w:szCs w:val="20"/>
          <w:color w:val="auto"/>
        </w:rPr>
        <w:t>”), Executive will be granted an option to purchase 220,000 shares of common stock of the Company with an exercise price per share equal to the fair market value of a share of the Company’s common stock on the date of grant (the “</w:t>
      </w:r>
      <w:r>
        <w:rPr>
          <w:rFonts w:ascii="Arial" w:cs="Arial" w:eastAsia="Arial" w:hAnsi="Arial"/>
          <w:sz w:val="20"/>
          <w:szCs w:val="20"/>
          <w:u w:val="single" w:color="auto"/>
          <w:color w:val="auto"/>
        </w:rPr>
        <w:t>Option</w:t>
      </w:r>
      <w:r>
        <w:rPr>
          <w:rFonts w:ascii="Arial" w:cs="Arial" w:eastAsia="Arial" w:hAnsi="Arial"/>
          <w:sz w:val="20"/>
          <w:szCs w:val="20"/>
          <w:color w:val="auto"/>
        </w:rPr>
        <w:t>”). Subject to Executive’s continued employment by the Company, the Option shall vest over a four-year period, with 25% vesting 12 months from the date of grant and an additional 2.083% vesting in equal monthly installments over the following 36 months. The Option will be subject to the terms of the Plan and the applicable award agreement evidencing such award.</w:t>
      </w:r>
    </w:p>
    <w:p>
      <w:pPr>
        <w:spacing w:after="0" w:line="193" w:lineRule="exact"/>
        <w:rPr>
          <w:rFonts w:ascii="Arial" w:cs="Arial" w:eastAsia="Arial" w:hAnsi="Arial"/>
          <w:sz w:val="20"/>
          <w:szCs w:val="20"/>
          <w:color w:val="auto"/>
        </w:rPr>
      </w:pPr>
    </w:p>
    <w:p>
      <w:pPr>
        <w:ind w:firstLine="656"/>
        <w:spacing w:after="0" w:line="268" w:lineRule="auto"/>
        <w:tabs>
          <w:tab w:leader="none" w:pos="105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The parties acknowledge that the Company’s principal place of business is currently in Watertown, Massachusetts and Executive’s primary residence is currently in the state of Pennsylvania. Executive agrees to relocate his primary residence to the greater Boston, Massachusetts area prior to the first anniversary of the Effective Time. For the avoidance of doubt, Executive’s failure to relocate his primary residence to the greater Boston, Massachusetts area prior to the first anniversary of the Effective Time will constitute a breach of a material provision of this Agreement that entitles the Company to terminate Executive’s employment for Cause (as defined below) without the requirement that Executive be provided written notice of, or an opportunity to cure, such breach. Until Executive relocates to the greater Boston, Massachusetts area, Executive will be permitted from time to time to perform his obligations under this Agreement remotely, provided that Executive will spend such time at the Company’s principal place of business in Watertown, Massachusetts as the Company’s Chief Executive Officer reasonably determines is necessary or appropriate for Executive to perform his duties and responsibilities under this Agreement. During the first twelve months of the Term or until Executive’s earlier relocation to the greater Boston, Massachusetts area, in addition to the Annual Base Salary, the Company will pay Executive additional base salary at the rate of $7,000 per month (“</w:t>
      </w:r>
      <w:r>
        <w:rPr>
          <w:rFonts w:ascii="Arial" w:cs="Arial" w:eastAsia="Arial" w:hAnsi="Arial"/>
          <w:sz w:val="18"/>
          <w:szCs w:val="18"/>
          <w:u w:val="single" w:color="auto"/>
          <w:color w:val="auto"/>
        </w:rPr>
        <w:t>Additional 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 to offset the costs of Executive’s travel between Massachusetts and Pennsylvania in performing his duties for the Company. Additional Base Salary will be prorated for any partial month of service and will not constitute Annual Base Salary under this Agreement. Further, the Company will reimburse Executive for (or pay directly on Executive’s behalf) Executive’s reasonable moving expenses incurred in connection with Executive’s relocation to the greater Boston, Massachusetts area in an amount not to exceed $75,000 (the “</w:t>
      </w:r>
      <w:r>
        <w:rPr>
          <w:rFonts w:ascii="Arial" w:cs="Arial" w:eastAsia="Arial" w:hAnsi="Arial"/>
          <w:sz w:val="18"/>
          <w:szCs w:val="18"/>
          <w:u w:val="single" w:color="auto"/>
          <w:color w:val="auto"/>
        </w:rPr>
        <w:t>Relocation Allowance</w:t>
      </w:r>
      <w:r>
        <w:rPr>
          <w:rFonts w:ascii="Arial" w:cs="Arial" w:eastAsia="Arial" w:hAnsi="Arial"/>
          <w:sz w:val="18"/>
          <w:szCs w:val="18"/>
          <w:color w:val="auto"/>
        </w:rPr>
        <w:t>”), provided that such relocation occurs prior to the first anniversary of the Effective Time. Documentation reasonably acceptable to the Company of all reimbursable moving expenses must be submitted to the Company promptly following the date such expenses are incurred. All payments of the Relocation Allowance will be provided within 60 days following Executive’s submission to the Company of such documentation, except that in no event will any payments of Relocation Allowance be made other than in calendar year 2018. Executive will be liable and responsible for the employee portion of all taxes owed in connection with the Relocation Allowance (to the extent the Company reasonably determines all or a portion of the Relocation Allowance constitutes taxable income to Executive) or the Additional Base Salary, and the Company may (but will not be required to) deduct or withhold such taxes from any compensation payable to Executive by the Company or its affiliates. If (i) Executive’s employment is terminated by the Company for Cause or by Executive other than for Good Reason (as defined below), in either case within 12 months of the date Executive relocates to the greater Boston area, or (ii) Executive fails to relocate to the greater Boston, Massachusetts area prior to the first anniversary of the Effective Time, Executive will repay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3</w:t>
      </w:r>
    </w:p>
    <w:p>
      <w:pPr>
        <w:sectPr>
          <w:pgSz w:w="11900" w:h="16838" w:orient="portrait"/>
          <w:cols w:equalWidth="0" w:num="1">
            <w:col w:w="11400"/>
          </w:cols>
          <w:pgMar w:left="240" w:top="595" w:right="259" w:bottom="1440" w:gutter="0" w:footer="0" w:header="0"/>
        </w:sectPr>
      </w:pPr>
    </w:p>
    <w:bookmarkStart w:id="87" w:name="page88"/>
    <w:bookmarkEnd w:id="87"/>
    <w:p>
      <w:pPr>
        <w:ind w:right="40"/>
        <w:spacing w:after="0" w:line="250" w:lineRule="auto"/>
        <w:rPr>
          <w:sz w:val="20"/>
          <w:szCs w:val="20"/>
          <w:color w:val="auto"/>
        </w:rPr>
      </w:pPr>
      <w:r>
        <w:rPr>
          <w:rFonts w:ascii="Arial" w:cs="Arial" w:eastAsia="Arial" w:hAnsi="Arial"/>
          <w:sz w:val="20"/>
          <w:szCs w:val="20"/>
          <w:color w:val="auto"/>
        </w:rPr>
        <w:t>the full amount of any Relocation Allowance paid to Executive (or paid on Executive’s behalf), and the Company will be entitled (but not required) to deduct the amount of any such repayment obligations from any amounts otherwise payable to Executive by the Company or any of its affiliates.</w:t>
      </w:r>
    </w:p>
    <w:p>
      <w:pPr>
        <w:spacing w:after="0" w:line="180"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Executive’s employment hereunder may be terminated by the Company or Executive, as applicable, without any breach of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 under the following circumstances:</w:t>
      </w:r>
    </w:p>
    <w:p>
      <w:pPr>
        <w:spacing w:after="0" w:line="200"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Circumstances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480" w:hanging="500"/>
        <w:spacing w:after="0"/>
        <w:tabs>
          <w:tab w:leader="none" w:pos="1480" w:val="left"/>
        </w:tabs>
        <w:numPr>
          <w:ilvl w:val="1"/>
          <w:numId w:val="62"/>
        </w:numPr>
        <w:rPr>
          <w:rFonts w:ascii="Arial" w:cs="Arial" w:eastAsia="Arial" w:hAnsi="Arial"/>
          <w:sz w:val="18"/>
          <w:szCs w:val="18"/>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Executive’s employment hereunder shall terminate upon Executive’s death.</w:t>
      </w:r>
    </w:p>
    <w:p>
      <w:pPr>
        <w:spacing w:after="0" w:line="242" w:lineRule="exact"/>
        <w:rPr>
          <w:rFonts w:ascii="Arial" w:cs="Arial" w:eastAsia="Arial" w:hAnsi="Arial"/>
          <w:sz w:val="18"/>
          <w:szCs w:val="18"/>
          <w:color w:val="auto"/>
        </w:rPr>
      </w:pPr>
    </w:p>
    <w:p>
      <w:pPr>
        <w:ind w:left="1520" w:hanging="540"/>
        <w:spacing w:after="0"/>
        <w:tabs>
          <w:tab w:leader="none" w:pos="1520" w:val="left"/>
        </w:tabs>
        <w:numPr>
          <w:ilvl w:val="1"/>
          <w:numId w:val="62"/>
        </w:numPr>
        <w:rPr>
          <w:rFonts w:ascii="Arial" w:cs="Arial" w:eastAsia="Arial" w:hAnsi="Arial"/>
          <w:sz w:val="16"/>
          <w:szCs w:val="16"/>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Executive has incurred a Disability, as defined below, the Company may terminate Executive’s employment.</w:t>
      </w:r>
    </w:p>
    <w:p>
      <w:pPr>
        <w:spacing w:after="0" w:line="265" w:lineRule="exact"/>
        <w:rPr>
          <w:rFonts w:ascii="Arial" w:cs="Arial" w:eastAsia="Arial" w:hAnsi="Arial"/>
          <w:sz w:val="16"/>
          <w:szCs w:val="16"/>
          <w:color w:val="auto"/>
        </w:rPr>
      </w:pPr>
    </w:p>
    <w:p>
      <w:pPr>
        <w:ind w:left="1580" w:hanging="600"/>
        <w:spacing w:after="0"/>
        <w:tabs>
          <w:tab w:leader="none" w:pos="1580" w:val="left"/>
        </w:tabs>
        <w:numPr>
          <w:ilvl w:val="1"/>
          <w:numId w:val="62"/>
        </w:numPr>
        <w:rPr>
          <w:rFonts w:ascii="Arial" w:cs="Arial" w:eastAsia="Arial" w:hAnsi="Arial"/>
          <w:sz w:val="18"/>
          <w:szCs w:val="18"/>
          <w:color w:val="auto"/>
        </w:rPr>
      </w:pPr>
      <w:r>
        <w:rPr>
          <w:rFonts w:ascii="Arial" w:cs="Arial" w:eastAsia="Arial" w:hAnsi="Arial"/>
          <w:sz w:val="20"/>
          <w:szCs w:val="20"/>
          <w:i w:val="1"/>
          <w:iCs w:val="1"/>
          <w:color w:val="auto"/>
        </w:rPr>
        <w:t>Termination for Cause</w:t>
      </w:r>
      <w:r>
        <w:rPr>
          <w:rFonts w:ascii="Arial" w:cs="Arial" w:eastAsia="Arial" w:hAnsi="Arial"/>
          <w:sz w:val="20"/>
          <w:szCs w:val="20"/>
          <w:color w:val="auto"/>
        </w:rPr>
        <w:t>. The Company may terminate Executive’s employment for Cause, as defined below.</w:t>
      </w:r>
    </w:p>
    <w:p>
      <w:pPr>
        <w:spacing w:after="0" w:line="242" w:lineRule="exact"/>
        <w:rPr>
          <w:rFonts w:ascii="Arial" w:cs="Arial" w:eastAsia="Arial" w:hAnsi="Arial"/>
          <w:sz w:val="18"/>
          <w:szCs w:val="18"/>
          <w:color w:val="auto"/>
        </w:rPr>
      </w:pPr>
    </w:p>
    <w:p>
      <w:pPr>
        <w:ind w:left="1560" w:hanging="580"/>
        <w:spacing w:after="0"/>
        <w:tabs>
          <w:tab w:leader="none" w:pos="1560" w:val="left"/>
        </w:tabs>
        <w:numPr>
          <w:ilvl w:val="1"/>
          <w:numId w:val="62"/>
        </w:numPr>
        <w:rPr>
          <w:rFonts w:ascii="Arial" w:cs="Arial" w:eastAsia="Arial" w:hAnsi="Arial"/>
          <w:sz w:val="18"/>
          <w:szCs w:val="18"/>
          <w:color w:val="auto"/>
        </w:rPr>
      </w:pPr>
      <w:r>
        <w:rPr>
          <w:rFonts w:ascii="Arial" w:cs="Arial" w:eastAsia="Arial" w:hAnsi="Arial"/>
          <w:sz w:val="20"/>
          <w:szCs w:val="20"/>
          <w:i w:val="1"/>
          <w:iCs w:val="1"/>
          <w:color w:val="auto"/>
        </w:rPr>
        <w:t>Termination without Cause</w:t>
      </w:r>
      <w:r>
        <w:rPr>
          <w:rFonts w:ascii="Arial" w:cs="Arial" w:eastAsia="Arial" w:hAnsi="Arial"/>
          <w:sz w:val="20"/>
          <w:szCs w:val="20"/>
          <w:color w:val="auto"/>
        </w:rPr>
        <w:t>. The Company may terminate Executive’s employment without Cause.</w:t>
      </w:r>
    </w:p>
    <w:p>
      <w:pPr>
        <w:spacing w:after="0" w:line="242" w:lineRule="exact"/>
        <w:rPr>
          <w:rFonts w:ascii="Arial" w:cs="Arial" w:eastAsia="Arial" w:hAnsi="Arial"/>
          <w:sz w:val="18"/>
          <w:szCs w:val="18"/>
          <w:color w:val="auto"/>
        </w:rPr>
      </w:pPr>
    </w:p>
    <w:p>
      <w:pPr>
        <w:ind w:left="340" w:right="180" w:firstLine="640"/>
        <w:spacing w:after="0" w:line="289" w:lineRule="auto"/>
        <w:tabs>
          <w:tab w:leader="none" w:pos="1522" w:val="left"/>
        </w:tabs>
        <w:numPr>
          <w:ilvl w:val="1"/>
          <w:numId w:val="62"/>
        </w:numPr>
        <w:rPr>
          <w:rFonts w:ascii="Arial" w:cs="Arial" w:eastAsia="Arial" w:hAnsi="Arial"/>
          <w:sz w:val="18"/>
          <w:szCs w:val="18"/>
          <w:color w:val="auto"/>
        </w:rPr>
      </w:pPr>
      <w:r>
        <w:rPr>
          <w:rFonts w:ascii="Arial" w:cs="Arial" w:eastAsia="Arial" w:hAnsi="Arial"/>
          <w:sz w:val="20"/>
          <w:szCs w:val="20"/>
          <w:i w:val="1"/>
          <w:iCs w:val="1"/>
          <w:color w:val="auto"/>
        </w:rPr>
        <w:t xml:space="preserve">Resignation from the Company with Good Reason. </w:t>
      </w:r>
      <w:r>
        <w:rPr>
          <w:rFonts w:ascii="Arial" w:cs="Arial" w:eastAsia="Arial" w:hAnsi="Arial"/>
          <w:sz w:val="20"/>
          <w:szCs w:val="20"/>
          <w:color w:val="auto"/>
        </w:rPr>
        <w:t>Executive may resign Executive’s employment with the Company with</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as defined below.</w:t>
      </w:r>
    </w:p>
    <w:p>
      <w:pPr>
        <w:spacing w:after="0" w:line="175" w:lineRule="exact"/>
        <w:rPr>
          <w:rFonts w:ascii="Arial" w:cs="Arial" w:eastAsia="Arial" w:hAnsi="Arial"/>
          <w:sz w:val="18"/>
          <w:szCs w:val="18"/>
          <w:color w:val="auto"/>
        </w:rPr>
      </w:pPr>
    </w:p>
    <w:p>
      <w:pPr>
        <w:ind w:left="340" w:firstLine="640"/>
        <w:spacing w:after="0" w:line="289" w:lineRule="auto"/>
        <w:tabs>
          <w:tab w:leader="none" w:pos="1572" w:val="left"/>
        </w:tabs>
        <w:numPr>
          <w:ilvl w:val="1"/>
          <w:numId w:val="62"/>
        </w:numPr>
        <w:rPr>
          <w:rFonts w:ascii="Arial" w:cs="Arial" w:eastAsia="Arial" w:hAnsi="Arial"/>
          <w:sz w:val="18"/>
          <w:szCs w:val="18"/>
          <w:color w:val="auto"/>
        </w:rPr>
      </w:pPr>
      <w:r>
        <w:rPr>
          <w:rFonts w:ascii="Arial" w:cs="Arial" w:eastAsia="Arial" w:hAnsi="Arial"/>
          <w:sz w:val="20"/>
          <w:szCs w:val="20"/>
          <w:i w:val="1"/>
          <w:iCs w:val="1"/>
          <w:color w:val="auto"/>
        </w:rPr>
        <w:t>Resignation from the Company without Good Reason</w:t>
      </w:r>
      <w:r>
        <w:rPr>
          <w:rFonts w:ascii="Arial" w:cs="Arial" w:eastAsia="Arial" w:hAnsi="Arial"/>
          <w:sz w:val="20"/>
          <w:szCs w:val="20"/>
          <w:color w:val="auto"/>
        </w:rPr>
        <w:t>. Executive may resign Executive’s employment with the Company for</w:t>
      </w:r>
      <w:r>
        <w:rPr>
          <w:rFonts w:ascii="Arial" w:cs="Arial" w:eastAsia="Arial" w:hAnsi="Arial"/>
          <w:sz w:val="20"/>
          <w:szCs w:val="20"/>
          <w:i w:val="1"/>
          <w:iCs w:val="1"/>
          <w:color w:val="auto"/>
        </w:rPr>
        <w:t xml:space="preserve"> </w:t>
      </w:r>
      <w:r>
        <w:rPr>
          <w:rFonts w:ascii="Arial" w:cs="Arial" w:eastAsia="Arial" w:hAnsi="Arial"/>
          <w:sz w:val="20"/>
          <w:szCs w:val="20"/>
          <w:color w:val="auto"/>
        </w:rPr>
        <w:t>any reason other than Good Reason or for no reason.</w:t>
      </w:r>
    </w:p>
    <w:p>
      <w:pPr>
        <w:spacing w:after="0" w:line="161" w:lineRule="exact"/>
        <w:rPr>
          <w:rFonts w:ascii="Arial" w:cs="Arial" w:eastAsia="Arial" w:hAnsi="Arial"/>
          <w:sz w:val="18"/>
          <w:szCs w:val="18"/>
          <w:color w:val="auto"/>
        </w:rPr>
      </w:pPr>
    </w:p>
    <w:p>
      <w:pPr>
        <w:ind w:firstLine="656"/>
        <w:spacing w:after="0" w:line="254" w:lineRule="auto"/>
        <w:tabs>
          <w:tab w:leader="none" w:pos="1077"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Any termination of Executive’s employment by the Company or by Executive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termination pursuant to </w:t>
      </w:r>
      <w:r>
        <w:rPr>
          <w:rFonts w:ascii="Arial" w:cs="Arial" w:eastAsia="Arial" w:hAnsi="Arial"/>
          <w:sz w:val="19"/>
          <w:szCs w:val="19"/>
          <w:u w:val="single" w:color="auto"/>
          <w:color w:val="auto"/>
        </w:rPr>
        <w:t>Section 3(a)(i)</w:t>
      </w:r>
      <w:r>
        <w:rPr>
          <w:rFonts w:ascii="Arial" w:cs="Arial" w:eastAsia="Arial" w:hAnsi="Arial"/>
          <w:sz w:val="19"/>
          <w:szCs w:val="19"/>
          <w:color w:val="auto"/>
        </w:rPr>
        <w:t>)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provided, however,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provided,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4</w:t>
      </w:r>
    </w:p>
    <w:p>
      <w:pPr>
        <w:sectPr>
          <w:pgSz w:w="11900" w:h="16838" w:orient="portrait"/>
          <w:cols w:equalWidth="0" w:num="1">
            <w:col w:w="11400"/>
          </w:cols>
          <w:pgMar w:left="240" w:top="582" w:right="259" w:bottom="1440" w:gutter="0" w:footer="0" w:header="0"/>
        </w:sectPr>
      </w:pPr>
    </w:p>
    <w:bookmarkStart w:id="88" w:name="page89"/>
    <w:bookmarkEnd w:id="88"/>
    <w:p>
      <w:pPr>
        <w:ind w:left="-8" w:right="40" w:firstLine="656"/>
        <w:spacing w:after="0" w:line="271" w:lineRule="auto"/>
        <w:tabs>
          <w:tab w:leader="none" w:pos="1058"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w:t>
      </w:r>
      <w:r>
        <w:rPr>
          <w:rFonts w:ascii="Arial" w:cs="Arial" w:eastAsia="Arial" w:hAnsi="Arial"/>
          <w:sz w:val="18"/>
          <w:szCs w:val="18"/>
          <w:color w:val="auto"/>
        </w:rPr>
        <w:t xml:space="preserve">. Upon termination of Executive’s employment pursuant to any of the circumstances listed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8"/>
          <w:szCs w:val="18"/>
          <w:u w:val="single" w:color="auto"/>
          <w:color w:val="auto"/>
        </w:rPr>
        <w:t>Company Arrangements</w:t>
      </w:r>
      <w:r>
        <w:rPr>
          <w:rFonts w:ascii="Arial" w:cs="Arial" w:eastAsia="Arial" w:hAnsi="Arial"/>
          <w:sz w:val="18"/>
          <w:szCs w:val="18"/>
          <w:color w:val="auto"/>
        </w:rPr>
        <w:t>”). Except as otherwise expressly required by law (</w:t>
      </w:r>
      <w:r>
        <w:rPr>
          <w:rFonts w:ascii="Arial" w:cs="Arial" w:eastAsia="Arial" w:hAnsi="Arial"/>
          <w:sz w:val="18"/>
          <w:szCs w:val="18"/>
          <w:u w:val="single" w:color="auto"/>
          <w:color w:val="auto"/>
        </w:rPr>
        <w:t>e.g.</w:t>
      </w:r>
      <w:r>
        <w:rPr>
          <w:rFonts w:ascii="Arial" w:cs="Arial" w:eastAsia="Arial" w:hAnsi="Arial"/>
          <w:sz w:val="18"/>
          <w:szCs w:val="18"/>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70" w:lineRule="exact"/>
        <w:rPr>
          <w:rFonts w:ascii="Arial" w:cs="Arial" w:eastAsia="Arial" w:hAnsi="Arial"/>
          <w:sz w:val="18"/>
          <w:szCs w:val="18"/>
          <w:color w:val="auto"/>
        </w:rPr>
      </w:pPr>
    </w:p>
    <w:p>
      <w:pPr>
        <w:ind w:left="-8" w:right="220" w:firstLine="656"/>
        <w:spacing w:after="0" w:line="260" w:lineRule="auto"/>
        <w:tabs>
          <w:tab w:leader="none" w:pos="1069"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70" w:lineRule="exact"/>
        <w:rPr>
          <w:rFonts w:ascii="Arial" w:cs="Arial" w:eastAsia="Arial" w:hAnsi="Arial"/>
          <w:sz w:val="20"/>
          <w:szCs w:val="20"/>
          <w:color w:val="auto"/>
        </w:rPr>
      </w:pPr>
    </w:p>
    <w:p>
      <w:pPr>
        <w:ind w:left="352" w:hanging="352"/>
        <w:spacing w:after="0"/>
        <w:tabs>
          <w:tab w:leader="none" w:pos="352"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Severance Payments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8" w:right="160" w:firstLine="656"/>
        <w:spacing w:after="0" w:line="293" w:lineRule="auto"/>
        <w:tabs>
          <w:tab w:leader="none" w:pos="1498" w:val="left"/>
        </w:tabs>
        <w:numPr>
          <w:ilvl w:val="1"/>
          <w:numId w:val="64"/>
        </w:numPr>
        <w:rPr>
          <w:rFonts w:ascii="Arial" w:cs="Arial" w:eastAsia="Arial" w:hAnsi="Arial"/>
          <w:sz w:val="17"/>
          <w:szCs w:val="17"/>
          <w:color w:val="auto"/>
        </w:rPr>
      </w:pPr>
      <w:r>
        <w:rPr>
          <w:rFonts w:ascii="Arial" w:cs="Arial" w:eastAsia="Arial" w:hAnsi="Arial"/>
          <w:sz w:val="19"/>
          <w:szCs w:val="19"/>
          <w:u w:val="single" w:color="auto"/>
          <w:color w:val="auto"/>
        </w:rPr>
        <w:t>Termination for Cause, or Termination Upon Death, Disability or Resignation from the Company Without Good Reason</w:t>
      </w:r>
      <w:r>
        <w:rPr>
          <w:rFonts w:ascii="Arial" w:cs="Arial" w:eastAsia="Arial" w:hAnsi="Arial"/>
          <w:sz w:val="19"/>
          <w:szCs w:val="19"/>
          <w:color w:val="auto"/>
        </w:rPr>
        <w:t xml:space="preserve">. If Executive’s employment shall terminate as a result of Executive’s death pursuant to </w:t>
      </w:r>
      <w:r>
        <w:rPr>
          <w:rFonts w:ascii="Arial" w:cs="Arial" w:eastAsia="Arial" w:hAnsi="Arial"/>
          <w:sz w:val="19"/>
          <w:szCs w:val="19"/>
          <w:u w:val="single" w:color="auto"/>
          <w:color w:val="auto"/>
        </w:rPr>
        <w:t>Section 3(a)(i)</w:t>
      </w:r>
      <w:r>
        <w:rPr>
          <w:rFonts w:ascii="Arial" w:cs="Arial" w:eastAsia="Arial" w:hAnsi="Arial"/>
          <w:sz w:val="19"/>
          <w:szCs w:val="19"/>
          <w:color w:val="auto"/>
        </w:rPr>
        <w:t xml:space="preserve"> or Disability pursuant to </w:t>
      </w:r>
      <w:r>
        <w:rPr>
          <w:rFonts w:ascii="Arial" w:cs="Arial" w:eastAsia="Arial" w:hAnsi="Arial"/>
          <w:sz w:val="19"/>
          <w:szCs w:val="19"/>
          <w:u w:val="single" w:color="auto"/>
          <w:color w:val="auto"/>
        </w:rPr>
        <w:t>Section 3(a)(ii)</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3(a)(iii)</w:t>
      </w:r>
      <w:r>
        <w:rPr>
          <w:rFonts w:ascii="Arial" w:cs="Arial" w:eastAsia="Arial" w:hAnsi="Arial"/>
          <w:sz w:val="19"/>
          <w:szCs w:val="19"/>
          <w:color w:val="auto"/>
        </w:rPr>
        <w:t xml:space="preserve"> for Cause, or pursuant to </w:t>
      </w:r>
      <w:r>
        <w:rPr>
          <w:rFonts w:ascii="Arial" w:cs="Arial" w:eastAsia="Arial" w:hAnsi="Arial"/>
          <w:sz w:val="19"/>
          <w:szCs w:val="19"/>
          <w:u w:val="single" w:color="auto"/>
          <w:color w:val="auto"/>
        </w:rPr>
        <w:t>Section 3(a)(vi)</w:t>
      </w:r>
      <w:r>
        <w:rPr>
          <w:rFonts w:ascii="Arial" w:cs="Arial" w:eastAsia="Arial" w:hAnsi="Arial"/>
          <w:sz w:val="19"/>
          <w:szCs w:val="19"/>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9"/>
          <w:szCs w:val="19"/>
          <w:u w:val="single" w:color="auto"/>
          <w:color w:val="auto"/>
        </w:rPr>
        <w:t>Section 3(c)</w:t>
      </w:r>
      <w:r>
        <w:rPr>
          <w:rFonts w:ascii="Arial" w:cs="Arial" w:eastAsia="Arial" w:hAnsi="Arial"/>
          <w:sz w:val="19"/>
          <w:szCs w:val="19"/>
          <w:color w:val="auto"/>
        </w:rPr>
        <w:t>.</w:t>
      </w:r>
    </w:p>
    <w:p>
      <w:pPr>
        <w:spacing w:after="0" w:line="175" w:lineRule="exact"/>
        <w:rPr>
          <w:rFonts w:ascii="Arial" w:cs="Arial" w:eastAsia="Arial" w:hAnsi="Arial"/>
          <w:sz w:val="17"/>
          <w:szCs w:val="17"/>
          <w:color w:val="auto"/>
        </w:rPr>
      </w:pPr>
    </w:p>
    <w:p>
      <w:pPr>
        <w:ind w:left="-8" w:right="20" w:firstLine="656"/>
        <w:spacing w:after="0" w:line="288" w:lineRule="auto"/>
        <w:tabs>
          <w:tab w:leader="none" w:pos="1498" w:val="left"/>
        </w:tabs>
        <w:numPr>
          <w:ilvl w:val="1"/>
          <w:numId w:val="64"/>
        </w:numPr>
        <w:rPr>
          <w:rFonts w:ascii="Arial" w:cs="Arial" w:eastAsia="Arial" w:hAnsi="Arial"/>
          <w:sz w:val="17"/>
          <w:szCs w:val="17"/>
          <w:color w:val="auto"/>
        </w:rPr>
      </w:pPr>
      <w:r>
        <w:rPr>
          <w:rFonts w:ascii="Arial" w:cs="Arial" w:eastAsia="Arial" w:hAnsi="Arial"/>
          <w:sz w:val="19"/>
          <w:szCs w:val="19"/>
          <w:u w:val="single" w:color="auto"/>
          <w:color w:val="auto"/>
        </w:rPr>
        <w:t>Termination without Cause, or Resignation from the Company with Good Reason</w:t>
      </w:r>
      <w:r>
        <w:rPr>
          <w:rFonts w:ascii="Arial" w:cs="Arial" w:eastAsia="Arial" w:hAnsi="Arial"/>
          <w:sz w:val="19"/>
          <w:szCs w:val="19"/>
          <w:color w:val="auto"/>
        </w:rPr>
        <w:t xml:space="preserve">. If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the following:</w:t>
      </w:r>
    </w:p>
    <w:p>
      <w:pPr>
        <w:spacing w:after="0" w:line="182" w:lineRule="exact"/>
        <w:rPr>
          <w:rFonts w:ascii="Arial" w:cs="Arial" w:eastAsia="Arial" w:hAnsi="Arial"/>
          <w:sz w:val="17"/>
          <w:szCs w:val="17"/>
          <w:color w:val="auto"/>
        </w:rPr>
      </w:pPr>
    </w:p>
    <w:p>
      <w:pPr>
        <w:ind w:left="332" w:firstLine="640"/>
        <w:spacing w:after="0" w:line="274" w:lineRule="auto"/>
        <w:tabs>
          <w:tab w:leader="none" w:pos="1474" w:val="left"/>
        </w:tabs>
        <w:numPr>
          <w:ilvl w:val="2"/>
          <w:numId w:val="64"/>
        </w:numPr>
        <w:rPr>
          <w:rFonts w:ascii="Arial" w:cs="Arial" w:eastAsia="Arial" w:hAnsi="Arial"/>
          <w:sz w:val="18"/>
          <w:szCs w:val="18"/>
          <w:color w:val="auto"/>
        </w:rPr>
      </w:pPr>
      <w:r>
        <w:rPr>
          <w:rFonts w:ascii="Arial" w:cs="Arial" w:eastAsia="Arial" w:hAnsi="Arial"/>
          <w:sz w:val="20"/>
          <w:szCs w:val="20"/>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20"/>
          <w:szCs w:val="20"/>
          <w:u w:val="single" w:color="auto"/>
          <w:color w:val="auto"/>
        </w:rPr>
        <w:t>Severance Period</w:t>
      </w:r>
      <w:r>
        <w:rPr>
          <w:rFonts w:ascii="Arial" w:cs="Arial" w:eastAsia="Arial" w:hAnsi="Arial"/>
          <w:sz w:val="20"/>
          <w:szCs w:val="20"/>
          <w:color w:val="auto"/>
        </w:rPr>
        <w:t>”) in accordance with the Company’s normal payroll practices, commencing on the Company’s next regular payday following the effective date of the Release (with the first payment including all amounts accrued to date) (the “</w:t>
      </w:r>
      <w:r>
        <w:rPr>
          <w:rFonts w:ascii="Arial" w:cs="Arial" w:eastAsia="Arial" w:hAnsi="Arial"/>
          <w:sz w:val="20"/>
          <w:szCs w:val="20"/>
          <w:u w:val="single" w:color="auto"/>
          <w:color w:val="auto"/>
        </w:rPr>
        <w:t>Payment Date</w:t>
      </w:r>
      <w:r>
        <w:rPr>
          <w:rFonts w:ascii="Arial" w:cs="Arial" w:eastAsia="Arial" w:hAnsi="Arial"/>
          <w:sz w:val="20"/>
          <w:szCs w:val="20"/>
          <w:color w:val="auto"/>
        </w:rPr>
        <w:t>”);</w:t>
      </w:r>
    </w:p>
    <w:p>
      <w:pPr>
        <w:spacing w:after="0" w:line="192" w:lineRule="exact"/>
        <w:rPr>
          <w:rFonts w:ascii="Arial" w:cs="Arial" w:eastAsia="Arial" w:hAnsi="Arial"/>
          <w:sz w:val="18"/>
          <w:szCs w:val="18"/>
          <w:color w:val="auto"/>
        </w:rPr>
      </w:pPr>
    </w:p>
    <w:p>
      <w:pPr>
        <w:ind w:left="332" w:right="280" w:firstLine="640"/>
        <w:spacing w:after="0" w:line="293" w:lineRule="auto"/>
        <w:tabs>
          <w:tab w:leader="none" w:pos="1524" w:val="left"/>
        </w:tabs>
        <w:numPr>
          <w:ilvl w:val="2"/>
          <w:numId w:val="64"/>
        </w:numPr>
        <w:rPr>
          <w:rFonts w:ascii="Arial" w:cs="Arial" w:eastAsia="Arial" w:hAnsi="Arial"/>
          <w:sz w:val="17"/>
          <w:szCs w:val="17"/>
          <w:color w:val="auto"/>
        </w:rPr>
      </w:pPr>
      <w:r>
        <w:rPr>
          <w:rFonts w:ascii="Arial" w:cs="Arial" w:eastAsia="Arial" w:hAnsi="Arial"/>
          <w:sz w:val="19"/>
          <w:szCs w:val="19"/>
          <w:color w:val="auto"/>
        </w:rPr>
        <w:t>a pro-rata portion of the Annual Bonus, payable in the form of a lump sum payment, in an amount equal to the product of (A)(i) 50% of the Annual Base Salary,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828282"/>
        </w:rPr>
        <w:t>5</w:t>
      </w:r>
    </w:p>
    <w:p>
      <w:pPr>
        <w:sectPr>
          <w:pgSz w:w="11900" w:h="16838" w:orient="portrait"/>
          <w:cols w:equalWidth="0" w:num="1">
            <w:col w:w="11412"/>
          </w:cols>
          <w:pgMar w:left="248" w:top="582" w:right="239" w:bottom="1440" w:gutter="0" w:footer="0" w:header="0"/>
        </w:sectPr>
      </w:pPr>
    </w:p>
    <w:bookmarkStart w:id="89" w:name="page90"/>
    <w:bookmarkEnd w:id="89"/>
    <w:p>
      <w:pPr>
        <w:ind w:left="340" w:right="340"/>
        <w:spacing w:after="0" w:line="289" w:lineRule="auto"/>
        <w:rPr>
          <w:sz w:val="20"/>
          <w:szCs w:val="20"/>
          <w:color w:val="auto"/>
        </w:rPr>
      </w:pPr>
      <w:r>
        <w:rPr>
          <w:rFonts w:ascii="Arial" w:cs="Arial" w:eastAsia="Arial" w:hAnsi="Arial"/>
          <w:sz w:val="20"/>
          <w:szCs w:val="20"/>
          <w:color w:val="auto"/>
        </w:rPr>
        <w:t>prior to the Date of Termination as the numerator and 12 as the denominator, payable in either case by the later of March 15 of the year following the year in which the Date of Termination occurs and the Payment Date; and</w:t>
      </w:r>
    </w:p>
    <w:p>
      <w:pPr>
        <w:spacing w:after="0" w:line="175" w:lineRule="exact"/>
        <w:rPr>
          <w:sz w:val="20"/>
          <w:szCs w:val="20"/>
          <w:color w:val="auto"/>
        </w:rPr>
      </w:pPr>
    </w:p>
    <w:p>
      <w:pPr>
        <w:ind w:left="340" w:firstLine="640"/>
        <w:spacing w:after="0" w:line="334" w:lineRule="auto"/>
        <w:tabs>
          <w:tab w:leader="none" w:pos="1582" w:val="left"/>
        </w:tabs>
        <w:numPr>
          <w:ilvl w:val="3"/>
          <w:numId w:val="65"/>
        </w:numPr>
        <w:rPr>
          <w:rFonts w:ascii="Arial" w:cs="Arial" w:eastAsia="Arial" w:hAnsi="Arial"/>
          <w:sz w:val="15"/>
          <w:szCs w:val="15"/>
          <w:color w:val="auto"/>
        </w:rPr>
      </w:pPr>
      <w:r>
        <w:rPr>
          <w:rFonts w:ascii="Arial" w:cs="Arial" w:eastAsia="Arial" w:hAnsi="Arial"/>
          <w:sz w:val="16"/>
          <w:szCs w:val="16"/>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w:t>
      </w:r>
    </w:p>
    <w:p>
      <w:pPr>
        <w:spacing w:after="0" w:line="2" w:lineRule="exact"/>
        <w:rPr>
          <w:rFonts w:ascii="Arial" w:cs="Arial" w:eastAsia="Arial" w:hAnsi="Arial"/>
          <w:sz w:val="15"/>
          <w:szCs w:val="15"/>
          <w:color w:val="auto"/>
        </w:rPr>
      </w:pPr>
    </w:p>
    <w:p>
      <w:pPr>
        <w:ind w:left="340" w:right="60" w:hanging="8"/>
        <w:spacing w:after="0" w:line="307" w:lineRule="auto"/>
        <w:tabs>
          <w:tab w:leader="none" w:pos="6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67" w:lineRule="exact"/>
        <w:rPr>
          <w:rFonts w:ascii="Arial" w:cs="Arial" w:eastAsia="Arial" w:hAnsi="Arial"/>
          <w:sz w:val="18"/>
          <w:szCs w:val="18"/>
          <w:color w:val="auto"/>
        </w:rPr>
      </w:pPr>
    </w:p>
    <w:p>
      <w:pPr>
        <w:ind w:right="40" w:firstLine="656"/>
        <w:spacing w:after="0" w:line="293" w:lineRule="auto"/>
        <w:tabs>
          <w:tab w:leader="none" w:pos="1466" w:val="left"/>
        </w:tabs>
        <w:numPr>
          <w:ilvl w:val="2"/>
          <w:numId w:val="66"/>
        </w:numPr>
        <w:rPr>
          <w:rFonts w:ascii="Arial" w:cs="Arial" w:eastAsia="Arial" w:hAnsi="Arial"/>
          <w:sz w:val="17"/>
          <w:szCs w:val="17"/>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8"/>
          <w:szCs w:val="18"/>
          <w:u w:val="single" w:color="auto"/>
          <w:color w:val="auto"/>
        </w:rPr>
        <w:t>Section 3(a)(iv)</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3(a)(v)</w:t>
      </w:r>
      <w:r>
        <w:rPr>
          <w:rFonts w:ascii="Arial" w:cs="Arial" w:eastAsia="Arial" w:hAnsi="Arial"/>
          <w:sz w:val="18"/>
          <w:szCs w:val="18"/>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Executive’s Separation from Service, and not revoking, the Release (which the Executive will receive no later than ten (10) business days following Executive’s Separation from Service) and Executive’s continued compliance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Executive shall receive, in addition to the payments and benefits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4(b)</w:t>
      </w:r>
      <w:r>
        <w:rPr>
          <w:rFonts w:ascii="Arial" w:cs="Arial" w:eastAsia="Arial" w:hAnsi="Arial"/>
          <w:sz w:val="18"/>
          <w:szCs w:val="18"/>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81" w:lineRule="exact"/>
        <w:rPr>
          <w:rFonts w:ascii="Arial" w:cs="Arial" w:eastAsia="Arial" w:hAnsi="Arial"/>
          <w:sz w:val="17"/>
          <w:szCs w:val="17"/>
          <w:color w:val="auto"/>
        </w:rPr>
      </w:pPr>
    </w:p>
    <w:p>
      <w:pPr>
        <w:ind w:right="20" w:firstLine="656"/>
        <w:spacing w:after="0" w:line="289" w:lineRule="auto"/>
        <w:tabs>
          <w:tab w:leader="none" w:pos="1466" w:val="left"/>
        </w:tabs>
        <w:numPr>
          <w:ilvl w:val="2"/>
          <w:numId w:val="66"/>
        </w:numPr>
        <w:rPr>
          <w:rFonts w:ascii="Arial" w:cs="Arial" w:eastAsia="Arial" w:hAnsi="Arial"/>
          <w:sz w:val="18"/>
          <w:szCs w:val="18"/>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Notwithstanding anything to the contrary in this Agreement, the provisions of </w:t>
      </w:r>
      <w:r>
        <w:rPr>
          <w:rFonts w:ascii="Arial" w:cs="Arial" w:eastAsia="Arial" w:hAnsi="Arial"/>
          <w:sz w:val="20"/>
          <w:szCs w:val="20"/>
          <w:u w:val="single" w:color="auto"/>
          <w:color w:val="auto"/>
        </w:rPr>
        <w:t>Sections 5</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will survive the termination of Executive’s employment and the termination of the Term.</w:t>
      </w:r>
    </w:p>
    <w:p>
      <w:pPr>
        <w:spacing w:after="0" w:line="155" w:lineRule="exact"/>
        <w:rPr>
          <w:rFonts w:ascii="Arial" w:cs="Arial" w:eastAsia="Arial" w:hAnsi="Arial"/>
          <w:sz w:val="18"/>
          <w:szCs w:val="18"/>
          <w:color w:val="auto"/>
        </w:rPr>
      </w:pPr>
    </w:p>
    <w:p>
      <w:pPr>
        <w:ind w:right="260" w:firstLine="8"/>
        <w:spacing w:after="0" w:line="246" w:lineRule="auto"/>
        <w:tabs>
          <w:tab w:leader="none" w:pos="346"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to the effectiveness of this Agreement, Executive will execute and deliver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85" w:lineRule="exact"/>
        <w:rPr>
          <w:rFonts w:ascii="Arial" w:cs="Arial" w:eastAsia="Arial" w:hAnsi="Arial"/>
          <w:sz w:val="20"/>
          <w:szCs w:val="20"/>
          <w:b w:val="1"/>
          <w:bCs w:val="1"/>
          <w:color w:val="auto"/>
        </w:rPr>
      </w:pPr>
    </w:p>
    <w:p>
      <w:pPr>
        <w:ind w:left="360" w:hanging="352"/>
        <w:spacing w:after="0"/>
        <w:tabs>
          <w:tab w:leader="none" w:pos="3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 and Successors</w:t>
      </w:r>
      <w:r>
        <w:rPr>
          <w:rFonts w:ascii="Arial" w:cs="Arial" w:eastAsia="Arial" w:hAnsi="Arial"/>
          <w:sz w:val="20"/>
          <w:szCs w:val="20"/>
          <w:b w:val="1"/>
          <w:bCs w:val="1"/>
          <w:color w:val="auto"/>
        </w:rPr>
        <w:t>.</w:t>
      </w:r>
    </w:p>
    <w:p>
      <w:pPr>
        <w:spacing w:after="0" w:line="22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6</w:t>
      </w:r>
    </w:p>
    <w:p>
      <w:pPr>
        <w:sectPr>
          <w:pgSz w:w="11900" w:h="16838" w:orient="portrait"/>
          <w:cols w:equalWidth="0" w:num="1">
            <w:col w:w="11380"/>
          </w:cols>
          <w:pgMar w:left="240" w:top="595" w:right="279" w:bottom="1440" w:gutter="0" w:footer="0" w:header="0"/>
        </w:sectPr>
      </w:pPr>
    </w:p>
    <w:bookmarkStart w:id="90" w:name="page91"/>
    <w:bookmarkEnd w:id="90"/>
    <w:p>
      <w:pPr>
        <w:ind w:right="20"/>
        <w:spacing w:after="0" w:line="328" w:lineRule="auto"/>
        <w:rPr>
          <w:sz w:val="20"/>
          <w:szCs w:val="20"/>
          <w:color w:val="auto"/>
        </w:rPr>
      </w:pPr>
      <w:r>
        <w:rPr>
          <w:rFonts w:ascii="Arial" w:cs="Arial" w:eastAsia="Arial" w:hAnsi="Arial"/>
          <w:sz w:val="16"/>
          <w:szCs w:val="16"/>
          <w:color w:val="auto"/>
        </w:rPr>
        <w:t>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23"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080" w:hanging="424"/>
        <w:spacing w:after="0"/>
        <w:tabs>
          <w:tab w:leader="none" w:pos="1080"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Company shall have “Cause” to terminate Executive’s employment hereunder upon:</w:t>
      </w:r>
    </w:p>
    <w:p>
      <w:pPr>
        <w:spacing w:after="0" w:line="229" w:lineRule="exact"/>
        <w:rPr>
          <w:rFonts w:ascii="Arial" w:cs="Arial" w:eastAsia="Arial" w:hAnsi="Arial"/>
          <w:sz w:val="20"/>
          <w:szCs w:val="20"/>
          <w:color w:val="auto"/>
        </w:rPr>
      </w:pPr>
    </w:p>
    <w:p>
      <w:pPr>
        <w:ind w:left="1480" w:hanging="500"/>
        <w:spacing w:after="0"/>
        <w:tabs>
          <w:tab w:leader="none" w:pos="1480" w:val="left"/>
        </w:tabs>
        <w:numPr>
          <w:ilvl w:val="2"/>
          <w:numId w:val="68"/>
        </w:numPr>
        <w:rPr>
          <w:rFonts w:ascii="Arial" w:cs="Arial" w:eastAsia="Arial" w:hAnsi="Arial"/>
          <w:sz w:val="17"/>
          <w:szCs w:val="17"/>
          <w:color w:val="auto"/>
        </w:rPr>
      </w:pPr>
      <w:r>
        <w:rPr>
          <w:rFonts w:ascii="Arial" w:cs="Arial" w:eastAsia="Arial" w:hAnsi="Arial"/>
          <w:sz w:val="19"/>
          <w:szCs w:val="19"/>
          <w:color w:val="auto"/>
        </w:rPr>
        <w:t>Executive’s commission of, or indictment or conviction for, any felony or any crime involving dishonesty by Executive;</w:t>
      </w:r>
    </w:p>
    <w:p>
      <w:pPr>
        <w:spacing w:after="0" w:line="254" w:lineRule="exact"/>
        <w:rPr>
          <w:rFonts w:ascii="Arial" w:cs="Arial" w:eastAsia="Arial" w:hAnsi="Arial"/>
          <w:sz w:val="17"/>
          <w:szCs w:val="17"/>
          <w:color w:val="auto"/>
        </w:rPr>
      </w:pPr>
    </w:p>
    <w:p>
      <w:pPr>
        <w:ind w:left="1520" w:hanging="540"/>
        <w:spacing w:after="0"/>
        <w:tabs>
          <w:tab w:leader="none" w:pos="1520" w:val="left"/>
        </w:tabs>
        <w:numPr>
          <w:ilvl w:val="2"/>
          <w:numId w:val="68"/>
        </w:numPr>
        <w:rPr>
          <w:rFonts w:ascii="Arial" w:cs="Arial" w:eastAsia="Arial" w:hAnsi="Arial"/>
          <w:sz w:val="18"/>
          <w:szCs w:val="18"/>
          <w:color w:val="auto"/>
        </w:rPr>
      </w:pPr>
      <w:r>
        <w:rPr>
          <w:rFonts w:ascii="Arial" w:cs="Arial" w:eastAsia="Arial" w:hAnsi="Arial"/>
          <w:sz w:val="20"/>
          <w:szCs w:val="20"/>
          <w:color w:val="auto"/>
        </w:rPr>
        <w:t>Executive’s participation in any fraud against the Company or any of its affiliates;</w:t>
      </w:r>
    </w:p>
    <w:p>
      <w:pPr>
        <w:spacing w:after="0" w:line="242" w:lineRule="exact"/>
        <w:rPr>
          <w:rFonts w:ascii="Arial" w:cs="Arial" w:eastAsia="Arial" w:hAnsi="Arial"/>
          <w:sz w:val="18"/>
          <w:szCs w:val="18"/>
          <w:color w:val="auto"/>
        </w:rPr>
      </w:pPr>
    </w:p>
    <w:p>
      <w:pPr>
        <w:ind w:left="1580" w:hanging="600"/>
        <w:spacing w:after="0"/>
        <w:tabs>
          <w:tab w:leader="none" w:pos="1580" w:val="left"/>
        </w:tabs>
        <w:numPr>
          <w:ilvl w:val="2"/>
          <w:numId w:val="68"/>
        </w:numPr>
        <w:rPr>
          <w:rFonts w:ascii="Arial" w:cs="Arial" w:eastAsia="Arial" w:hAnsi="Arial"/>
          <w:sz w:val="18"/>
          <w:szCs w:val="18"/>
          <w:color w:val="auto"/>
        </w:rPr>
      </w:pPr>
      <w:r>
        <w:rPr>
          <w:rFonts w:ascii="Arial" w:cs="Arial" w:eastAsia="Arial" w:hAnsi="Arial"/>
          <w:sz w:val="20"/>
          <w:szCs w:val="20"/>
          <w:color w:val="auto"/>
        </w:rPr>
        <w:t>Any intentional material damage to any property of the Company or any of its affiliates by Executive;</w:t>
      </w:r>
    </w:p>
    <w:p>
      <w:pPr>
        <w:spacing w:after="0" w:line="242" w:lineRule="exact"/>
        <w:rPr>
          <w:rFonts w:ascii="Arial" w:cs="Arial" w:eastAsia="Arial" w:hAnsi="Arial"/>
          <w:sz w:val="18"/>
          <w:szCs w:val="18"/>
          <w:color w:val="auto"/>
        </w:rPr>
      </w:pPr>
    </w:p>
    <w:p>
      <w:pPr>
        <w:ind w:left="340" w:right="20" w:firstLine="640"/>
        <w:spacing w:after="0" w:line="278" w:lineRule="auto"/>
        <w:tabs>
          <w:tab w:leader="none" w:pos="1572" w:val="left"/>
        </w:tabs>
        <w:numPr>
          <w:ilvl w:val="2"/>
          <w:numId w:val="68"/>
        </w:numPr>
        <w:rPr>
          <w:rFonts w:ascii="Arial" w:cs="Arial" w:eastAsia="Arial" w:hAnsi="Arial"/>
          <w:sz w:val="18"/>
          <w:szCs w:val="18"/>
          <w:color w:val="auto"/>
        </w:rPr>
      </w:pPr>
      <w:r>
        <w:rPr>
          <w:rFonts w:ascii="Arial" w:cs="Arial" w:eastAsia="Arial" w:hAnsi="Arial"/>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186" w:lineRule="exact"/>
        <w:rPr>
          <w:rFonts w:ascii="Arial" w:cs="Arial" w:eastAsia="Arial" w:hAnsi="Arial"/>
          <w:sz w:val="18"/>
          <w:szCs w:val="18"/>
          <w:color w:val="auto"/>
        </w:rPr>
      </w:pPr>
    </w:p>
    <w:p>
      <w:pPr>
        <w:jc w:val="both"/>
        <w:ind w:left="340" w:right="200" w:firstLine="640"/>
        <w:spacing w:after="0" w:line="278" w:lineRule="auto"/>
        <w:tabs>
          <w:tab w:leader="none" w:pos="1522" w:val="left"/>
        </w:tabs>
        <w:numPr>
          <w:ilvl w:val="2"/>
          <w:numId w:val="68"/>
        </w:numPr>
        <w:rPr>
          <w:rFonts w:ascii="Arial" w:cs="Arial" w:eastAsia="Arial" w:hAnsi="Arial"/>
          <w:sz w:val="18"/>
          <w:szCs w:val="18"/>
          <w:color w:val="auto"/>
        </w:rPr>
      </w:pPr>
      <w:r>
        <w:rPr>
          <w:rFonts w:ascii="Arial" w:cs="Arial" w:eastAsia="Arial" w:hAnsi="Arial"/>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73" w:lineRule="exact"/>
        <w:rPr>
          <w:rFonts w:ascii="Arial" w:cs="Arial" w:eastAsia="Arial" w:hAnsi="Arial"/>
          <w:sz w:val="18"/>
          <w:szCs w:val="18"/>
          <w:color w:val="auto"/>
        </w:rPr>
      </w:pPr>
    </w:p>
    <w:p>
      <w:pPr>
        <w:ind w:right="440" w:firstLine="656"/>
        <w:spacing w:after="0" w:line="260" w:lineRule="auto"/>
        <w:tabs>
          <w:tab w:leader="none" w:pos="1077"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“Change in Control” shall have the meaning set forth in the version of the Selecta Biosciences, Inc. 2016 Incentive Award Plan in effect on the Effective Date.</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Code</w:t>
      </w:r>
      <w:r>
        <w:rPr>
          <w:rFonts w:ascii="Arial" w:cs="Arial" w:eastAsia="Arial" w:hAnsi="Arial"/>
          <w:sz w:val="19"/>
          <w:szCs w:val="19"/>
          <w:color w:val="auto"/>
        </w:rPr>
        <w:t>. “Code” shall mean the Internal Revenue Code of 1986, as amended, and the regulations and guidance promulgated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thereunder.</w:t>
      </w:r>
    </w:p>
    <w:p>
      <w:pPr>
        <w:spacing w:after="0" w:line="199" w:lineRule="exact"/>
        <w:rPr>
          <w:rFonts w:ascii="Arial" w:cs="Arial" w:eastAsia="Arial" w:hAnsi="Arial"/>
          <w:sz w:val="19"/>
          <w:szCs w:val="19"/>
          <w:color w:val="auto"/>
        </w:rPr>
      </w:pPr>
    </w:p>
    <w:p>
      <w:pPr>
        <w:jc w:val="both"/>
        <w:ind w:right="20" w:firstLine="656"/>
        <w:spacing w:after="0" w:line="250" w:lineRule="auto"/>
        <w:tabs>
          <w:tab w:leader="none" w:pos="1077"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20"/>
          <w:szCs w:val="20"/>
          <w:u w:val="single" w:color="auto"/>
          <w:color w:val="auto"/>
        </w:rPr>
        <w:t>Section 3(a)(ii) - (vi)</w:t>
      </w:r>
      <w:r>
        <w:rPr>
          <w:rFonts w:ascii="Arial" w:cs="Arial" w:eastAsia="Arial" w:hAnsi="Arial"/>
          <w:sz w:val="20"/>
          <w:szCs w:val="20"/>
          <w:color w:val="auto"/>
        </w:rPr>
        <w:t xml:space="preserve"> either the date indicated in the Notice of Termination or the date specified by the Company pursuant to </w:t>
      </w:r>
      <w:r>
        <w:rPr>
          <w:rFonts w:ascii="Arial" w:cs="Arial" w:eastAsia="Arial" w:hAnsi="Arial"/>
          <w:sz w:val="20"/>
          <w:szCs w:val="20"/>
          <w:u w:val="single" w:color="auto"/>
          <w:color w:val="auto"/>
        </w:rPr>
        <w:t>Section 3(b)</w:t>
      </w:r>
      <w:r>
        <w:rPr>
          <w:rFonts w:ascii="Arial" w:cs="Arial" w:eastAsia="Arial" w:hAnsi="Arial"/>
          <w:sz w:val="20"/>
          <w:szCs w:val="20"/>
          <w:color w:val="auto"/>
        </w:rPr>
        <w:t>, whichever is earlier.</w:t>
      </w:r>
    </w:p>
    <w:p>
      <w:pPr>
        <w:spacing w:after="0" w:line="186" w:lineRule="exact"/>
        <w:rPr>
          <w:rFonts w:ascii="Arial" w:cs="Arial" w:eastAsia="Arial" w:hAnsi="Arial"/>
          <w:sz w:val="20"/>
          <w:szCs w:val="20"/>
          <w:color w:val="auto"/>
        </w:rPr>
      </w:pPr>
    </w:p>
    <w:p>
      <w:pPr>
        <w:ind w:firstLine="656"/>
        <w:spacing w:after="0" w:line="258" w:lineRule="auto"/>
        <w:tabs>
          <w:tab w:leader="none" w:pos="1066"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9"/>
          <w:szCs w:val="19"/>
          <w:i w:val="1"/>
          <w:iCs w:val="1"/>
          <w:color w:val="auto"/>
        </w:rPr>
        <w:t>provided, however</w:t>
      </w:r>
      <w:r>
        <w:rPr>
          <w:rFonts w:ascii="Arial" w:cs="Arial" w:eastAsia="Arial" w:hAnsi="Arial"/>
          <w:sz w:val="19"/>
          <w:szCs w:val="19"/>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7</w:t>
      </w:r>
    </w:p>
    <w:p>
      <w:pPr>
        <w:sectPr>
          <w:pgSz w:w="11900" w:h="16838" w:orient="portrait"/>
          <w:cols w:equalWidth="0" w:num="1">
            <w:col w:w="11400"/>
          </w:cols>
          <w:pgMar w:left="240" w:top="582" w:right="259" w:bottom="1440" w:gutter="0" w:footer="0" w:header="0"/>
        </w:sectPr>
      </w:pPr>
    </w:p>
    <w:bookmarkStart w:id="91" w:name="page92"/>
    <w:bookmarkEnd w:id="91"/>
    <w:p>
      <w:pPr>
        <w:ind w:right="140"/>
        <w:spacing w:after="0" w:line="244" w:lineRule="auto"/>
        <w:rPr>
          <w:sz w:val="20"/>
          <w:szCs w:val="20"/>
          <w:color w:val="auto"/>
        </w:rPr>
      </w:pPr>
      <w:r>
        <w:rPr>
          <w:rFonts w:ascii="Arial" w:cs="Arial" w:eastAsia="Arial" w:hAnsi="Arial"/>
          <w:sz w:val="20"/>
          <w:szCs w:val="20"/>
          <w:color w:val="auto"/>
        </w:rPr>
        <w:t>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95" w:lineRule="exact"/>
        <w:rPr>
          <w:sz w:val="20"/>
          <w:szCs w:val="20"/>
          <w:color w:val="auto"/>
        </w:rPr>
      </w:pPr>
    </w:p>
    <w:p>
      <w:pPr>
        <w:ind w:right="60" w:firstLine="656"/>
        <w:spacing w:after="0" w:line="271" w:lineRule="auto"/>
        <w:tabs>
          <w:tab w:leader="none" w:pos="1044"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the sole purpose of determining Executive’s right to severance payments and benefits as described above, Executive’s resignation will be for “Good Reason” if Executive resigns within one year after any of the following events, unless Executive consents to the applicable event in writing: (i) a material reduction in Executive’s Annual Base Salary or the combined percentage of Executive’s Annual Base Salary represented by the Target Bonus and the Special Bonus opportunity, (ii) a material diminution in Executive’s authority, title or duties or areas of responsibility, (iii) the requirement that the Executive report to someone other than the Chief Executive Officer, (iv) the relocation of Executive’s primary office to a location more than 40 miles from the Boston metropolitan area (other than a relocation to a location within 40 miles of Lancaster, Pennsylvania), or (v)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30 days after the receipt of such notice.</w:t>
      </w:r>
    </w:p>
    <w:p>
      <w:pPr>
        <w:spacing w:after="0" w:line="164" w:lineRule="exact"/>
        <w:rPr>
          <w:rFonts w:ascii="Arial" w:cs="Arial" w:eastAsia="Arial" w:hAnsi="Arial"/>
          <w:sz w:val="18"/>
          <w:szCs w:val="18"/>
          <w:color w:val="auto"/>
        </w:rPr>
      </w:pPr>
    </w:p>
    <w:p>
      <w:pPr>
        <w:ind w:left="360" w:hanging="352"/>
        <w:spacing w:after="0"/>
        <w:tabs>
          <w:tab w:leader="none" w:pos="3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Parachute Payments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right="20" w:firstLine="656"/>
        <w:spacing w:after="0" w:line="255" w:lineRule="auto"/>
        <w:tabs>
          <w:tab w:leader="none" w:pos="1066"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85" w:lineRule="exact"/>
        <w:rPr>
          <w:rFonts w:ascii="Arial" w:cs="Arial" w:eastAsia="Arial" w:hAnsi="Arial"/>
          <w:sz w:val="19"/>
          <w:szCs w:val="19"/>
          <w:color w:val="auto"/>
        </w:rPr>
      </w:pPr>
    </w:p>
    <w:p>
      <w:pPr>
        <w:ind w:firstLine="656"/>
        <w:spacing w:after="0" w:line="244" w:lineRule="auto"/>
        <w:tabs>
          <w:tab w:leader="none" w:pos="1073"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Total Payments shall be reduced in the following order: (i) reduction on a pro-rata basis of any cash severance payments that are exempt from Section 409A of the Code (“</w:t>
      </w:r>
      <w:r>
        <w:rPr>
          <w:rFonts w:ascii="Arial" w:cs="Arial" w:eastAsia="Arial" w:hAnsi="Arial"/>
          <w:sz w:val="20"/>
          <w:szCs w:val="20"/>
          <w:u w:val="single" w:color="auto"/>
          <w:color w:val="auto"/>
        </w:rPr>
        <w:t>Section 409A</w:t>
      </w:r>
      <w:r>
        <w:rPr>
          <w:rFonts w:ascii="Arial" w:cs="Arial" w:eastAsia="Arial" w:hAnsi="Arial"/>
          <w:sz w:val="20"/>
          <w:szCs w:val="20"/>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8</w:t>
      </w:r>
    </w:p>
    <w:p>
      <w:pPr>
        <w:sectPr>
          <w:pgSz w:w="11900" w:h="16838" w:orient="portrait"/>
          <w:cols w:equalWidth="0" w:num="1">
            <w:col w:w="11420"/>
          </w:cols>
          <w:pgMar w:left="240" w:top="582" w:right="239" w:bottom="1440" w:gutter="0" w:footer="0" w:header="0"/>
        </w:sectPr>
      </w:pPr>
    </w:p>
    <w:bookmarkStart w:id="92" w:name="page93"/>
    <w:bookmarkEnd w:id="92"/>
    <w:p>
      <w:pPr>
        <w:ind w:right="400"/>
        <w:spacing w:after="0" w:line="260" w:lineRule="auto"/>
        <w:rPr>
          <w:sz w:val="20"/>
          <w:szCs w:val="20"/>
          <w:color w:val="auto"/>
        </w:rPr>
      </w:pPr>
      <w:r>
        <w:rPr>
          <w:rFonts w:ascii="Arial" w:cs="Arial" w:eastAsia="Arial" w:hAnsi="Arial"/>
          <w:sz w:val="20"/>
          <w:szCs w:val="20"/>
          <w:color w:val="auto"/>
        </w:rPr>
        <w:t>(iv), that reduction of any payments attributable to the acceleration of vesting of Company equity awards shall be first applied to Company equity awards that would otherwise vest last in time.</w:t>
      </w:r>
    </w:p>
    <w:p>
      <w:pPr>
        <w:spacing w:after="0" w:line="177" w:lineRule="exact"/>
        <w:rPr>
          <w:sz w:val="20"/>
          <w:szCs w:val="20"/>
          <w:color w:val="auto"/>
        </w:rPr>
      </w:pPr>
    </w:p>
    <w:p>
      <w:pPr>
        <w:ind w:firstLine="656"/>
        <w:spacing w:after="0" w:line="257" w:lineRule="auto"/>
        <w:tabs>
          <w:tab w:leader="none" w:pos="1062"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xml:space="preserve">”) to make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1" w:lineRule="exact"/>
        <w:rPr>
          <w:rFonts w:ascii="Arial" w:cs="Arial" w:eastAsia="Arial" w:hAnsi="Arial"/>
          <w:sz w:val="19"/>
          <w:szCs w:val="19"/>
          <w:color w:val="auto"/>
        </w:rPr>
      </w:pPr>
    </w:p>
    <w:p>
      <w:pPr>
        <w:ind w:right="120" w:firstLine="656"/>
        <w:spacing w:after="0" w:line="309" w:lineRule="auto"/>
        <w:tabs>
          <w:tab w:leader="none" w:pos="1077"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If Executive incurs legal fees or other expenses (including expert witness and accounting fees) in an effort to determine the applicability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establish entitlement to or obtain any portion of the Total Payments that have been reduced under this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spacing w:after="0" w:line="271" w:lineRule="auto"/>
        <w:rPr>
          <w:rFonts w:ascii="Arial" w:cs="Arial" w:eastAsia="Arial" w:hAnsi="Arial"/>
          <w:sz w:val="16"/>
          <w:szCs w:val="16"/>
          <w:color w:val="auto"/>
        </w:rPr>
      </w:pPr>
      <w:r>
        <w:rPr>
          <w:rFonts w:ascii="Arial" w:cs="Arial" w:eastAsia="Arial" w:hAnsi="Arial"/>
          <w:sz w:val="18"/>
          <w:szCs w:val="18"/>
          <w:u w:val="single" w:color="auto"/>
          <w:color w:val="auto"/>
        </w:rPr>
        <w:t>8</w:t>
      </w:r>
      <w:r>
        <w:rPr>
          <w:rFonts w:ascii="Arial" w:cs="Arial" w:eastAsia="Arial" w:hAnsi="Arial"/>
          <w:sz w:val="18"/>
          <w:szCs w:val="18"/>
          <w:color w:val="auto"/>
        </w:rPr>
        <w:t xml:space="preserve"> (collectively, “Legal and Other Expenses”), Executive shall be entitled to payment of or reimbursement for such Legal and Other Expenses in accordance with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Subject to Sections </w:t>
      </w:r>
      <w:r>
        <w:rPr>
          <w:rFonts w:ascii="Arial" w:cs="Arial" w:eastAsia="Arial" w:hAnsi="Arial"/>
          <w:sz w:val="18"/>
          <w:szCs w:val="18"/>
          <w:u w:val="single" w:color="auto"/>
          <w:color w:val="auto"/>
        </w:rPr>
        <w:t>9(l)(iv)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9(m)</w:t>
      </w:r>
      <w:r>
        <w:rPr>
          <w:rFonts w:ascii="Arial" w:cs="Arial" w:eastAsia="Arial" w:hAnsi="Arial"/>
          <w:sz w:val="18"/>
          <w:szCs w:val="18"/>
          <w:color w:val="auto"/>
        </w:rPr>
        <w:t xml:space="preserve"> and the other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71" w:lineRule="exact"/>
        <w:rPr>
          <w:rFonts w:ascii="Arial" w:cs="Arial" w:eastAsia="Arial" w:hAnsi="Arial"/>
          <w:sz w:val="16"/>
          <w:szCs w:val="16"/>
          <w:color w:val="auto"/>
        </w:rPr>
      </w:pPr>
    </w:p>
    <w:p>
      <w:pPr>
        <w:jc w:val="both"/>
        <w:ind w:right="180" w:firstLine="656"/>
        <w:spacing w:after="0" w:line="263" w:lineRule="auto"/>
        <w:tabs>
          <w:tab w:leader="none" w:pos="1066"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In the event it is later determined that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70" w:lineRule="exact"/>
        <w:rPr>
          <w:rFonts w:ascii="Arial" w:cs="Arial" w:eastAsia="Arial" w:hAnsi="Arial"/>
          <w:sz w:val="19"/>
          <w:szCs w:val="19"/>
          <w:color w:val="auto"/>
        </w:rPr>
      </w:pPr>
    </w:p>
    <w:p>
      <w:pPr>
        <w:ind w:left="360" w:hanging="352"/>
        <w:spacing w:after="0"/>
        <w:tabs>
          <w:tab w:leader="none" w:pos="36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right="60" w:firstLine="656"/>
        <w:spacing w:after="0" w:line="263" w:lineRule="auto"/>
        <w:tabs>
          <w:tab w:leader="none" w:pos="1066"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76" w:lineRule="exact"/>
        <w:rPr>
          <w:rFonts w:ascii="Arial" w:cs="Arial" w:eastAsia="Arial" w:hAnsi="Arial"/>
          <w:sz w:val="19"/>
          <w:szCs w:val="19"/>
          <w:color w:val="auto"/>
        </w:rPr>
      </w:pPr>
    </w:p>
    <w:p>
      <w:pPr>
        <w:ind w:right="620" w:firstLine="656"/>
        <w:spacing w:after="0" w:line="260" w:lineRule="auto"/>
        <w:tabs>
          <w:tab w:leader="none" w:pos="1077"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9</w:t>
      </w:r>
    </w:p>
    <w:p>
      <w:pPr>
        <w:sectPr>
          <w:pgSz w:w="11900" w:h="16838" w:orient="portrait"/>
          <w:cols w:equalWidth="0" w:num="1">
            <w:col w:w="11400"/>
          </w:cols>
          <w:pgMar w:left="240" w:top="582" w:right="259" w:bottom="1440" w:gutter="0" w:footer="0" w:header="0"/>
        </w:sectPr>
      </w:pPr>
    </w:p>
    <w:bookmarkStart w:id="93" w:name="page94"/>
    <w:bookmarkEnd w:id="93"/>
    <w:p>
      <w:pPr>
        <w:ind w:left="-20" w:right="180" w:firstLine="656"/>
        <w:spacing w:after="0" w:line="250" w:lineRule="auto"/>
        <w:tabs>
          <w:tab w:leader="none" w:pos="1046"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6" w:lineRule="exact"/>
        <w:rPr>
          <w:rFonts w:ascii="Arial" w:cs="Arial" w:eastAsia="Arial" w:hAnsi="Arial"/>
          <w:sz w:val="20"/>
          <w:szCs w:val="20"/>
          <w:color w:val="auto"/>
        </w:rPr>
      </w:pPr>
    </w:p>
    <w:p>
      <w:pPr>
        <w:ind w:left="2000" w:hanging="391"/>
        <w:spacing w:after="0"/>
        <w:tabs>
          <w:tab w:leader="none" w:pos="20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If to the Company, to the General Counsel of the Company at the Company’s headquarters,</w:t>
      </w:r>
    </w:p>
    <w:p>
      <w:pPr>
        <w:spacing w:after="0" w:line="215" w:lineRule="exact"/>
        <w:rPr>
          <w:rFonts w:ascii="Arial" w:cs="Arial" w:eastAsia="Arial" w:hAnsi="Arial"/>
          <w:sz w:val="20"/>
          <w:szCs w:val="20"/>
          <w:color w:val="auto"/>
        </w:rPr>
      </w:pPr>
    </w:p>
    <w:p>
      <w:pPr>
        <w:ind w:left="2040" w:hanging="431"/>
        <w:spacing w:after="0"/>
        <w:tabs>
          <w:tab w:leader="none" w:pos="2040" w:val="left"/>
        </w:tabs>
        <w:numPr>
          <w:ilvl w:val="1"/>
          <w:numId w:val="73"/>
        </w:numPr>
        <w:rPr>
          <w:rFonts w:ascii="Arial" w:cs="Arial" w:eastAsia="Arial" w:hAnsi="Arial"/>
          <w:sz w:val="20"/>
          <w:szCs w:val="20"/>
          <w:color w:val="auto"/>
        </w:rPr>
      </w:pPr>
      <w:r>
        <w:rPr>
          <w:rFonts w:ascii="Arial" w:cs="Arial" w:eastAsia="Arial" w:hAnsi="Arial"/>
          <w:sz w:val="20"/>
          <w:szCs w:val="20"/>
          <w:color w:val="auto"/>
        </w:rPr>
        <w:t>If to Executive, to the last address that the Company has in its personnel records for Executive, or</w:t>
      </w:r>
    </w:p>
    <w:p>
      <w:pPr>
        <w:spacing w:after="0" w:line="215" w:lineRule="exact"/>
        <w:rPr>
          <w:rFonts w:ascii="Arial" w:cs="Arial" w:eastAsia="Arial" w:hAnsi="Arial"/>
          <w:sz w:val="20"/>
          <w:szCs w:val="20"/>
          <w:color w:val="auto"/>
        </w:rPr>
      </w:pPr>
    </w:p>
    <w:p>
      <w:pPr>
        <w:ind w:left="2100" w:hanging="491"/>
        <w:spacing w:after="0"/>
        <w:tabs>
          <w:tab w:leader="none" w:pos="21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at any other address as any Party shall have specified by notice in writing to the other Party.</w:t>
      </w:r>
    </w:p>
    <w:p>
      <w:pPr>
        <w:spacing w:after="0" w:line="215" w:lineRule="exact"/>
        <w:rPr>
          <w:rFonts w:ascii="Arial" w:cs="Arial" w:eastAsia="Arial" w:hAnsi="Arial"/>
          <w:sz w:val="20"/>
          <w:szCs w:val="20"/>
          <w:color w:val="auto"/>
        </w:rPr>
      </w:pPr>
    </w:p>
    <w:p>
      <w:pPr>
        <w:ind w:left="-20" w:firstLine="656"/>
        <w:spacing w:after="0" w:line="250" w:lineRule="auto"/>
        <w:tabs>
          <w:tab w:leader="none" w:pos="1057"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6" w:lineRule="exact"/>
        <w:rPr>
          <w:rFonts w:ascii="Arial" w:cs="Arial" w:eastAsia="Arial" w:hAnsi="Arial"/>
          <w:sz w:val="20"/>
          <w:szCs w:val="20"/>
          <w:color w:val="auto"/>
        </w:rPr>
      </w:pPr>
    </w:p>
    <w:p>
      <w:pPr>
        <w:ind w:left="-20" w:firstLine="656"/>
        <w:spacing w:after="0" w:line="259" w:lineRule="auto"/>
        <w:tabs>
          <w:tab w:leader="none" w:pos="104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The terms of this Agreement, the Restrictive Covenant Agreement incorporated herein by reference as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78" w:lineRule="exact"/>
        <w:rPr>
          <w:rFonts w:ascii="Arial" w:cs="Arial" w:eastAsia="Arial" w:hAnsi="Arial"/>
          <w:sz w:val="19"/>
          <w:szCs w:val="19"/>
          <w:color w:val="auto"/>
        </w:rPr>
      </w:pPr>
    </w:p>
    <w:p>
      <w:pPr>
        <w:ind w:left="-20" w:firstLine="656"/>
        <w:spacing w:after="0" w:line="260" w:lineRule="auto"/>
        <w:tabs>
          <w:tab w:leader="none" w:pos="1024"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The Parties acknowledge that they have or will enter into an Indemnification Agreement in substantially the form attached as Exhibit C hereto.</w:t>
      </w:r>
    </w:p>
    <w:p>
      <w:pPr>
        <w:spacing w:after="0" w:line="176" w:lineRule="exact"/>
        <w:rPr>
          <w:rFonts w:ascii="Arial" w:cs="Arial" w:eastAsia="Arial" w:hAnsi="Arial"/>
          <w:sz w:val="20"/>
          <w:szCs w:val="20"/>
          <w:color w:val="auto"/>
        </w:rPr>
      </w:pPr>
    </w:p>
    <w:p>
      <w:pPr>
        <w:ind w:left="-20" w:right="20" w:firstLine="656"/>
        <w:spacing w:after="0" w:line="259" w:lineRule="auto"/>
        <w:tabs>
          <w:tab w:leader="none" w:pos="1057"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Amendments; Waivers</w:t>
      </w:r>
      <w:r>
        <w:rPr>
          <w:rFonts w:ascii="Arial" w:cs="Arial" w:eastAsia="Arial" w:hAnsi="Arial"/>
          <w:sz w:val="19"/>
          <w:szCs w:val="19"/>
          <w:color w:val="auto"/>
        </w:rPr>
        <w:t>.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provided, however,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78" w:lineRule="exact"/>
        <w:rPr>
          <w:rFonts w:ascii="Arial" w:cs="Arial" w:eastAsia="Arial" w:hAnsi="Arial"/>
          <w:sz w:val="19"/>
          <w:szCs w:val="19"/>
          <w:color w:val="auto"/>
        </w:rPr>
      </w:pPr>
    </w:p>
    <w:p>
      <w:pPr>
        <w:ind w:left="-20" w:right="440" w:firstLine="656"/>
        <w:spacing w:after="0" w:line="269" w:lineRule="auto"/>
        <w:tabs>
          <w:tab w:leader="none" w:pos="1057"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 Inconsistent Actions</w:t>
      </w:r>
      <w:r>
        <w:rPr>
          <w:rFonts w:ascii="Arial" w:cs="Arial" w:eastAsia="Arial" w:hAnsi="Arial"/>
          <w:sz w:val="19"/>
          <w:szCs w:val="19"/>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70" w:lineRule="exact"/>
        <w:rPr>
          <w:rFonts w:ascii="Arial" w:cs="Arial" w:eastAsia="Arial" w:hAnsi="Arial"/>
          <w:sz w:val="19"/>
          <w:szCs w:val="19"/>
          <w:color w:val="auto"/>
        </w:rPr>
      </w:pPr>
    </w:p>
    <w:p>
      <w:pPr>
        <w:ind w:left="-20" w:right="60" w:firstLine="656"/>
        <w:spacing w:after="0" w:line="243" w:lineRule="auto"/>
        <w:tabs>
          <w:tab w:leader="none" w:pos="1013"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10</w:t>
      </w:r>
    </w:p>
    <w:p>
      <w:pPr>
        <w:sectPr>
          <w:pgSz w:w="11900" w:h="16838" w:orient="portrait"/>
          <w:cols w:equalWidth="0" w:num="1">
            <w:col w:w="11380"/>
          </w:cols>
          <w:pgMar w:left="260" w:top="582" w:right="259" w:bottom="1440" w:gutter="0" w:footer="0" w:header="0"/>
        </w:sectPr>
      </w:pPr>
    </w:p>
    <w:bookmarkStart w:id="94" w:name="page95"/>
    <w:bookmarkEnd w:id="94"/>
    <w:p>
      <w:pPr>
        <w:ind w:right="180"/>
        <w:spacing w:after="0" w:line="282" w:lineRule="auto"/>
        <w:rPr>
          <w:sz w:val="20"/>
          <w:szCs w:val="20"/>
          <w:color w:val="auto"/>
        </w:rPr>
      </w:pPr>
      <w:r>
        <w:rPr>
          <w:rFonts w:ascii="Arial" w:cs="Arial" w:eastAsia="Arial" w:hAnsi="Arial"/>
          <w:sz w:val="18"/>
          <w:szCs w:val="18"/>
          <w:color w:val="auto"/>
        </w:rPr>
        <w:t>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62" w:lineRule="exact"/>
        <w:rPr>
          <w:sz w:val="20"/>
          <w:szCs w:val="20"/>
          <w:color w:val="auto"/>
        </w:rPr>
      </w:pPr>
    </w:p>
    <w:p>
      <w:pPr>
        <w:ind w:right="40" w:firstLine="656"/>
        <w:spacing w:after="0" w:line="276" w:lineRule="auto"/>
        <w:tabs>
          <w:tab w:leader="none" w:pos="103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8" w:lineRule="exact"/>
        <w:rPr>
          <w:rFonts w:ascii="Arial" w:cs="Arial" w:eastAsia="Arial" w:hAnsi="Arial"/>
          <w:sz w:val="18"/>
          <w:szCs w:val="18"/>
          <w:color w:val="auto"/>
        </w:rPr>
      </w:pPr>
    </w:p>
    <w:p>
      <w:pPr>
        <w:jc w:val="both"/>
        <w:ind w:right="20" w:firstLine="656"/>
        <w:spacing w:after="0" w:line="278" w:lineRule="auto"/>
        <w:tabs>
          <w:tab w:leader="none" w:pos="1506" w:val="left"/>
        </w:tabs>
        <w:numPr>
          <w:ilvl w:val="0"/>
          <w:numId w:val="74"/>
        </w:numPr>
        <w:rPr>
          <w:rFonts w:ascii="Arial" w:cs="Arial" w:eastAsia="Arial" w:hAnsi="Arial"/>
          <w:sz w:val="18"/>
          <w:szCs w:val="18"/>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86" w:lineRule="exact"/>
        <w:rPr>
          <w:rFonts w:ascii="Arial" w:cs="Arial" w:eastAsia="Arial" w:hAnsi="Arial"/>
          <w:sz w:val="18"/>
          <w:szCs w:val="18"/>
          <w:color w:val="auto"/>
        </w:rPr>
      </w:pPr>
    </w:p>
    <w:p>
      <w:pPr>
        <w:ind w:left="1480" w:hanging="824"/>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ind w:left="340" w:right="300" w:firstLine="640"/>
        <w:spacing w:after="0" w:line="421" w:lineRule="auto"/>
        <w:tabs>
          <w:tab w:leader="none" w:pos="1482" w:val="left"/>
        </w:tabs>
        <w:numPr>
          <w:ilvl w:val="1"/>
          <w:numId w:val="74"/>
        </w:numPr>
        <w:rPr>
          <w:rFonts w:ascii="Arial" w:cs="Arial" w:eastAsia="Arial" w:hAnsi="Arial"/>
          <w:sz w:val="15"/>
          <w:szCs w:val="15"/>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intent of the Parties is that the payments and benefits under this Agreement comply with or be exempt from</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and, accordingly, to the maximum extent permitted, this Agreement shall be interpreted to be in compliance therewith.</w:t>
      </w:r>
    </w:p>
    <w:p>
      <w:pPr>
        <w:spacing w:after="0" w:line="83" w:lineRule="exact"/>
        <w:rPr>
          <w:rFonts w:ascii="Arial" w:cs="Arial" w:eastAsia="Arial" w:hAnsi="Arial"/>
          <w:sz w:val="15"/>
          <w:szCs w:val="15"/>
          <w:color w:val="auto"/>
        </w:rPr>
      </w:pPr>
    </w:p>
    <w:p>
      <w:pPr>
        <w:ind w:left="340" w:right="120" w:firstLine="640"/>
        <w:spacing w:after="0" w:line="322" w:lineRule="auto"/>
        <w:tabs>
          <w:tab w:leader="none" w:pos="1532" w:val="left"/>
        </w:tabs>
        <w:numPr>
          <w:ilvl w:val="1"/>
          <w:numId w:val="74"/>
        </w:numPr>
        <w:rPr>
          <w:rFonts w:ascii="Arial" w:cs="Arial" w:eastAsia="Arial" w:hAnsi="Arial"/>
          <w:sz w:val="16"/>
          <w:szCs w:val="16"/>
          <w:color w:val="auto"/>
        </w:rPr>
      </w:pPr>
      <w:r>
        <w:rPr>
          <w:rFonts w:ascii="Arial" w:cs="Arial" w:eastAsia="Arial" w:hAnsi="Arial"/>
          <w:sz w:val="18"/>
          <w:szCs w:val="18"/>
          <w:i w:val="1"/>
          <w:iCs w:val="1"/>
          <w:color w:val="auto"/>
        </w:rPr>
        <w:t xml:space="preserve">Separation from Service. </w:t>
      </w:r>
      <w:r>
        <w:rPr>
          <w:rFonts w:ascii="Arial" w:cs="Arial" w:eastAsia="Arial" w:hAnsi="Arial"/>
          <w:sz w:val="18"/>
          <w:szCs w:val="18"/>
          <w:color w:val="auto"/>
        </w:rPr>
        <w:t>For purposes of any compensation or benefits payable to Executive under this Agreement, all</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to “termination of employment” and correlative phrases shall be construed to require a “separation from service” (as defined in Section 1.409A-1(h) of the Treasury regulations after giving effect to the presumptions contained therein)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52" w:lineRule="exact"/>
        <w:rPr>
          <w:rFonts w:ascii="Arial" w:cs="Arial" w:eastAsia="Arial" w:hAnsi="Arial"/>
          <w:sz w:val="16"/>
          <w:szCs w:val="16"/>
          <w:color w:val="auto"/>
        </w:rPr>
      </w:pPr>
    </w:p>
    <w:p>
      <w:pPr>
        <w:ind w:left="340" w:right="20" w:firstLine="640"/>
        <w:spacing w:after="0" w:line="304" w:lineRule="auto"/>
        <w:tabs>
          <w:tab w:leader="none" w:pos="1659"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Notwithstanding anything in this Agreement to the contrary, if Executive is deemed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71" w:lineRule="exact"/>
        <w:rPr>
          <w:rFonts w:ascii="Arial" w:cs="Arial" w:eastAsia="Arial" w:hAnsi="Arial"/>
          <w:sz w:val="18"/>
          <w:szCs w:val="18"/>
          <w:color w:val="auto"/>
        </w:rPr>
      </w:pPr>
    </w:p>
    <w:p>
      <w:pPr>
        <w:ind w:left="340" w:firstLine="640"/>
        <w:spacing w:after="0" w:line="299" w:lineRule="auto"/>
        <w:tabs>
          <w:tab w:leader="none" w:pos="1648" w:val="left"/>
        </w:tabs>
        <w:numPr>
          <w:ilvl w:val="1"/>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Expense Reimbursements. </w:t>
      </w:r>
      <w:r>
        <w:rPr>
          <w:rFonts w:ascii="Arial" w:cs="Arial" w:eastAsia="Arial" w:hAnsi="Arial"/>
          <w:sz w:val="19"/>
          <w:szCs w:val="19"/>
          <w:color w:val="auto"/>
        </w:rPr>
        <w:t>To the extent that any reimbursements under this Agreement are subject to Section 409A, any</w:t>
      </w:r>
      <w:r>
        <w:rPr>
          <w:rFonts w:ascii="Arial" w:cs="Arial" w:eastAsia="Arial" w:hAnsi="Arial"/>
          <w:sz w:val="19"/>
          <w:szCs w:val="19"/>
          <w:i w:val="1"/>
          <w:iCs w:val="1"/>
          <w:color w:val="auto"/>
        </w:rPr>
        <w:t xml:space="preserve"> </w:t>
      </w:r>
      <w:r>
        <w:rPr>
          <w:rFonts w:ascii="Arial" w:cs="Arial" w:eastAsia="Arial" w:hAnsi="Arial"/>
          <w:sz w:val="19"/>
          <w:szCs w:val="19"/>
          <w:color w:val="auto"/>
        </w:rPr>
        <w:t>such reimbursements payable to Executive shall be paid to Executive no later than December 31 of the year following the year in which the expense was incurred, the amount of expenses reimbursed in one year shall not affect the amount eligible for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11</w:t>
      </w:r>
    </w:p>
    <w:p>
      <w:pPr>
        <w:sectPr>
          <w:pgSz w:w="11900" w:h="16838" w:orient="portrait"/>
          <w:cols w:equalWidth="0" w:num="1">
            <w:col w:w="11380"/>
          </w:cols>
          <w:pgMar w:left="240" w:top="582" w:right="279" w:bottom="1440" w:gutter="0" w:footer="0" w:header="0"/>
        </w:sectPr>
      </w:pPr>
    </w:p>
    <w:bookmarkStart w:id="95" w:name="page96"/>
    <w:bookmarkEnd w:id="95"/>
    <w:p>
      <w:pPr>
        <w:ind w:left="340" w:right="400"/>
        <w:spacing w:after="0" w:line="316" w:lineRule="auto"/>
        <w:rPr>
          <w:sz w:val="20"/>
          <w:szCs w:val="20"/>
          <w:color w:val="auto"/>
        </w:rPr>
      </w:pPr>
      <w:r>
        <w:rPr>
          <w:rFonts w:ascii="Arial" w:cs="Arial" w:eastAsia="Arial" w:hAnsi="Arial"/>
          <w:sz w:val="19"/>
          <w:szCs w:val="19"/>
          <w:color w:val="auto"/>
        </w:rPr>
        <w:t>reimbursement in any subsequent year, other than medical expenses referred to in Section 105(b) of the Code, and Executive’s right to reimbursement under this Agreement will not be subject to liquidation or exchange for another benefit.</w:t>
      </w:r>
    </w:p>
    <w:p>
      <w:pPr>
        <w:spacing w:after="0" w:line="154" w:lineRule="exact"/>
        <w:rPr>
          <w:sz w:val="20"/>
          <w:szCs w:val="20"/>
          <w:color w:val="auto"/>
        </w:rPr>
      </w:pPr>
    </w:p>
    <w:p>
      <w:pPr>
        <w:ind w:left="340" w:firstLine="640"/>
        <w:spacing w:after="0" w:line="287" w:lineRule="auto"/>
        <w:tabs>
          <w:tab w:leader="none" w:pos="1543" w:val="left"/>
        </w:tabs>
        <w:numPr>
          <w:ilvl w:val="2"/>
          <w:numId w:val="75"/>
        </w:numPr>
        <w:rPr>
          <w:rFonts w:ascii="Arial" w:cs="Arial" w:eastAsia="Arial" w:hAnsi="Arial"/>
          <w:sz w:val="19"/>
          <w:szCs w:val="19"/>
          <w:color w:val="auto"/>
        </w:rPr>
      </w:pPr>
      <w:r>
        <w:rPr>
          <w:rFonts w:ascii="Arial" w:cs="Arial" w:eastAsia="Arial" w:hAnsi="Arial"/>
          <w:sz w:val="19"/>
          <w:szCs w:val="19"/>
          <w:i w:val="1"/>
          <w:iCs w:val="1"/>
          <w:color w:val="auto"/>
        </w:rPr>
        <w:t xml:space="preserve">Installments. </w:t>
      </w:r>
      <w:r>
        <w:rPr>
          <w:rFonts w:ascii="Arial" w:cs="Arial" w:eastAsia="Arial" w:hAnsi="Arial"/>
          <w:sz w:val="19"/>
          <w:szCs w:val="19"/>
          <w:color w:val="auto"/>
        </w:rPr>
        <w:t>Executive’s right to receive any installment payments under this Agreement, including without limitation any</w:t>
      </w:r>
      <w:r>
        <w:rPr>
          <w:rFonts w:ascii="Arial" w:cs="Arial" w:eastAsia="Arial" w:hAnsi="Arial"/>
          <w:sz w:val="19"/>
          <w:szCs w:val="19"/>
          <w:i w:val="1"/>
          <w:iCs w:val="1"/>
          <w:color w:val="auto"/>
        </w:rPr>
        <w:t xml:space="preserve"> </w:t>
      </w:r>
      <w:r>
        <w:rPr>
          <w:rFonts w:ascii="Arial" w:cs="Arial" w:eastAsia="Arial" w:hAnsi="Arial"/>
          <w:sz w:val="19"/>
          <w:szCs w:val="19"/>
          <w:color w:val="auto"/>
        </w:rPr>
        <w:t>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169" w:lineRule="exact"/>
        <w:rPr>
          <w:rFonts w:ascii="Arial" w:cs="Arial" w:eastAsia="Arial" w:hAnsi="Arial"/>
          <w:sz w:val="19"/>
          <w:szCs w:val="19"/>
          <w:color w:val="auto"/>
        </w:rPr>
      </w:pPr>
    </w:p>
    <w:p>
      <w:pPr>
        <w:ind w:right="340" w:firstLine="656"/>
        <w:spacing w:after="0" w:line="260" w:lineRule="auto"/>
        <w:tabs>
          <w:tab w:leader="none" w:pos="1163"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that either Party prevails in a dispute with the other Party concerning the rights and obligations hereunder, the non-prevailing Party shall pay the prevailing Party’s reasonable attorneys’ fees and costs.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Executive Acknowledgement</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right="360" w:firstLine="648"/>
        <w:spacing w:after="0" w:line="250" w:lineRule="auto"/>
        <w:rPr>
          <w:sz w:val="20"/>
          <w:szCs w:val="20"/>
          <w:color w:val="auto"/>
        </w:rPr>
      </w:pPr>
      <w:r>
        <w:rPr>
          <w:rFonts w:ascii="Arial" w:cs="Arial" w:eastAsia="Arial" w:hAnsi="Arial"/>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828282"/>
        </w:rPr>
        <w:t>12</w:t>
      </w:r>
    </w:p>
    <w:p>
      <w:pPr>
        <w:sectPr>
          <w:pgSz w:w="11900" w:h="16838" w:orient="portrait"/>
          <w:cols w:equalWidth="0" w:num="1">
            <w:col w:w="11360"/>
          </w:cols>
          <w:pgMar w:left="240" w:top="595" w:right="299" w:bottom="1440" w:gutter="0" w:footer="0" w:header="0"/>
        </w:sectPr>
      </w:pPr>
    </w:p>
    <w:bookmarkStart w:id="96" w:name="page97"/>
    <w:bookmarkEnd w:id="9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a sealed instrument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as of the Effective Date.</w:t>
      </w:r>
    </w:p>
    <w:p>
      <w:pPr>
        <w:spacing w:after="0" w:line="200" w:lineRule="exact"/>
        <w:rPr>
          <w:sz w:val="20"/>
          <w:szCs w:val="20"/>
          <w:color w:val="auto"/>
        </w:rPr>
      </w:pPr>
    </w:p>
    <w:p>
      <w:pPr>
        <w:spacing w:after="0" w:line="390"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SELECTA BIOSCIENCES, INC.</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Werner Cautreels, Ph.D.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John Leaman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11420"/>
          </w:cols>
          <w:pgMar w:left="240" w:top="796" w:right="2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9"/>
          <w:szCs w:val="19"/>
          <w:color w:val="auto"/>
        </w:rPr>
        <w:t>This Separation Agreement and Release (“Agreement”) is made by and between John Leaman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70" w:lineRule="exact"/>
        <w:rPr>
          <w:sz w:val="20"/>
          <w:szCs w:val="20"/>
          <w:color w:val="auto"/>
        </w:rPr>
      </w:pPr>
    </w:p>
    <w:p>
      <w:pPr>
        <w:ind w:right="840" w:firstLine="648"/>
        <w:spacing w:after="0" w:line="260" w:lineRule="auto"/>
        <w:rPr>
          <w:sz w:val="20"/>
          <w:szCs w:val="20"/>
          <w:color w:val="auto"/>
        </w:rPr>
      </w:pPr>
      <w:r>
        <w:rPr>
          <w:rFonts w:ascii="Arial" w:cs="Arial" w:eastAsia="Arial" w:hAnsi="Arial"/>
          <w:sz w:val="20"/>
          <w:szCs w:val="20"/>
          <w:color w:val="auto"/>
        </w:rPr>
        <w:t>WHEREAS, the Parties have previously entered into that certain Employment Agreement, dated as of October 26, 2017 (the “Employment Agreement”); and</w:t>
      </w:r>
    </w:p>
    <w:p>
      <w:pPr>
        <w:spacing w:after="0" w:line="177" w:lineRule="exact"/>
        <w:rPr>
          <w:sz w:val="20"/>
          <w:szCs w:val="20"/>
          <w:color w:val="auto"/>
        </w:rPr>
      </w:pPr>
    </w:p>
    <w:p>
      <w:pPr>
        <w:ind w:right="60" w:firstLine="648"/>
        <w:spacing w:after="0" w:line="275" w:lineRule="auto"/>
        <w:rPr>
          <w:sz w:val="20"/>
          <w:szCs w:val="20"/>
          <w:color w:val="auto"/>
        </w:rPr>
      </w:pPr>
      <w:r>
        <w:rPr>
          <w:rFonts w:ascii="Arial" w:cs="Arial" w:eastAsia="Arial" w:hAnsi="Arial"/>
          <w:sz w:val="18"/>
          <w:szCs w:val="18"/>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71"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70" w:lineRule="exact"/>
        <w:rPr>
          <w:sz w:val="20"/>
          <w:szCs w:val="20"/>
          <w:color w:val="auto"/>
        </w:rPr>
      </w:pPr>
    </w:p>
    <w:p>
      <w:pPr>
        <w:ind w:right="260" w:firstLine="656"/>
        <w:spacing w:after="0" w:line="260" w:lineRule="auto"/>
        <w:tabs>
          <w:tab w:leader="none" w:pos="97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Severance Payments; Salary and Benefits</w:t>
      </w:r>
      <w:r>
        <w:rPr>
          <w:rFonts w:ascii="Arial" w:cs="Arial" w:eastAsia="Arial" w:hAnsi="Arial"/>
          <w:sz w:val="19"/>
          <w:szCs w:val="19"/>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0" w:lineRule="exact"/>
        <w:rPr>
          <w:rFonts w:ascii="Arial" w:cs="Arial" w:eastAsia="Arial" w:hAnsi="Arial"/>
          <w:sz w:val="19"/>
          <w:szCs w:val="19"/>
          <w:color w:val="auto"/>
        </w:rPr>
      </w:pPr>
    </w:p>
    <w:p>
      <w:pPr>
        <w:ind w:right="80" w:firstLine="656"/>
        <w:spacing w:after="0" w:line="272" w:lineRule="auto"/>
        <w:tabs>
          <w:tab w:leader="none" w:pos="97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 Releases arising from any omissions, acts, facts, or damages that have occurred up until and including the Effective Date of this Agreement (as defined in Section 7 below), including, without limitation:</w:t>
      </w:r>
    </w:p>
    <w:p>
      <w:pPr>
        <w:sectPr>
          <w:pgSz w:w="11900" w:h="16838" w:orient="portrait"/>
          <w:cols w:equalWidth="0" w:num="1">
            <w:col w:w="11360"/>
          </w:cols>
          <w:pgMar w:left="240" w:top="580" w:right="299" w:bottom="1440" w:gutter="0" w:footer="0" w:header="0"/>
        </w:sectPr>
      </w:pPr>
    </w:p>
    <w:bookmarkStart w:id="98" w:name="page99"/>
    <w:bookmarkEnd w:id="98"/>
    <w:p>
      <w:pPr>
        <w:ind w:right="80" w:firstLine="1305"/>
        <w:spacing w:after="0" w:line="260" w:lineRule="auto"/>
        <w:tabs>
          <w:tab w:leader="none" w:pos="1696"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right="180" w:firstLine="1305"/>
        <w:spacing w:after="0" w:line="291" w:lineRule="auto"/>
        <w:tabs>
          <w:tab w:leader="none" w:pos="17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right="380" w:firstLine="1305"/>
        <w:spacing w:after="0" w:line="278" w:lineRule="auto"/>
        <w:tabs>
          <w:tab w:leader="none" w:pos="16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auto"/>
        </w:rPr>
      </w:pPr>
    </w:p>
    <w:p>
      <w:pPr>
        <w:ind w:right="120" w:firstLine="1305"/>
        <w:spacing w:after="0" w:line="244" w:lineRule="auto"/>
        <w:tabs>
          <w:tab w:leader="none" w:pos="1707"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1700" w:hanging="395"/>
        <w:spacing w:after="0"/>
        <w:tabs>
          <w:tab w:leader="none" w:pos="17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auto"/>
        </w:rPr>
      </w:pPr>
    </w:p>
    <w:p>
      <w:pPr>
        <w:ind w:right="760" w:firstLine="1305"/>
        <w:spacing w:after="0" w:line="260" w:lineRule="auto"/>
        <w:tabs>
          <w:tab w:leader="none" w:pos="1707"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firstLine="1305"/>
        <w:spacing w:after="0" w:line="260" w:lineRule="auto"/>
        <w:tabs>
          <w:tab w:leader="none" w:pos="1707"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77"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any and all claims for attorneys’ fees and costs.</w:t>
      </w:r>
    </w:p>
    <w:p>
      <w:pPr>
        <w:spacing w:after="0" w:line="216"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2" w:right="259" w:bottom="1440" w:gutter="0" w:footer="0" w:header="0"/>
        </w:sectPr>
      </w:pPr>
    </w:p>
    <w:bookmarkStart w:id="99" w:name="page100"/>
    <w:bookmarkEnd w:id="99"/>
    <w:p>
      <w:pPr>
        <w:ind w:right="120"/>
        <w:spacing w:after="0" w:line="258" w:lineRule="auto"/>
        <w:rPr>
          <w:sz w:val="20"/>
          <w:szCs w:val="20"/>
          <w:color w:val="auto"/>
        </w:rPr>
      </w:pPr>
      <w:r>
        <w:rPr>
          <w:rFonts w:ascii="Arial" w:cs="Arial" w:eastAsia="Arial" w:hAnsi="Arial"/>
          <w:sz w:val="19"/>
          <w:szCs w:val="19"/>
          <w:color w:val="auto"/>
        </w:rPr>
        <w:t>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 arising after the Effective Date.</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 NTD: To be determined by the Company at the time of separation.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74"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 xml:space="preserve">4.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6"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Executive and a duly authorized officer of the Company.</w:t>
      </w:r>
    </w:p>
    <w:p>
      <w:pPr>
        <w:spacing w:after="0" w:line="17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subject to the provisions of Sections 9(a) and 9(c) of the Employment Agreement.</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u w:val="single" w:color="auto"/>
          <w:color w:val="auto"/>
        </w:rPr>
        <w:t>Effective Date</w:t>
      </w:r>
      <w:r>
        <w:rPr>
          <w:rFonts w:ascii="Arial" w:cs="Arial" w:eastAsia="Arial" w:hAnsi="Arial"/>
          <w:sz w:val="20"/>
          <w:szCs w:val="20"/>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889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NTD: To be determined by the Company at the time of separation.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100" w:name="page101"/>
    <w:bookmarkEnd w:id="100"/>
    <w:p>
      <w:pPr>
        <w:ind w:left="-40" w:firstLine="656"/>
        <w:spacing w:after="0" w:line="258" w:lineRule="auto"/>
        <w:tabs>
          <w:tab w:leader="none" w:pos="93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37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John Leaman</w:t>
      </w:r>
    </w:p>
    <w:p>
      <w:pPr>
        <w:spacing w:after="0" w:line="38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865" w:right="2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Nondisclosure, Noncompetition and Assignment of Intellectual Property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576"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576" w:right="1440"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October 26, 2017 (the “</w:t>
      </w:r>
      <w:r>
        <w:rPr>
          <w:rFonts w:ascii="Arial" w:cs="Arial" w:eastAsia="Arial" w:hAnsi="Arial"/>
          <w:sz w:val="20"/>
          <w:szCs w:val="20"/>
          <w:u w:val="single" w:color="auto"/>
          <w:color w:val="auto"/>
        </w:rPr>
        <w:t>Effective Date</w:t>
      </w:r>
      <w:r>
        <w:rPr>
          <w:rFonts w:ascii="Arial" w:cs="Arial" w:eastAsia="Arial" w:hAnsi="Arial"/>
          <w:sz w:val="20"/>
          <w:szCs w:val="20"/>
          <w:color w:val="auto"/>
        </w:rPr>
        <w:t>”), is made by and between Selecta Biosciences,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Stephen Smolinski (“</w:t>
      </w:r>
      <w:r>
        <w:rPr>
          <w:rFonts w:ascii="Arial" w:cs="Arial" w:eastAsia="Arial" w:hAnsi="Arial"/>
          <w:sz w:val="20"/>
          <w:szCs w:val="20"/>
          <w:u w:val="single" w:color="auto"/>
          <w:color w:val="auto"/>
        </w:rPr>
        <w:t>Executive</w:t>
      </w:r>
      <w:r>
        <w:rPr>
          <w:rFonts w:ascii="Arial" w:cs="Arial" w:eastAsia="Arial" w:hAnsi="Arial"/>
          <w:sz w:val="20"/>
          <w:szCs w:val="20"/>
          <w:color w:val="auto"/>
        </w:rPr>
        <w:t>”) (collectively referred to as the “</w:t>
      </w:r>
      <w:r>
        <w:rPr>
          <w:rFonts w:ascii="Arial" w:cs="Arial" w:eastAsia="Arial" w:hAnsi="Arial"/>
          <w:sz w:val="20"/>
          <w:szCs w:val="20"/>
          <w:u w:val="single" w:color="auto"/>
          <w:color w:val="auto"/>
        </w:rPr>
        <w:t>Parties</w:t>
      </w:r>
      <w:r>
        <w:rPr>
          <w:rFonts w:ascii="Arial" w:cs="Arial" w:eastAsia="Arial" w:hAnsi="Arial"/>
          <w:sz w:val="20"/>
          <w:szCs w:val="20"/>
          <w:color w:val="auto"/>
        </w:rPr>
        <w:t>” or individually referred to as a “</w:t>
      </w:r>
      <w:r>
        <w:rPr>
          <w:rFonts w:ascii="Arial" w:cs="Arial" w:eastAsia="Arial" w:hAnsi="Arial"/>
          <w:sz w:val="20"/>
          <w:szCs w:val="20"/>
          <w:u w:val="single" w:color="auto"/>
          <w:color w:val="auto"/>
        </w:rPr>
        <w:t>Party</w:t>
      </w:r>
      <w:r>
        <w:rPr>
          <w:rFonts w:ascii="Arial" w:cs="Arial" w:eastAsia="Arial" w:hAnsi="Arial"/>
          <w:sz w:val="20"/>
          <w:szCs w:val="20"/>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right="140" w:hanging="652"/>
        <w:spacing w:after="0" w:line="260" w:lineRule="auto"/>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It is the desire of the Company to assure itself of the services of Executive following the Effective Date and thereafter by entering into this Agreement.</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Executive and the Company mutually desire that Executive provide services to the Company on the terms herein provided.</w:t>
      </w:r>
    </w:p>
    <w:p>
      <w:pPr>
        <w:spacing w:after="0" w:line="221" w:lineRule="exact"/>
        <w:rPr>
          <w:rFonts w:ascii="Arial" w:cs="Arial" w:eastAsia="Arial" w:hAnsi="Arial"/>
          <w:sz w:val="19"/>
          <w:szCs w:val="19"/>
          <w:color w:val="auto"/>
        </w:rPr>
      </w:pPr>
    </w:p>
    <w:p>
      <w:pPr>
        <w:ind w:left="5060"/>
        <w:spacing w:after="0"/>
        <w:rPr>
          <w:rFonts w:ascii="Arial" w:cs="Arial" w:eastAsia="Arial" w:hAnsi="Arial"/>
          <w:sz w:val="19"/>
          <w:szCs w:val="19"/>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NOW, THEREFORE, in consideration of the foregoing and of the respective covenants and agreements set forth below, the Parties hereto agree as follows:</w:t>
      </w:r>
    </w:p>
    <w:p>
      <w:pPr>
        <w:spacing w:after="0" w:line="17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35" w:lineRule="exact"/>
        <w:rPr>
          <w:rFonts w:ascii="Arial" w:cs="Arial" w:eastAsia="Arial" w:hAnsi="Arial"/>
          <w:sz w:val="18"/>
          <w:szCs w:val="18"/>
          <w:b w:val="1"/>
          <w:bCs w:val="1"/>
          <w:color w:val="auto"/>
        </w:rPr>
      </w:pPr>
    </w:p>
    <w:p>
      <w:pPr>
        <w:ind w:right="460" w:firstLine="656"/>
        <w:spacing w:after="0" w:line="347" w:lineRule="auto"/>
        <w:tabs>
          <w:tab w:leader="none" w:pos="1496" w:val="left"/>
        </w:tabs>
        <w:numPr>
          <w:ilvl w:val="1"/>
          <w:numId w:val="82"/>
        </w:numPr>
        <w:rPr>
          <w:rFonts w:ascii="Arial" w:cs="Arial" w:eastAsia="Arial" w:hAnsi="Arial"/>
          <w:sz w:val="16"/>
          <w:szCs w:val="16"/>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Effective on the Effective Date, the Company shall employ Executive and Executive shall be employed by the Company, for the period and in the positions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 and subject to the other terms and conditions herein provided.</w:t>
      </w:r>
    </w:p>
    <w:p>
      <w:pPr>
        <w:spacing w:after="0" w:line="130" w:lineRule="exact"/>
        <w:rPr>
          <w:rFonts w:ascii="Arial" w:cs="Arial" w:eastAsia="Arial" w:hAnsi="Arial"/>
          <w:sz w:val="16"/>
          <w:szCs w:val="16"/>
          <w:color w:val="auto"/>
        </w:rPr>
      </w:pPr>
    </w:p>
    <w:p>
      <w:pPr>
        <w:ind w:firstLine="656"/>
        <w:spacing w:after="0" w:line="270" w:lineRule="auto"/>
        <w:tabs>
          <w:tab w:leader="none" w:pos="1506" w:val="left"/>
        </w:tabs>
        <w:numPr>
          <w:ilvl w:val="1"/>
          <w:numId w:val="82"/>
        </w:numPr>
        <w:rPr>
          <w:rFonts w:ascii="Arial" w:cs="Arial" w:eastAsia="Arial" w:hAnsi="Arial"/>
          <w:sz w:val="18"/>
          <w:szCs w:val="18"/>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20"/>
          <w:szCs w:val="20"/>
          <w:u w:val="single" w:color="auto"/>
          <w:color w:val="auto"/>
        </w:rPr>
        <w:t>Section 3(b)</w:t>
      </w:r>
      <w:r>
        <w:rPr>
          <w:rFonts w:ascii="Arial" w:cs="Arial" w:eastAsia="Arial" w:hAnsi="Arial"/>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shall commence on the Effective Date and end on the date this Agreement is terminated under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right="60" w:firstLine="656"/>
        <w:spacing w:after="0" w:line="303" w:lineRule="auto"/>
        <w:tabs>
          <w:tab w:leader="none" w:pos="1496" w:val="left"/>
        </w:tabs>
        <w:numPr>
          <w:ilvl w:val="1"/>
          <w:numId w:val="82"/>
        </w:numPr>
        <w:rPr>
          <w:rFonts w:ascii="Arial" w:cs="Arial" w:eastAsia="Arial" w:hAnsi="Arial"/>
          <w:sz w:val="16"/>
          <w:szCs w:val="16"/>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Executive shall serve as the Chief Commercial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Arial" w:cs="Arial" w:eastAsia="Arial" w:hAnsi="Arial"/>
          <w:sz w:val="18"/>
          <w:szCs w:val="18"/>
          <w:u w:val="single" w:color="auto"/>
          <w:color w:val="auto"/>
        </w:rPr>
        <w:t>Board</w:t>
      </w:r>
      <w:r>
        <w:rPr>
          <w:rFonts w:ascii="Arial" w:cs="Arial" w:eastAsia="Arial" w:hAnsi="Arial"/>
          <w:sz w:val="18"/>
          <w:szCs w:val="18"/>
          <w:color w:val="auto"/>
        </w:rPr>
        <w:t>”)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8"/>
          <w:szCs w:val="18"/>
          <w:u w:val="single" w:color="auto"/>
          <w:color w:val="auto"/>
        </w:rPr>
        <w:t>Policy</w:t>
      </w:r>
      <w:r>
        <w:rPr>
          <w:rFonts w:ascii="Arial" w:cs="Arial" w:eastAsia="Arial" w:hAnsi="Arial"/>
          <w:sz w:val="18"/>
          <w:szCs w:val="18"/>
          <w:color w:val="auto"/>
        </w:rPr>
        <w:t>”).</w:t>
      </w:r>
    </w:p>
    <w:p>
      <w:pPr>
        <w:sectPr>
          <w:pgSz w:w="11900" w:h="16838" w:orient="portrait"/>
          <w:cols w:equalWidth="0" w:num="1">
            <w:col w:w="11420"/>
          </w:cols>
          <w:pgMar w:left="240" w:top="576" w:right="239" w:bottom="1440" w:gutter="0" w:footer="0" w:header="0"/>
        </w:sectPr>
      </w:pPr>
    </w:p>
    <w:bookmarkStart w:id="104" w:name="page105"/>
    <w:bookmarkEnd w:id="104"/>
    <w:p>
      <w:pPr>
        <w:ind w:left="792" w:hanging="792"/>
        <w:spacing w:after="0"/>
        <w:tabs>
          <w:tab w:leader="none" w:pos="792" w:val="left"/>
        </w:tabs>
        <w:numPr>
          <w:ilvl w:val="0"/>
          <w:numId w:val="83"/>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Compensation and Related Matters</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b w:val="1"/>
          <w:bCs w:val="1"/>
          <w:color w:val="auto"/>
        </w:rPr>
      </w:pPr>
    </w:p>
    <w:p>
      <w:pPr>
        <w:ind w:left="-8" w:right="40" w:firstLine="656"/>
        <w:spacing w:after="0" w:line="274" w:lineRule="auto"/>
        <w:tabs>
          <w:tab w:leader="none" w:pos="1488" w:val="left"/>
        </w:tabs>
        <w:numPr>
          <w:ilvl w:val="1"/>
          <w:numId w:val="83"/>
        </w:numPr>
        <w:rPr>
          <w:rFonts w:ascii="Arial" w:cs="Arial" w:eastAsia="Arial" w:hAnsi="Arial"/>
          <w:sz w:val="18"/>
          <w:szCs w:val="18"/>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During the Term, Executive shall receive a base salary at a rate of $320,000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Arial" w:cs="Arial" w:eastAsia="Arial" w:hAnsi="Arial"/>
          <w:sz w:val="20"/>
          <w:szCs w:val="20"/>
          <w:u w:val="single" w:color="auto"/>
          <w:color w:val="auto"/>
        </w:rPr>
        <w:t>Annual Base Salary</w:t>
      </w:r>
      <w:r>
        <w:rPr>
          <w:rFonts w:ascii="Arial" w:cs="Arial" w:eastAsia="Arial" w:hAnsi="Arial"/>
          <w:sz w:val="20"/>
          <w:szCs w:val="20"/>
          <w:color w:val="auto"/>
        </w:rPr>
        <w:t>”).</w:t>
      </w:r>
    </w:p>
    <w:p>
      <w:pPr>
        <w:spacing w:after="0" w:line="192" w:lineRule="exact"/>
        <w:rPr>
          <w:rFonts w:ascii="Arial" w:cs="Arial" w:eastAsia="Arial" w:hAnsi="Arial"/>
          <w:sz w:val="18"/>
          <w:szCs w:val="18"/>
          <w:color w:val="auto"/>
        </w:rPr>
      </w:pPr>
    </w:p>
    <w:p>
      <w:pPr>
        <w:ind w:left="-8" w:right="120" w:firstLine="656"/>
        <w:spacing w:after="0" w:line="305" w:lineRule="auto"/>
        <w:tabs>
          <w:tab w:leader="none" w:pos="1498" w:val="left"/>
        </w:tabs>
        <w:numPr>
          <w:ilvl w:val="1"/>
          <w:numId w:val="83"/>
        </w:numPr>
        <w:rPr>
          <w:rFonts w:ascii="Arial" w:cs="Arial" w:eastAsia="Arial" w:hAnsi="Arial"/>
          <w:sz w:val="16"/>
          <w:szCs w:val="16"/>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Beginning with the Company’s 2018 fiscal year and during the Term, Executive will be eligible to participate in an annual incentive program established by the Board. Executive’s annual incentive compensation under such incentive program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shall be targeted at 40% of Executive’s Annual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The Annual Bonus payable under the incentive program shall be based on the achievement of performance goals to be determined by the Board. For the portion of the Company’s 2017 fiscal year during which Executive is employed, Executive will be eligible to receive a discretionary bonus in an amount to be determined by the Board (the “</w:t>
      </w:r>
      <w:r>
        <w:rPr>
          <w:rFonts w:ascii="Arial" w:cs="Arial" w:eastAsia="Arial" w:hAnsi="Arial"/>
          <w:sz w:val="18"/>
          <w:szCs w:val="18"/>
          <w:u w:val="single" w:color="auto"/>
          <w:color w:val="auto"/>
        </w:rPr>
        <w:t>2017 Prorated Bonus</w:t>
      </w:r>
      <w:r>
        <w:rPr>
          <w:rFonts w:ascii="Arial" w:cs="Arial" w:eastAsia="Arial" w:hAnsi="Arial"/>
          <w:sz w:val="18"/>
          <w:szCs w:val="18"/>
          <w:color w:val="auto"/>
        </w:rPr>
        <w:t>”). The payment of the 2017 Prorated Bonus and any Annual Bonus will be made on or before March 15 of the year following the calendar year in which it is earned, subject to Executive’s continued employment through the last day of such year.</w:t>
      </w:r>
    </w:p>
    <w:p>
      <w:pPr>
        <w:spacing w:after="0" w:line="170" w:lineRule="exact"/>
        <w:rPr>
          <w:rFonts w:ascii="Arial" w:cs="Arial" w:eastAsia="Arial" w:hAnsi="Arial"/>
          <w:sz w:val="16"/>
          <w:szCs w:val="16"/>
          <w:color w:val="auto"/>
        </w:rPr>
      </w:pPr>
    </w:p>
    <w:p>
      <w:pPr>
        <w:jc w:val="both"/>
        <w:ind w:left="-8" w:right="140" w:firstLine="656"/>
        <w:spacing w:after="0" w:line="274" w:lineRule="auto"/>
        <w:tabs>
          <w:tab w:leader="none" w:pos="1488" w:val="left"/>
        </w:tabs>
        <w:numPr>
          <w:ilvl w:val="1"/>
          <w:numId w:val="83"/>
        </w:numPr>
        <w:rPr>
          <w:rFonts w:ascii="Arial" w:cs="Arial" w:eastAsia="Arial" w:hAnsi="Arial"/>
          <w:sz w:val="18"/>
          <w:szCs w:val="18"/>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Agreement.</w:t>
      </w:r>
    </w:p>
    <w:p>
      <w:pPr>
        <w:spacing w:after="0" w:line="192" w:lineRule="exact"/>
        <w:rPr>
          <w:rFonts w:ascii="Arial" w:cs="Arial" w:eastAsia="Arial" w:hAnsi="Arial"/>
          <w:sz w:val="18"/>
          <w:szCs w:val="18"/>
          <w:color w:val="auto"/>
        </w:rPr>
      </w:pPr>
    </w:p>
    <w:p>
      <w:pPr>
        <w:jc w:val="both"/>
        <w:ind w:left="-8" w:firstLine="656"/>
        <w:spacing w:after="0" w:line="274" w:lineRule="auto"/>
        <w:tabs>
          <w:tab w:leader="none" w:pos="1498" w:val="left"/>
        </w:tabs>
        <w:numPr>
          <w:ilvl w:val="1"/>
          <w:numId w:val="83"/>
        </w:numPr>
        <w:rPr>
          <w:rFonts w:ascii="Arial" w:cs="Arial" w:eastAsia="Arial" w:hAnsi="Arial"/>
          <w:sz w:val="18"/>
          <w:szCs w:val="18"/>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87" w:lineRule="exact"/>
        <w:rPr>
          <w:rFonts w:ascii="Arial" w:cs="Arial" w:eastAsia="Arial" w:hAnsi="Arial"/>
          <w:sz w:val="18"/>
          <w:szCs w:val="18"/>
          <w:color w:val="auto"/>
        </w:rPr>
      </w:pPr>
    </w:p>
    <w:p>
      <w:pPr>
        <w:ind w:left="-8" w:firstLine="656"/>
        <w:spacing w:after="0" w:line="288" w:lineRule="auto"/>
        <w:tabs>
          <w:tab w:leader="none" w:pos="1488" w:val="left"/>
        </w:tabs>
        <w:numPr>
          <w:ilvl w:val="1"/>
          <w:numId w:val="83"/>
        </w:numPr>
        <w:rPr>
          <w:rFonts w:ascii="Arial" w:cs="Arial" w:eastAsia="Arial" w:hAnsi="Arial"/>
          <w:sz w:val="17"/>
          <w:szCs w:val="17"/>
          <w:color w:val="auto"/>
        </w:rPr>
      </w:pPr>
      <w:r>
        <w:rPr>
          <w:rFonts w:ascii="Arial" w:cs="Arial" w:eastAsia="Arial" w:hAnsi="Arial"/>
          <w:sz w:val="21"/>
          <w:szCs w:val="21"/>
          <w:u w:val="single" w:color="auto"/>
          <w:color w:val="auto"/>
        </w:rPr>
        <w:t>Business Expenses</w:t>
      </w:r>
      <w:r>
        <w:rPr>
          <w:rFonts w:ascii="Arial" w:cs="Arial" w:eastAsia="Arial" w:hAnsi="Arial"/>
          <w:sz w:val="21"/>
          <w:szCs w:val="21"/>
          <w:color w:val="auto"/>
        </w:rPr>
        <w:t xml:space="preserve">. During the Term, the Company shall reimburse Executive for all reasonable travel and other business expenses incurred by Executive in the performance of Executive’s duties to the Company in accordance with the Company’s expense reimbursement Policy. </w:t>
      </w:r>
      <w:r>
        <w:rPr>
          <w:rFonts w:ascii="Arial" w:cs="Arial" w:eastAsia="Arial" w:hAnsi="Arial"/>
          <w:sz w:val="18"/>
          <w:szCs w:val="18"/>
          <w:color w:val="auto"/>
        </w:rPr>
        <w:t>The Parties acknowledge that (i) the Company’s principal place of business is currently in</w:t>
      </w:r>
      <w:r>
        <w:rPr>
          <w:rFonts w:ascii="Arial" w:cs="Arial" w:eastAsia="Arial" w:hAnsi="Arial"/>
          <w:sz w:val="21"/>
          <w:szCs w:val="21"/>
          <w:color w:val="auto"/>
        </w:rPr>
        <w:t xml:space="preserve"> </w:t>
      </w:r>
      <w:r>
        <w:rPr>
          <w:rFonts w:ascii="Arial" w:cs="Arial" w:eastAsia="Arial" w:hAnsi="Arial"/>
          <w:sz w:val="18"/>
          <w:szCs w:val="18"/>
          <w:color w:val="auto"/>
        </w:rPr>
        <w:t>Watertown, Massachusetts, (ii) Executive’s primary workplace is currently in the state of New Jersey, and (iii) Executive may from time to time perform his obligations under this Agreement remotely. Notwithstanding any contrary terms of the Company’s expense reimbursement Policy, but subject to Section 9(l)(iv), the Company shall provide Executive a corporate apartment in the greater Boston, Massachusetts area for Executive’s use while performing his duties for the Company and shall reimburse Executive for reasonable expenses incurred by Executive for travel between Massachusetts and New Jersey in performing his duties for the Company, including airfare and local transportation, up to a maximum monthly amount of $6,100 less the Company’s cost of providing the corporate apartment, which maximum, for the avoidance of doubt, shall not limit amounts otherwise reimbursable under the Company’s expense reimbursement Policy. To the extent the Company reasonably determines all or a portion of any such reimbursement constitutes taxable income to Executive, Executive will be liable and responsible for the employee portion of all taxes owed in connection therewith and the Company may (but will not be required to) deduct or withhold such taxes from any compensation payable to Executive by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589" w:right="259" w:bottom="1440" w:gutter="0" w:footer="0" w:header="0"/>
        </w:sectPr>
      </w:pPr>
    </w:p>
    <w:bookmarkStart w:id="105" w:name="page106"/>
    <w:bookmarkEnd w:id="105"/>
    <w:p>
      <w:pPr>
        <w:ind w:right="40" w:firstLine="656"/>
        <w:spacing w:after="0" w:line="352" w:lineRule="auto"/>
        <w:tabs>
          <w:tab w:leader="none" w:pos="1476" w:val="left"/>
        </w:tabs>
        <w:numPr>
          <w:ilvl w:val="1"/>
          <w:numId w:val="84"/>
        </w:numPr>
        <w:rPr>
          <w:rFonts w:ascii="Arial" w:cs="Arial" w:eastAsia="Arial" w:hAnsi="Arial"/>
          <w:sz w:val="15"/>
          <w:szCs w:val="15"/>
          <w:color w:val="auto"/>
        </w:rPr>
      </w:pPr>
      <w:r>
        <w:rPr>
          <w:rFonts w:ascii="Arial" w:cs="Arial" w:eastAsia="Arial" w:hAnsi="Arial"/>
          <w:sz w:val="16"/>
          <w:szCs w:val="16"/>
          <w:u w:val="single" w:color="auto"/>
          <w:color w:val="auto"/>
        </w:rPr>
        <w:t>Key Person Insurance</w:t>
      </w:r>
      <w:r>
        <w:rPr>
          <w:rFonts w:ascii="Arial" w:cs="Arial" w:eastAsia="Arial" w:hAnsi="Arial"/>
          <w:sz w:val="16"/>
          <w:szCs w:val="16"/>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23" w:lineRule="exact"/>
        <w:rPr>
          <w:rFonts w:ascii="Arial" w:cs="Arial" w:eastAsia="Arial" w:hAnsi="Arial"/>
          <w:sz w:val="15"/>
          <w:szCs w:val="15"/>
          <w:color w:val="auto"/>
        </w:rPr>
      </w:pPr>
    </w:p>
    <w:p>
      <w:pPr>
        <w:ind w:firstLine="656"/>
        <w:spacing w:after="0" w:line="243" w:lineRule="auto"/>
        <w:tabs>
          <w:tab w:leader="none" w:pos="1059"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Not later than the first regularly scheduled meeting of the Company’s Board of Directors following the Effective Date and subject to the approval of the Board, pursuant to the Company’s 2016 Incentive Award Plan (as it may be amended, the “</w:t>
      </w:r>
      <w:r>
        <w:rPr>
          <w:rFonts w:ascii="Arial" w:cs="Arial" w:eastAsia="Arial" w:hAnsi="Arial"/>
          <w:sz w:val="20"/>
          <w:szCs w:val="20"/>
          <w:u w:val="single" w:color="auto"/>
          <w:color w:val="auto"/>
        </w:rPr>
        <w:t>Plan</w:t>
      </w:r>
      <w:r>
        <w:rPr>
          <w:rFonts w:ascii="Arial" w:cs="Arial" w:eastAsia="Arial" w:hAnsi="Arial"/>
          <w:sz w:val="20"/>
          <w:szCs w:val="20"/>
          <w:color w:val="auto"/>
        </w:rPr>
        <w:t>”), Executive will be granted an option to purchase 80,000 shares of common stock of the Company with an exercise price per share equal to the fair market value of a share of the Company’s common stock on the date of grant (the “Option”). Subject to Executive’s continued employment by the Company, the Option shall vest over a four-year period, with 25% vesting 12 months from the date of grant and an additional 2.083% vesting in equal monthly installments over the following 36 months. The Option will be subject to the terms of the Plan and the applicable award agreement evidencing such award.</w:t>
      </w:r>
    </w:p>
    <w:p>
      <w:pPr>
        <w:spacing w:after="0" w:line="187" w:lineRule="exact"/>
        <w:rPr>
          <w:rFonts w:ascii="Arial" w:cs="Arial" w:eastAsia="Arial" w:hAnsi="Arial"/>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Executive’s employment hereunder may be terminated by the Company or Executive, as applicable, without any breach of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 under the following circumstances:</w:t>
      </w:r>
    </w:p>
    <w:p>
      <w:pPr>
        <w:spacing w:after="0" w:line="213" w:lineRule="exact"/>
        <w:rPr>
          <w:sz w:val="20"/>
          <w:szCs w:val="20"/>
          <w:color w:val="auto"/>
        </w:rPr>
      </w:pPr>
    </w:p>
    <w:p>
      <w:pPr>
        <w:ind w:left="1500" w:hanging="844"/>
        <w:spacing w:after="0"/>
        <w:tabs>
          <w:tab w:leader="none" w:pos="1500" w:val="left"/>
        </w:tabs>
        <w:numPr>
          <w:ilvl w:val="0"/>
          <w:numId w:val="86"/>
        </w:numPr>
        <w:rPr>
          <w:rFonts w:ascii="Arial" w:cs="Arial" w:eastAsia="Arial" w:hAnsi="Arial"/>
          <w:sz w:val="18"/>
          <w:szCs w:val="18"/>
          <w:color w:val="auto"/>
        </w:rPr>
      </w:pPr>
      <w:r>
        <w:rPr>
          <w:rFonts w:ascii="Arial" w:cs="Arial" w:eastAsia="Arial" w:hAnsi="Arial"/>
          <w:sz w:val="20"/>
          <w:szCs w:val="20"/>
          <w:u w:val="single" w:color="auto"/>
          <w:color w:val="auto"/>
        </w:rPr>
        <w:t>Circumstances</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ind w:left="2120" w:hanging="815"/>
        <w:spacing w:after="0"/>
        <w:tabs>
          <w:tab w:leader="none" w:pos="2120" w:val="left"/>
        </w:tabs>
        <w:numPr>
          <w:ilvl w:val="1"/>
          <w:numId w:val="86"/>
        </w:numPr>
        <w:rPr>
          <w:rFonts w:ascii="Arial" w:cs="Arial" w:eastAsia="Arial" w:hAnsi="Arial"/>
          <w:sz w:val="18"/>
          <w:szCs w:val="18"/>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Executive’s employment hereunder shall terminate upon Executive’s death.</w:t>
      </w:r>
    </w:p>
    <w:p>
      <w:pPr>
        <w:spacing w:after="0" w:line="242" w:lineRule="exact"/>
        <w:rPr>
          <w:rFonts w:ascii="Arial" w:cs="Arial" w:eastAsia="Arial" w:hAnsi="Arial"/>
          <w:sz w:val="18"/>
          <w:szCs w:val="18"/>
          <w:color w:val="auto"/>
        </w:rPr>
      </w:pPr>
    </w:p>
    <w:p>
      <w:pPr>
        <w:ind w:left="2180" w:hanging="875"/>
        <w:spacing w:after="0"/>
        <w:tabs>
          <w:tab w:leader="none" w:pos="2180" w:val="left"/>
        </w:tabs>
        <w:numPr>
          <w:ilvl w:val="1"/>
          <w:numId w:val="86"/>
        </w:numPr>
        <w:rPr>
          <w:rFonts w:ascii="Arial" w:cs="Arial" w:eastAsia="Arial" w:hAnsi="Arial"/>
          <w:sz w:val="17"/>
          <w:szCs w:val="17"/>
          <w:color w:val="auto"/>
        </w:rPr>
      </w:pPr>
      <w:r>
        <w:rPr>
          <w:rFonts w:ascii="Arial" w:cs="Arial" w:eastAsia="Arial" w:hAnsi="Arial"/>
          <w:sz w:val="19"/>
          <w:szCs w:val="19"/>
          <w:i w:val="1"/>
          <w:iCs w:val="1"/>
          <w:color w:val="auto"/>
        </w:rPr>
        <w:t>Disability</w:t>
      </w:r>
      <w:r>
        <w:rPr>
          <w:rFonts w:ascii="Arial" w:cs="Arial" w:eastAsia="Arial" w:hAnsi="Arial"/>
          <w:sz w:val="19"/>
          <w:szCs w:val="19"/>
          <w:color w:val="auto"/>
        </w:rPr>
        <w:t>. If Executive has incurred a Disability, as defined below, the Company may terminate Executive’s</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employment.</w:t>
      </w:r>
    </w:p>
    <w:p>
      <w:pPr>
        <w:spacing w:after="0" w:line="242" w:lineRule="exact"/>
        <w:rPr>
          <w:rFonts w:ascii="Arial" w:cs="Arial" w:eastAsia="Arial" w:hAnsi="Arial"/>
          <w:sz w:val="17"/>
          <w:szCs w:val="17"/>
          <w:color w:val="auto"/>
        </w:rPr>
      </w:pPr>
    </w:p>
    <w:p>
      <w:pPr>
        <w:ind w:left="2220" w:hanging="915"/>
        <w:spacing w:after="0"/>
        <w:tabs>
          <w:tab w:leader="none" w:pos="2220" w:val="left"/>
        </w:tabs>
        <w:numPr>
          <w:ilvl w:val="1"/>
          <w:numId w:val="86"/>
        </w:numPr>
        <w:rPr>
          <w:rFonts w:ascii="Arial" w:cs="Arial" w:eastAsia="Arial" w:hAnsi="Arial"/>
          <w:sz w:val="17"/>
          <w:szCs w:val="17"/>
          <w:color w:val="auto"/>
        </w:rPr>
      </w:pPr>
      <w:r>
        <w:rPr>
          <w:rFonts w:ascii="Arial" w:cs="Arial" w:eastAsia="Arial" w:hAnsi="Arial"/>
          <w:sz w:val="19"/>
          <w:szCs w:val="19"/>
          <w:i w:val="1"/>
          <w:iCs w:val="1"/>
          <w:color w:val="auto"/>
        </w:rPr>
        <w:t>Termination for Cause</w:t>
      </w:r>
      <w:r>
        <w:rPr>
          <w:rFonts w:ascii="Arial" w:cs="Arial" w:eastAsia="Arial" w:hAnsi="Arial"/>
          <w:sz w:val="19"/>
          <w:szCs w:val="19"/>
          <w:color w:val="auto"/>
        </w:rPr>
        <w:t>. The Company may terminate Executive’s employment for Cause, as defined below.</w:t>
      </w:r>
    </w:p>
    <w:p>
      <w:pPr>
        <w:spacing w:after="0" w:line="254" w:lineRule="exact"/>
        <w:rPr>
          <w:rFonts w:ascii="Arial" w:cs="Arial" w:eastAsia="Arial" w:hAnsi="Arial"/>
          <w:sz w:val="17"/>
          <w:szCs w:val="17"/>
          <w:color w:val="auto"/>
        </w:rPr>
      </w:pPr>
    </w:p>
    <w:p>
      <w:pPr>
        <w:ind w:left="2220" w:hanging="915"/>
        <w:spacing w:after="0"/>
        <w:tabs>
          <w:tab w:leader="none" w:pos="2220" w:val="left"/>
        </w:tabs>
        <w:numPr>
          <w:ilvl w:val="1"/>
          <w:numId w:val="86"/>
        </w:numPr>
        <w:rPr>
          <w:rFonts w:ascii="Arial" w:cs="Arial" w:eastAsia="Arial" w:hAnsi="Arial"/>
          <w:sz w:val="18"/>
          <w:szCs w:val="18"/>
          <w:color w:val="auto"/>
        </w:rPr>
      </w:pPr>
      <w:r>
        <w:rPr>
          <w:rFonts w:ascii="Arial" w:cs="Arial" w:eastAsia="Arial" w:hAnsi="Arial"/>
          <w:sz w:val="20"/>
          <w:szCs w:val="20"/>
          <w:i w:val="1"/>
          <w:iCs w:val="1"/>
          <w:color w:val="auto"/>
        </w:rPr>
        <w:t>Termination without Cause</w:t>
      </w:r>
      <w:r>
        <w:rPr>
          <w:rFonts w:ascii="Arial" w:cs="Arial" w:eastAsia="Arial" w:hAnsi="Arial"/>
          <w:sz w:val="20"/>
          <w:szCs w:val="20"/>
          <w:color w:val="auto"/>
        </w:rPr>
        <w:t>. The Company may terminate Executive’s employment without Cause.</w:t>
      </w:r>
    </w:p>
    <w:p>
      <w:pPr>
        <w:spacing w:after="0" w:line="242" w:lineRule="exact"/>
        <w:rPr>
          <w:rFonts w:ascii="Arial" w:cs="Arial" w:eastAsia="Arial" w:hAnsi="Arial"/>
          <w:sz w:val="18"/>
          <w:szCs w:val="18"/>
          <w:color w:val="auto"/>
        </w:rPr>
      </w:pPr>
    </w:p>
    <w:p>
      <w:pPr>
        <w:ind w:left="660" w:right="700" w:firstLine="645"/>
        <w:spacing w:after="0" w:line="289" w:lineRule="auto"/>
        <w:tabs>
          <w:tab w:leader="none" w:pos="2166" w:val="left"/>
        </w:tabs>
        <w:numPr>
          <w:ilvl w:val="1"/>
          <w:numId w:val="86"/>
        </w:numPr>
        <w:rPr>
          <w:rFonts w:ascii="Arial" w:cs="Arial" w:eastAsia="Arial" w:hAnsi="Arial"/>
          <w:sz w:val="18"/>
          <w:szCs w:val="18"/>
          <w:color w:val="auto"/>
        </w:rPr>
      </w:pPr>
      <w:r>
        <w:rPr>
          <w:rFonts w:ascii="Arial" w:cs="Arial" w:eastAsia="Arial" w:hAnsi="Arial"/>
          <w:sz w:val="20"/>
          <w:szCs w:val="20"/>
          <w:i w:val="1"/>
          <w:iCs w:val="1"/>
          <w:color w:val="auto"/>
        </w:rPr>
        <w:t xml:space="preserve">Resignation from the Company with Good Reason. </w:t>
      </w:r>
      <w:r>
        <w:rPr>
          <w:rFonts w:ascii="Arial" w:cs="Arial" w:eastAsia="Arial" w:hAnsi="Arial"/>
          <w:sz w:val="20"/>
          <w:szCs w:val="20"/>
          <w:color w:val="auto"/>
        </w:rPr>
        <w:t>Executive may resign Executive’s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with Good Reason, as defined below.</w:t>
      </w:r>
    </w:p>
    <w:p>
      <w:pPr>
        <w:spacing w:after="0" w:line="175" w:lineRule="exact"/>
        <w:rPr>
          <w:rFonts w:ascii="Arial" w:cs="Arial" w:eastAsia="Arial" w:hAnsi="Arial"/>
          <w:sz w:val="18"/>
          <w:szCs w:val="18"/>
          <w:color w:val="auto"/>
        </w:rPr>
      </w:pPr>
    </w:p>
    <w:p>
      <w:pPr>
        <w:ind w:left="660" w:right="400" w:firstLine="645"/>
        <w:spacing w:after="0" w:line="289" w:lineRule="auto"/>
        <w:tabs>
          <w:tab w:leader="none" w:pos="2216" w:val="left"/>
        </w:tabs>
        <w:numPr>
          <w:ilvl w:val="1"/>
          <w:numId w:val="86"/>
        </w:numPr>
        <w:rPr>
          <w:rFonts w:ascii="Arial" w:cs="Arial" w:eastAsia="Arial" w:hAnsi="Arial"/>
          <w:sz w:val="18"/>
          <w:szCs w:val="18"/>
          <w:color w:val="auto"/>
        </w:rPr>
      </w:pPr>
      <w:r>
        <w:rPr>
          <w:rFonts w:ascii="Arial" w:cs="Arial" w:eastAsia="Arial" w:hAnsi="Arial"/>
          <w:sz w:val="20"/>
          <w:szCs w:val="20"/>
          <w:i w:val="1"/>
          <w:iCs w:val="1"/>
          <w:color w:val="auto"/>
        </w:rPr>
        <w:t>Resignation from the Company without Good Reason</w:t>
      </w:r>
      <w:r>
        <w:rPr>
          <w:rFonts w:ascii="Arial" w:cs="Arial" w:eastAsia="Arial" w:hAnsi="Arial"/>
          <w:sz w:val="20"/>
          <w:szCs w:val="20"/>
          <w:color w:val="auto"/>
        </w:rPr>
        <w:t>. Executive may resign Executive’s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for any reason other than Good Reason or for no reason.</w:t>
      </w:r>
    </w:p>
    <w:p>
      <w:pPr>
        <w:spacing w:after="0" w:line="175" w:lineRule="exact"/>
        <w:rPr>
          <w:rFonts w:ascii="Arial" w:cs="Arial" w:eastAsia="Arial" w:hAnsi="Arial"/>
          <w:sz w:val="18"/>
          <w:szCs w:val="18"/>
          <w:color w:val="auto"/>
        </w:rPr>
      </w:pPr>
    </w:p>
    <w:p>
      <w:pPr>
        <w:ind w:right="180" w:firstLine="656"/>
        <w:spacing w:after="0" w:line="322" w:lineRule="auto"/>
        <w:tabs>
          <w:tab w:leader="none" w:pos="1506" w:val="left"/>
        </w:tabs>
        <w:numPr>
          <w:ilvl w:val="0"/>
          <w:numId w:val="86"/>
        </w:numPr>
        <w:rPr>
          <w:rFonts w:ascii="Arial" w:cs="Arial" w:eastAsia="Arial" w:hAnsi="Arial"/>
          <w:sz w:val="16"/>
          <w:szCs w:val="16"/>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Any termination of Executive’s employment by the Company or by Executive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95" w:right="299" w:bottom="1440" w:gutter="0" w:footer="0" w:header="0"/>
        </w:sectPr>
      </w:pPr>
    </w:p>
    <w:bookmarkStart w:id="106" w:name="page107"/>
    <w:bookmarkEnd w:id="106"/>
    <w:p>
      <w:pPr>
        <w:spacing w:after="0" w:line="285" w:lineRule="auto"/>
        <w:rPr>
          <w:sz w:val="20"/>
          <w:szCs w:val="20"/>
          <w:color w:val="auto"/>
        </w:rPr>
      </w:pPr>
      <w:r>
        <w:rPr>
          <w:rFonts w:ascii="Arial" w:cs="Arial" w:eastAsia="Arial" w:hAnsi="Arial"/>
          <w:sz w:val="19"/>
          <w:szCs w:val="19"/>
          <w:color w:val="auto"/>
        </w:rPr>
        <w:t>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9"/>
          <w:szCs w:val="19"/>
          <w:i w:val="1"/>
          <w:iCs w:val="1"/>
          <w:color w:val="auto"/>
        </w:rPr>
        <w:t>provided</w:t>
      </w:r>
      <w:r>
        <w:rPr>
          <w:rFonts w:ascii="Arial" w:cs="Arial" w:eastAsia="Arial" w:hAnsi="Arial"/>
          <w:sz w:val="19"/>
          <w:szCs w:val="19"/>
          <w:color w:val="auto"/>
        </w:rPr>
        <w:t>,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82" w:lineRule="exact"/>
        <w:rPr>
          <w:sz w:val="20"/>
          <w:szCs w:val="20"/>
          <w:color w:val="auto"/>
        </w:rPr>
      </w:pPr>
    </w:p>
    <w:p>
      <w:pPr>
        <w:ind w:firstLine="656"/>
        <w:spacing w:after="0" w:line="302" w:lineRule="auto"/>
        <w:tabs>
          <w:tab w:leader="none" w:pos="1496" w:val="left"/>
        </w:tabs>
        <w:numPr>
          <w:ilvl w:val="1"/>
          <w:numId w:val="87"/>
        </w:numPr>
        <w:rPr>
          <w:rFonts w:ascii="Arial" w:cs="Arial" w:eastAsia="Arial" w:hAnsi="Arial"/>
          <w:sz w:val="16"/>
          <w:szCs w:val="16"/>
          <w:color w:val="auto"/>
        </w:rPr>
      </w:pPr>
      <w:r>
        <w:rPr>
          <w:rFonts w:ascii="Arial" w:cs="Arial" w:eastAsia="Arial" w:hAnsi="Arial"/>
          <w:sz w:val="18"/>
          <w:szCs w:val="18"/>
          <w:u w:val="single" w:color="auto"/>
          <w:color w:val="auto"/>
        </w:rPr>
        <w:t>Company Obligations upon Termination</w:t>
      </w:r>
      <w:r>
        <w:rPr>
          <w:rFonts w:ascii="Arial" w:cs="Arial" w:eastAsia="Arial" w:hAnsi="Arial"/>
          <w:sz w:val="18"/>
          <w:szCs w:val="18"/>
          <w:color w:val="auto"/>
        </w:rPr>
        <w:t xml:space="preserve">. Upon termination of Executive’s employment pursuant to any of the circumstances listed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8"/>
          <w:szCs w:val="18"/>
          <w:u w:val="single" w:color="auto"/>
          <w:color w:val="auto"/>
        </w:rPr>
        <w:t>Company Arrangements</w:t>
      </w:r>
      <w:r>
        <w:rPr>
          <w:rFonts w:ascii="Arial" w:cs="Arial" w:eastAsia="Arial" w:hAnsi="Arial"/>
          <w:sz w:val="18"/>
          <w:szCs w:val="18"/>
          <w:color w:val="auto"/>
        </w:rPr>
        <w:t>”). Except as otherwise expressly required by law (</w:t>
      </w:r>
      <w:r>
        <w:rPr>
          <w:rFonts w:ascii="Arial" w:cs="Arial" w:eastAsia="Arial" w:hAnsi="Arial"/>
          <w:sz w:val="18"/>
          <w:szCs w:val="18"/>
          <w:u w:val="single" w:color="auto"/>
          <w:color w:val="auto"/>
        </w:rPr>
        <w:t>e.g.</w:t>
      </w:r>
      <w:r>
        <w:rPr>
          <w:rFonts w:ascii="Arial" w:cs="Arial" w:eastAsia="Arial" w:hAnsi="Arial"/>
          <w:sz w:val="18"/>
          <w:szCs w:val="18"/>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73" w:lineRule="exact"/>
        <w:rPr>
          <w:rFonts w:ascii="Arial" w:cs="Arial" w:eastAsia="Arial" w:hAnsi="Arial"/>
          <w:sz w:val="16"/>
          <w:szCs w:val="16"/>
          <w:color w:val="auto"/>
        </w:rPr>
      </w:pPr>
    </w:p>
    <w:p>
      <w:pPr>
        <w:ind w:right="460" w:firstLine="656"/>
        <w:spacing w:after="0" w:line="289" w:lineRule="auto"/>
        <w:tabs>
          <w:tab w:leader="none" w:pos="1506" w:val="left"/>
        </w:tabs>
        <w:numPr>
          <w:ilvl w:val="1"/>
          <w:numId w:val="87"/>
        </w:numPr>
        <w:rPr>
          <w:rFonts w:ascii="Arial" w:cs="Arial" w:eastAsia="Arial" w:hAnsi="Arial"/>
          <w:sz w:val="18"/>
          <w:szCs w:val="18"/>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69" w:lineRule="exact"/>
        <w:rPr>
          <w:rFonts w:ascii="Arial" w:cs="Arial" w:eastAsia="Arial" w:hAnsi="Arial"/>
          <w:sz w:val="18"/>
          <w:szCs w:val="18"/>
          <w:color w:val="auto"/>
        </w:rPr>
      </w:pPr>
    </w:p>
    <w:p>
      <w:pPr>
        <w:ind w:left="800" w:hanging="792"/>
        <w:spacing w:after="0"/>
        <w:tabs>
          <w:tab w:leader="none" w:pos="800" w:val="left"/>
        </w:tabs>
        <w:numPr>
          <w:ilvl w:val="0"/>
          <w:numId w:val="8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Severance Payments</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b w:val="1"/>
          <w:bCs w:val="1"/>
          <w:color w:val="auto"/>
        </w:rPr>
      </w:pPr>
    </w:p>
    <w:p>
      <w:pPr>
        <w:ind w:right="140" w:firstLine="656"/>
        <w:spacing w:after="0" w:line="293" w:lineRule="auto"/>
        <w:tabs>
          <w:tab w:leader="none" w:pos="1496" w:val="left"/>
        </w:tabs>
        <w:numPr>
          <w:ilvl w:val="1"/>
          <w:numId w:val="88"/>
        </w:numPr>
        <w:rPr>
          <w:rFonts w:ascii="Arial" w:cs="Arial" w:eastAsia="Arial" w:hAnsi="Arial"/>
          <w:sz w:val="17"/>
          <w:szCs w:val="17"/>
          <w:color w:val="auto"/>
        </w:rPr>
      </w:pPr>
      <w:r>
        <w:rPr>
          <w:rFonts w:ascii="Arial" w:cs="Arial" w:eastAsia="Arial" w:hAnsi="Arial"/>
          <w:sz w:val="19"/>
          <w:szCs w:val="19"/>
          <w:u w:val="single" w:color="auto"/>
          <w:color w:val="auto"/>
        </w:rPr>
        <w:t>Termination for Cause, or Termination Upon Death, Disability or Resignation from the Company Without Good Reason</w:t>
      </w:r>
      <w:r>
        <w:rPr>
          <w:rFonts w:ascii="Arial" w:cs="Arial" w:eastAsia="Arial" w:hAnsi="Arial"/>
          <w:sz w:val="19"/>
          <w:szCs w:val="19"/>
          <w:color w:val="auto"/>
        </w:rPr>
        <w:t xml:space="preserve">. If Executive’s employment shall terminate as a result of Executive’s death pursuant to </w:t>
      </w:r>
      <w:r>
        <w:rPr>
          <w:rFonts w:ascii="Arial" w:cs="Arial" w:eastAsia="Arial" w:hAnsi="Arial"/>
          <w:sz w:val="19"/>
          <w:szCs w:val="19"/>
          <w:u w:val="single" w:color="auto"/>
          <w:color w:val="auto"/>
        </w:rPr>
        <w:t>Section 3(a)(i)</w:t>
      </w:r>
      <w:r>
        <w:rPr>
          <w:rFonts w:ascii="Arial" w:cs="Arial" w:eastAsia="Arial" w:hAnsi="Arial"/>
          <w:sz w:val="19"/>
          <w:szCs w:val="19"/>
          <w:color w:val="auto"/>
        </w:rPr>
        <w:t xml:space="preserve"> or Disability pursuant to </w:t>
      </w:r>
      <w:r>
        <w:rPr>
          <w:rFonts w:ascii="Arial" w:cs="Arial" w:eastAsia="Arial" w:hAnsi="Arial"/>
          <w:sz w:val="19"/>
          <w:szCs w:val="19"/>
          <w:u w:val="single" w:color="auto"/>
          <w:color w:val="auto"/>
        </w:rPr>
        <w:t>Section 3(a)(ii)</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3(a)(iii)</w:t>
      </w:r>
      <w:r>
        <w:rPr>
          <w:rFonts w:ascii="Arial" w:cs="Arial" w:eastAsia="Arial" w:hAnsi="Arial"/>
          <w:sz w:val="19"/>
          <w:szCs w:val="19"/>
          <w:color w:val="auto"/>
        </w:rPr>
        <w:t xml:space="preserve"> for Cause, or pursuant to </w:t>
      </w:r>
      <w:r>
        <w:rPr>
          <w:rFonts w:ascii="Arial" w:cs="Arial" w:eastAsia="Arial" w:hAnsi="Arial"/>
          <w:sz w:val="19"/>
          <w:szCs w:val="19"/>
          <w:u w:val="single" w:color="auto"/>
          <w:color w:val="auto"/>
        </w:rPr>
        <w:t>Section 3(a)(vi)</w:t>
      </w:r>
      <w:r>
        <w:rPr>
          <w:rFonts w:ascii="Arial" w:cs="Arial" w:eastAsia="Arial" w:hAnsi="Arial"/>
          <w:sz w:val="19"/>
          <w:szCs w:val="19"/>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9"/>
          <w:szCs w:val="19"/>
          <w:u w:val="single" w:color="auto"/>
          <w:color w:val="auto"/>
        </w:rPr>
        <w:t>Section 3(c)</w:t>
      </w:r>
      <w:r>
        <w:rPr>
          <w:rFonts w:ascii="Arial" w:cs="Arial" w:eastAsia="Arial" w:hAnsi="Arial"/>
          <w:sz w:val="19"/>
          <w:szCs w:val="19"/>
          <w:color w:val="auto"/>
        </w:rPr>
        <w:t>.</w:t>
      </w:r>
    </w:p>
    <w:p>
      <w:pPr>
        <w:spacing w:after="0" w:line="175" w:lineRule="exact"/>
        <w:rPr>
          <w:rFonts w:ascii="Arial" w:cs="Arial" w:eastAsia="Arial" w:hAnsi="Arial"/>
          <w:sz w:val="17"/>
          <w:szCs w:val="17"/>
          <w:color w:val="auto"/>
        </w:rPr>
      </w:pPr>
    </w:p>
    <w:p>
      <w:pPr>
        <w:jc w:val="both"/>
        <w:ind w:right="280" w:firstLine="656"/>
        <w:spacing w:after="0" w:line="278" w:lineRule="auto"/>
        <w:tabs>
          <w:tab w:leader="none" w:pos="1506" w:val="left"/>
        </w:tabs>
        <w:numPr>
          <w:ilvl w:val="1"/>
          <w:numId w:val="88"/>
        </w:numPr>
        <w:rPr>
          <w:rFonts w:ascii="Arial" w:cs="Arial" w:eastAsia="Arial" w:hAnsi="Arial"/>
          <w:sz w:val="18"/>
          <w:szCs w:val="18"/>
          <w:color w:val="auto"/>
        </w:rPr>
      </w:pPr>
      <w:r>
        <w:rPr>
          <w:rFonts w:ascii="Arial" w:cs="Arial" w:eastAsia="Arial" w:hAnsi="Arial"/>
          <w:sz w:val="20"/>
          <w:szCs w:val="20"/>
          <w:u w:val="single" w:color="auto"/>
          <w:color w:val="auto"/>
        </w:rPr>
        <w:t>Termination without Cause, or Resignation from the Company with Good Reason</w:t>
      </w:r>
      <w:r>
        <w:rPr>
          <w:rFonts w:ascii="Arial" w:cs="Arial" w:eastAsia="Arial" w:hAnsi="Arial"/>
          <w:sz w:val="20"/>
          <w:szCs w:val="20"/>
          <w:color w:val="auto"/>
        </w:rPr>
        <w:t xml:space="preserve">. If Executive’s employment terminates without Cause pursuant to </w:t>
      </w:r>
      <w:r>
        <w:rPr>
          <w:rFonts w:ascii="Arial" w:cs="Arial" w:eastAsia="Arial" w:hAnsi="Arial"/>
          <w:sz w:val="20"/>
          <w:szCs w:val="20"/>
          <w:u w:val="single" w:color="auto"/>
          <w:color w:val="auto"/>
        </w:rPr>
        <w:t>Section 3(a)(iv)</w:t>
      </w:r>
      <w:r>
        <w:rPr>
          <w:rFonts w:ascii="Arial" w:cs="Arial" w:eastAsia="Arial" w:hAnsi="Arial"/>
          <w:sz w:val="20"/>
          <w:szCs w:val="20"/>
          <w:color w:val="auto"/>
        </w:rPr>
        <w:t xml:space="preserve">, or pursuant to </w:t>
      </w:r>
      <w:r>
        <w:rPr>
          <w:rFonts w:ascii="Arial" w:cs="Arial" w:eastAsia="Arial" w:hAnsi="Arial"/>
          <w:sz w:val="20"/>
          <w:szCs w:val="20"/>
          <w:u w:val="single" w:color="auto"/>
          <w:color w:val="auto"/>
        </w:rPr>
        <w:t>Section 3(a)(v)</w:t>
      </w:r>
      <w:r>
        <w:rPr>
          <w:rFonts w:ascii="Arial" w:cs="Arial" w:eastAsia="Arial" w:hAnsi="Arial"/>
          <w:sz w:val="20"/>
          <w:szCs w:val="20"/>
          <w:color w:val="auto"/>
        </w:rPr>
        <w:t xml:space="preserve"> due to Executive’s resignation with Good Reason, then, subject to Executive signing on or before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95" w:right="279" w:bottom="1440" w:gutter="0" w:footer="0" w:header="0"/>
        </w:sectPr>
      </w:pPr>
    </w:p>
    <w:bookmarkStart w:id="107" w:name="page108"/>
    <w:bookmarkEnd w:id="107"/>
    <w:p>
      <w:pPr>
        <w:ind w:right="240"/>
        <w:spacing w:after="0" w:line="274" w:lineRule="auto"/>
        <w:rPr>
          <w:sz w:val="20"/>
          <w:szCs w:val="20"/>
          <w:color w:val="auto"/>
        </w:rPr>
      </w:pPr>
      <w:r>
        <w:rPr>
          <w:rFonts w:ascii="Arial" w:cs="Arial" w:eastAsia="Arial" w:hAnsi="Arial"/>
          <w:sz w:val="20"/>
          <w:szCs w:val="20"/>
          <w:color w:val="auto"/>
        </w:rPr>
        <w:t xml:space="preserve">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 (the “</w:t>
      </w: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and Executive’s continued compliance with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Executive shall receive, in addition to payments and benefits set forth in </w:t>
      </w:r>
      <w:r>
        <w:rPr>
          <w:rFonts w:ascii="Arial" w:cs="Arial" w:eastAsia="Arial" w:hAnsi="Arial"/>
          <w:sz w:val="20"/>
          <w:szCs w:val="20"/>
          <w:u w:val="single" w:color="auto"/>
          <w:color w:val="auto"/>
        </w:rPr>
        <w:t>Section 3(c)</w:t>
      </w:r>
      <w:r>
        <w:rPr>
          <w:rFonts w:ascii="Arial" w:cs="Arial" w:eastAsia="Arial" w:hAnsi="Arial"/>
          <w:sz w:val="20"/>
          <w:szCs w:val="20"/>
          <w:color w:val="auto"/>
        </w:rPr>
        <w:t>, the following:</w:t>
      </w:r>
    </w:p>
    <w:p>
      <w:pPr>
        <w:spacing w:after="0" w:line="192" w:lineRule="exact"/>
        <w:rPr>
          <w:sz w:val="20"/>
          <w:szCs w:val="20"/>
          <w:color w:val="auto"/>
        </w:rPr>
      </w:pPr>
    </w:p>
    <w:p>
      <w:pPr>
        <w:ind w:left="660" w:right="40" w:firstLine="645"/>
        <w:spacing w:after="0" w:line="293" w:lineRule="auto"/>
        <w:tabs>
          <w:tab w:leader="none" w:pos="2126" w:val="left"/>
        </w:tabs>
        <w:numPr>
          <w:ilvl w:val="1"/>
          <w:numId w:val="89"/>
        </w:numPr>
        <w:rPr>
          <w:rFonts w:ascii="Arial" w:cs="Arial" w:eastAsia="Arial" w:hAnsi="Arial"/>
          <w:sz w:val="17"/>
          <w:szCs w:val="17"/>
          <w:color w:val="auto"/>
        </w:rPr>
      </w:pPr>
      <w:r>
        <w:rPr>
          <w:rFonts w:ascii="Arial" w:cs="Arial" w:eastAsia="Arial" w:hAnsi="Arial"/>
          <w:sz w:val="19"/>
          <w:szCs w:val="19"/>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in accordance with the Company’s normal payroll practices, commencing on the Company’s next regular payday following the effective date of the Release (with the first payment including all amounts accrued to date) (the “</w:t>
      </w:r>
      <w:r>
        <w:rPr>
          <w:rFonts w:ascii="Arial" w:cs="Arial" w:eastAsia="Arial" w:hAnsi="Arial"/>
          <w:sz w:val="19"/>
          <w:szCs w:val="19"/>
          <w:u w:val="single" w:color="auto"/>
          <w:color w:val="auto"/>
        </w:rPr>
        <w:t>Payment Date</w:t>
      </w:r>
      <w:r>
        <w:rPr>
          <w:rFonts w:ascii="Arial" w:cs="Arial" w:eastAsia="Arial" w:hAnsi="Arial"/>
          <w:sz w:val="19"/>
          <w:szCs w:val="19"/>
          <w:color w:val="auto"/>
        </w:rPr>
        <w:t>”);</w:t>
      </w:r>
    </w:p>
    <w:p>
      <w:pPr>
        <w:spacing w:after="0" w:line="175" w:lineRule="exact"/>
        <w:rPr>
          <w:rFonts w:ascii="Arial" w:cs="Arial" w:eastAsia="Arial" w:hAnsi="Arial"/>
          <w:sz w:val="17"/>
          <w:szCs w:val="17"/>
          <w:color w:val="auto"/>
        </w:rPr>
      </w:pPr>
    </w:p>
    <w:p>
      <w:pPr>
        <w:ind w:left="660" w:right="160" w:firstLine="645"/>
        <w:spacing w:after="0" w:line="288" w:lineRule="auto"/>
        <w:tabs>
          <w:tab w:leader="none" w:pos="2176" w:val="left"/>
        </w:tabs>
        <w:numPr>
          <w:ilvl w:val="1"/>
          <w:numId w:val="89"/>
        </w:numPr>
        <w:rPr>
          <w:rFonts w:ascii="Arial" w:cs="Arial" w:eastAsia="Arial" w:hAnsi="Arial"/>
          <w:sz w:val="17"/>
          <w:szCs w:val="17"/>
          <w:color w:val="auto"/>
        </w:rPr>
      </w:pPr>
      <w:r>
        <w:rPr>
          <w:rFonts w:ascii="Arial" w:cs="Arial" w:eastAsia="Arial" w:hAnsi="Arial"/>
          <w:sz w:val="19"/>
          <w:szCs w:val="19"/>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182" w:lineRule="exact"/>
        <w:rPr>
          <w:rFonts w:ascii="Arial" w:cs="Arial" w:eastAsia="Arial" w:hAnsi="Arial"/>
          <w:sz w:val="17"/>
          <w:szCs w:val="17"/>
          <w:color w:val="auto"/>
        </w:rPr>
      </w:pPr>
    </w:p>
    <w:p>
      <w:pPr>
        <w:ind w:left="660" w:firstLine="645"/>
        <w:spacing w:after="0" w:line="285" w:lineRule="auto"/>
        <w:tabs>
          <w:tab w:leader="none" w:pos="2226" w:val="left"/>
        </w:tabs>
        <w:numPr>
          <w:ilvl w:val="1"/>
          <w:numId w:val="89"/>
        </w:numPr>
        <w:rPr>
          <w:rFonts w:ascii="Arial" w:cs="Arial" w:eastAsia="Arial" w:hAnsi="Arial"/>
          <w:sz w:val="17"/>
          <w:szCs w:val="17"/>
          <w:color w:val="auto"/>
        </w:rPr>
      </w:pPr>
      <w:r>
        <w:rPr>
          <w:rFonts w:ascii="Arial" w:cs="Arial" w:eastAsia="Arial" w:hAnsi="Arial"/>
          <w:sz w:val="19"/>
          <w:szCs w:val="19"/>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84" w:lineRule="exact"/>
        <w:rPr>
          <w:rFonts w:ascii="Arial" w:cs="Arial" w:eastAsia="Arial" w:hAnsi="Arial"/>
          <w:sz w:val="17"/>
          <w:szCs w:val="17"/>
          <w:color w:val="auto"/>
        </w:rPr>
      </w:pPr>
    </w:p>
    <w:p>
      <w:pPr>
        <w:ind w:right="40" w:firstLine="656"/>
        <w:spacing w:after="0" w:line="276" w:lineRule="auto"/>
        <w:tabs>
          <w:tab w:leader="none" w:pos="1496" w:val="left"/>
        </w:tabs>
        <w:numPr>
          <w:ilvl w:val="0"/>
          <w:numId w:val="90"/>
        </w:numPr>
        <w:rPr>
          <w:rFonts w:ascii="Arial" w:cs="Arial" w:eastAsia="Arial" w:hAnsi="Arial"/>
          <w:sz w:val="17"/>
          <w:szCs w:val="17"/>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Executive’s Separation from Service, and not revoking, the Release (which the Executive will receive no later than ten(10) business days following Executive’s Separation from Service)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the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4(b)</w:t>
      </w:r>
      <w:r>
        <w:rPr>
          <w:rFonts w:ascii="Arial" w:cs="Arial" w:eastAsia="Arial" w:hAnsi="Arial"/>
          <w:sz w:val="19"/>
          <w:szCs w:val="19"/>
          <w:color w:val="auto"/>
        </w:rPr>
        <w:t>, immediate vesting of all unvested equity or equity-based awards held by Executive under any Company equity compensation plans that vest solely based on the passage of time (for the avoidance of doubt, with</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5" w:right="239" w:bottom="1440" w:gutter="0" w:footer="0" w:header="0"/>
        </w:sectPr>
      </w:pPr>
    </w:p>
    <w:bookmarkStart w:id="108" w:name="page109"/>
    <w:bookmarkEnd w:id="108"/>
    <w:p>
      <w:pPr>
        <w:ind w:right="360"/>
        <w:spacing w:after="0" w:line="289" w:lineRule="auto"/>
        <w:rPr>
          <w:sz w:val="20"/>
          <w:szCs w:val="20"/>
          <w:color w:val="auto"/>
        </w:rPr>
      </w:pPr>
      <w:r>
        <w:rPr>
          <w:rFonts w:ascii="Arial" w:cs="Arial" w:eastAsia="Arial" w:hAnsi="Arial"/>
          <w:sz w:val="20"/>
          <w:szCs w:val="20"/>
          <w:color w:val="auto"/>
        </w:rPr>
        <w:t>any such awards that vest in whole or in part based on the attainment of performance-vesting conditions being governed by the terms of the applicable award agreement).</w:t>
      </w:r>
    </w:p>
    <w:p>
      <w:pPr>
        <w:spacing w:after="0" w:line="175" w:lineRule="exact"/>
        <w:rPr>
          <w:sz w:val="20"/>
          <w:szCs w:val="20"/>
          <w:color w:val="auto"/>
        </w:rPr>
      </w:pPr>
    </w:p>
    <w:p>
      <w:pPr>
        <w:ind w:right="20" w:firstLine="656"/>
        <w:spacing w:after="0" w:line="289" w:lineRule="auto"/>
        <w:tabs>
          <w:tab w:leader="none" w:pos="1506" w:val="left"/>
        </w:tabs>
        <w:numPr>
          <w:ilvl w:val="1"/>
          <w:numId w:val="91"/>
        </w:numPr>
        <w:rPr>
          <w:rFonts w:ascii="Arial" w:cs="Arial" w:eastAsia="Arial" w:hAnsi="Arial"/>
          <w:sz w:val="18"/>
          <w:szCs w:val="18"/>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Notwithstanding anything to the contrary in this Agreement, the provisions of </w:t>
      </w:r>
      <w:r>
        <w:rPr>
          <w:rFonts w:ascii="Arial" w:cs="Arial" w:eastAsia="Arial" w:hAnsi="Arial"/>
          <w:sz w:val="20"/>
          <w:szCs w:val="20"/>
          <w:u w:val="single" w:color="auto"/>
          <w:color w:val="auto"/>
        </w:rPr>
        <w:t>Sections 5</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will survive the termination of Executive’s employment and the termination of the Term.</w:t>
      </w:r>
    </w:p>
    <w:p>
      <w:pPr>
        <w:spacing w:after="0" w:line="169" w:lineRule="exact"/>
        <w:rPr>
          <w:rFonts w:ascii="Arial" w:cs="Arial" w:eastAsia="Arial" w:hAnsi="Arial"/>
          <w:sz w:val="18"/>
          <w:szCs w:val="18"/>
          <w:color w:val="auto"/>
        </w:rPr>
      </w:pPr>
    </w:p>
    <w:p>
      <w:pPr>
        <w:ind w:right="300" w:firstLine="8"/>
        <w:spacing w:after="0" w:line="274" w:lineRule="auto"/>
        <w:tabs>
          <w:tab w:leader="none" w:pos="783" w:val="left"/>
        </w:tabs>
        <w:numPr>
          <w:ilvl w:val="0"/>
          <w:numId w:val="92"/>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to the effectiveness of this Agreement, Executive will execute and deliver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86" w:lineRule="exact"/>
        <w:rPr>
          <w:rFonts w:ascii="Arial" w:cs="Arial" w:eastAsia="Arial" w:hAnsi="Arial"/>
          <w:sz w:val="18"/>
          <w:szCs w:val="18"/>
          <w:b w:val="1"/>
          <w:bCs w:val="1"/>
          <w:color w:val="auto"/>
        </w:rPr>
      </w:pPr>
    </w:p>
    <w:p>
      <w:pPr>
        <w:ind w:left="800" w:hanging="792"/>
        <w:spacing w:after="0"/>
        <w:tabs>
          <w:tab w:leader="none" w:pos="800" w:val="left"/>
        </w:tabs>
        <w:numPr>
          <w:ilvl w:val="0"/>
          <w:numId w:val="92"/>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Assignment and Successors</w:t>
      </w:r>
      <w:r>
        <w:rPr>
          <w:rFonts w:ascii="Arial" w:cs="Arial" w:eastAsia="Arial" w:hAnsi="Arial"/>
          <w:sz w:val="20"/>
          <w:szCs w:val="20"/>
          <w:b w:val="1"/>
          <w:bCs w:val="1"/>
          <w:color w:val="auto"/>
        </w:rPr>
        <w:t>.</w:t>
      </w:r>
    </w:p>
    <w:p>
      <w:pPr>
        <w:spacing w:after="0" w:line="235" w:lineRule="exact"/>
        <w:rPr>
          <w:sz w:val="20"/>
          <w:szCs w:val="20"/>
          <w:color w:val="auto"/>
        </w:rPr>
      </w:pPr>
    </w:p>
    <w:p>
      <w:pPr>
        <w:ind w:firstLine="648"/>
        <w:spacing w:after="0" w:line="313" w:lineRule="auto"/>
        <w:rPr>
          <w:sz w:val="20"/>
          <w:szCs w:val="20"/>
          <w:color w:val="auto"/>
        </w:rPr>
      </w:pPr>
      <w:r>
        <w:rPr>
          <w:rFonts w:ascii="Arial" w:cs="Arial" w:eastAsia="Arial" w:hAnsi="Arial"/>
          <w:sz w:val="16"/>
          <w:szCs w:val="16"/>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38"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230" w:lineRule="exact"/>
        <w:rPr>
          <w:rFonts w:ascii="Arial" w:cs="Arial" w:eastAsia="Arial" w:hAnsi="Arial"/>
          <w:sz w:val="18"/>
          <w:szCs w:val="18"/>
          <w:b w:val="1"/>
          <w:bCs w:val="1"/>
          <w:color w:val="auto"/>
        </w:rPr>
      </w:pPr>
    </w:p>
    <w:p>
      <w:pPr>
        <w:ind w:left="1500" w:hanging="844"/>
        <w:spacing w:after="0"/>
        <w:tabs>
          <w:tab w:leader="none" w:pos="1500" w:val="left"/>
        </w:tabs>
        <w:numPr>
          <w:ilvl w:val="1"/>
          <w:numId w:val="93"/>
        </w:numPr>
        <w:rPr>
          <w:rFonts w:ascii="Arial" w:cs="Arial" w:eastAsia="Arial" w:hAnsi="Arial"/>
          <w:sz w:val="18"/>
          <w:szCs w:val="18"/>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xml:space="preserve">. </w:t>
      </w:r>
      <w:r>
        <w:rPr>
          <w:rFonts w:ascii="Arial" w:cs="Arial" w:eastAsia="Arial" w:hAnsi="Arial"/>
          <w:sz w:val="19"/>
          <w:szCs w:val="19"/>
          <w:color w:val="auto"/>
        </w:rPr>
        <w:t>The Company shall have “Cause” to terminate Executive’s employment hereunder upon:</w:t>
      </w:r>
    </w:p>
    <w:p>
      <w:pPr>
        <w:spacing w:after="0" w:line="233" w:lineRule="exact"/>
        <w:rPr>
          <w:rFonts w:ascii="Arial" w:cs="Arial" w:eastAsia="Arial" w:hAnsi="Arial"/>
          <w:sz w:val="18"/>
          <w:szCs w:val="18"/>
          <w:color w:val="auto"/>
        </w:rPr>
      </w:pPr>
    </w:p>
    <w:p>
      <w:pPr>
        <w:ind w:left="660" w:right="140" w:firstLine="645"/>
        <w:spacing w:after="0" w:line="301" w:lineRule="auto"/>
        <w:tabs>
          <w:tab w:leader="none" w:pos="2126" w:val="left"/>
        </w:tabs>
        <w:numPr>
          <w:ilvl w:val="2"/>
          <w:numId w:val="93"/>
        </w:numPr>
        <w:rPr>
          <w:rFonts w:ascii="Arial" w:cs="Arial" w:eastAsia="Arial" w:hAnsi="Arial"/>
          <w:sz w:val="17"/>
          <w:szCs w:val="17"/>
          <w:color w:val="auto"/>
        </w:rPr>
      </w:pPr>
      <w:r>
        <w:rPr>
          <w:rFonts w:ascii="Arial" w:cs="Arial" w:eastAsia="Arial" w:hAnsi="Arial"/>
          <w:sz w:val="21"/>
          <w:szCs w:val="21"/>
          <w:color w:val="auto"/>
        </w:rPr>
        <w:t>Executive’s substantial failure to perform (other than by reason of Disability), or substantial negligence in the performance of, Executive’s duties and responsibilities to the Company or any of its affiliates;</w:t>
      </w:r>
    </w:p>
    <w:p>
      <w:pPr>
        <w:spacing w:after="0" w:line="141" w:lineRule="exact"/>
        <w:rPr>
          <w:rFonts w:ascii="Arial" w:cs="Arial" w:eastAsia="Arial" w:hAnsi="Arial"/>
          <w:sz w:val="17"/>
          <w:szCs w:val="17"/>
          <w:color w:val="auto"/>
        </w:rPr>
      </w:pPr>
    </w:p>
    <w:p>
      <w:pPr>
        <w:ind w:left="2180" w:hanging="875"/>
        <w:spacing w:after="0"/>
        <w:tabs>
          <w:tab w:leader="none" w:pos="2180" w:val="left"/>
        </w:tabs>
        <w:numPr>
          <w:ilvl w:val="2"/>
          <w:numId w:val="93"/>
        </w:numPr>
        <w:rPr>
          <w:rFonts w:ascii="Arial" w:cs="Arial" w:eastAsia="Arial" w:hAnsi="Arial"/>
          <w:sz w:val="17"/>
          <w:szCs w:val="17"/>
          <w:color w:val="auto"/>
        </w:rPr>
      </w:pPr>
      <w:r>
        <w:rPr>
          <w:rFonts w:ascii="Arial" w:cs="Arial" w:eastAsia="Arial" w:hAnsi="Arial"/>
          <w:sz w:val="19"/>
          <w:szCs w:val="19"/>
          <w:color w:val="auto"/>
        </w:rPr>
        <w:t>Executive’s commission of, or indictment or conviction for, any felony or any crime involving dishonesty by</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Executive;</w:t>
      </w:r>
    </w:p>
    <w:p>
      <w:pPr>
        <w:spacing w:after="0" w:line="242" w:lineRule="exact"/>
        <w:rPr>
          <w:rFonts w:ascii="Arial" w:cs="Arial" w:eastAsia="Arial" w:hAnsi="Arial"/>
          <w:sz w:val="17"/>
          <w:szCs w:val="17"/>
          <w:color w:val="auto"/>
        </w:rPr>
      </w:pPr>
    </w:p>
    <w:p>
      <w:pPr>
        <w:ind w:left="2220" w:hanging="915"/>
        <w:spacing w:after="0"/>
        <w:tabs>
          <w:tab w:leader="none" w:pos="2220" w:val="left"/>
        </w:tabs>
        <w:numPr>
          <w:ilvl w:val="2"/>
          <w:numId w:val="93"/>
        </w:numPr>
        <w:rPr>
          <w:rFonts w:ascii="Arial" w:cs="Arial" w:eastAsia="Arial" w:hAnsi="Arial"/>
          <w:sz w:val="18"/>
          <w:szCs w:val="18"/>
          <w:color w:val="auto"/>
        </w:rPr>
      </w:pPr>
      <w:r>
        <w:rPr>
          <w:rFonts w:ascii="Arial" w:cs="Arial" w:eastAsia="Arial" w:hAnsi="Arial"/>
          <w:sz w:val="20"/>
          <w:szCs w:val="20"/>
          <w:color w:val="auto"/>
        </w:rPr>
        <w:t>Executive’s participation in any fraud against the Company or any of its affiliates;</w:t>
      </w:r>
    </w:p>
    <w:p>
      <w:pPr>
        <w:spacing w:after="0" w:line="242" w:lineRule="exact"/>
        <w:rPr>
          <w:rFonts w:ascii="Arial" w:cs="Arial" w:eastAsia="Arial" w:hAnsi="Arial"/>
          <w:sz w:val="18"/>
          <w:szCs w:val="18"/>
          <w:color w:val="auto"/>
        </w:rPr>
      </w:pPr>
    </w:p>
    <w:p>
      <w:pPr>
        <w:ind w:left="2220" w:hanging="915"/>
        <w:spacing w:after="0"/>
        <w:tabs>
          <w:tab w:leader="none" w:pos="2220" w:val="left"/>
        </w:tabs>
        <w:numPr>
          <w:ilvl w:val="2"/>
          <w:numId w:val="93"/>
        </w:numPr>
        <w:rPr>
          <w:rFonts w:ascii="Arial" w:cs="Arial" w:eastAsia="Arial" w:hAnsi="Arial"/>
          <w:sz w:val="18"/>
          <w:szCs w:val="18"/>
          <w:color w:val="auto"/>
        </w:rPr>
      </w:pPr>
      <w:r>
        <w:rPr>
          <w:rFonts w:ascii="Arial" w:cs="Arial" w:eastAsia="Arial" w:hAnsi="Arial"/>
          <w:sz w:val="20"/>
          <w:szCs w:val="20"/>
          <w:color w:val="auto"/>
        </w:rPr>
        <w:t>Any intentional material damage to any property of the Company or any of its affiliates by Executive;</w:t>
      </w:r>
    </w:p>
    <w:p>
      <w:pPr>
        <w:spacing w:after="0" w:line="242" w:lineRule="exact"/>
        <w:rPr>
          <w:rFonts w:ascii="Arial" w:cs="Arial" w:eastAsia="Arial" w:hAnsi="Arial"/>
          <w:sz w:val="18"/>
          <w:szCs w:val="18"/>
          <w:color w:val="auto"/>
        </w:rPr>
      </w:pPr>
    </w:p>
    <w:p>
      <w:pPr>
        <w:ind w:left="660" w:right="100" w:firstLine="645"/>
        <w:spacing w:after="0" w:line="278" w:lineRule="auto"/>
        <w:tabs>
          <w:tab w:leader="none" w:pos="2166" w:val="left"/>
        </w:tabs>
        <w:numPr>
          <w:ilvl w:val="2"/>
          <w:numId w:val="93"/>
        </w:numPr>
        <w:rPr>
          <w:rFonts w:ascii="Arial" w:cs="Arial" w:eastAsia="Arial" w:hAnsi="Arial"/>
          <w:sz w:val="18"/>
          <w:szCs w:val="18"/>
          <w:color w:val="auto"/>
        </w:rPr>
      </w:pPr>
      <w:r>
        <w:rPr>
          <w:rFonts w:ascii="Arial" w:cs="Arial" w:eastAsia="Arial" w:hAnsi="Arial"/>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5" w:right="239" w:bottom="1440" w:gutter="0" w:footer="0" w:header="0"/>
        </w:sectPr>
      </w:pPr>
    </w:p>
    <w:bookmarkStart w:id="109" w:name="page110"/>
    <w:bookmarkEnd w:id="109"/>
    <w:p>
      <w:pPr>
        <w:jc w:val="both"/>
        <w:ind w:left="660" w:right="120" w:firstLine="645"/>
        <w:spacing w:after="0" w:line="278" w:lineRule="auto"/>
        <w:tabs>
          <w:tab w:leader="none" w:pos="2216" w:val="left"/>
        </w:tabs>
        <w:numPr>
          <w:ilvl w:val="1"/>
          <w:numId w:val="94"/>
        </w:numPr>
        <w:rPr>
          <w:rFonts w:ascii="Arial" w:cs="Arial" w:eastAsia="Arial" w:hAnsi="Arial"/>
          <w:sz w:val="18"/>
          <w:szCs w:val="18"/>
          <w:color w:val="auto"/>
        </w:rPr>
      </w:pPr>
      <w:r>
        <w:rPr>
          <w:rFonts w:ascii="Arial" w:cs="Arial" w:eastAsia="Arial" w:hAnsi="Arial"/>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86" w:lineRule="exact"/>
        <w:rPr>
          <w:rFonts w:ascii="Arial" w:cs="Arial" w:eastAsia="Arial" w:hAnsi="Arial"/>
          <w:sz w:val="18"/>
          <w:szCs w:val="18"/>
          <w:color w:val="auto"/>
        </w:rPr>
      </w:pPr>
    </w:p>
    <w:p>
      <w:pPr>
        <w:ind w:right="20" w:firstLine="656"/>
        <w:spacing w:after="0" w:line="289" w:lineRule="auto"/>
        <w:tabs>
          <w:tab w:leader="none" w:pos="1506" w:val="left"/>
        </w:tabs>
        <w:numPr>
          <w:ilvl w:val="0"/>
          <w:numId w:val="95"/>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“Change in Control” shall have the meaning set forth in the version of the Selecta Biosciences, Inc. 2016 Incentive Award Plan in effect on the Effective Date.</w:t>
      </w:r>
    </w:p>
    <w:p>
      <w:pPr>
        <w:spacing w:after="0" w:line="188" w:lineRule="exact"/>
        <w:rPr>
          <w:rFonts w:ascii="Arial" w:cs="Arial" w:eastAsia="Arial" w:hAnsi="Arial"/>
          <w:sz w:val="18"/>
          <w:szCs w:val="18"/>
          <w:color w:val="auto"/>
        </w:rPr>
      </w:pPr>
    </w:p>
    <w:p>
      <w:pPr>
        <w:ind w:left="1500" w:hanging="844"/>
        <w:spacing w:after="0"/>
        <w:tabs>
          <w:tab w:leader="none" w:pos="1500" w:val="left"/>
        </w:tabs>
        <w:numPr>
          <w:ilvl w:val="0"/>
          <w:numId w:val="95"/>
        </w:numPr>
        <w:rPr>
          <w:rFonts w:ascii="Arial" w:cs="Arial" w:eastAsia="Arial" w:hAnsi="Arial"/>
          <w:sz w:val="16"/>
          <w:szCs w:val="16"/>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Internal Revenue Code of 1986, as amended, and the regulations and guidance promulgated</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thereunder.</w:t>
      </w:r>
    </w:p>
    <w:p>
      <w:pPr>
        <w:spacing w:after="0" w:line="242" w:lineRule="exact"/>
        <w:rPr>
          <w:rFonts w:ascii="Arial" w:cs="Arial" w:eastAsia="Arial" w:hAnsi="Arial"/>
          <w:sz w:val="16"/>
          <w:szCs w:val="16"/>
          <w:color w:val="auto"/>
        </w:rPr>
      </w:pPr>
    </w:p>
    <w:p>
      <w:pPr>
        <w:jc w:val="both"/>
        <w:ind w:right="200" w:firstLine="656"/>
        <w:spacing w:after="0" w:line="299" w:lineRule="auto"/>
        <w:tabs>
          <w:tab w:leader="none" w:pos="1506" w:val="left"/>
        </w:tabs>
        <w:numPr>
          <w:ilvl w:val="0"/>
          <w:numId w:val="95"/>
        </w:numPr>
        <w:rPr>
          <w:rFonts w:ascii="Arial" w:cs="Arial" w:eastAsia="Arial" w:hAnsi="Arial"/>
          <w:sz w:val="17"/>
          <w:szCs w:val="17"/>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9"/>
          <w:szCs w:val="19"/>
          <w:u w:val="single" w:color="auto"/>
          <w:color w:val="auto"/>
        </w:rPr>
        <w:t>Section 3(a)(ii) - (vi)</w:t>
      </w:r>
      <w:r>
        <w:rPr>
          <w:rFonts w:ascii="Arial" w:cs="Arial" w:eastAsia="Arial" w:hAnsi="Arial"/>
          <w:sz w:val="19"/>
          <w:szCs w:val="19"/>
          <w:color w:val="auto"/>
        </w:rPr>
        <w:t xml:space="preserve"> either the date indicated in the Notice of Termination or the date specified by the Company pursuant to </w:t>
      </w:r>
      <w:r>
        <w:rPr>
          <w:rFonts w:ascii="Arial" w:cs="Arial" w:eastAsia="Arial" w:hAnsi="Arial"/>
          <w:sz w:val="19"/>
          <w:szCs w:val="19"/>
          <w:u w:val="single" w:color="auto"/>
          <w:color w:val="auto"/>
        </w:rPr>
        <w:t>Section 3(b)</w:t>
      </w:r>
      <w:r>
        <w:rPr>
          <w:rFonts w:ascii="Arial" w:cs="Arial" w:eastAsia="Arial" w:hAnsi="Arial"/>
          <w:sz w:val="19"/>
          <w:szCs w:val="19"/>
          <w:color w:val="auto"/>
        </w:rPr>
        <w:t>, whichever is earlier.</w:t>
      </w:r>
    </w:p>
    <w:p>
      <w:pPr>
        <w:spacing w:after="0" w:line="169" w:lineRule="exact"/>
        <w:rPr>
          <w:rFonts w:ascii="Arial" w:cs="Arial" w:eastAsia="Arial" w:hAnsi="Arial"/>
          <w:sz w:val="17"/>
          <w:szCs w:val="17"/>
          <w:color w:val="auto"/>
        </w:rPr>
      </w:pPr>
    </w:p>
    <w:p>
      <w:pPr>
        <w:ind w:firstLine="656"/>
        <w:spacing w:after="0" w:line="302" w:lineRule="auto"/>
        <w:tabs>
          <w:tab w:leader="none" w:pos="1496" w:val="left"/>
        </w:tabs>
        <w:numPr>
          <w:ilvl w:val="0"/>
          <w:numId w:val="95"/>
        </w:numPr>
        <w:rPr>
          <w:rFonts w:ascii="Arial" w:cs="Arial" w:eastAsia="Arial" w:hAnsi="Arial"/>
          <w:sz w:val="16"/>
          <w:szCs w:val="16"/>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8"/>
          <w:szCs w:val="18"/>
          <w:i w:val="1"/>
          <w:iCs w:val="1"/>
          <w:color w:val="auto"/>
        </w:rPr>
        <w:t>provided, however</w:t>
      </w:r>
      <w:r>
        <w:rPr>
          <w:rFonts w:ascii="Arial" w:cs="Arial" w:eastAsia="Arial" w:hAnsi="Arial"/>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73" w:lineRule="exact"/>
        <w:rPr>
          <w:rFonts w:ascii="Arial" w:cs="Arial" w:eastAsia="Arial" w:hAnsi="Arial"/>
          <w:sz w:val="16"/>
          <w:szCs w:val="16"/>
          <w:color w:val="auto"/>
        </w:rPr>
      </w:pPr>
    </w:p>
    <w:p>
      <w:pPr>
        <w:ind w:right="80" w:firstLine="656"/>
        <w:spacing w:after="0" w:line="285" w:lineRule="auto"/>
        <w:tabs>
          <w:tab w:leader="none" w:pos="1476" w:val="left"/>
        </w:tabs>
        <w:numPr>
          <w:ilvl w:val="0"/>
          <w:numId w:val="95"/>
        </w:numPr>
        <w:rPr>
          <w:rFonts w:ascii="Arial" w:cs="Arial" w:eastAsia="Arial" w:hAnsi="Arial"/>
          <w:sz w:val="17"/>
          <w:szCs w:val="17"/>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the sole purpose of determining Executive’s right to severance payments and benefits as described above, Executive’s resignation will be for “Good Reason” if Executive resigns within six months after any of the following events, unless Executive consents to the applicable event in writing: (i) a material reduction in Executive’s Annual Base Salary or Target Bonus, (ii) a material diminution in Executive’s authority, title or duties or areas of responsibility, (iii) the relocation of Executive’s primary office to a location more than 40 miles from the Boston metropolitan area (other than a relocation to a location within 40 miles of his primary residence in New Jersey), or (iv)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30 days after the receipt of such notice.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95" w:right="259" w:bottom="1440" w:gutter="0" w:footer="0" w:header="0"/>
        </w:sectPr>
      </w:pPr>
    </w:p>
    <w:bookmarkStart w:id="110" w:name="page111"/>
    <w:bookmarkEnd w:id="110"/>
    <w:p>
      <w:pPr>
        <w:ind w:left="792" w:hanging="792"/>
        <w:spacing w:after="0"/>
        <w:tabs>
          <w:tab w:leader="none" w:pos="792" w:val="left"/>
        </w:tabs>
        <w:numPr>
          <w:ilvl w:val="0"/>
          <w:numId w:val="96"/>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Parachute Payments</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b w:val="1"/>
          <w:bCs w:val="1"/>
          <w:color w:val="auto"/>
        </w:rPr>
      </w:pPr>
    </w:p>
    <w:p>
      <w:pPr>
        <w:ind w:left="-8" w:right="20" w:firstLine="656"/>
        <w:spacing w:after="0" w:line="285" w:lineRule="auto"/>
        <w:tabs>
          <w:tab w:leader="none" w:pos="1488" w:val="left"/>
        </w:tabs>
        <w:numPr>
          <w:ilvl w:val="1"/>
          <w:numId w:val="96"/>
        </w:numPr>
        <w:rPr>
          <w:rFonts w:ascii="Arial" w:cs="Arial" w:eastAsia="Arial" w:hAnsi="Arial"/>
          <w:sz w:val="17"/>
          <w:szCs w:val="17"/>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81" w:lineRule="exact"/>
        <w:rPr>
          <w:rFonts w:ascii="Arial" w:cs="Arial" w:eastAsia="Arial" w:hAnsi="Arial"/>
          <w:sz w:val="17"/>
          <w:szCs w:val="17"/>
          <w:color w:val="auto"/>
        </w:rPr>
      </w:pPr>
    </w:p>
    <w:p>
      <w:pPr>
        <w:ind w:left="-8" w:firstLine="656"/>
        <w:spacing w:after="0" w:line="307" w:lineRule="auto"/>
        <w:tabs>
          <w:tab w:leader="none" w:pos="1498" w:val="left"/>
        </w:tabs>
        <w:numPr>
          <w:ilvl w:val="1"/>
          <w:numId w:val="96"/>
        </w:numPr>
        <w:rPr>
          <w:rFonts w:ascii="Arial" w:cs="Arial" w:eastAsia="Arial" w:hAnsi="Arial"/>
          <w:sz w:val="16"/>
          <w:szCs w:val="16"/>
          <w:color w:val="auto"/>
        </w:rPr>
      </w:pPr>
      <w:r>
        <w:rPr>
          <w:rFonts w:ascii="Arial" w:cs="Arial" w:eastAsia="Arial" w:hAnsi="Arial"/>
          <w:sz w:val="18"/>
          <w:szCs w:val="18"/>
          <w:color w:val="auto"/>
        </w:rPr>
        <w:t>The Total Payments shall be reduced in the following order: (i) reduction on a pro-rata basis of any cash severance payments that are exempt from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67" w:lineRule="exact"/>
        <w:rPr>
          <w:rFonts w:ascii="Arial" w:cs="Arial" w:eastAsia="Arial" w:hAnsi="Arial"/>
          <w:sz w:val="16"/>
          <w:szCs w:val="16"/>
          <w:color w:val="auto"/>
        </w:rPr>
      </w:pPr>
    </w:p>
    <w:p>
      <w:pPr>
        <w:ind w:left="-8" w:firstLine="656"/>
        <w:spacing w:after="0" w:line="286" w:lineRule="auto"/>
        <w:tabs>
          <w:tab w:leader="none" w:pos="1488" w:val="left"/>
        </w:tabs>
        <w:numPr>
          <w:ilvl w:val="1"/>
          <w:numId w:val="96"/>
        </w:numPr>
        <w:rPr>
          <w:rFonts w:ascii="Arial" w:cs="Arial" w:eastAsia="Arial" w:hAnsi="Arial"/>
          <w:sz w:val="17"/>
          <w:szCs w:val="17"/>
          <w:color w:val="auto"/>
        </w:rPr>
      </w:pPr>
      <w:r>
        <w:rPr>
          <w:rFonts w:ascii="Arial" w:cs="Arial" w:eastAsia="Arial" w:hAnsi="Arial"/>
          <w:sz w:val="19"/>
          <w:szCs w:val="19"/>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xml:space="preserve">”) to make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5" w:lineRule="exact"/>
        <w:rPr>
          <w:rFonts w:ascii="Arial" w:cs="Arial" w:eastAsia="Arial" w:hAnsi="Arial"/>
          <w:sz w:val="17"/>
          <w:szCs w:val="17"/>
          <w:color w:val="auto"/>
        </w:rPr>
      </w:pPr>
    </w:p>
    <w:p>
      <w:pPr>
        <w:ind w:left="-8" w:right="20" w:firstLine="656"/>
        <w:spacing w:after="0" w:line="287" w:lineRule="auto"/>
        <w:tabs>
          <w:tab w:leader="none" w:pos="1498" w:val="left"/>
        </w:tabs>
        <w:numPr>
          <w:ilvl w:val="1"/>
          <w:numId w:val="96"/>
        </w:numPr>
        <w:rPr>
          <w:rFonts w:ascii="Arial" w:cs="Arial" w:eastAsia="Arial" w:hAnsi="Arial"/>
          <w:sz w:val="17"/>
          <w:szCs w:val="17"/>
          <w:color w:val="auto"/>
        </w:rPr>
      </w:pPr>
      <w:r>
        <w:rPr>
          <w:rFonts w:ascii="Arial" w:cs="Arial" w:eastAsia="Arial" w:hAnsi="Arial"/>
          <w:sz w:val="19"/>
          <w:szCs w:val="19"/>
          <w:color w:val="auto"/>
        </w:rPr>
        <w:t xml:space="preserve">If Executive incurs legal fees or other expenses (including expert witness and accounting fees) in an effort to determine the applicability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establish entitlement to or obtain any portion of the Total Payments that have been reduced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(collectively, “Legal and Other Expenses”), Executive shall be entitled to payment of or reimbursement for such Legal and Other Expenses in accordance with this </w:t>
      </w:r>
      <w:r>
        <w:rPr>
          <w:rFonts w:ascii="Arial" w:cs="Arial" w:eastAsia="Arial" w:hAnsi="Arial"/>
          <w:sz w:val="19"/>
          <w:szCs w:val="19"/>
          <w:u w:val="single" w:color="auto"/>
          <w:color w:val="auto"/>
        </w:rPr>
        <w:t>Section 8(d)</w:t>
      </w:r>
      <w:r>
        <w:rPr>
          <w:rFonts w:ascii="Arial" w:cs="Arial" w:eastAsia="Arial" w:hAnsi="Arial"/>
          <w:sz w:val="19"/>
          <w:szCs w:val="19"/>
          <w:color w:val="auto"/>
        </w:rPr>
        <w:t xml:space="preserve">. Subject to Sections </w:t>
      </w:r>
      <w:r>
        <w:rPr>
          <w:rFonts w:ascii="Arial" w:cs="Arial" w:eastAsia="Arial" w:hAnsi="Arial"/>
          <w:sz w:val="19"/>
          <w:szCs w:val="19"/>
          <w:u w:val="single" w:color="auto"/>
          <w:color w:val="auto"/>
        </w:rPr>
        <w:t>9(1)(iv)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9(m)</w:t>
      </w:r>
      <w:r>
        <w:rPr>
          <w:rFonts w:ascii="Arial" w:cs="Arial" w:eastAsia="Arial" w:hAnsi="Arial"/>
          <w:sz w:val="19"/>
          <w:szCs w:val="19"/>
          <w:color w:val="auto"/>
        </w:rPr>
        <w:t xml:space="preserve"> and the other provisions of this </w:t>
      </w:r>
      <w:r>
        <w:rPr>
          <w:rFonts w:ascii="Arial" w:cs="Arial" w:eastAsia="Arial" w:hAnsi="Arial"/>
          <w:sz w:val="19"/>
          <w:szCs w:val="19"/>
          <w:u w:val="single" w:color="auto"/>
          <w:color w:val="auto"/>
        </w:rPr>
        <w:t>Section 8</w:t>
      </w:r>
      <w:r>
        <w:rPr>
          <w:rFonts w:ascii="Arial" w:cs="Arial" w:eastAsia="Arial" w:hAnsi="Arial"/>
          <w:sz w:val="19"/>
          <w:szCs w:val="19"/>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589" w:right="259" w:bottom="1440" w:gutter="0" w:footer="0" w:header="0"/>
        </w:sectPr>
      </w:pPr>
    </w:p>
    <w:bookmarkStart w:id="111" w:name="page112"/>
    <w:bookmarkEnd w:id="111"/>
    <w:p>
      <w:pPr>
        <w:jc w:val="both"/>
        <w:ind w:right="120"/>
        <w:spacing w:after="0" w:line="278" w:lineRule="auto"/>
        <w:rPr>
          <w:sz w:val="20"/>
          <w:szCs w:val="20"/>
          <w:color w:val="auto"/>
        </w:rPr>
      </w:pPr>
      <w:r>
        <w:rPr>
          <w:rFonts w:ascii="Arial" w:cs="Arial" w:eastAsia="Arial" w:hAnsi="Arial"/>
          <w:sz w:val="20"/>
          <w:szCs w:val="20"/>
          <w:color w:val="auto"/>
        </w:rPr>
        <w:t>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87" w:lineRule="exact"/>
        <w:rPr>
          <w:sz w:val="20"/>
          <w:szCs w:val="20"/>
          <w:color w:val="auto"/>
        </w:rPr>
      </w:pPr>
    </w:p>
    <w:p>
      <w:pPr>
        <w:ind w:firstLine="656"/>
        <w:spacing w:after="0" w:line="293" w:lineRule="auto"/>
        <w:tabs>
          <w:tab w:leader="none" w:pos="1496" w:val="left"/>
        </w:tabs>
        <w:numPr>
          <w:ilvl w:val="1"/>
          <w:numId w:val="97"/>
        </w:numPr>
        <w:rPr>
          <w:rFonts w:ascii="Arial" w:cs="Arial" w:eastAsia="Arial" w:hAnsi="Arial"/>
          <w:sz w:val="17"/>
          <w:szCs w:val="17"/>
          <w:color w:val="auto"/>
        </w:rPr>
      </w:pPr>
      <w:r>
        <w:rPr>
          <w:rFonts w:ascii="Arial" w:cs="Arial" w:eastAsia="Arial" w:hAnsi="Arial"/>
          <w:sz w:val="19"/>
          <w:szCs w:val="19"/>
          <w:color w:val="auto"/>
        </w:rPr>
        <w:t xml:space="preserve">In the event it is later determined that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69" w:lineRule="exact"/>
        <w:rPr>
          <w:rFonts w:ascii="Arial" w:cs="Arial" w:eastAsia="Arial" w:hAnsi="Arial"/>
          <w:sz w:val="17"/>
          <w:szCs w:val="17"/>
          <w:color w:val="auto"/>
        </w:rPr>
      </w:pPr>
    </w:p>
    <w:p>
      <w:pPr>
        <w:ind w:left="800" w:hanging="792"/>
        <w:spacing w:after="0"/>
        <w:tabs>
          <w:tab w:leader="none" w:pos="800" w:val="left"/>
        </w:tabs>
        <w:numPr>
          <w:ilvl w:val="0"/>
          <w:numId w:val="9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b w:val="1"/>
          <w:bCs w:val="1"/>
          <w:color w:val="auto"/>
        </w:rPr>
      </w:pPr>
    </w:p>
    <w:p>
      <w:pPr>
        <w:ind w:right="220" w:firstLine="656"/>
        <w:spacing w:after="0" w:line="293" w:lineRule="auto"/>
        <w:tabs>
          <w:tab w:leader="none" w:pos="1496" w:val="left"/>
        </w:tabs>
        <w:numPr>
          <w:ilvl w:val="1"/>
          <w:numId w:val="98"/>
        </w:numPr>
        <w:rPr>
          <w:rFonts w:ascii="Arial" w:cs="Arial" w:eastAsia="Arial" w:hAnsi="Arial"/>
          <w:sz w:val="17"/>
          <w:szCs w:val="17"/>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75" w:lineRule="exact"/>
        <w:rPr>
          <w:rFonts w:ascii="Arial" w:cs="Arial" w:eastAsia="Arial" w:hAnsi="Arial"/>
          <w:sz w:val="17"/>
          <w:szCs w:val="17"/>
          <w:color w:val="auto"/>
        </w:rPr>
      </w:pPr>
    </w:p>
    <w:p>
      <w:pPr>
        <w:ind w:right="160" w:firstLine="656"/>
        <w:spacing w:after="0" w:line="289" w:lineRule="auto"/>
        <w:tabs>
          <w:tab w:leader="none" w:pos="1506" w:val="left"/>
        </w:tabs>
        <w:numPr>
          <w:ilvl w:val="1"/>
          <w:numId w:val="98"/>
        </w:numPr>
        <w:rPr>
          <w:rFonts w:ascii="Arial" w:cs="Arial" w:eastAsia="Arial" w:hAnsi="Arial"/>
          <w:sz w:val="18"/>
          <w:szCs w:val="18"/>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5" w:lineRule="exact"/>
        <w:rPr>
          <w:rFonts w:ascii="Arial" w:cs="Arial" w:eastAsia="Arial" w:hAnsi="Arial"/>
          <w:sz w:val="18"/>
          <w:szCs w:val="18"/>
          <w:color w:val="auto"/>
        </w:rPr>
      </w:pPr>
    </w:p>
    <w:p>
      <w:pPr>
        <w:jc w:val="both"/>
        <w:ind w:right="160" w:firstLine="656"/>
        <w:spacing w:after="0" w:line="278" w:lineRule="auto"/>
        <w:tabs>
          <w:tab w:leader="none" w:pos="1496" w:val="left"/>
        </w:tabs>
        <w:numPr>
          <w:ilvl w:val="1"/>
          <w:numId w:val="98"/>
        </w:numPr>
        <w:rPr>
          <w:rFonts w:ascii="Arial" w:cs="Arial" w:eastAsia="Arial" w:hAnsi="Arial"/>
          <w:sz w:val="18"/>
          <w:szCs w:val="18"/>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6" w:lineRule="exact"/>
        <w:rPr>
          <w:rFonts w:ascii="Arial" w:cs="Arial" w:eastAsia="Arial" w:hAnsi="Arial"/>
          <w:sz w:val="18"/>
          <w:szCs w:val="18"/>
          <w:color w:val="auto"/>
        </w:rPr>
      </w:pPr>
    </w:p>
    <w:p>
      <w:pPr>
        <w:ind w:left="2120" w:hanging="815"/>
        <w:spacing w:after="0"/>
        <w:tabs>
          <w:tab w:leader="none" w:pos="2120" w:val="left"/>
        </w:tabs>
        <w:numPr>
          <w:ilvl w:val="2"/>
          <w:numId w:val="98"/>
        </w:numPr>
        <w:rPr>
          <w:rFonts w:ascii="Arial" w:cs="Arial" w:eastAsia="Arial" w:hAnsi="Arial"/>
          <w:sz w:val="18"/>
          <w:szCs w:val="18"/>
          <w:color w:val="auto"/>
        </w:rPr>
      </w:pPr>
      <w:r>
        <w:rPr>
          <w:rFonts w:ascii="Arial" w:cs="Arial" w:eastAsia="Arial" w:hAnsi="Arial"/>
          <w:sz w:val="20"/>
          <w:szCs w:val="20"/>
          <w:color w:val="auto"/>
        </w:rPr>
        <w:t>If to the Company, to the General Counsel of the Company at the Company’s headquarters,</w:t>
      </w:r>
    </w:p>
    <w:p>
      <w:pPr>
        <w:spacing w:after="0" w:line="242" w:lineRule="exact"/>
        <w:rPr>
          <w:rFonts w:ascii="Arial" w:cs="Arial" w:eastAsia="Arial" w:hAnsi="Arial"/>
          <w:sz w:val="18"/>
          <w:szCs w:val="18"/>
          <w:color w:val="auto"/>
        </w:rPr>
      </w:pPr>
    </w:p>
    <w:p>
      <w:pPr>
        <w:ind w:left="2180" w:hanging="875"/>
        <w:spacing w:after="0"/>
        <w:tabs>
          <w:tab w:leader="none" w:pos="2180" w:val="left"/>
        </w:tabs>
        <w:numPr>
          <w:ilvl w:val="2"/>
          <w:numId w:val="98"/>
        </w:numPr>
        <w:rPr>
          <w:rFonts w:ascii="Arial" w:cs="Arial" w:eastAsia="Arial" w:hAnsi="Arial"/>
          <w:sz w:val="18"/>
          <w:szCs w:val="18"/>
          <w:color w:val="auto"/>
        </w:rPr>
      </w:pPr>
      <w:r>
        <w:rPr>
          <w:rFonts w:ascii="Arial" w:cs="Arial" w:eastAsia="Arial" w:hAnsi="Arial"/>
          <w:sz w:val="20"/>
          <w:szCs w:val="20"/>
          <w:color w:val="auto"/>
        </w:rPr>
        <w:t>If to Executive, to the last address that the Company has in its personnel records for Executive, or</w:t>
      </w:r>
    </w:p>
    <w:p>
      <w:pPr>
        <w:spacing w:after="0" w:line="242" w:lineRule="exact"/>
        <w:rPr>
          <w:rFonts w:ascii="Arial" w:cs="Arial" w:eastAsia="Arial" w:hAnsi="Arial"/>
          <w:sz w:val="18"/>
          <w:szCs w:val="18"/>
          <w:color w:val="auto"/>
        </w:rPr>
      </w:pPr>
    </w:p>
    <w:p>
      <w:pPr>
        <w:ind w:left="2220" w:hanging="915"/>
        <w:spacing w:after="0"/>
        <w:tabs>
          <w:tab w:leader="none" w:pos="2220" w:val="left"/>
        </w:tabs>
        <w:numPr>
          <w:ilvl w:val="2"/>
          <w:numId w:val="98"/>
        </w:numPr>
        <w:rPr>
          <w:rFonts w:ascii="Arial" w:cs="Arial" w:eastAsia="Arial" w:hAnsi="Arial"/>
          <w:sz w:val="18"/>
          <w:szCs w:val="18"/>
          <w:color w:val="auto"/>
        </w:rPr>
      </w:pPr>
      <w:r>
        <w:rPr>
          <w:rFonts w:ascii="Arial" w:cs="Arial" w:eastAsia="Arial" w:hAnsi="Arial"/>
          <w:sz w:val="20"/>
          <w:szCs w:val="20"/>
          <w:color w:val="auto"/>
        </w:rPr>
        <w:t>At any other address as any Party shall have specified by notice in writing to the other Party.</w:t>
      </w:r>
    </w:p>
    <w:p>
      <w:pPr>
        <w:spacing w:after="0" w:line="242" w:lineRule="exact"/>
        <w:rPr>
          <w:rFonts w:ascii="Arial" w:cs="Arial" w:eastAsia="Arial" w:hAnsi="Arial"/>
          <w:sz w:val="18"/>
          <w:szCs w:val="18"/>
          <w:color w:val="auto"/>
        </w:rPr>
      </w:pPr>
    </w:p>
    <w:p>
      <w:pPr>
        <w:ind w:right="20" w:firstLine="656"/>
        <w:spacing w:after="0" w:line="278" w:lineRule="auto"/>
        <w:tabs>
          <w:tab w:leader="none" w:pos="1506" w:val="left"/>
        </w:tabs>
        <w:numPr>
          <w:ilvl w:val="1"/>
          <w:numId w:val="98"/>
        </w:numPr>
        <w:rPr>
          <w:rFonts w:ascii="Arial" w:cs="Arial" w:eastAsia="Arial" w:hAnsi="Arial"/>
          <w:sz w:val="18"/>
          <w:szCs w:val="18"/>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6" w:lineRule="exact"/>
        <w:rPr>
          <w:rFonts w:ascii="Arial" w:cs="Arial" w:eastAsia="Arial" w:hAnsi="Arial"/>
          <w:sz w:val="18"/>
          <w:szCs w:val="18"/>
          <w:color w:val="auto"/>
        </w:rPr>
      </w:pPr>
    </w:p>
    <w:p>
      <w:pPr>
        <w:ind w:firstLine="656"/>
        <w:spacing w:after="0" w:line="307" w:lineRule="auto"/>
        <w:tabs>
          <w:tab w:leader="none" w:pos="1496" w:val="left"/>
        </w:tabs>
        <w:numPr>
          <w:ilvl w:val="1"/>
          <w:numId w:val="98"/>
        </w:numPr>
        <w:rPr>
          <w:rFonts w:ascii="Arial" w:cs="Arial" w:eastAsia="Arial" w:hAnsi="Arial"/>
          <w:sz w:val="16"/>
          <w:szCs w:val="16"/>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terms of this Agreement, the Restrictive Covenant Agreement incorporated herein by reference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95" w:right="279" w:bottom="1440" w:gutter="0" w:footer="0" w:header="0"/>
        </w:sectPr>
      </w:pPr>
    </w:p>
    <w:bookmarkStart w:id="112" w:name="page113"/>
    <w:bookmarkEnd w:id="112"/>
    <w:p>
      <w:pPr>
        <w:ind w:right="20" w:firstLine="656"/>
        <w:spacing w:after="0" w:line="289" w:lineRule="auto"/>
        <w:tabs>
          <w:tab w:leader="none" w:pos="1476" w:val="left"/>
        </w:tabs>
        <w:numPr>
          <w:ilvl w:val="0"/>
          <w:numId w:val="99"/>
        </w:numPr>
        <w:rPr>
          <w:rFonts w:ascii="Arial" w:cs="Arial" w:eastAsia="Arial" w:hAnsi="Arial"/>
          <w:sz w:val="18"/>
          <w:szCs w:val="18"/>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The Parties acknowledge that they have or will enter into an Indemnification Agreement in substantially the form attached as Exhibit C hereto.</w:t>
      </w:r>
    </w:p>
    <w:p>
      <w:pPr>
        <w:spacing w:after="0" w:line="175" w:lineRule="exact"/>
        <w:rPr>
          <w:rFonts w:ascii="Arial" w:cs="Arial" w:eastAsia="Arial" w:hAnsi="Arial"/>
          <w:sz w:val="18"/>
          <w:szCs w:val="18"/>
          <w:color w:val="auto"/>
        </w:rPr>
      </w:pPr>
    </w:p>
    <w:p>
      <w:pPr>
        <w:ind w:firstLine="656"/>
        <w:spacing w:after="0" w:line="307" w:lineRule="auto"/>
        <w:tabs>
          <w:tab w:leader="none" w:pos="1506" w:val="left"/>
        </w:tabs>
        <w:numPr>
          <w:ilvl w:val="0"/>
          <w:numId w:val="99"/>
        </w:numPr>
        <w:rPr>
          <w:rFonts w:ascii="Arial" w:cs="Arial" w:eastAsia="Arial" w:hAnsi="Arial"/>
          <w:sz w:val="16"/>
          <w:szCs w:val="16"/>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67" w:lineRule="exact"/>
        <w:rPr>
          <w:rFonts w:ascii="Arial" w:cs="Arial" w:eastAsia="Arial" w:hAnsi="Arial"/>
          <w:sz w:val="16"/>
          <w:szCs w:val="16"/>
          <w:color w:val="auto"/>
        </w:rPr>
      </w:pPr>
    </w:p>
    <w:p>
      <w:pPr>
        <w:ind w:right="20" w:firstLine="656"/>
        <w:spacing w:after="0" w:line="299" w:lineRule="auto"/>
        <w:tabs>
          <w:tab w:leader="none" w:pos="1506" w:val="left"/>
        </w:tabs>
        <w:numPr>
          <w:ilvl w:val="0"/>
          <w:numId w:val="99"/>
        </w:numPr>
        <w:rPr>
          <w:rFonts w:ascii="Arial" w:cs="Arial" w:eastAsia="Arial" w:hAnsi="Arial"/>
          <w:sz w:val="17"/>
          <w:szCs w:val="17"/>
          <w:color w:val="auto"/>
        </w:rPr>
      </w:pPr>
      <w:r>
        <w:rPr>
          <w:rFonts w:ascii="Arial" w:cs="Arial" w:eastAsia="Arial" w:hAnsi="Arial"/>
          <w:sz w:val="19"/>
          <w:szCs w:val="19"/>
          <w:u w:val="single" w:color="auto"/>
          <w:color w:val="auto"/>
        </w:rPr>
        <w:t>No Inconsistent Actions</w:t>
      </w:r>
      <w:r>
        <w:rPr>
          <w:rFonts w:ascii="Arial" w:cs="Arial" w:eastAsia="Arial" w:hAnsi="Arial"/>
          <w:sz w:val="19"/>
          <w:szCs w:val="19"/>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69" w:lineRule="exact"/>
        <w:rPr>
          <w:rFonts w:ascii="Arial" w:cs="Arial" w:eastAsia="Arial" w:hAnsi="Arial"/>
          <w:sz w:val="17"/>
          <w:szCs w:val="17"/>
          <w:color w:val="auto"/>
        </w:rPr>
      </w:pPr>
    </w:p>
    <w:p>
      <w:pPr>
        <w:ind w:right="20" w:firstLine="656"/>
        <w:spacing w:after="0" w:line="345" w:lineRule="auto"/>
        <w:tabs>
          <w:tab w:leader="none" w:pos="1466" w:val="left"/>
        </w:tabs>
        <w:numPr>
          <w:ilvl w:val="0"/>
          <w:numId w:val="99"/>
        </w:numPr>
        <w:rPr>
          <w:rFonts w:ascii="Arial" w:cs="Arial" w:eastAsia="Arial" w:hAnsi="Arial"/>
          <w:sz w:val="15"/>
          <w:szCs w:val="15"/>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45" w:lineRule="exact"/>
        <w:rPr>
          <w:rFonts w:ascii="Arial" w:cs="Arial" w:eastAsia="Arial" w:hAnsi="Arial"/>
          <w:sz w:val="15"/>
          <w:szCs w:val="15"/>
          <w:color w:val="auto"/>
        </w:rPr>
      </w:pPr>
    </w:p>
    <w:p>
      <w:pPr>
        <w:jc w:val="both"/>
        <w:ind w:right="120" w:firstLine="656"/>
        <w:spacing w:after="0" w:line="297" w:lineRule="auto"/>
        <w:tabs>
          <w:tab w:leader="none" w:pos="1466" w:val="left"/>
        </w:tabs>
        <w:numPr>
          <w:ilvl w:val="0"/>
          <w:numId w:val="99"/>
        </w:numPr>
        <w:rPr>
          <w:rFonts w:ascii="Arial" w:cs="Arial" w:eastAsia="Arial" w:hAnsi="Arial"/>
          <w:sz w:val="16"/>
          <w:szCs w:val="16"/>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w:t>
      </w:r>
    </w:p>
    <w:p>
      <w:pPr>
        <w:spacing w:after="0" w:line="1" w:lineRule="exact"/>
        <w:rPr>
          <w:rFonts w:ascii="Arial" w:cs="Arial" w:eastAsia="Arial" w:hAnsi="Arial"/>
          <w:sz w:val="16"/>
          <w:szCs w:val="16"/>
          <w:color w:val="auto"/>
        </w:rPr>
      </w:pPr>
    </w:p>
    <w:p>
      <w:pPr>
        <w:ind w:right="80"/>
        <w:spacing w:after="0" w:line="316" w:lineRule="auto"/>
        <w:rPr>
          <w:rFonts w:ascii="Arial" w:cs="Arial" w:eastAsia="Arial" w:hAnsi="Arial"/>
          <w:sz w:val="16"/>
          <w:szCs w:val="16"/>
          <w:color w:val="auto"/>
        </w:rPr>
      </w:pPr>
      <w:r>
        <w:rPr>
          <w:rFonts w:ascii="Arial" w:cs="Arial" w:eastAsia="Arial" w:hAnsi="Arial"/>
          <w:sz w:val="19"/>
          <w:szCs w:val="19"/>
          <w:color w:val="auto"/>
        </w:rPr>
        <w:t>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3" w:lineRule="exact"/>
        <w:rPr>
          <w:rFonts w:ascii="Arial" w:cs="Arial" w:eastAsia="Arial" w:hAnsi="Arial"/>
          <w:sz w:val="16"/>
          <w:szCs w:val="16"/>
          <w:color w:val="auto"/>
        </w:rPr>
      </w:pPr>
    </w:p>
    <w:p>
      <w:pPr>
        <w:jc w:val="both"/>
        <w:ind w:right="60" w:firstLine="656"/>
        <w:spacing w:after="0" w:line="278" w:lineRule="auto"/>
        <w:tabs>
          <w:tab w:leader="none" w:pos="1506" w:val="left"/>
        </w:tabs>
        <w:numPr>
          <w:ilvl w:val="0"/>
          <w:numId w:val="99"/>
        </w:numPr>
        <w:rPr>
          <w:rFonts w:ascii="Arial" w:cs="Arial" w:eastAsia="Arial" w:hAnsi="Arial"/>
          <w:sz w:val="18"/>
          <w:szCs w:val="18"/>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5" w:right="239" w:bottom="1440" w:gutter="0" w:footer="0" w:header="0"/>
        </w:sectPr>
      </w:pPr>
    </w:p>
    <w:bookmarkStart w:id="113" w:name="page114"/>
    <w:bookmarkEnd w:id="113"/>
    <w:p>
      <w:pPr>
        <w:ind w:left="1480" w:hanging="824"/>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ind w:left="660" w:right="120" w:firstLine="645"/>
        <w:spacing w:after="0" w:line="278" w:lineRule="auto"/>
        <w:tabs>
          <w:tab w:leader="none" w:pos="2126" w:val="left"/>
        </w:tabs>
        <w:numPr>
          <w:ilvl w:val="1"/>
          <w:numId w:val="100"/>
        </w:numPr>
        <w:rPr>
          <w:rFonts w:ascii="Arial" w:cs="Arial" w:eastAsia="Arial" w:hAnsi="Arial"/>
          <w:sz w:val="18"/>
          <w:szCs w:val="18"/>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The intent of the Parties is that the payments and benefits under this Agreement comply with or be exempt</w:t>
      </w:r>
      <w:r>
        <w:rPr>
          <w:rFonts w:ascii="Arial" w:cs="Arial" w:eastAsia="Arial" w:hAnsi="Arial"/>
          <w:sz w:val="20"/>
          <w:szCs w:val="20"/>
          <w:i w:val="1"/>
          <w:iCs w:val="1"/>
          <w:color w:val="auto"/>
        </w:rPr>
        <w:t xml:space="preserve"> </w:t>
      </w:r>
      <w:r>
        <w:rPr>
          <w:rFonts w:ascii="Arial" w:cs="Arial" w:eastAsia="Arial" w:hAnsi="Arial"/>
          <w:sz w:val="20"/>
          <w:szCs w:val="20"/>
          <w:color w:val="auto"/>
        </w:rPr>
        <w:t>from Section 409A and, accordingly, to the maximum extent permitted, this Agreement shall be interpreted to be in compliance therewith.</w:t>
      </w:r>
    </w:p>
    <w:p>
      <w:pPr>
        <w:spacing w:after="0" w:line="186" w:lineRule="exact"/>
        <w:rPr>
          <w:rFonts w:ascii="Arial" w:cs="Arial" w:eastAsia="Arial" w:hAnsi="Arial"/>
          <w:sz w:val="18"/>
          <w:szCs w:val="18"/>
          <w:color w:val="auto"/>
        </w:rPr>
      </w:pPr>
    </w:p>
    <w:p>
      <w:pPr>
        <w:ind w:left="660" w:right="100" w:firstLine="645"/>
        <w:spacing w:after="0" w:line="274" w:lineRule="auto"/>
        <w:tabs>
          <w:tab w:leader="none" w:pos="2176" w:val="left"/>
        </w:tabs>
        <w:numPr>
          <w:ilvl w:val="1"/>
          <w:numId w:val="100"/>
        </w:numPr>
        <w:rPr>
          <w:rFonts w:ascii="Arial" w:cs="Arial" w:eastAsia="Arial" w:hAnsi="Arial"/>
          <w:sz w:val="18"/>
          <w:szCs w:val="18"/>
          <w:color w:val="auto"/>
        </w:rPr>
      </w:pPr>
      <w:r>
        <w:rPr>
          <w:rFonts w:ascii="Arial" w:cs="Arial" w:eastAsia="Arial" w:hAnsi="Arial"/>
          <w:sz w:val="20"/>
          <w:szCs w:val="20"/>
          <w:i w:val="1"/>
          <w:iCs w:val="1"/>
          <w:color w:val="auto"/>
        </w:rPr>
        <w:t xml:space="preserve">Separation from Service. </w:t>
      </w:r>
      <w:r>
        <w:rPr>
          <w:rFonts w:ascii="Arial" w:cs="Arial" w:eastAsia="Arial" w:hAnsi="Arial"/>
          <w:sz w:val="20"/>
          <w:szCs w:val="20"/>
          <w:color w:val="auto"/>
        </w:rPr>
        <w:t>For purposes of any compensation or benefits payable to Executive under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all references to “termination of employment” and correlative phrases shall be construed to require a “separation from service” (as defined in Section 1.409A-1(h) of the Treasury regulations after giving effect to the presumptions contained therein) (a “</w:t>
      </w:r>
      <w:r>
        <w:rPr>
          <w:rFonts w:ascii="Arial" w:cs="Arial" w:eastAsia="Arial" w:hAnsi="Arial"/>
          <w:sz w:val="20"/>
          <w:szCs w:val="20"/>
          <w:u w:val="single" w:color="auto"/>
          <w:color w:val="auto"/>
        </w:rPr>
        <w:t>Separation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from Service</w:t>
      </w:r>
      <w:r>
        <w:rPr>
          <w:rFonts w:ascii="Arial" w:cs="Arial" w:eastAsia="Arial" w:hAnsi="Arial"/>
          <w:sz w:val="20"/>
          <w:szCs w:val="20"/>
          <w:color w:val="auto"/>
        </w:rPr>
        <w:t>”).</w:t>
      </w:r>
    </w:p>
    <w:p>
      <w:pPr>
        <w:spacing w:after="0" w:line="178" w:lineRule="exact"/>
        <w:rPr>
          <w:rFonts w:ascii="Arial" w:cs="Arial" w:eastAsia="Arial" w:hAnsi="Arial"/>
          <w:sz w:val="18"/>
          <w:szCs w:val="18"/>
          <w:color w:val="auto"/>
        </w:rPr>
      </w:pPr>
    </w:p>
    <w:p>
      <w:pPr>
        <w:ind w:left="660" w:right="20" w:firstLine="645"/>
        <w:spacing w:after="0" w:line="273" w:lineRule="auto"/>
        <w:tabs>
          <w:tab w:leader="none" w:pos="1785"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Notwithstanding anything in this Agreement to the contrary, if Executive is deemed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69" w:lineRule="exact"/>
        <w:rPr>
          <w:rFonts w:ascii="Arial" w:cs="Arial" w:eastAsia="Arial" w:hAnsi="Arial"/>
          <w:sz w:val="18"/>
          <w:szCs w:val="18"/>
          <w:color w:val="auto"/>
        </w:rPr>
      </w:pPr>
    </w:p>
    <w:p>
      <w:pPr>
        <w:ind w:left="660" w:firstLine="645"/>
        <w:spacing w:after="0" w:line="278" w:lineRule="auto"/>
        <w:tabs>
          <w:tab w:leader="none" w:pos="1774"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Expense Reimbursements. </w:t>
      </w:r>
      <w:r>
        <w:rPr>
          <w:rFonts w:ascii="Arial" w:cs="Arial" w:eastAsia="Arial" w:hAnsi="Arial"/>
          <w:sz w:val="18"/>
          <w:szCs w:val="18"/>
          <w:color w:val="auto"/>
        </w:rPr>
        <w:t>To the extent that any reimbursements under this Agreement are subject to Section 409A,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65" w:lineRule="exact"/>
        <w:rPr>
          <w:rFonts w:ascii="Arial" w:cs="Arial" w:eastAsia="Arial" w:hAnsi="Arial"/>
          <w:sz w:val="18"/>
          <w:szCs w:val="18"/>
          <w:color w:val="auto"/>
        </w:rPr>
      </w:pPr>
    </w:p>
    <w:p>
      <w:pPr>
        <w:ind w:left="660" w:right="80" w:firstLine="645"/>
        <w:spacing w:after="0" w:line="258" w:lineRule="auto"/>
        <w:tabs>
          <w:tab w:leader="none" w:pos="1719" w:val="left"/>
        </w:tabs>
        <w:numPr>
          <w:ilvl w:val="1"/>
          <w:numId w:val="100"/>
        </w:numPr>
        <w:rPr>
          <w:rFonts w:ascii="Arial" w:cs="Arial" w:eastAsia="Arial" w:hAnsi="Arial"/>
          <w:sz w:val="19"/>
          <w:szCs w:val="19"/>
          <w:color w:val="auto"/>
        </w:rPr>
      </w:pPr>
      <w:r>
        <w:rPr>
          <w:rFonts w:ascii="Arial" w:cs="Arial" w:eastAsia="Arial" w:hAnsi="Arial"/>
          <w:sz w:val="19"/>
          <w:szCs w:val="19"/>
          <w:i w:val="1"/>
          <w:iCs w:val="1"/>
          <w:color w:val="auto"/>
        </w:rPr>
        <w:t xml:space="preserve">Installments. </w:t>
      </w:r>
      <w:r>
        <w:rPr>
          <w:rFonts w:ascii="Arial" w:cs="Arial" w:eastAsia="Arial" w:hAnsi="Arial"/>
          <w:sz w:val="19"/>
          <w:szCs w:val="19"/>
          <w:color w:val="auto"/>
        </w:rPr>
        <w:t>Executive’s right to receive any installment payments under this Agreement, including without limitation</w:t>
      </w:r>
      <w:r>
        <w:rPr>
          <w:rFonts w:ascii="Arial" w:cs="Arial" w:eastAsia="Arial" w:hAnsi="Arial"/>
          <w:sz w:val="19"/>
          <w:szCs w:val="19"/>
          <w:i w:val="1"/>
          <w:iCs w:val="1"/>
          <w:color w:val="auto"/>
        </w:rPr>
        <w:t xml:space="preserve"> </w:t>
      </w:r>
      <w:r>
        <w:rPr>
          <w:rFonts w:ascii="Arial" w:cs="Arial" w:eastAsia="Arial" w:hAnsi="Arial"/>
          <w:sz w:val="19"/>
          <w:szCs w:val="19"/>
          <w:color w:val="auto"/>
        </w:rPr>
        <w:t>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179" w:lineRule="exact"/>
        <w:rPr>
          <w:rFonts w:ascii="Arial" w:cs="Arial" w:eastAsia="Arial" w:hAnsi="Arial"/>
          <w:sz w:val="19"/>
          <w:szCs w:val="19"/>
          <w:color w:val="auto"/>
        </w:rPr>
      </w:pPr>
    </w:p>
    <w:p>
      <w:pPr>
        <w:ind w:right="400" w:firstLine="656"/>
        <w:spacing w:after="0" w:line="260" w:lineRule="auto"/>
        <w:tabs>
          <w:tab w:leader="none" w:pos="1163"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that either Party prevails in a dispute with the other Party concerning the rights and obligations hereunder, the non-prevailing Party shall pay the prevailing Party’s reasonable attorneys’ fees and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5" w:right="239" w:bottom="1440" w:gutter="0" w:footer="0" w:header="0"/>
        </w:sectPr>
      </w:pPr>
    </w:p>
    <w:bookmarkStart w:id="114" w:name="page115"/>
    <w:bookmarkEnd w:id="114"/>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Executive Acknowledgement</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240" w:top="576" w:right="6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t>IN WITNESS WHEREOF, the Parties have executed this Agreement on the date and year first above written.</w:t>
      </w:r>
    </w:p>
    <w:p>
      <w:pPr>
        <w:sectPr>
          <w:pgSz w:w="11900" w:h="16838" w:orient="portrait"/>
          <w:cols w:equalWidth="0" w:num="1">
            <w:col w:w="9559"/>
          </w:cols>
          <w:pgMar w:left="900" w:top="5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By:________________________________________</w:t>
      </w:r>
    </w:p>
    <w:p>
      <w:pPr>
        <w:spacing w:after="0" w:line="4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Werner Cautreels, Ph.D.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_______________________________________</w:t>
      </w:r>
    </w:p>
    <w:p>
      <w:pPr>
        <w:spacing w:after="0" w:line="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Stephen Smolinski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9559"/>
          </w:cols>
          <w:pgMar w:left="900" w:top="582" w:right="1440" w:bottom="1440" w:gutter="0" w:footer="0" w:header="0"/>
          <w:type w:val="continuous"/>
        </w:sectPr>
      </w:pPr>
    </w:p>
    <w:bookmarkStart w:id="116" w:name="page117"/>
    <w:bookmarkEnd w:id="116"/>
    <w:p>
      <w:pPr>
        <w:jc w:val="center"/>
        <w:ind w:right="-5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This Separation Agreement and Release (“Agreement”) is made by and between Stephen Smolinski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70" w:lineRule="exact"/>
        <w:rPr>
          <w:sz w:val="20"/>
          <w:szCs w:val="20"/>
          <w:color w:val="auto"/>
        </w:rPr>
      </w:pPr>
    </w:p>
    <w:p>
      <w:pPr>
        <w:ind w:right="840" w:firstLine="648"/>
        <w:spacing w:after="0" w:line="260" w:lineRule="auto"/>
        <w:rPr>
          <w:sz w:val="20"/>
          <w:szCs w:val="20"/>
          <w:color w:val="auto"/>
        </w:rPr>
      </w:pPr>
      <w:r>
        <w:rPr>
          <w:rFonts w:ascii="Arial" w:cs="Arial" w:eastAsia="Arial" w:hAnsi="Arial"/>
          <w:sz w:val="20"/>
          <w:szCs w:val="20"/>
          <w:color w:val="auto"/>
        </w:rPr>
        <w:t>WHEREAS, the Parties have previously entered into that certain Employment Agreement, dated as of October 26, 2017 (the “Employment Agreement”); and</w:t>
      </w:r>
    </w:p>
    <w:p>
      <w:pPr>
        <w:spacing w:after="0" w:line="177" w:lineRule="exact"/>
        <w:rPr>
          <w:sz w:val="20"/>
          <w:szCs w:val="20"/>
          <w:color w:val="auto"/>
        </w:rPr>
      </w:pPr>
    </w:p>
    <w:p>
      <w:pPr>
        <w:ind w:right="60" w:firstLine="648"/>
        <w:spacing w:after="0" w:line="275" w:lineRule="auto"/>
        <w:rPr>
          <w:sz w:val="20"/>
          <w:szCs w:val="20"/>
          <w:color w:val="auto"/>
        </w:rPr>
      </w:pPr>
      <w:r>
        <w:rPr>
          <w:rFonts w:ascii="Arial" w:cs="Arial" w:eastAsia="Arial" w:hAnsi="Arial"/>
          <w:sz w:val="18"/>
          <w:szCs w:val="18"/>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71"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70" w:lineRule="exact"/>
        <w:rPr>
          <w:sz w:val="20"/>
          <w:szCs w:val="20"/>
          <w:color w:val="auto"/>
        </w:rPr>
      </w:pPr>
    </w:p>
    <w:p>
      <w:pPr>
        <w:ind w:right="260" w:firstLine="656"/>
        <w:spacing w:after="0" w:line="260" w:lineRule="auto"/>
        <w:tabs>
          <w:tab w:leader="none" w:pos="977"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Severance Payments; Salary and Benefits</w:t>
      </w:r>
      <w:r>
        <w:rPr>
          <w:rFonts w:ascii="Arial" w:cs="Arial" w:eastAsia="Arial" w:hAnsi="Arial"/>
          <w:sz w:val="19"/>
          <w:szCs w:val="19"/>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0" w:lineRule="exact"/>
        <w:rPr>
          <w:rFonts w:ascii="Arial" w:cs="Arial" w:eastAsia="Arial" w:hAnsi="Arial"/>
          <w:sz w:val="19"/>
          <w:szCs w:val="19"/>
          <w:color w:val="auto"/>
        </w:rPr>
      </w:pPr>
    </w:p>
    <w:p>
      <w:pPr>
        <w:ind w:firstLine="656"/>
        <w:spacing w:after="0" w:line="272" w:lineRule="auto"/>
        <w:tabs>
          <w:tab w:leader="none" w:pos="97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ectPr>
          <w:pgSz w:w="11900" w:h="16838" w:orient="portrait"/>
          <w:cols w:equalWidth="0" w:num="1">
            <w:col w:w="11360"/>
          </w:cols>
          <w:pgMar w:left="240" w:top="576" w:right="299" w:bottom="1440" w:gutter="0" w:footer="0" w:header="0"/>
        </w:sectPr>
      </w:pPr>
    </w:p>
    <w:bookmarkStart w:id="117" w:name="page118"/>
    <w:bookmarkEnd w:id="117"/>
    <w:p>
      <w:pPr>
        <w:ind w:right="80" w:firstLine="1305"/>
        <w:spacing w:after="0" w:line="260" w:lineRule="auto"/>
        <w:tabs>
          <w:tab w:leader="none" w:pos="169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right="180" w:firstLine="1305"/>
        <w:spacing w:after="0" w:line="291" w:lineRule="auto"/>
        <w:tabs>
          <w:tab w:leader="none" w:pos="17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right="380" w:firstLine="1305"/>
        <w:spacing w:after="0" w:line="278" w:lineRule="auto"/>
        <w:tabs>
          <w:tab w:leader="none" w:pos="16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auto"/>
        </w:rPr>
      </w:pPr>
    </w:p>
    <w:p>
      <w:pPr>
        <w:ind w:right="120" w:firstLine="1305"/>
        <w:spacing w:after="0" w:line="244" w:lineRule="auto"/>
        <w:tabs>
          <w:tab w:leader="none" w:pos="170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1700" w:hanging="395"/>
        <w:spacing w:after="0"/>
        <w:tabs>
          <w:tab w:leader="none" w:pos="17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auto"/>
        </w:rPr>
      </w:pPr>
    </w:p>
    <w:p>
      <w:pPr>
        <w:ind w:right="760" w:firstLine="1305"/>
        <w:spacing w:after="0" w:line="260" w:lineRule="auto"/>
        <w:tabs>
          <w:tab w:leader="none" w:pos="170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firstLine="1305"/>
        <w:spacing w:after="0" w:line="260" w:lineRule="auto"/>
        <w:tabs>
          <w:tab w:leader="none" w:pos="170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77"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any and all claims for attorneys’ fees and costs.</w:t>
      </w:r>
    </w:p>
    <w:p>
      <w:pPr>
        <w:spacing w:after="0" w:line="216"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2"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charge, investigation or proceeding, or any related complaint or lawsuit, filed by Executive or by anyone else on Executive’s behalf before the</w:t>
      </w:r>
    </w:p>
    <w:p>
      <w:pPr>
        <w:spacing w:after="0" w:line="45"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f</w:t>
      </w:r>
      <w:r>
        <w:rPr>
          <w:rFonts w:ascii="Arial" w:cs="Arial" w:eastAsia="Arial" w:hAnsi="Arial"/>
          <w:sz w:val="20"/>
          <w:szCs w:val="20"/>
          <w:color w:val="auto"/>
        </w:rPr>
        <w:t>ederal Equal Employment Opportunity Commission or a comparable state or local agency</w:t>
      </w:r>
      <w:r>
        <w:rPr>
          <w:rFonts w:ascii="Arial" w:cs="Arial" w:eastAsia="Arial" w:hAnsi="Arial"/>
          <w:sz w:val="19"/>
          <w:szCs w:val="19"/>
          <w:color w:val="auto"/>
        </w:rPr>
        <w: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 arising after the Effective Date.</w:t>
      </w:r>
    </w:p>
    <w:p>
      <w:pPr>
        <w:spacing w:after="0" w:line="168"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 NTD: To be determined by the Company at the time of separation.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74"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 xml:space="preserve">4.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6"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Executive and a duly authorized officer of the Company.</w:t>
      </w:r>
    </w:p>
    <w:p>
      <w:pPr>
        <w:spacing w:after="0" w:line="17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subject to the provisions of Sections 9(a) and 9(c) of the Employment Agreement.</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u w:val="single" w:color="auto"/>
          <w:color w:val="auto"/>
        </w:rPr>
        <w:t>Effective Date</w:t>
      </w:r>
      <w:r>
        <w:rPr>
          <w:rFonts w:ascii="Arial" w:cs="Arial" w:eastAsia="Arial" w:hAnsi="Arial"/>
          <w:sz w:val="20"/>
          <w:szCs w:val="20"/>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889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NTD: To be determined by the Company at the time of separation.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5" w:right="239" w:bottom="1440" w:gutter="0" w:footer="0" w:header="0"/>
        </w:sectPr>
      </w:pPr>
    </w:p>
    <w:bookmarkStart w:id="119" w:name="page120"/>
    <w:bookmarkEnd w:id="119"/>
    <w:p>
      <w:pPr>
        <w:ind w:left="-40" w:firstLine="656"/>
        <w:spacing w:after="0" w:line="258" w:lineRule="auto"/>
        <w:tabs>
          <w:tab w:leader="none" w:pos="937"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37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Smolinski</w:t>
      </w:r>
    </w:p>
    <w:p>
      <w:pPr>
        <w:spacing w:after="0" w:line="38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582" w:right="27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Nondisclosure, Noncompetition and Assignment of Intellectual Property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576"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576"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Werner Cautreels, certify that:</w:t>
      </w:r>
    </w:p>
    <w:p>
      <w:pPr>
        <w:spacing w:after="0" w:line="391"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60" w:lineRule="auto"/>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36" w:lineRule="exact"/>
        <w:rPr>
          <w:sz w:val="20"/>
          <w:szCs w:val="20"/>
          <w:color w:val="auto"/>
        </w:rPr>
      </w:pPr>
    </w:p>
    <w:p>
      <w:pPr>
        <w:jc w:val="both"/>
        <w:ind w:left="1520" w:right="360" w:hanging="701"/>
        <w:spacing w:after="0" w:line="291"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0"/>
          <w:szCs w:val="20"/>
          <w:color w:val="auto"/>
        </w:rPr>
        <w:t>b.)[omitted];</w:t>
      </w:r>
    </w:p>
    <w:p>
      <w:pPr>
        <w:spacing w:after="0" w:line="175" w:lineRule="exact"/>
        <w:rPr>
          <w:sz w:val="20"/>
          <w:szCs w:val="20"/>
          <w:color w:val="auto"/>
        </w:rPr>
      </w:pPr>
    </w:p>
    <w:p>
      <w:pPr>
        <w:ind w:left="1520" w:hanging="701"/>
        <w:spacing w:after="0" w:line="250" w:lineRule="auto"/>
        <w:rPr>
          <w:sz w:val="20"/>
          <w:szCs w:val="20"/>
          <w:color w:val="auto"/>
        </w:rPr>
      </w:pPr>
      <w:r>
        <w:rPr>
          <w:rFonts w:ascii="Arial" w:cs="Arial" w:eastAsia="Arial" w:hAnsi="Arial"/>
          <w:sz w:val="20"/>
          <w:szCs w:val="20"/>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1520" w:right="20" w:hanging="701"/>
        <w:spacing w:after="0" w:line="291"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660" w:right="440" w:hanging="328"/>
        <w:spacing w:after="0" w:line="250" w:lineRule="auto"/>
        <w:tabs>
          <w:tab w:leader="none" w:pos="6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a.)All significant deficiencies and material weaknesses in the design or operation of internal control over financial reporting which</w:t>
      </w:r>
    </w:p>
    <w:p>
      <w:pPr>
        <w:spacing w:after="0" w:line="27" w:lineRule="exact"/>
        <w:rPr>
          <w:sz w:val="20"/>
          <w:szCs w:val="20"/>
          <w:color w:val="auto"/>
        </w:rPr>
      </w:pPr>
    </w:p>
    <w:p>
      <w:pPr>
        <w:ind w:left="1520" w:right="940"/>
        <w:spacing w:after="0" w:line="244" w:lineRule="auto"/>
        <w:rPr>
          <w:sz w:val="20"/>
          <w:szCs w:val="20"/>
          <w:color w:val="auto"/>
        </w:rPr>
      </w:pPr>
      <w:r>
        <w:rPr>
          <w:rFonts w:ascii="Arial" w:cs="Arial" w:eastAsia="Arial" w:hAnsi="Arial"/>
          <w:sz w:val="20"/>
          <w:szCs w:val="20"/>
          <w:color w:val="auto"/>
        </w:rPr>
        <w:t>are reasonably likely to adversely affect the registrant’s ability to record, process, summarize and report financial information; and</w:t>
      </w:r>
    </w:p>
    <w:p>
      <w:pPr>
        <w:spacing w:after="0" w:line="151" w:lineRule="exact"/>
        <w:rPr>
          <w:sz w:val="20"/>
          <w:szCs w:val="20"/>
          <w:color w:val="auto"/>
        </w:rPr>
      </w:pPr>
    </w:p>
    <w:p>
      <w:pPr>
        <w:ind w:left="1520" w:right="260" w:hanging="701"/>
        <w:spacing w:after="0" w:line="260" w:lineRule="auto"/>
        <w:rPr>
          <w:sz w:val="20"/>
          <w:szCs w:val="20"/>
          <w:color w:val="auto"/>
        </w:rPr>
      </w:pPr>
      <w:r>
        <w:rPr>
          <w:rFonts w:ascii="Arial" w:cs="Arial" w:eastAsia="Arial" w:hAnsi="Arial"/>
          <w:sz w:val="20"/>
          <w:szCs w:val="20"/>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November 7, 2017</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John Leaman, certify that:</w:t>
      </w:r>
    </w:p>
    <w:p>
      <w:pPr>
        <w:spacing w:after="0" w:line="391"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60" w:lineRule="auto"/>
        <w:tabs>
          <w:tab w:leader="none" w:pos="6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36" w:lineRule="exact"/>
        <w:rPr>
          <w:sz w:val="20"/>
          <w:szCs w:val="20"/>
          <w:color w:val="auto"/>
        </w:rPr>
      </w:pPr>
    </w:p>
    <w:p>
      <w:pPr>
        <w:jc w:val="both"/>
        <w:ind w:left="1520" w:right="360" w:hanging="701"/>
        <w:spacing w:after="0" w:line="291"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0"/>
          <w:szCs w:val="20"/>
          <w:color w:val="auto"/>
        </w:rPr>
        <w:t>b.)[omitted];</w:t>
      </w:r>
    </w:p>
    <w:p>
      <w:pPr>
        <w:spacing w:after="0" w:line="175" w:lineRule="exact"/>
        <w:rPr>
          <w:sz w:val="20"/>
          <w:szCs w:val="20"/>
          <w:color w:val="auto"/>
        </w:rPr>
      </w:pPr>
    </w:p>
    <w:p>
      <w:pPr>
        <w:ind w:left="1520" w:hanging="701"/>
        <w:spacing w:after="0" w:line="250" w:lineRule="auto"/>
        <w:rPr>
          <w:sz w:val="20"/>
          <w:szCs w:val="20"/>
          <w:color w:val="auto"/>
        </w:rPr>
      </w:pPr>
      <w:r>
        <w:rPr>
          <w:rFonts w:ascii="Arial" w:cs="Arial" w:eastAsia="Arial" w:hAnsi="Arial"/>
          <w:sz w:val="20"/>
          <w:szCs w:val="20"/>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1520" w:right="20" w:hanging="701"/>
        <w:spacing w:after="0" w:line="291"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660" w:right="440" w:hanging="328"/>
        <w:spacing w:after="0" w:line="250"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a.)All significant deficiencies and material weaknesses in the design or operation of internal control over financial reporting which</w:t>
      </w:r>
    </w:p>
    <w:p>
      <w:pPr>
        <w:spacing w:after="0" w:line="27" w:lineRule="exact"/>
        <w:rPr>
          <w:sz w:val="20"/>
          <w:szCs w:val="20"/>
          <w:color w:val="auto"/>
        </w:rPr>
      </w:pPr>
    </w:p>
    <w:p>
      <w:pPr>
        <w:ind w:left="1520" w:right="940"/>
        <w:spacing w:after="0" w:line="244" w:lineRule="auto"/>
        <w:rPr>
          <w:sz w:val="20"/>
          <w:szCs w:val="20"/>
          <w:color w:val="auto"/>
        </w:rPr>
      </w:pPr>
      <w:r>
        <w:rPr>
          <w:rFonts w:ascii="Arial" w:cs="Arial" w:eastAsia="Arial" w:hAnsi="Arial"/>
          <w:sz w:val="20"/>
          <w:szCs w:val="20"/>
          <w:color w:val="auto"/>
        </w:rPr>
        <w:t>are reasonably likely to adversely affect the registrant’s ability to record, process, summarize and report financial information; and</w:t>
      </w:r>
    </w:p>
    <w:p>
      <w:pPr>
        <w:spacing w:after="0" w:line="151" w:lineRule="exact"/>
        <w:rPr>
          <w:sz w:val="20"/>
          <w:szCs w:val="20"/>
          <w:color w:val="auto"/>
        </w:rPr>
      </w:pPr>
    </w:p>
    <w:p>
      <w:pPr>
        <w:ind w:left="1520" w:right="260" w:hanging="701"/>
        <w:spacing w:after="0" w:line="260" w:lineRule="auto"/>
        <w:rPr>
          <w:sz w:val="20"/>
          <w:szCs w:val="20"/>
          <w:color w:val="auto"/>
        </w:rPr>
      </w:pPr>
      <w:r>
        <w:rPr>
          <w:rFonts w:ascii="Arial" w:cs="Arial" w:eastAsia="Arial" w:hAnsi="Arial"/>
          <w:sz w:val="20"/>
          <w:szCs w:val="20"/>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November 7, 2017</w:t>
      </w:r>
      <w:r>
        <w:rPr>
          <w:sz w:val="20"/>
          <w:szCs w:val="20"/>
          <w:color w:val="auto"/>
        </w:rPr>
        <w:tab/>
      </w:r>
      <w:r>
        <w:rPr>
          <w:rFonts w:ascii="Arial" w:cs="Arial" w:eastAsia="Arial" w:hAnsi="Arial"/>
          <w:sz w:val="16"/>
          <w:szCs w:val="16"/>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6500"/>
        <w:spacing w:after="0"/>
        <w:rPr>
          <w:sz w:val="20"/>
          <w:szCs w:val="20"/>
          <w:color w:val="auto"/>
        </w:rPr>
      </w:pPr>
      <w:r>
        <w:rPr>
          <w:rFonts w:ascii="Arial" w:cs="Arial" w:eastAsia="Arial" w:hAnsi="Arial"/>
          <w:sz w:val="20"/>
          <w:szCs w:val="20"/>
          <w:i w:val="1"/>
          <w:iCs w:val="1"/>
          <w:color w:val="auto"/>
        </w:rPr>
        <w:t>Chief Financial Officer, Head of Corporate Strategy and</w:t>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20"/>
          <w:szCs w:val="20"/>
          <w:i w:val="1"/>
          <w:iCs w:val="1"/>
          <w:color w:val="auto"/>
        </w:rPr>
        <w:t>Treasurer</w:t>
      </w:r>
    </w:p>
    <w:p>
      <w:pPr>
        <w:sectPr>
          <w:pgSz w:w="11900" w:h="16838" w:orient="portrait"/>
          <w:cols w:equalWidth="0" w:num="1">
            <w:col w:w="11420"/>
          </w:cols>
          <w:pgMar w:left="240" w:top="576"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Werner Cautreels, President and Chief Executive Officer of Selecta Biosciences, Inc. (the “Company”), hereby certify, pursuant to 18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§1350, as adopted pursuant to §906 of the Sarbanes-Oxley Act of 2002, that, to the best of my knowledge:</w:t>
      </w:r>
    </w:p>
    <w:p>
      <w:pPr>
        <w:spacing w:after="0" w:line="375" w:lineRule="exact"/>
        <w:rPr>
          <w:sz w:val="20"/>
          <w:szCs w:val="20"/>
          <w:color w:val="auto"/>
        </w:rPr>
      </w:pPr>
    </w:p>
    <w:p>
      <w:pPr>
        <w:ind w:left="660" w:right="200" w:hanging="328"/>
        <w:spacing w:after="0" w:line="260" w:lineRule="auto"/>
        <w:tabs>
          <w:tab w:leader="none" w:pos="6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September 30, 2017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November 7, 2017</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John Leaman, Chief Financial Officer of Selecta Biosciences, Inc. (the “Company”), hereby certify, pursuant to 18 U.S.C. §1350, as adopted pursuant to §906 of the Sarbanes-Oxley Act of 2002, that, to the best of my knowledge:</w:t>
      </w:r>
    </w:p>
    <w:p>
      <w:pPr>
        <w:spacing w:after="0" w:line="130" w:lineRule="exact"/>
        <w:rPr>
          <w:sz w:val="20"/>
          <w:szCs w:val="20"/>
          <w:color w:val="auto"/>
        </w:rPr>
      </w:pPr>
    </w:p>
    <w:p>
      <w:pPr>
        <w:ind w:left="660" w:right="18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2017 (the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18"/>
          <w:szCs w:val="18"/>
          <w:color w:val="auto"/>
        </w:rPr>
        <w:t>November 7, 2017</w:t>
      </w:r>
      <w:r>
        <w:rPr>
          <w:sz w:val="20"/>
          <w:szCs w:val="20"/>
          <w:color w:val="auto"/>
        </w:rPr>
        <w:tab/>
      </w:r>
      <w:r>
        <w:rPr>
          <w:rFonts w:ascii="Arial" w:cs="Arial" w:eastAsia="Arial" w:hAnsi="Arial"/>
          <w:sz w:val="16"/>
          <w:szCs w:val="16"/>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John Leaman, M.D.</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6"/>
          <w:szCs w:val="16"/>
          <w:i w:val="1"/>
          <w:iCs w:val="1"/>
          <w:color w:val="auto"/>
        </w:rPr>
        <w:t>Chief Financial Officer, Head of Corporate Strategy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emdash "/>
      <w:numFmt w:val="bullet"/>
      <w:start w:val="1"/>
    </w:lvl>
  </w:abstractNum>
  <w:abstractNum w:abstractNumId="4">
    <w:nsid w:val="180115BE"/>
    <w:multiLevelType w:val="hybridMultilevel"/>
    <w:lvl w:ilvl="0">
      <w:lvlJc w:val="left"/>
      <w:lvlText w:val="\emdash "/>
      <w:numFmt w:val="bullet"/>
      <w:start w:val="1"/>
    </w:lvl>
  </w:abstractNum>
  <w:abstractNum w:abstractNumId="5">
    <w:nsid w:val="235BA861"/>
    <w:multiLevelType w:val="hybridMultilevel"/>
    <w:lvl w:ilvl="0">
      <w:lvlJc w:val="left"/>
      <w:lvlText w:val="%1."/>
      <w:numFmt w:val="decimal"/>
      <w:start w:val="2"/>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1)"/>
      <w:numFmt w:val="lowerRoman"/>
      <w:start w:val="2"/>
    </w:lvl>
  </w:abstractNum>
  <w:abstractNum w:abstractNumId="8">
    <w:nsid w:val="15B5AF5C"/>
    <w:multiLevelType w:val="hybridMultilevel"/>
    <w:lvl w:ilvl="0">
      <w:lvlJc w:val="left"/>
      <w:lvlText w:val="(%1)"/>
      <w:numFmt w:val="lowerRoman"/>
      <w:start w:val="2"/>
    </w:lvl>
  </w:abstractNum>
  <w:abstractNum w:abstractNumId="9">
    <w:nsid w:val="741226BB"/>
    <w:multiLevelType w:val="hybridMultilevel"/>
    <w:lvl w:ilvl="0">
      <w:lvlJc w:val="left"/>
      <w:lvlText w:val="%1."/>
      <w:numFmt w:val="decimal"/>
      <w:start w:val="12"/>
    </w:lvl>
  </w:abstractNum>
  <w:abstractNum w:abstractNumId="10">
    <w:nsid w:val="D34B6A8"/>
    <w:multiLevelType w:val="hybridMultilevel"/>
    <w:lvl w:ilvl="0">
      <w:lvlJc w:val="left"/>
      <w:lvlText w:val="%1."/>
      <w:numFmt w:val="decimal"/>
      <w:start w:val="13"/>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1."/>
      <w:numFmt w:val="decimal"/>
      <w:start w:val="15"/>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1)"/>
      <w:numFmt w:val="lowerRoman"/>
      <w:start w:val="6"/>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endash "/>
      <w:numFmt w:val="bullet"/>
      <w:start w:val="1"/>
    </w:lvl>
  </w:abstractNum>
  <w:abstractNum w:abstractNumId="53">
    <w:nsid w:val="14330624"/>
    <w:multiLevelType w:val="hybridMultilevel"/>
    <w:lvl w:ilvl="0">
      <w:lvlJc w:val="left"/>
      <w:lvlText w:val="\endash "/>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1."/>
      <w:numFmt w:val="upperLetter"/>
      <w:start w:val="1"/>
    </w:lvl>
  </w:abstractNum>
  <w:abstractNum w:abstractNumId="57">
    <w:nsid w:val="100F59DC"/>
    <w:multiLevelType w:val="hybridMultilevel"/>
    <w:lvl w:ilvl="0">
      <w:lvlJc w:val="left"/>
      <w:lvlText w:val="%1."/>
      <w:numFmt w:val="decimal"/>
      <w:start w:val="1"/>
    </w:lvl>
    <w:lvl w:ilvl="1">
      <w:lvlJc w:val="left"/>
      <w:lvlText w:val="(%2)"/>
      <w:numFmt w:val="lowerLetter"/>
      <w:start w:val="1"/>
    </w:lvl>
  </w:abstractNum>
  <w:abstractNum w:abstractNumId="58">
    <w:nsid w:val="7FB7E0AA"/>
    <w:multiLevelType w:val="hybridMultilevel"/>
    <w:lvl w:ilvl="0">
      <w:lvlJc w:val="left"/>
      <w:lvlText w:val="%1."/>
      <w:numFmt w:val="decimal"/>
      <w:start w:val="2"/>
    </w:lvl>
    <w:lvl w:ilvl="1">
      <w:lvlJc w:val="left"/>
      <w:lvlText w:val="(%2)"/>
      <w:numFmt w:val="lowerLetter"/>
      <w:start w:val="1"/>
    </w:lvl>
  </w:abstractNum>
  <w:abstractNum w:abstractNumId="59">
    <w:nsid w:val="6EB5BD4"/>
    <w:multiLevelType w:val="hybridMultilevel"/>
    <w:lvl w:ilvl="0">
      <w:lvlJc w:val="left"/>
      <w:lvlText w:val="(%1)"/>
      <w:numFmt w:val="lowerLetter"/>
      <w:start w:val="7"/>
    </w:lvl>
  </w:abstractNum>
  <w:abstractNum w:abstractNumId="60">
    <w:nsid w:val="6F6DD9AC"/>
    <w:multiLevelType w:val="hybridMultilevel"/>
    <w:lvl w:ilvl="0">
      <w:lvlJc w:val="left"/>
      <w:lvlText w:val="%1."/>
      <w:numFmt w:val="decimal"/>
      <w:start w:val="3"/>
    </w:lvl>
  </w:abstractNum>
  <w:abstractNum w:abstractNumId="61">
    <w:nsid w:val="94211F2"/>
    <w:multiLevelType w:val="hybridMultilevel"/>
    <w:lvl w:ilvl="0">
      <w:lvlJc w:val="left"/>
      <w:lvlText w:val="(%1)"/>
      <w:numFmt w:val="lowerLetter"/>
      <w:start w:val="1"/>
    </w:lvl>
    <w:lvl w:ilvl="1">
      <w:lvlJc w:val="left"/>
      <w:lvlText w:val="(%2)"/>
      <w:numFmt w:val="lowerRoman"/>
      <w:start w:val="1"/>
    </w:lvl>
  </w:abstractNum>
  <w:abstractNum w:abstractNumId="62">
    <w:nsid w:val="885E1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3">
    <w:nsid w:val="76272110"/>
    <w:multiLevelType w:val="hybridMultilevel"/>
    <w:lvl w:ilvl="0">
      <w:lvlJc w:val="left"/>
      <w:lvlText w:val="%1."/>
      <w:numFmt w:val="decimal"/>
      <w:start w:val="4"/>
    </w:lvl>
    <w:lvl w:ilvl="1">
      <w:lvlJc w:val="left"/>
      <w:lvlText w:val="(%2)"/>
      <w:numFmt w:val="lowerLetter"/>
      <w:start w:val="7"/>
    </w:lvl>
    <w:lvl w:ilvl="2">
      <w:lvlJc w:val="left"/>
      <w:lvlText w:val="(%3)"/>
      <w:numFmt w:val="lowerRoman"/>
      <w:start w:val="1"/>
    </w:lvl>
  </w:abstractNum>
  <w:abstractNum w:abstractNumId="64">
    <w:nsid w:val="4C04A8A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Letter"/>
      <w:start w:val="61"/>
    </w:lvl>
  </w:abstractNum>
  <w:abstractNum w:abstractNumId="65">
    <w:nsid w:val="1716703B"/>
    <w:multiLevelType w:val="hybridMultilevel"/>
    <w:lvl w:ilvl="0">
      <w:lvlJc w:val="left"/>
      <w:lvlText w:val="%1"/>
      <w:numFmt w:val="decimal"/>
      <w:start w:val="1"/>
    </w:lvl>
    <w:lvl w:ilvl="1">
      <w:lvlJc w:val="left"/>
      <w:lvlText w:val="(%2)"/>
      <w:numFmt w:val="upperLetter"/>
      <w:start w:val="25"/>
    </w:lvl>
    <w:lvl w:ilvl="2">
      <w:lvlJc w:val="left"/>
      <w:lvlText w:val="(%3)"/>
      <w:numFmt w:val="lowerLetter"/>
      <w:start w:val="9"/>
    </w:lvl>
    <w:lvl w:ilvl="3">
      <w:lvlJc w:val="left"/>
      <w:lvlText w:val="%4"/>
      <w:numFmt w:val="lowerLetter"/>
      <w:start w:val="1"/>
    </w:lvl>
  </w:abstractNum>
  <w:abstractNum w:abstractNumId="66">
    <w:nsid w:val="14E17E33"/>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67">
    <w:nsid w:val="3222E7C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8">
    <w:nsid w:val="74DE0EE3"/>
    <w:multiLevelType w:val="hybridMultilevel"/>
    <w:lvl w:ilvl="0">
      <w:lvlJc w:val="left"/>
      <w:lvlText w:val="%1"/>
      <w:numFmt w:val="decimal"/>
      <w:start w:val="1"/>
    </w:lvl>
    <w:lvl w:ilvl="1">
      <w:lvlJc w:val="left"/>
      <w:lvlText w:val="(%2)"/>
      <w:numFmt w:val="lowerLetter"/>
      <w:start w:val="6"/>
    </w:lvl>
  </w:abstractNum>
  <w:abstractNum w:abstractNumId="69">
    <w:nsid w:val="68EBC550"/>
    <w:multiLevelType w:val="hybridMultilevel"/>
    <w:lvl w:ilvl="0">
      <w:lvlJc w:val="left"/>
      <w:lvlText w:val="%1."/>
      <w:numFmt w:val="decimal"/>
      <w:start w:val="8"/>
    </w:lvl>
    <w:lvl w:ilvl="1">
      <w:lvlJc w:val="left"/>
      <w:lvlText w:val="(%2)"/>
      <w:numFmt w:val="lowerLetter"/>
      <w:start w:val="1"/>
    </w:lvl>
  </w:abstractNum>
  <w:abstractNum w:abstractNumId="70">
    <w:nsid w:val="2DF6D648"/>
    <w:multiLevelType w:val="hybridMultilevel"/>
    <w:lvl w:ilvl="0">
      <w:lvlJc w:val="left"/>
      <w:lvlText w:val="%1"/>
      <w:numFmt w:val="decimal"/>
      <w:start w:val="1"/>
    </w:lvl>
    <w:lvl w:ilvl="1">
      <w:lvlJc w:val="left"/>
      <w:lvlText w:val="(%2)"/>
      <w:numFmt w:val="lowerLetter"/>
      <w:start w:val="3"/>
    </w:lvl>
  </w:abstractNum>
  <w:abstractNum w:abstractNumId="71">
    <w:nsid w:val="46B7D447"/>
    <w:multiLevelType w:val="hybridMultilevel"/>
    <w:lvl w:ilvl="0">
      <w:lvlJc w:val="left"/>
      <w:lvlText w:val="%1."/>
      <w:numFmt w:val="decimal"/>
      <w:start w:val="9"/>
    </w:lvl>
    <w:lvl w:ilvl="1">
      <w:lvlJc w:val="left"/>
      <w:lvlText w:val="(%2)"/>
      <w:numFmt w:val="lowerLetter"/>
      <w:start w:val="1"/>
    </w:lvl>
  </w:abstractNum>
  <w:abstractNum w:abstractNumId="72">
    <w:nsid w:val="4A2AC315"/>
    <w:multiLevelType w:val="hybridMultilevel"/>
    <w:lvl w:ilvl="0">
      <w:lvlJc w:val="left"/>
      <w:lvlText w:val="(%1)"/>
      <w:numFmt w:val="lowerLetter"/>
      <w:start w:val="3"/>
    </w:lvl>
    <w:lvl w:ilvl="1">
      <w:lvlJc w:val="left"/>
      <w:lvlText w:val="(%2)"/>
      <w:numFmt w:val="lowerRoman"/>
      <w:start w:val="1"/>
    </w:lvl>
  </w:abstractNum>
  <w:abstractNum w:abstractNumId="73">
    <w:nsid w:val="39EE015C"/>
    <w:multiLevelType w:val="hybridMultilevel"/>
    <w:lvl w:ilvl="0">
      <w:lvlJc w:val="left"/>
      <w:lvlText w:val="(%1)"/>
      <w:numFmt w:val="lowerLetter"/>
      <w:start w:val="10"/>
    </w:lvl>
    <w:lvl w:ilvl="1">
      <w:lvlJc w:val="left"/>
      <w:lvlText w:val="(%2)"/>
      <w:numFmt w:val="lowerRoman"/>
      <w:start w:val="1"/>
    </w:lvl>
  </w:abstractNum>
  <w:abstractNum w:abstractNumId="74">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75">
    <w:nsid w:val="CC1016F"/>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76">
    <w:nsid w:val="43F18422"/>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77">
    <w:nsid w:val="60EF0119"/>
    <w:multiLevelType w:val="hybridMultilevel"/>
    <w:lvl w:ilvl="0">
      <w:lvlJc w:val="left"/>
      <w:lvlText w:val="%1."/>
      <w:numFmt w:val="decimal"/>
      <w:start w:val="1"/>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1."/>
      <w:numFmt w:val="decimal"/>
      <w:start w:val="8"/>
    </w:lvl>
  </w:abstractNum>
  <w:abstractNum w:abstractNumId="80">
    <w:nsid w:val="49DA307D"/>
    <w:multiLevelType w:val="hybridMultilevel"/>
    <w:lvl w:ilvl="0">
      <w:lvlJc w:val="left"/>
      <w:lvlText w:val="%1."/>
      <w:numFmt w:val="upperLetter"/>
      <w:start w:val="1"/>
    </w:lvl>
  </w:abstractNum>
  <w:abstractNum w:abstractNumId="81">
    <w:nsid w:val="7055A5F5"/>
    <w:multiLevelType w:val="hybridMultilevel"/>
    <w:lvl w:ilvl="0">
      <w:lvlJc w:val="left"/>
      <w:lvlText w:val="%1."/>
      <w:numFmt w:val="decimal"/>
      <w:start w:val="1"/>
    </w:lvl>
    <w:lvl w:ilvl="1">
      <w:lvlJc w:val="left"/>
      <w:lvlText w:val="(%2)"/>
      <w:numFmt w:val="lowerLetter"/>
      <w:start w:val="1"/>
    </w:lvl>
  </w:abstractNum>
  <w:abstractNum w:abstractNumId="82">
    <w:nsid w:val="5FB8370B"/>
    <w:multiLevelType w:val="hybridMultilevel"/>
    <w:lvl w:ilvl="0">
      <w:lvlJc w:val="left"/>
      <w:lvlText w:val="%1."/>
      <w:numFmt w:val="decimal"/>
      <w:start w:val="2"/>
    </w:lvl>
    <w:lvl w:ilvl="1">
      <w:lvlJc w:val="left"/>
      <w:lvlText w:val="(%2)"/>
      <w:numFmt w:val="lowerLetter"/>
      <w:start w:val="1"/>
    </w:lvl>
  </w:abstractNum>
  <w:abstractNum w:abstractNumId="83">
    <w:nsid w:val="50801EE1"/>
    <w:multiLevelType w:val="hybridMultilevel"/>
    <w:lvl w:ilvl="0">
      <w:lvlJc w:val="left"/>
      <w:lvlText w:val="%1"/>
      <w:numFmt w:val="decimal"/>
      <w:start w:val="1"/>
    </w:lvl>
    <w:lvl w:ilvl="1">
      <w:lvlJc w:val="left"/>
      <w:lvlText w:val="(%2)"/>
      <w:numFmt w:val="lowerLetter"/>
      <w:start w:val="6"/>
    </w:lvl>
  </w:abstractNum>
  <w:abstractNum w:abstractNumId="84">
    <w:nsid w:val="488AC1A"/>
    <w:multiLevelType w:val="hybridMultilevel"/>
    <w:lvl w:ilvl="0">
      <w:lvlJc w:val="left"/>
      <w:lvlText w:val="%1."/>
      <w:numFmt w:val="decimal"/>
      <w:start w:val="3"/>
    </w:lvl>
    <w:lvl w:ilvl="1">
      <w:lvlJc w:val="left"/>
      <w:lvlText w:val="%2"/>
      <w:numFmt w:val="lowerLetter"/>
      <w:start w:val="1"/>
    </w:lvl>
  </w:abstractNum>
  <w:abstractNum w:abstractNumId="85">
    <w:nsid w:val="5FB8011C"/>
    <w:multiLevelType w:val="hybridMultilevel"/>
    <w:lvl w:ilvl="0">
      <w:lvlJc w:val="left"/>
      <w:lvlText w:val="(%1)"/>
      <w:numFmt w:val="lowerLetter"/>
      <w:start w:val="1"/>
    </w:lvl>
    <w:lvl w:ilvl="1">
      <w:lvlJc w:val="left"/>
      <w:lvlText w:val="(%2)"/>
      <w:numFmt w:val="lowerRoman"/>
      <w:start w:val="1"/>
    </w:lvl>
  </w:abstractNum>
  <w:abstractNum w:abstractNumId="86">
    <w:nsid w:val="6AA78F7F"/>
    <w:multiLevelType w:val="hybridMultilevel"/>
    <w:lvl w:ilvl="0">
      <w:lvlJc w:val="left"/>
      <w:lvlText w:val="%1"/>
      <w:numFmt w:val="decimal"/>
      <w:start w:val="1"/>
    </w:lvl>
    <w:lvl w:ilvl="1">
      <w:lvlJc w:val="left"/>
      <w:lvlText w:val="(%2)"/>
      <w:numFmt w:val="lowerLetter"/>
      <w:start w:val="3"/>
    </w:lvl>
  </w:abstractNum>
  <w:abstractNum w:abstractNumId="87">
    <w:nsid w:val="7672BD23"/>
    <w:multiLevelType w:val="hybridMultilevel"/>
    <w:lvl w:ilvl="0">
      <w:lvlJc w:val="left"/>
      <w:lvlText w:val="%1."/>
      <w:numFmt w:val="decimal"/>
      <w:start w:val="4"/>
    </w:lvl>
    <w:lvl w:ilvl="1">
      <w:lvlJc w:val="left"/>
      <w:lvlText w:val="(%2)"/>
      <w:numFmt w:val="lowerLetter"/>
      <w:start w:val="1"/>
    </w:lvl>
  </w:abstractNum>
  <w:abstractNum w:abstractNumId="88">
    <w:nsid w:val="6FC75AF8"/>
    <w:multiLevelType w:val="hybridMultilevel"/>
    <w:lvl w:ilvl="0">
      <w:lvlJc w:val="left"/>
      <w:lvlText w:val="%1"/>
      <w:numFmt w:val="lowerLetter"/>
      <w:start w:val="1"/>
    </w:lvl>
    <w:lvl w:ilvl="1">
      <w:lvlJc w:val="left"/>
      <w:lvlText w:val="(%2)"/>
      <w:numFmt w:val="lowerRoman"/>
      <w:start w:val="1"/>
    </w:lvl>
  </w:abstractNum>
  <w:abstractNum w:abstractNumId="89">
    <w:nsid w:val="6A5F7029"/>
    <w:multiLevelType w:val="hybridMultilevel"/>
    <w:lvl w:ilvl="0">
      <w:lvlJc w:val="left"/>
      <w:lvlText w:val="(%1)"/>
      <w:numFmt w:val="lowerLetter"/>
      <w:start w:val="3"/>
    </w:lvl>
    <w:lvl w:ilvl="1">
      <w:lvlJc w:val="left"/>
      <w:lvlText w:val="%2"/>
      <w:numFmt w:val="lowerRoman"/>
      <w:start w:val="1"/>
    </w:lvl>
  </w:abstractNum>
  <w:abstractNum w:abstractNumId="90">
    <w:nsid w:val="7D5E18F8"/>
    <w:multiLevelType w:val="hybridMultilevel"/>
    <w:lvl w:ilvl="0">
      <w:lvlJc w:val="left"/>
      <w:lvlText w:val="%1"/>
      <w:numFmt w:val="decimal"/>
      <w:start w:val="1"/>
    </w:lvl>
    <w:lvl w:ilvl="1">
      <w:lvlJc w:val="left"/>
      <w:lvlText w:val="(%2)"/>
      <w:numFmt w:val="lowerLetter"/>
      <w:start w:val="4"/>
    </w:lvl>
  </w:abstractNum>
  <w:abstractNum w:abstractNumId="91">
    <w:nsid w:val="5F3534A4"/>
    <w:multiLevelType w:val="hybridMultilevel"/>
    <w:lvl w:ilvl="0">
      <w:lvlJc w:val="left"/>
      <w:lvlText w:val="%1."/>
      <w:numFmt w:val="decimal"/>
      <w:start w:val="5"/>
    </w:lvl>
    <w:lvl w:ilvl="1">
      <w:lvlJc w:val="left"/>
      <w:lvlText w:val="%2"/>
      <w:numFmt w:val="lowerLetter"/>
      <w:start w:val="1"/>
    </w:lvl>
  </w:abstractNum>
  <w:abstractNum w:abstractNumId="92">
    <w:nsid w:val="73A1821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3">
    <w:nsid w:val="7DE67713"/>
    <w:multiLevelType w:val="hybridMultilevel"/>
    <w:lvl w:ilvl="0">
      <w:lvlJc w:val="left"/>
      <w:lvlText w:val="%1"/>
      <w:numFmt w:val="lowerLetter"/>
      <w:start w:val="1"/>
    </w:lvl>
    <w:lvl w:ilvl="1">
      <w:lvlJc w:val="left"/>
      <w:lvlText w:val="(%2)"/>
      <w:numFmt w:val="lowerRoman"/>
      <w:start w:val="6"/>
    </w:lvl>
  </w:abstractNum>
  <w:abstractNum w:abstractNumId="94">
    <w:nsid w:val="555C55B5"/>
    <w:multiLevelType w:val="hybridMultilevel"/>
    <w:lvl w:ilvl="0">
      <w:lvlJc w:val="left"/>
      <w:lvlText w:val="(%1)"/>
      <w:numFmt w:val="lowerLetter"/>
      <w:start w:val="2"/>
    </w:lvl>
    <w:lvl w:ilvl="1">
      <w:lvlJc w:val="left"/>
      <w:lvlText w:val="%2"/>
      <w:numFmt w:val="lowerRoman"/>
      <w:start w:val="1"/>
    </w:lvl>
  </w:abstractNum>
  <w:abstractNum w:abstractNumId="95">
    <w:nsid w:val="3FA62ACA"/>
    <w:multiLevelType w:val="hybridMultilevel"/>
    <w:lvl w:ilvl="0">
      <w:lvlJc w:val="left"/>
      <w:lvlText w:val="%1."/>
      <w:numFmt w:val="decimal"/>
      <w:start w:val="8"/>
    </w:lvl>
    <w:lvl w:ilvl="1">
      <w:lvlJc w:val="left"/>
      <w:lvlText w:val="(%2)"/>
      <w:numFmt w:val="lowerLetter"/>
      <w:start w:val="1"/>
    </w:lvl>
  </w:abstractNum>
  <w:abstractNum w:abstractNumId="96">
    <w:nsid w:val="14FCE74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7">
    <w:nsid w:val="6A3DD3E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8">
    <w:nsid w:val="71C91298"/>
    <w:multiLevelType w:val="hybridMultilevel"/>
    <w:lvl w:ilvl="0">
      <w:lvlJc w:val="left"/>
      <w:lvlText w:val="(%1)"/>
      <w:numFmt w:val="lowerLetter"/>
      <w:start w:val="6"/>
    </w:lvl>
  </w:abstractNum>
  <w:abstractNum w:abstractNumId="99">
    <w:nsid w:val="9DAF632"/>
    <w:multiLevelType w:val="hybridMultilevel"/>
    <w:lvl w:ilvl="0">
      <w:lvlJc w:val="left"/>
      <w:lvlText w:val="(%1)"/>
      <w:numFmt w:val="lowerLetter"/>
      <w:start w:val="12"/>
    </w:lvl>
    <w:lvl w:ilvl="1">
      <w:lvlJc w:val="left"/>
      <w:lvlText w:val="(%2)"/>
      <w:numFmt w:val="lowerRoman"/>
      <w:start w:val="1"/>
    </w:lvl>
  </w:abstractNum>
  <w:abstractNum w:abstractNumId="100">
    <w:nsid w:val="53299938"/>
    <w:multiLevelType w:val="hybridMultilevel"/>
    <w:lvl w:ilvl="0">
      <w:lvlJc w:val="left"/>
      <w:lvlText w:val="%1."/>
      <w:numFmt w:val="decimal"/>
      <w:start w:val="10"/>
    </w:lvl>
  </w:abstractNum>
  <w:abstractNum w:abstractNumId="101">
    <w:nsid w:val="1FBFE8E0"/>
    <w:multiLevelType w:val="hybridMultilevel"/>
    <w:lvl w:ilvl="0">
      <w:lvlJc w:val="left"/>
      <w:lvlText w:val="%1."/>
      <w:numFmt w:val="decimal"/>
      <w:start w:val="1"/>
    </w:lvl>
  </w:abstractNum>
  <w:abstractNum w:abstractNumId="102">
    <w:nsid w:val="5092CA79"/>
    <w:multiLevelType w:val="hybridMultilevel"/>
    <w:lvl w:ilvl="0">
      <w:lvlJc w:val="left"/>
      <w:lvlText w:val="(%1)"/>
      <w:numFmt w:val="lowerLetter"/>
      <w:start w:val="1"/>
    </w:lvl>
  </w:abstractNum>
  <w:abstractNum w:abstractNumId="103">
    <w:nsid w:val="1D545C4D"/>
    <w:multiLevelType w:val="hybridMultilevel"/>
    <w:lvl w:ilvl="0">
      <w:lvlJc w:val="left"/>
      <w:lvlText w:val="%1."/>
      <w:numFmt w:val="decimal"/>
      <w:start w:val="8"/>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5"/>
    </w:lvl>
  </w:abstractNum>
  <w:abstractNum w:abstractNumId="106">
    <w:nsid w:val="2A155DBC"/>
    <w:multiLevelType w:val="hybridMultilevel"/>
    <w:lvl w:ilvl="0">
      <w:lvlJc w:val="left"/>
      <w:lvlText w:val="%1."/>
      <w:numFmt w:val="decimal"/>
      <w:start w:val="1"/>
    </w:lvl>
  </w:abstractNum>
  <w:abstractNum w:abstractNumId="107">
    <w:nsid w:val="1D9F6E5F"/>
    <w:multiLevelType w:val="hybridMultilevel"/>
    <w:lvl w:ilvl="0">
      <w:lvlJc w:val="left"/>
      <w:lvlText w:val="%1."/>
      <w:numFmt w:val="decimal"/>
      <w:start w:val="5"/>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Archives/edgar/data/1453687/000110465916129891/a16-14002_1ex3d1.htm" TargetMode="External"/><Relationship Id="rId13" Type="http://schemas.openxmlformats.org/officeDocument/2006/relationships/hyperlink" Target="http://www.sec.gov/Archives/edgar/data/1453687/000110465916129891/a16-14002_1ex3d2.htm" TargetMode="External"/><Relationship Id="rId14" Type="http://schemas.openxmlformats.org/officeDocument/2006/relationships/hyperlink" Target="http://www.sec.gov/Archives/edgar/data/1453687/000145368717000056/exhibit101_loansecurity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2019-12-29T03:39:02Z</dcterms:created>
  <dcterms:modified xsi:type="dcterms:W3CDTF">2019-12-29T03:39:02Z</dcterms:modified>
</cp:coreProperties>
</file>