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222123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21230" cy="548640"/>
                    </a:xfrm>
                    <a:prstGeom prst="rect">
                      <a:avLst/>
                    </a:prstGeom>
                    <a:noFill/>
                  </pic:spPr>
                </pic:pic>
              </a:graphicData>
            </a:graphic>
          </wp:anchor>
        </w:drawing>
        <w:t>Selecta Biosciences,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480 Arsenal Street, Building One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Watertown, MA 02472</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June 17,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Transmission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557" w:right="2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May 24,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No. 333-211555</w:t>
      </w:r>
    </w:p>
    <w:p>
      <w:pPr>
        <w:spacing w:after="0" w:line="200" w:lineRule="exact"/>
        <w:rPr>
          <w:sz w:val="24"/>
          <w:szCs w:val="24"/>
          <w:color w:val="auto"/>
        </w:rPr>
      </w:pPr>
    </w:p>
    <w:p>
      <w:pPr>
        <w:sectPr>
          <w:pgSz w:w="11900" w:h="16838" w:orient="portrait"/>
          <w:cols w:equalWidth="0" w:num="2">
            <w:col w:w="920" w:space="380"/>
            <w:col w:w="10120"/>
          </w:cols>
          <w:pgMar w:left="240" w:top="557"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ind w:right="40" w:firstLine="648"/>
        <w:spacing w:after="0" w:line="276" w:lineRule="auto"/>
        <w:rPr>
          <w:sz w:val="20"/>
          <w:szCs w:val="20"/>
          <w:color w:val="auto"/>
        </w:rPr>
      </w:pPr>
      <w:r>
        <w:rPr>
          <w:rFonts w:ascii="Arial" w:cs="Arial" w:eastAsia="Arial" w:hAnsi="Arial"/>
          <w:sz w:val="17"/>
          <w:szCs w:val="17"/>
          <w:color w:val="auto"/>
        </w:rPr>
        <w:t>In accordance with Rule 461 of Regulation C of the General Rules and Regulations under the Securities Act of 1933, as amended, we hereby request the acceleration of the effective date of the above-referenced Registration Statement so that it will become effective on June 21, 2016, at 4:00 p.m., Eastern Time, or as soon thereafter as practicable, or at such later time as Selecta Biosciences, Inc. (the “</w:t>
      </w:r>
      <w:r>
        <w:rPr>
          <w:rFonts w:ascii="Arial" w:cs="Arial" w:eastAsia="Arial" w:hAnsi="Arial"/>
          <w:sz w:val="17"/>
          <w:szCs w:val="17"/>
          <w:u w:val="single" w:color="auto"/>
          <w:color w:val="auto"/>
        </w:rPr>
        <w:t>Company</w:t>
      </w:r>
      <w:r>
        <w:rPr>
          <w:rFonts w:ascii="Arial" w:cs="Arial" w:eastAsia="Arial" w:hAnsi="Arial"/>
          <w:sz w:val="17"/>
          <w:szCs w:val="17"/>
          <w:color w:val="auto"/>
        </w:rPr>
        <w:t>”) or its counsel may request via telephone call to the staff. Please contact Brandon Bortner of Latham &amp; Watkins LLP, counsel to the Company, at (202) 637-2117, or in his absence, Peter Handrinos at (617) 948-6060, to provide notice of effectiveness, or if you have any other questions or concerns regarding this matter.</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connection with this request for effectiveness, the Company acknowledges the following:</w:t>
      </w:r>
    </w:p>
    <w:p>
      <w:pPr>
        <w:spacing w:after="0" w:line="225" w:lineRule="exact"/>
        <w:rPr>
          <w:sz w:val="24"/>
          <w:szCs w:val="24"/>
          <w:color w:val="auto"/>
        </w:rPr>
      </w:pPr>
    </w:p>
    <w:p>
      <w:pPr>
        <w:ind w:left="980" w:right="54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 yours,</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4"/>
          <w:szCs w:val="24"/>
          <w:color w:val="auto"/>
        </w:rPr>
      </w:pPr>
    </w:p>
    <w:tbl>
      <w:tblPr>
        <w:tblLayout w:type="fixed"/>
        <w:tblInd w:w="57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Siewers</w:t>
            </w:r>
          </w:p>
        </w:tc>
      </w:tr>
      <w:tr>
        <w:trPr>
          <w:trHeight w:val="195"/>
        </w:trPr>
        <w:tc>
          <w:tcPr>
            <w:tcW w:w="6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David Siewers</w:t>
            </w:r>
          </w:p>
        </w:tc>
      </w:tr>
      <w:tr>
        <w:trPr>
          <w:trHeight w:val="230"/>
        </w:trPr>
        <w:tc>
          <w:tcPr>
            <w:tcW w:w="6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4"/>
          <w:szCs w:val="24"/>
          <w:color w:val="auto"/>
        </w:rPr>
      </w:pPr>
    </w:p>
    <w:p>
      <w:pPr>
        <w:jc w:val="both"/>
        <w:ind w:left="340" w:right="9300" w:hanging="332"/>
        <w:spacing w:after="0" w:line="342" w:lineRule="auto"/>
        <w:tabs>
          <w:tab w:leader="none" w:pos="334" w:val="left"/>
        </w:tabs>
        <w:numPr>
          <w:ilvl w:val="0"/>
          <w:numId w:val="2"/>
        </w:numPr>
        <w:rPr>
          <w:rFonts w:ascii="Arial" w:cs="Arial" w:eastAsia="Arial" w:hAnsi="Arial"/>
          <w:sz w:val="16"/>
          <w:szCs w:val="16"/>
          <w:color w:val="auto"/>
        </w:rPr>
      </w:pPr>
      <w:r>
        <w:rPr>
          <w:rFonts w:ascii="Arial" w:cs="Arial" w:eastAsia="Arial" w:hAnsi="Arial"/>
          <w:sz w:val="16"/>
          <w:szCs w:val="16"/>
          <w:color w:val="auto"/>
        </w:rPr>
        <w:t>Peter N. Handrinos, Esq. Brandon J. Bortner, Esq.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5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2019-12-08T19:09:09Z</dcterms:created>
  <dcterms:modified xsi:type="dcterms:W3CDTF">2019-12-08T19:09:09Z</dcterms:modified>
</cp:coreProperties>
</file>