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26,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542" w:lineRule="auto"/>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spacing w:after="0" w:line="3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4"/>
          <w:szCs w:val="24"/>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188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188585"/>
                    </a:xfrm>
                    <a:prstGeom prst="rect">
                      <a:avLst/>
                    </a:prstGeom>
                    <a:noFill/>
                  </pic:spPr>
                </pic:pic>
              </a:graphicData>
            </a:graphic>
          </wp:anchor>
        </w:drawing>
        <w:t xml:space="preserve">CUSIP No. </w:t>
      </w:r>
      <w:r>
        <w:rPr>
          <w:rFonts w:ascii="Arial" w:cs="Arial" w:eastAsia="Arial" w:hAnsi="Arial"/>
          <w:sz w:val="18"/>
          <w:szCs w:val="18"/>
          <w:b w:val="1"/>
          <w:bCs w:val="1"/>
          <w:color w:val="auto"/>
        </w:rPr>
        <w:t>816212104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Borders>
              <w:top w:val="single" w:sz="8" w:color="auto"/>
            </w:tcBorders>
            <w:vMerge w:val="restart"/>
          </w:tcPr>
          <w:p>
            <w:pPr>
              <w:ind w:left="300"/>
              <w:spacing w:after="0"/>
              <w:rPr>
                <w:sz w:val="20"/>
                <w:szCs w:val="20"/>
                <w:color w:val="auto"/>
              </w:rPr>
            </w:pPr>
            <w:r>
              <w:rPr>
                <w:rFonts w:ascii="Arial" w:cs="Arial" w:eastAsia="Arial" w:hAnsi="Arial"/>
                <w:sz w:val="22"/>
                <w:szCs w:val="22"/>
                <w:b w:val="1"/>
                <w:bCs w:val="1"/>
                <w:color w:val="auto"/>
                <w:w w:val="97"/>
              </w:rPr>
              <w:t>1</w:t>
            </w:r>
          </w:p>
        </w:tc>
        <w:tc>
          <w:tcPr>
            <w:tcW w:w="280" w:type="dxa"/>
            <w:vAlign w:val="bottom"/>
            <w:tcBorders>
              <w:top w:val="single" w:sz="8" w:color="auto"/>
              <w:right w:val="single" w:sz="8" w:color="auto"/>
            </w:tcBorders>
          </w:tcPr>
          <w:p>
            <w:pPr>
              <w:spacing w:after="0"/>
              <w:rPr>
                <w:sz w:val="21"/>
                <w:szCs w:val="21"/>
                <w:color w:val="auto"/>
              </w:rPr>
            </w:pPr>
          </w:p>
        </w:tc>
        <w:tc>
          <w:tcPr>
            <w:tcW w:w="1070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185"/>
        </w:trPr>
        <w:tc>
          <w:tcPr>
            <w:tcW w:w="4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0700" w:type="dxa"/>
            <w:vAlign w:val="bottom"/>
            <w:gridSpan w:val="5"/>
            <w:vMerge w:val="restart"/>
          </w:tcPr>
          <w:p>
            <w:pPr>
              <w:ind w:left="260"/>
              <w:spacing w:after="0"/>
              <w:rPr>
                <w:sz w:val="20"/>
                <w:szCs w:val="20"/>
                <w:color w:val="auto"/>
              </w:rPr>
            </w:pPr>
            <w:r>
              <w:rPr>
                <w:rFonts w:ascii="Arial" w:cs="Arial" w:eastAsia="Arial" w:hAnsi="Arial"/>
                <w:sz w:val="18"/>
                <w:szCs w:val="18"/>
                <w:b w:val="1"/>
                <w:bCs w:val="1"/>
                <w:color w:val="auto"/>
              </w:rPr>
              <w:t>Vivo Capital VIII, LLC</w:t>
            </w:r>
          </w:p>
        </w:tc>
        <w:tc>
          <w:tcPr>
            <w:tcW w:w="0" w:type="dxa"/>
            <w:vAlign w:val="bottom"/>
          </w:tcPr>
          <w:p>
            <w:pPr>
              <w:spacing w:after="0"/>
              <w:rPr>
                <w:sz w:val="1"/>
                <w:szCs w:val="1"/>
                <w:color w:val="auto"/>
              </w:rPr>
            </w:pPr>
          </w:p>
        </w:tc>
      </w:tr>
      <w:tr>
        <w:trPr>
          <w:trHeight w:val="193"/>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07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0" w:type="dxa"/>
            <w:vAlign w:val="bottom"/>
            <w:vMerge w:val="restart"/>
          </w:tcPr>
          <w:p>
            <w:pPr>
              <w:ind w:left="300"/>
              <w:spacing w:after="0"/>
              <w:rPr>
                <w:sz w:val="20"/>
                <w:szCs w:val="20"/>
                <w:color w:val="auto"/>
              </w:rPr>
            </w:pPr>
            <w:r>
              <w:rPr>
                <w:rFonts w:ascii="Arial" w:cs="Arial" w:eastAsia="Arial" w:hAnsi="Arial"/>
                <w:sz w:val="22"/>
                <w:szCs w:val="22"/>
                <w:b w:val="1"/>
                <w:bCs w:val="1"/>
                <w:color w:val="auto"/>
                <w:w w:val="97"/>
              </w:rPr>
              <w:t>2</w:t>
            </w:r>
          </w:p>
        </w:tc>
        <w:tc>
          <w:tcPr>
            <w:tcW w:w="280" w:type="dxa"/>
            <w:vAlign w:val="bottom"/>
            <w:tcBorders>
              <w:right w:val="single" w:sz="8" w:color="auto"/>
            </w:tcBorders>
          </w:tcPr>
          <w:p>
            <w:pPr>
              <w:spacing w:after="0"/>
              <w:rPr>
                <w:sz w:val="15"/>
                <w:szCs w:val="15"/>
                <w:color w:val="auto"/>
              </w:rPr>
            </w:pPr>
          </w:p>
        </w:tc>
        <w:tc>
          <w:tcPr>
            <w:tcW w:w="10700" w:type="dxa"/>
            <w:vAlign w:val="bottom"/>
            <w:gridSpan w:val="5"/>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(a)</w:t>
            </w:r>
          </w:p>
        </w:tc>
        <w:tc>
          <w:tcPr>
            <w:tcW w:w="3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(b)</w:t>
            </w:r>
          </w:p>
        </w:tc>
        <w:tc>
          <w:tcPr>
            <w:tcW w:w="36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Borders>
              <w:bottom w:val="single" w:sz="8" w:color="auto"/>
            </w:tcBorders>
          </w:tcPr>
          <w:p>
            <w:pPr>
              <w:spacing w:after="0"/>
              <w:rPr>
                <w:sz w:val="22"/>
                <w:szCs w:val="22"/>
                <w:color w:val="auto"/>
              </w:rPr>
            </w:pPr>
          </w:p>
        </w:tc>
        <w:tc>
          <w:tcPr>
            <w:tcW w:w="9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40" w:type="dxa"/>
            <w:vAlign w:val="bottom"/>
            <w:vMerge w:val="restart"/>
          </w:tcPr>
          <w:p>
            <w:pPr>
              <w:ind w:left="300"/>
              <w:spacing w:after="0"/>
              <w:rPr>
                <w:sz w:val="20"/>
                <w:szCs w:val="20"/>
                <w:color w:val="auto"/>
              </w:rPr>
            </w:pPr>
            <w:r>
              <w:rPr>
                <w:rFonts w:ascii="Arial" w:cs="Arial" w:eastAsia="Arial" w:hAnsi="Arial"/>
                <w:sz w:val="22"/>
                <w:szCs w:val="22"/>
                <w:b w:val="1"/>
                <w:bCs w:val="1"/>
                <w:color w:val="auto"/>
                <w:w w:val="97"/>
              </w:rPr>
              <w:t>3</w:t>
            </w:r>
          </w:p>
        </w:tc>
        <w:tc>
          <w:tcPr>
            <w:tcW w:w="280" w:type="dxa"/>
            <w:vAlign w:val="bottom"/>
            <w:tcBorders>
              <w:right w:val="single" w:sz="8" w:color="auto"/>
            </w:tcBorders>
          </w:tcPr>
          <w:p>
            <w:pPr>
              <w:spacing w:after="0"/>
              <w:rPr>
                <w:sz w:val="19"/>
                <w:szCs w:val="19"/>
                <w:color w:val="auto"/>
              </w:rPr>
            </w:pP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9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9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vMerge w:val="restart"/>
          </w:tcPr>
          <w:p>
            <w:pPr>
              <w:ind w:left="300"/>
              <w:spacing w:after="0"/>
              <w:rPr>
                <w:sz w:val="20"/>
                <w:szCs w:val="20"/>
                <w:color w:val="auto"/>
              </w:rPr>
            </w:pPr>
            <w:r>
              <w:rPr>
                <w:rFonts w:ascii="Arial" w:cs="Arial" w:eastAsia="Arial" w:hAnsi="Arial"/>
                <w:sz w:val="22"/>
                <w:szCs w:val="22"/>
                <w:b w:val="1"/>
                <w:bCs w:val="1"/>
                <w:color w:val="auto"/>
                <w:w w:val="97"/>
              </w:rPr>
              <w:t>4</w:t>
            </w:r>
          </w:p>
        </w:tc>
        <w:tc>
          <w:tcPr>
            <w:tcW w:w="280" w:type="dxa"/>
            <w:vAlign w:val="bottom"/>
            <w:tcBorders>
              <w:right w:val="single" w:sz="8" w:color="auto"/>
            </w:tcBorders>
          </w:tcPr>
          <w:p>
            <w:pPr>
              <w:spacing w:after="0"/>
              <w:rPr>
                <w:sz w:val="19"/>
                <w:szCs w:val="19"/>
                <w:color w:val="auto"/>
              </w:rPr>
            </w:pPr>
          </w:p>
        </w:tc>
        <w:tc>
          <w:tcPr>
            <w:tcW w:w="1070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85"/>
        </w:trPr>
        <w:tc>
          <w:tcPr>
            <w:tcW w:w="4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00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w w:val="81"/>
              </w:rPr>
              <w:t>5</w:t>
            </w:r>
          </w:p>
        </w:tc>
        <w:tc>
          <w:tcPr>
            <w:tcW w:w="9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9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xml:space="preserve">1,119,189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7"/>
        </w:trPr>
        <w:tc>
          <w:tcPr>
            <w:tcW w:w="1360" w:type="dxa"/>
            <w:vAlign w:val="bottom"/>
            <w:gridSpan w:val="3"/>
            <w:vMerge w:val="restart"/>
          </w:tcPr>
          <w:p>
            <w:pPr>
              <w:ind w:left="300"/>
              <w:spacing w:after="0"/>
              <w:rPr>
                <w:sz w:val="20"/>
                <w:szCs w:val="20"/>
                <w:color w:val="auto"/>
              </w:rPr>
            </w:pPr>
            <w:r>
              <w:rPr>
                <w:rFonts w:ascii="Arial" w:cs="Arial" w:eastAsia="Arial" w:hAnsi="Arial"/>
                <w:sz w:val="18"/>
                <w:szCs w:val="18"/>
                <w:color w:val="auto"/>
                <w:w w:val="96"/>
              </w:rPr>
              <w:t>NUMBER OF</w:t>
            </w:r>
          </w:p>
        </w:tc>
        <w:tc>
          <w:tcPr>
            <w:tcW w:w="280" w:type="dxa"/>
            <w:vAlign w:val="bottom"/>
            <w:tcBorders>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9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360" w:type="dxa"/>
            <w:vAlign w:val="bottom"/>
            <w:gridSpan w:val="3"/>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91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9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1"/>
              </w:rPr>
              <w:t>SHARES</w:t>
            </w: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vMerge w:val="restart"/>
          </w:tcPr>
          <w:p>
            <w:pPr>
              <w:jc w:val="right"/>
              <w:ind w:right="372"/>
              <w:spacing w:after="0" w:line="232" w:lineRule="exact"/>
              <w:rPr>
                <w:sz w:val="20"/>
                <w:szCs w:val="20"/>
                <w:color w:val="auto"/>
              </w:rPr>
            </w:pPr>
            <w:r>
              <w:rPr>
                <w:rFonts w:ascii="Arial" w:cs="Arial" w:eastAsia="Arial" w:hAnsi="Arial"/>
                <w:sz w:val="22"/>
                <w:szCs w:val="22"/>
                <w:b w:val="1"/>
                <w:bCs w:val="1"/>
                <w:color w:val="auto"/>
                <w:w w:val="81"/>
              </w:rPr>
              <w:t>6</w:t>
            </w:r>
          </w:p>
        </w:tc>
        <w:tc>
          <w:tcPr>
            <w:tcW w:w="9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9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6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100" w:type="dxa"/>
            <w:vAlign w:val="bottom"/>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1"/>
        </w:trPr>
        <w:tc>
          <w:tcPr>
            <w:tcW w:w="1360" w:type="dxa"/>
            <w:vAlign w:val="bottom"/>
            <w:gridSpan w:val="3"/>
            <w:vMerge w:val="restart"/>
          </w:tcPr>
          <w:p>
            <w:pPr>
              <w:jc w:val="center"/>
              <w:ind w:left="180"/>
              <w:spacing w:after="0" w:line="201" w:lineRule="exact"/>
              <w:rPr>
                <w:sz w:val="20"/>
                <w:szCs w:val="20"/>
                <w:color w:val="auto"/>
              </w:rPr>
            </w:pPr>
            <w:r>
              <w:rPr>
                <w:rFonts w:ascii="Arial" w:cs="Arial" w:eastAsia="Arial" w:hAnsi="Arial"/>
                <w:sz w:val="18"/>
                <w:szCs w:val="18"/>
                <w:color w:val="auto"/>
                <w:w w:val="97"/>
              </w:rPr>
              <w:t>OWNED BY</w:t>
            </w:r>
          </w:p>
        </w:tc>
        <w:tc>
          <w:tcPr>
            <w:tcW w:w="280" w:type="dxa"/>
            <w:vAlign w:val="bottom"/>
            <w:tcBorders>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9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360" w:type="dxa"/>
            <w:vAlign w:val="bottom"/>
            <w:gridSpan w:val="3"/>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1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9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5"/>
              </w:rPr>
              <w:t>EACH</w:t>
            </w: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right w:val="single" w:sz="8" w:color="auto"/>
            </w:tcBorders>
            <w:vMerge w:val="restart"/>
          </w:tcPr>
          <w:p>
            <w:pPr>
              <w:jc w:val="right"/>
              <w:ind w:right="372"/>
              <w:spacing w:after="0" w:line="232" w:lineRule="exact"/>
              <w:rPr>
                <w:sz w:val="20"/>
                <w:szCs w:val="20"/>
                <w:color w:val="auto"/>
              </w:rPr>
            </w:pPr>
            <w:r>
              <w:rPr>
                <w:rFonts w:ascii="Arial" w:cs="Arial" w:eastAsia="Arial" w:hAnsi="Arial"/>
                <w:sz w:val="22"/>
                <w:szCs w:val="22"/>
                <w:b w:val="1"/>
                <w:bCs w:val="1"/>
                <w:color w:val="auto"/>
                <w:w w:val="81"/>
              </w:rPr>
              <w:t>7</w:t>
            </w:r>
          </w:p>
        </w:tc>
        <w:tc>
          <w:tcPr>
            <w:tcW w:w="9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9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360" w:type="dxa"/>
            <w:vAlign w:val="bottom"/>
            <w:gridSpan w:val="3"/>
          </w:tcPr>
          <w:p>
            <w:pPr>
              <w:ind w:left="320"/>
              <w:spacing w:after="0"/>
              <w:rPr>
                <w:sz w:val="20"/>
                <w:szCs w:val="20"/>
                <w:color w:val="auto"/>
              </w:rPr>
            </w:pPr>
            <w:r>
              <w:rPr>
                <w:rFonts w:ascii="Arial" w:cs="Arial" w:eastAsia="Arial" w:hAnsi="Arial"/>
                <w:sz w:val="18"/>
                <w:szCs w:val="18"/>
                <w:color w:val="auto"/>
                <w:w w:val="95"/>
              </w:rPr>
              <w:t>REPORTING</w:t>
            </w:r>
          </w:p>
        </w:tc>
        <w:tc>
          <w:tcPr>
            <w:tcW w:w="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9100" w:type="dxa"/>
            <w:vAlign w:val="bottom"/>
          </w:tcPr>
          <w:p>
            <w:pPr>
              <w:ind w:left="260"/>
              <w:spacing w:after="0" w:line="241" w:lineRule="exact"/>
              <w:rPr>
                <w:sz w:val="20"/>
                <w:szCs w:val="20"/>
                <w:color w:val="auto"/>
              </w:rPr>
            </w:pPr>
            <w:r>
              <w:rPr>
                <w:rFonts w:ascii="Arial" w:cs="Arial" w:eastAsia="Arial" w:hAnsi="Arial"/>
                <w:sz w:val="17"/>
                <w:szCs w:val="17"/>
                <w:b w:val="1"/>
                <w:bCs w:val="1"/>
                <w:color w:val="auto"/>
              </w:rPr>
              <w:t xml:space="preserve">1,119,189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920" w:type="dxa"/>
            <w:vAlign w:val="bottom"/>
            <w:gridSpan w:val="2"/>
            <w:vMerge w:val="restart"/>
          </w:tcPr>
          <w:p>
            <w:pPr>
              <w:jc w:val="center"/>
              <w:ind w:right="70"/>
              <w:spacing w:after="0" w:line="175" w:lineRule="exact"/>
              <w:rPr>
                <w:sz w:val="20"/>
                <w:szCs w:val="20"/>
                <w:color w:val="auto"/>
              </w:rPr>
            </w:pPr>
            <w:r>
              <w:rPr>
                <w:rFonts w:ascii="Arial" w:cs="Arial" w:eastAsia="Arial" w:hAnsi="Arial"/>
                <w:sz w:val="18"/>
                <w:szCs w:val="18"/>
                <w:color w:val="auto"/>
                <w:w w:val="89"/>
              </w:rPr>
              <w:t>PERSON</w:t>
            </w:r>
          </w:p>
        </w:tc>
        <w:tc>
          <w:tcPr>
            <w:tcW w:w="280" w:type="dxa"/>
            <w:vAlign w:val="bottom"/>
            <w:tcBorders>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9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910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9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w w:val="81"/>
              </w:rPr>
              <w:t>8</w:t>
            </w:r>
          </w:p>
        </w:tc>
        <w:tc>
          <w:tcPr>
            <w:tcW w:w="9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9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9"/>
        </w:trPr>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9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vMerge w:val="restart"/>
          </w:tcPr>
          <w:p>
            <w:pPr>
              <w:ind w:left="300"/>
              <w:spacing w:after="0"/>
              <w:rPr>
                <w:sz w:val="20"/>
                <w:szCs w:val="20"/>
                <w:color w:val="auto"/>
              </w:rPr>
            </w:pPr>
            <w:r>
              <w:rPr>
                <w:rFonts w:ascii="Arial" w:cs="Arial" w:eastAsia="Arial" w:hAnsi="Arial"/>
                <w:sz w:val="22"/>
                <w:szCs w:val="22"/>
                <w:b w:val="1"/>
                <w:bCs w:val="1"/>
                <w:color w:val="auto"/>
                <w:w w:val="97"/>
              </w:rPr>
              <w:t>9</w:t>
            </w:r>
          </w:p>
        </w:tc>
        <w:tc>
          <w:tcPr>
            <w:tcW w:w="280" w:type="dxa"/>
            <w:vAlign w:val="bottom"/>
          </w:tcPr>
          <w:p>
            <w:pPr>
              <w:spacing w:after="0"/>
              <w:rPr>
                <w:sz w:val="19"/>
                <w:szCs w:val="19"/>
                <w:color w:val="auto"/>
              </w:rPr>
            </w:pPr>
          </w:p>
        </w:tc>
        <w:tc>
          <w:tcPr>
            <w:tcW w:w="107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5"/>
        </w:trPr>
        <w:tc>
          <w:tcPr>
            <w:tcW w:w="440" w:type="dxa"/>
            <w:vAlign w:val="bottom"/>
            <w:vMerge w:val="continue"/>
          </w:tcPr>
          <w:p>
            <w:pPr>
              <w:spacing w:after="0"/>
              <w:rPr>
                <w:sz w:val="16"/>
                <w:szCs w:val="16"/>
                <w:color w:val="auto"/>
              </w:rPr>
            </w:pPr>
          </w:p>
        </w:tc>
        <w:tc>
          <w:tcPr>
            <w:tcW w:w="1880" w:type="dxa"/>
            <w:vAlign w:val="bottom"/>
            <w:gridSpan w:val="5"/>
            <w:vMerge w:val="restart"/>
          </w:tcPr>
          <w:p>
            <w:pPr>
              <w:ind w:left="540"/>
              <w:spacing w:after="0"/>
              <w:rPr>
                <w:sz w:val="20"/>
                <w:szCs w:val="20"/>
                <w:color w:val="auto"/>
              </w:rPr>
            </w:pPr>
            <w:r>
              <w:rPr>
                <w:rFonts w:ascii="Arial" w:cs="Arial" w:eastAsia="Arial" w:hAnsi="Arial"/>
                <w:sz w:val="18"/>
                <w:szCs w:val="18"/>
                <w:b w:val="1"/>
                <w:bCs w:val="1"/>
                <w:color w:val="auto"/>
              </w:rPr>
              <w:t xml:space="preserve">1,119,189 </w:t>
            </w:r>
            <w:r>
              <w:rPr>
                <w:rFonts w:ascii="Arial" w:cs="Arial" w:eastAsia="Arial" w:hAnsi="Arial"/>
                <w:sz w:val="30"/>
                <w:szCs w:val="30"/>
                <w:b w:val="1"/>
                <w:bCs w:val="1"/>
                <w:color w:val="auto"/>
                <w:vertAlign w:val="superscript"/>
              </w:rPr>
              <w:t>(1)</w:t>
            </w:r>
          </w:p>
        </w:tc>
        <w:tc>
          <w:tcPr>
            <w:tcW w:w="9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40" w:type="dxa"/>
            <w:vAlign w:val="bottom"/>
          </w:tcPr>
          <w:p>
            <w:pPr>
              <w:spacing w:after="0"/>
              <w:rPr>
                <w:sz w:val="22"/>
                <w:szCs w:val="22"/>
                <w:color w:val="auto"/>
              </w:rPr>
            </w:pPr>
          </w:p>
        </w:tc>
        <w:tc>
          <w:tcPr>
            <w:tcW w:w="1880" w:type="dxa"/>
            <w:vAlign w:val="bottom"/>
            <w:gridSpan w:val="5"/>
            <w:vMerge w:val="continue"/>
          </w:tcPr>
          <w:p>
            <w:pPr>
              <w:spacing w:after="0"/>
              <w:rPr>
                <w:sz w:val="22"/>
                <w:szCs w:val="22"/>
                <w:color w:val="auto"/>
              </w:rPr>
            </w:pPr>
          </w:p>
        </w:tc>
        <w:tc>
          <w:tcPr>
            <w:tcW w:w="9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800"/>
        <w:spacing w:after="0" w:line="187" w:lineRule="auto"/>
        <w:rPr>
          <w:sz w:val="20"/>
          <w:szCs w:val="20"/>
          <w:color w:val="auto"/>
        </w:rPr>
      </w:pPr>
      <w:r>
        <w:rPr>
          <w:rFonts w:ascii="Arial" w:cs="Arial" w:eastAsia="Arial" w:hAnsi="Arial"/>
          <w:sz w:val="16"/>
          <w:szCs w:val="16"/>
          <w:color w:val="auto"/>
        </w:rPr>
        <w:t>CHECK BOX IF THE AGGREGATE AMOUNT IN ROW (9) EXCLUDES CERTAIN SHARES (See Instructions)</w:t>
      </w:r>
    </w:p>
    <w:p>
      <w:pPr>
        <w:ind w:left="260"/>
        <w:spacing w:after="0" w:line="361" w:lineRule="exact"/>
        <w:tabs>
          <w:tab w:leader="none" w:pos="96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ectPr>
          <w:pgSz w:w="11900" w:h="16838" w:orient="portrait"/>
          <w:cols w:equalWidth="0" w:num="1">
            <w:col w:w="11420"/>
          </w:cols>
          <w:pgMar w:left="240" w:top="1134" w:right="239" w:bottom="1440" w:gutter="0" w:footer="0" w:header="0"/>
        </w:sect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30"/>
          <w:szCs w:val="30"/>
          <w:b w:val="1"/>
          <w:bCs w:val="1"/>
          <w:color w:val="auto"/>
          <w:vertAlign w:val="superscript"/>
        </w:rPr>
        <w:t>(2)</w:t>
      </w:r>
    </w:p>
    <w:p>
      <w:pPr>
        <w:spacing w:after="0" w:line="1" w:lineRule="exact"/>
        <w:rPr>
          <w:sz w:val="20"/>
          <w:szCs w:val="20"/>
          <w:color w:val="auto"/>
        </w:rPr>
      </w:pPr>
    </w:p>
    <w:p>
      <w:pPr>
        <w:sectPr>
          <w:pgSz w:w="11900" w:h="16838" w:orient="portrait"/>
          <w:cols w:equalWidth="0" w:num="2">
            <w:col w:w="460" w:space="340"/>
            <w:col w:w="10620"/>
          </w:cols>
          <w:pgMar w:left="240" w:top="1134" w:right="239" w:bottom="1440" w:gutter="0" w:footer="0" w:header="0"/>
          <w:type w:val="continuous"/>
        </w:sectPr>
      </w:pPr>
    </w:p>
    <w:p>
      <w:pPr>
        <w:spacing w:after="0" w:line="11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ectPr>
          <w:pgSz w:w="11900" w:h="16838" w:orient="portrait"/>
          <w:cols w:equalWidth="0" w:num="2">
            <w:col w:w="460" w:space="340"/>
            <w:col w:w="10620"/>
          </w:cols>
          <w:pgMar w:left="240" w:top="1134" w:right="239" w:bottom="1440" w:gutter="0" w:footer="0" w:header="0"/>
          <w:type w:val="continuous"/>
        </w:sectPr>
      </w:pPr>
    </w:p>
    <w:p>
      <w:pPr>
        <w:spacing w:after="0" w:line="70" w:lineRule="exact"/>
        <w:rPr>
          <w:sz w:val="20"/>
          <w:szCs w:val="20"/>
          <w:color w:val="auto"/>
        </w:rPr>
      </w:pPr>
    </w:p>
    <w:p>
      <w:pPr>
        <w:ind w:left="500" w:right="160" w:hanging="492"/>
        <w:spacing w:after="0" w:line="194" w:lineRule="auto"/>
        <w:tabs>
          <w:tab w:leader="none" w:pos="5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shares are held of record by Vivo Capital Fund VIII, L.P., and Vivo Capital Surplus Fund VIII, L.P. Vivo Capital VIII, LLC is the general partner of both Vivo Capital Fund VIII, L.P. and Vivo Capital Surplus Fund VIII, L.P.</w:t>
      </w:r>
    </w:p>
    <w:p>
      <w:pPr>
        <w:spacing w:after="0" w:line="114" w:lineRule="exact"/>
        <w:rPr>
          <w:rFonts w:ascii="Arial" w:cs="Arial" w:eastAsia="Arial" w:hAnsi="Arial"/>
          <w:sz w:val="30"/>
          <w:szCs w:val="30"/>
          <w:color w:val="auto"/>
          <w:vertAlign w:val="superscript"/>
        </w:rPr>
      </w:pPr>
    </w:p>
    <w:p>
      <w:pPr>
        <w:ind w:left="500" w:hanging="492"/>
        <w:spacing w:after="0"/>
        <w:tabs>
          <w:tab w:leader="none" w:pos="5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Based on 22,040,637 shares of the Issuer’s Common Stock, par value $0.0001 per share, issued and outstanding as of June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type w:val="continuous"/>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Selecta Biosciences, Inc</w:t>
      </w:r>
    </w:p>
    <w:p>
      <w:pPr>
        <w:spacing w:after="0" w:line="22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480 Arsenal Way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Watertown, MA 02472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VIII, LLC</w:t>
      </w:r>
    </w:p>
    <w:p>
      <w:pPr>
        <w:spacing w:after="0" w:line="22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505 Hamilton Avenue, Suite 207, Palo Alto, CA 94301</w:t>
      </w:r>
    </w:p>
    <w:p>
      <w:pPr>
        <w:spacing w:after="0" w:line="22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VIII, LLC is a Delaware limited liability company.</w:t>
      </w:r>
    </w:p>
    <w:p>
      <w:pPr>
        <w:spacing w:after="0" w:line="22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ind w:left="980" w:right="8980" w:hanging="324"/>
        <w:spacing w:after="0" w:line="530" w:lineRule="auto"/>
        <w:tabs>
          <w:tab w:leader="none" w:pos="9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816212104</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7"/>
          <w:szCs w:val="17"/>
          <w:b w:val="1"/>
          <w:bCs w:val="1"/>
          <w:color w:val="auto"/>
        </w:rPr>
        <w:t>I</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TATEMENT 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ILED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URSUANT TO</w:t>
      </w:r>
      <w:r>
        <w:rPr>
          <w:rFonts w:ascii="Arial" w:cs="Arial" w:eastAsia="Arial" w:hAnsi="Arial"/>
          <w:sz w:val="17"/>
          <w:szCs w:val="17"/>
          <w:b w:val="1"/>
          <w:bCs w:val="1"/>
          <w:color w:val="auto"/>
        </w:rPr>
        <w:t xml:space="preserve"> §§ 240.13d-1(b),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240.13d-2(b)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(c),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HETHER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ERSON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ILING IS A</w:t>
      </w:r>
      <w:r>
        <w:rPr>
          <w:rFonts w:ascii="Arial" w:cs="Arial" w:eastAsia="Arial" w:hAnsi="Arial"/>
          <w:sz w:val="17"/>
          <w:szCs w:val="17"/>
          <w:b w:val="1"/>
          <w:bCs w:val="1"/>
          <w:color w:val="auto"/>
        </w:rPr>
        <w:t>:</w:t>
      </w:r>
    </w:p>
    <w:p>
      <w:pPr>
        <w:spacing w:after="0" w:line="197" w:lineRule="exact"/>
        <w:rPr>
          <w:sz w:val="20"/>
          <w:szCs w:val="20"/>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100" w:hanging="444"/>
        <w:spacing w:after="0" w:line="184" w:lineRule="exact"/>
        <w:tabs>
          <w:tab w:leader="none" w:pos="1100"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shares of Common Stock are held of record by Vivo Capital Fund VIII, L.P. and Vivo Capital Surplus Fund VIII, L.P., as follows:</w:t>
      </w:r>
    </w:p>
    <w:p>
      <w:pPr>
        <w:spacing w:after="0" w:line="237" w:lineRule="exact"/>
        <w:rPr>
          <w:sz w:val="20"/>
          <w:szCs w:val="20"/>
          <w:color w:val="auto"/>
        </w:rPr>
      </w:pPr>
    </w:p>
    <w:p>
      <w:pPr>
        <w:ind w:left="1880" w:hanging="332"/>
        <w:spacing w:after="0"/>
        <w:tabs>
          <w:tab w:leader="none" w:pos="1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Vivo Capital Fund VIII, L.P.: 983,395 shares</w:t>
      </w:r>
    </w:p>
    <w:p>
      <w:pPr>
        <w:spacing w:after="0" w:line="252" w:lineRule="exact"/>
        <w:rPr>
          <w:rFonts w:ascii="Arial" w:cs="Arial" w:eastAsia="Arial" w:hAnsi="Arial"/>
          <w:sz w:val="18"/>
          <w:szCs w:val="18"/>
          <w:color w:val="auto"/>
        </w:rPr>
      </w:pPr>
    </w:p>
    <w:p>
      <w:pPr>
        <w:ind w:left="1880" w:hanging="332"/>
        <w:spacing w:after="0"/>
        <w:tabs>
          <w:tab w:leader="none" w:pos="1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Vivo Capital Surplus Fund VIII, L.P.: 135,794 shares</w:t>
      </w:r>
    </w:p>
    <w:p>
      <w:pPr>
        <w:spacing w:after="0" w:line="225" w:lineRule="exact"/>
        <w:rPr>
          <w:sz w:val="20"/>
          <w:szCs w:val="20"/>
          <w:color w:val="auto"/>
        </w:rPr>
      </w:pPr>
    </w:p>
    <w:p>
      <w:pPr>
        <w:ind w:right="20" w:firstLine="972"/>
        <w:spacing w:after="0" w:line="264" w:lineRule="auto"/>
        <w:rPr>
          <w:sz w:val="20"/>
          <w:szCs w:val="20"/>
          <w:color w:val="auto"/>
        </w:rPr>
      </w:pPr>
      <w:r>
        <w:rPr>
          <w:rFonts w:ascii="Arial" w:cs="Arial" w:eastAsia="Arial" w:hAnsi="Arial"/>
          <w:sz w:val="18"/>
          <w:szCs w:val="18"/>
          <w:color w:val="auto"/>
        </w:rPr>
        <w:t>Vivo Capital VIII, LLC is the general partner of both Vivo Capital Fund VIII, L.P. and Vivo Capital Surplus Fund VIII, L.P. The voting members of Vivo Capital VIII, LLC are Frank Kung, Albert Cha, Edgar Engleman, Chen Yu and Shan Fu, none of whom has individual voting or investment power with respect to these shares and each of whom disclaims beneficial ownership of such shares.</w:t>
      </w:r>
    </w:p>
    <w:p>
      <w:pPr>
        <w:spacing w:after="0" w:line="17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w:t>
      </w:r>
    </w:p>
    <w:p>
      <w:pPr>
        <w:spacing w:after="0" w:line="22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1,119,189</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1,119,189</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Vivo Capital VIII,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June 30,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Albert Cha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Managing Member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lowerLetter"/>
      <w:start w:val="2"/>
    </w:lvl>
  </w:abstractNum>
  <w:abstractNum w:abstractNumId="5">
    <w:nsid w:val="12200854"/>
    <w:multiLevelType w:val="hybridMultilevel"/>
    <w:lvl w:ilvl="0">
      <w:lvlJc w:val="left"/>
      <w:lvlText w:val="(%1)"/>
      <w:numFmt w:val="lowerLetter"/>
      <w:start w:val="3"/>
    </w:lvl>
  </w:abstractNum>
  <w:abstractNum w:abstractNumId="6">
    <w:nsid w:val="4DB127F8"/>
    <w:multiLevelType w:val="hybridMultilevel"/>
    <w:lvl w:ilvl="0">
      <w:lvlJc w:val="left"/>
      <w:lvlText w:val="(%1)"/>
      <w:numFmt w:val="lowerLetter"/>
      <w:start w:val="4"/>
    </w:lvl>
  </w:abstractNum>
  <w:abstractNum w:abstractNumId="7">
    <w:nsid w:val="216231B"/>
    <w:multiLevelType w:val="hybridMultilevel"/>
    <w:lvl w:ilvl="0">
      <w:lvlJc w:val="left"/>
      <w:lvlText w:val="(%1)"/>
      <w:numFmt w:val="lowerLetter"/>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2019-12-07T10:20:12Z</dcterms:created>
  <dcterms:modified xsi:type="dcterms:W3CDTF">2019-12-07T10:20:12Z</dcterms:modified>
</cp:coreProperties>
</file>