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7,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August 7, 2025, Cartesian Therapeutics, Inc. (the “Company”) announced its financial results for the quarter ended June 30, 2025.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August 7, 2025.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5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Cartesian Therapeutics Reports Second Quarter 2025 Financial Results and Provides Business Update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Initiated Phase 3 AURORA trial of Descartes-08 in myasthenia gravis</w:t>
      </w:r>
    </w:p>
    <w:p>
      <w:pPr>
        <w:jc w:val="center"/>
        <w:spacing w:after="0"/>
        <w:rPr>
          <w:sz w:val="20"/>
          <w:szCs w:val="20"/>
          <w:color w:val="auto"/>
        </w:rPr>
      </w:pPr>
      <w:r>
        <w:rPr>
          <w:rFonts w:ascii="Arial" w:cs="Arial" w:eastAsia="Arial" w:hAnsi="Arial"/>
          <w:sz w:val="20"/>
          <w:szCs w:val="20"/>
          <w:i w:val="1"/>
          <w:iCs w:val="1"/>
          <w:color w:val="auto"/>
        </w:rPr>
        <w:t>Preliminary data from Phase 2 trial of Descartes-08 in systemic lupus erythematosus expected in 2H25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Initiation of Phase 2 pediatric basket trial of Descartes-08 in select autoimmune indications expected in 2H25</w:t>
      </w:r>
    </w:p>
    <w:p>
      <w:pPr>
        <w:spacing w:after="0" w:line="229" w:lineRule="exact"/>
        <w:rPr>
          <w:sz w:val="20"/>
          <w:szCs w:val="20"/>
          <w:color w:val="auto"/>
        </w:rPr>
      </w:pPr>
    </w:p>
    <w:p>
      <w:pPr>
        <w:jc w:val="center"/>
        <w:spacing w:after="0" w:line="243" w:lineRule="auto"/>
        <w:rPr>
          <w:sz w:val="20"/>
          <w:szCs w:val="20"/>
          <w:color w:val="auto"/>
        </w:rPr>
      </w:pPr>
      <w:r>
        <w:rPr>
          <w:rFonts w:ascii="Arial" w:cs="Arial" w:eastAsia="Arial" w:hAnsi="Arial"/>
          <w:sz w:val="20"/>
          <w:szCs w:val="20"/>
          <w:i w:val="1"/>
          <w:iCs w:val="1"/>
          <w:color w:val="auto"/>
        </w:rPr>
        <w:t>Approximately $162.1 million cash, cash equivalents and restricted cash as of June 30, 2025, expected to support planned operations into mid-2027, including completion of ongoing Phase 3 AURORA trial</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Frederick, Md., August 7, 2025 (GLOBE NEWSWIRE) – Cartesian Therapeutics, Inc. (NASDAQ: RNAC) (the “Company” or “Cartesian”), a clinical-stage biotechnology company pioneering cell therapy for autoimmune diseases, today reported financial results for the second quarter ended June 30, 2025, and outlined recent corporate updates.</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“Following the recent initiation of our pivotal Phase 3 AURORA trial of Descartes-08 in myasthenia gravis (MG), we have entered the second half of the year with significant momentum as we continue to advance our mission to deliver transformative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cell therapies to patients with autoimmune diseases,” said Carsten Brunn, Ph.D., President and Chief Executive Officer of Cartesian. “Supported by deep and sustained responses observed through month 12 in the Phase 2b trial along with a clearly</w:t>
      </w:r>
    </w:p>
    <w:p>
      <w:pPr>
        <w:spacing w:after="0" w:line="226" w:lineRule="auto"/>
        <w:rPr>
          <w:sz w:val="20"/>
          <w:szCs w:val="20"/>
          <w:color w:val="auto"/>
        </w:rPr>
      </w:pPr>
      <w:r>
        <w:rPr>
          <w:rFonts w:ascii="Arial" w:cs="Arial" w:eastAsia="Arial" w:hAnsi="Arial"/>
          <w:sz w:val="20"/>
          <w:szCs w:val="20"/>
          <w:color w:val="auto"/>
        </w:rPr>
        <w:t>defined regulatory pathway, we believe that, if approved, Descartes-08 has the potential to serve as an impactful new MG</w:t>
      </w:r>
    </w:p>
    <w:p>
      <w:pPr>
        <w:jc w:val="both"/>
        <w:spacing w:after="0" w:line="218" w:lineRule="auto"/>
        <w:rPr>
          <w:sz w:val="20"/>
          <w:szCs w:val="20"/>
          <w:color w:val="auto"/>
        </w:rPr>
      </w:pPr>
      <w:r>
        <w:rPr>
          <w:rFonts w:ascii="Arial" w:cs="Arial" w:eastAsia="Arial" w:hAnsi="Arial"/>
          <w:sz w:val="20"/>
          <w:szCs w:val="20"/>
          <w:color w:val="auto"/>
        </w:rPr>
        <w:t>therapy with the ability to be safely dosed in the outpatient setting and without the need for preconditioning chemotherapy. Additionally, we continue to make progress advancing the balance of our programs and remain on track to share preliminary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data from our ongoing Phase 2 trial of Descartes-08 in patients with systemic lupus erythematosus (SLE) and to initiate a pediatric basket trial in select autoimmune indications by the end of this year.”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Pipeline Progress and Anticipated Milestones</w:t>
      </w:r>
    </w:p>
    <w:p>
      <w:pPr>
        <w:spacing w:after="0" w:line="256" w:lineRule="exact"/>
        <w:rPr>
          <w:sz w:val="20"/>
          <w:szCs w:val="20"/>
          <w:color w:val="auto"/>
        </w:rPr>
      </w:pPr>
    </w:p>
    <w:p>
      <w:pPr>
        <w:jc w:val="both"/>
        <w:ind w:left="340" w:hanging="332"/>
        <w:spacing w:after="0" w:line="225" w:lineRule="auto"/>
        <w:tabs>
          <w:tab w:leader="none" w:pos="30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Initiated Phase 3 AURORA Trial of Descartes-08 in Participants with MG. </w:t>
      </w:r>
      <w:r>
        <w:rPr>
          <w:rFonts w:ascii="Arial" w:cs="Arial" w:eastAsia="Arial" w:hAnsi="Arial"/>
          <w:sz w:val="20"/>
          <w:szCs w:val="20"/>
          <w:color w:val="auto"/>
        </w:rPr>
        <w:t>In May 2025, the Company</w:t>
      </w:r>
      <w:r>
        <w:rPr>
          <w:rFonts w:ascii="Arial" w:cs="Arial" w:eastAsia="Arial" w:hAnsi="Arial"/>
          <w:sz w:val="20"/>
          <w:szCs w:val="20"/>
          <w:b w:val="1"/>
          <w:bCs w:val="1"/>
          <w:color w:val="auto"/>
        </w:rPr>
        <w:t xml:space="preserve"> </w:t>
      </w:r>
      <w:hyperlink r:id="rId14">
        <w:r>
          <w:rPr>
            <w:rFonts w:ascii="Arial" w:cs="Arial" w:eastAsia="Arial" w:hAnsi="Arial"/>
            <w:sz w:val="20"/>
            <w:szCs w:val="20"/>
            <w:u w:val="single" w:color="auto"/>
            <w:color w:val="0000FF"/>
          </w:rPr>
          <w:t>announced</w:t>
        </w:r>
        <w:r>
          <w:rPr>
            <w:rFonts w:ascii="Arial" w:cs="Arial" w:eastAsia="Arial" w:hAnsi="Arial"/>
            <w:sz w:val="20"/>
            <w:szCs w:val="20"/>
            <w:b w:val="1"/>
            <w:bCs w:val="1"/>
            <w:u w:val="single" w:color="auto"/>
            <w:color w:val="auto"/>
          </w:rPr>
          <w:t xml:space="preserve"> </w:t>
        </w:r>
      </w:hyperlink>
      <w:r>
        <w:rPr>
          <w:rFonts w:ascii="Arial" w:cs="Arial" w:eastAsia="Arial" w:hAnsi="Arial"/>
          <w:sz w:val="20"/>
          <w:szCs w:val="20"/>
          <w:color w:val="auto"/>
        </w:rPr>
        <w:t>that</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 participant had been enrolled in the Phase 3 AURORA trial. The randomized, double-blind, placebo-controlled 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participants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64" w:lineRule="exact"/>
        <w:rPr>
          <w:sz w:val="20"/>
          <w:szCs w:val="20"/>
          <w:color w:val="auto"/>
        </w:rPr>
      </w:pPr>
    </w:p>
    <w:p>
      <w:pPr>
        <w:jc w:val="both"/>
        <w:ind w:left="340"/>
        <w:spacing w:after="0" w:line="234" w:lineRule="auto"/>
        <w:rPr>
          <w:rFonts w:ascii="Arial" w:cs="Arial" w:eastAsia="Arial" w:hAnsi="Arial"/>
          <w:sz w:val="20"/>
          <w:szCs w:val="20"/>
          <w:color w:val="auto"/>
        </w:rPr>
      </w:pPr>
      <w:r>
        <w:rPr>
          <w:rFonts w:ascii="Arial" w:cs="Arial" w:eastAsia="Arial" w:hAnsi="Arial"/>
          <w:sz w:val="20"/>
          <w:szCs w:val="20"/>
          <w:color w:val="auto"/>
        </w:rPr>
        <w:t xml:space="preserve">In April 2025, the Company </w:t>
      </w:r>
      <w:hyperlink r:id="rId15">
        <w:r>
          <w:rPr>
            <w:rFonts w:ascii="Arial" w:cs="Arial" w:eastAsia="Arial" w:hAnsi="Arial"/>
            <w:sz w:val="20"/>
            <w:szCs w:val="20"/>
            <w:u w:val="single" w:color="auto"/>
            <w:color w:val="0000FF"/>
          </w:rPr>
          <w:t>announced</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updated efficacy and safety data from the Phase 2b trial of Descartes-08 in participants with MG. After a single course of therapy, Descartes-08-treated participants were observed to sustain deep</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9"/>
          <w:szCs w:val="19"/>
          <w:color w:val="auto"/>
        </w:rPr>
        <w:t>responses through long-term follow-up, with an average 4.8-point reduction in the MG-ADL score at Month 12. The deepest and most compelling sustained responses were observed in Descartes-08-treated participants who did not have prior</w:t>
      </w:r>
    </w:p>
    <w:p>
      <w:pPr>
        <w:spacing w:after="0" w:line="2" w:lineRule="exact"/>
        <w:rPr>
          <w:sz w:val="20"/>
          <w:szCs w:val="20"/>
          <w:color w:val="auto"/>
        </w:rPr>
      </w:pPr>
    </w:p>
    <w:p>
      <w:pPr>
        <w:jc w:val="both"/>
        <w:ind w:left="340"/>
        <w:spacing w:after="0" w:line="234" w:lineRule="auto"/>
        <w:rPr>
          <w:sz w:val="20"/>
          <w:szCs w:val="20"/>
          <w:color w:val="auto"/>
        </w:rPr>
      </w:pPr>
      <w:r>
        <w:rPr>
          <w:rFonts w:ascii="Arial" w:cs="Arial" w:eastAsia="Arial" w:hAnsi="Arial"/>
          <w:sz w:val="20"/>
          <w:szCs w:val="20"/>
          <w:color w:val="auto"/>
        </w:rPr>
        <w:t>exposure to biologic therapies, with an average 7.1-point reduction in MG-ADL score and 57% of patients in this subgroup maintaining minimum symptom expression at Month 12. The safety profile of Descartes-08 was consistent with previously reported data and continues to support outpatient administration.</w:t>
      </w:r>
    </w:p>
    <w:p>
      <w:pPr>
        <w:spacing w:after="0" w:line="65" w:lineRule="exact"/>
        <w:rPr>
          <w:sz w:val="20"/>
          <w:szCs w:val="20"/>
          <w:color w:val="auto"/>
        </w:rPr>
      </w:pPr>
    </w:p>
    <w:p>
      <w:pPr>
        <w:jc w:val="both"/>
        <w:ind w:left="340"/>
        <w:spacing w:after="0" w:line="227" w:lineRule="auto"/>
        <w:rPr>
          <w:sz w:val="20"/>
          <w:szCs w:val="20"/>
          <w:color w:val="auto"/>
        </w:rPr>
      </w:pPr>
      <w:r>
        <w:rPr>
          <w:rFonts w:ascii="Arial" w:cs="Arial" w:eastAsia="Arial" w:hAnsi="Arial"/>
          <w:sz w:val="20"/>
          <w:szCs w:val="20"/>
          <w:color w:val="auto"/>
        </w:rPr>
        <w:t>An encore presentation of the data, which were originally shared at the 2025 American Academy of Neurology Annual Meeting, was featured during the 15th International Conference on Myasthenia Gravis and Related Disorders on May 15,</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2025 in The Hague, Netherlands.</w:t>
      </w:r>
    </w:p>
    <w:p>
      <w:pPr>
        <w:spacing w:after="0" w:line="209" w:lineRule="exact"/>
        <w:rPr>
          <w:sz w:val="20"/>
          <w:szCs w:val="20"/>
          <w:color w:val="auto"/>
        </w:rPr>
      </w:pPr>
    </w:p>
    <w:p>
      <w:pPr>
        <w:jc w:val="both"/>
        <w:ind w:left="340" w:hanging="332"/>
        <w:spacing w:after="0" w:line="229" w:lineRule="auto"/>
        <w:tabs>
          <w:tab w:leader="none" w:pos="301"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Preliminary Data from Ongoing Phase 2 Open-Label Trial of Descartes-08 in Patients with SLE Expected in the Second Half of 2025. </w:t>
      </w:r>
      <w:r>
        <w:rPr>
          <w:rFonts w:ascii="Arial" w:cs="Arial" w:eastAsia="Arial" w:hAnsi="Arial"/>
          <w:sz w:val="20"/>
          <w:szCs w:val="20"/>
          <w:color w:val="auto"/>
        </w:rPr>
        <w:t>The trial is designed to assess the safety, tolerability and clinical activity of outpatient Descartes-08</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administration without preconditioning chemotherapy in patients with SLE. SLE is an incurable autoimmune disease marked by systemic inflammation that affects multiple organ systems and impacts approximately 1.5 million people in the United States.</w:t>
      </w:r>
    </w:p>
    <w:p>
      <w:pPr>
        <w:sectPr>
          <w:pgSz w:w="11900" w:h="16838" w:orient="portrait"/>
          <w:cols w:equalWidth="0" w:num="1">
            <w:col w:w="11240"/>
          </w:cols>
          <w:pgMar w:left="320" w:top="117" w:right="339" w:bottom="1440" w:gutter="0" w:footer="0" w:header="0"/>
        </w:sectPr>
      </w:pPr>
    </w:p>
    <w:bookmarkStart w:id="4" w:name="page5"/>
    <w:bookmarkEnd w:id="4"/>
    <w:p>
      <w:pPr>
        <w:jc w:val="both"/>
        <w:ind w:left="340" w:hanging="332"/>
        <w:spacing w:after="0" w:line="234" w:lineRule="auto"/>
        <w:tabs>
          <w:tab w:leader="none" w:pos="30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 xml:space="preserve">Phase 2 Pediatric Basket Trial of Descartes-08 in Select Autoimmune Diseases Expected to Initiate in the Second Half of 2025. </w:t>
      </w:r>
      <w:r>
        <w:rPr>
          <w:rFonts w:ascii="Arial" w:cs="Arial" w:eastAsia="Arial" w:hAnsi="Arial"/>
          <w:sz w:val="20"/>
          <w:szCs w:val="20"/>
          <w:color w:val="auto"/>
        </w:rPr>
        <w:t>This pediatric basket trial will target juvenile SLE, juvenile MG, juvenile dermatomyositis (JDM) and anti-neutrophil cytoplasmic antibody associated vasculitis. The FDA previously granted Rare Pediatric Disease Designation to Descartes-08 for the treatment of JDM, which is a rare pediatric autoimmune disorder.</w:t>
      </w:r>
    </w:p>
    <w:p>
      <w:pPr>
        <w:spacing w:after="0" w:line="196" w:lineRule="exact"/>
        <w:rPr>
          <w:rFonts w:ascii="Arial" w:cs="Arial" w:eastAsia="Arial" w:hAnsi="Arial"/>
          <w:sz w:val="20"/>
          <w:szCs w:val="20"/>
          <w:color w:val="auto"/>
        </w:rPr>
      </w:pPr>
    </w:p>
    <w:p>
      <w:pPr>
        <w:jc w:val="both"/>
        <w:ind w:left="340" w:hanging="332"/>
        <w:spacing w:after="0" w:line="234" w:lineRule="auto"/>
        <w:tabs>
          <w:tab w:leader="none" w:pos="30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Dosing is On Track in First-in-Human Phase 1 Clinical Trial of Descartes-15. </w:t>
      </w:r>
      <w:r>
        <w:rPr>
          <w:rFonts w:ascii="Arial" w:cs="Arial" w:eastAsia="Arial" w:hAnsi="Arial"/>
          <w:sz w:val="20"/>
          <w:szCs w:val="20"/>
          <w:color w:val="auto"/>
        </w:rPr>
        <w:t>The Phase 1 dose escalation trial of</w:t>
      </w:r>
      <w:r>
        <w:rPr>
          <w:rFonts w:ascii="Arial" w:cs="Arial" w:eastAsia="Arial" w:hAnsi="Arial"/>
          <w:sz w:val="20"/>
          <w:szCs w:val="20"/>
          <w:b w:val="1"/>
          <w:bCs w:val="1"/>
          <w:color w:val="auto"/>
        </w:rPr>
        <w:t xml:space="preserve"> </w:t>
      </w:r>
      <w:r>
        <w:rPr>
          <w:rFonts w:ascii="Arial" w:cs="Arial" w:eastAsia="Arial" w:hAnsi="Arial"/>
          <w:sz w:val="20"/>
          <w:szCs w:val="20"/>
          <w:color w:val="auto"/>
        </w:rPr>
        <w:t>Cartesian’s next-generation, autologous anti-BCMA CAR-T cell therapy is designed to assess the safety and tolerability of outpatient Descartes-15 administration in patients with multiple myeloma. Following the Phase 1 dose escalation trial, the Company expects to subsequently assess Descartes-15 in autoimmune indications.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2025 Financial Results</w:t>
      </w:r>
    </w:p>
    <w:p>
      <w:pPr>
        <w:spacing w:after="0" w:line="218" w:lineRule="exact"/>
        <w:rPr>
          <w:sz w:val="20"/>
          <w:szCs w:val="20"/>
          <w:color w:val="auto"/>
        </w:rPr>
      </w:pPr>
    </w:p>
    <w:p>
      <w:pPr>
        <w:ind w:left="340" w:right="20" w:hanging="332"/>
        <w:spacing w:after="0" w:line="257"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restricted cash as of June 30, 2025 was $162.1 million and is expected to support planned operations, including completion of the ongoing Phase 3 AURORA trial for Descartes-08 in MG, into mid-2027.</w:t>
      </w:r>
    </w:p>
    <w:p>
      <w:pPr>
        <w:spacing w:after="0" w:line="182" w:lineRule="exact"/>
        <w:rPr>
          <w:rFonts w:ascii="Arial" w:cs="Arial" w:eastAsia="Arial" w:hAnsi="Arial"/>
          <w:sz w:val="20"/>
          <w:szCs w:val="20"/>
          <w:color w:val="auto"/>
        </w:rPr>
      </w:pPr>
    </w:p>
    <w:p>
      <w:pPr>
        <w:jc w:val="both"/>
        <w:ind w:left="340" w:hanging="332"/>
        <w:spacing w:after="0" w:line="241"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Research and development expenses were $14.9 million for the three months ended June 30, 2025, compared to $12.7 million for the three months ended June 30, 2024. The increase in expenses was primarily a result of increased expenses associated with the ongoing Phase 3 AURORA trial for Descartes-08 for MG.</w:t>
      </w:r>
    </w:p>
    <w:p>
      <w:pPr>
        <w:spacing w:after="0" w:line="184" w:lineRule="exact"/>
        <w:rPr>
          <w:rFonts w:ascii="Arial" w:cs="Arial" w:eastAsia="Arial" w:hAnsi="Arial"/>
          <w:sz w:val="20"/>
          <w:szCs w:val="20"/>
          <w:color w:val="auto"/>
        </w:rPr>
      </w:pPr>
    </w:p>
    <w:p>
      <w:pPr>
        <w:jc w:val="both"/>
        <w:ind w:left="340" w:hanging="332"/>
        <w:spacing w:after="0" w:line="241"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and administrative expenses were $7.2 million for the three months ended June 30, 2025, compared to $7.0 million for the three months ended June 30, 2024. The increase in expenses was primarily the result of increased facilities expenses.</w:t>
      </w:r>
    </w:p>
    <w:p>
      <w:pPr>
        <w:spacing w:after="0" w:line="198" w:lineRule="exact"/>
        <w:rPr>
          <w:rFonts w:ascii="Arial" w:cs="Arial" w:eastAsia="Arial" w:hAnsi="Arial"/>
          <w:sz w:val="20"/>
          <w:szCs w:val="20"/>
          <w:color w:val="auto"/>
        </w:rPr>
      </w:pPr>
    </w:p>
    <w:p>
      <w:pPr>
        <w:jc w:val="both"/>
        <w:ind w:left="340" w:hanging="332"/>
        <w:spacing w:after="0" w:line="236"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income was $15.9 million, or $0.51 net income per share allocable to common stockholders (basic), for the three months ended June 30, 2025, compared to net income of $13.8 million, or $0.58 net income per share allocable to common stockholders (basic), for the three months ended June 30, 2024.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Descartes-08</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Descartes-08, Cartesian’s lead cell therapy candidate, is an autologous chimeric antigen receptor T-cell therapy (CAR-T)</w:t>
      </w:r>
    </w:p>
    <w:p>
      <w:pPr>
        <w:spacing w:after="0" w:line="4" w:lineRule="exact"/>
        <w:rPr>
          <w:sz w:val="20"/>
          <w:szCs w:val="20"/>
          <w:color w:val="auto"/>
        </w:rPr>
      </w:pPr>
    </w:p>
    <w:p>
      <w:pPr>
        <w:jc w:val="both"/>
        <w:ind w:right="20"/>
        <w:spacing w:after="0" w:line="218" w:lineRule="auto"/>
        <w:rPr>
          <w:sz w:val="20"/>
          <w:szCs w:val="20"/>
          <w:color w:val="auto"/>
        </w:rPr>
      </w:pPr>
      <w:r>
        <w:rPr>
          <w:rFonts w:ascii="Arial" w:cs="Arial" w:eastAsia="Arial" w:hAnsi="Arial"/>
          <w:sz w:val="20"/>
          <w:szCs w:val="20"/>
          <w:color w:val="auto"/>
        </w:rPr>
        <w:t>product targeting B-cell maturation antigen (BCMA) in clinical development for generalized myasthenia gravis (MG) and systemic lupus erythematosus. In contrast to conventional DNA-based CAR T-cell therapies, Cartesian’s CAR-T administration</w:t>
      </w:r>
    </w:p>
    <w:p>
      <w:pPr>
        <w:spacing w:after="0" w:line="226" w:lineRule="auto"/>
        <w:rPr>
          <w:sz w:val="20"/>
          <w:szCs w:val="20"/>
          <w:color w:val="auto"/>
        </w:rPr>
      </w:pPr>
      <w:r>
        <w:rPr>
          <w:rFonts w:ascii="Arial" w:cs="Arial" w:eastAsia="Arial" w:hAnsi="Arial"/>
          <w:sz w:val="20"/>
          <w:szCs w:val="20"/>
          <w:color w:val="auto"/>
        </w:rPr>
        <w:t>is designed to not require preconditioning chemotherapy, can be administered in the outpatient setting, and does not carry the</w:t>
      </w:r>
    </w:p>
    <w:p>
      <w:pPr>
        <w:jc w:val="both"/>
        <w:spacing w:after="0" w:line="229" w:lineRule="auto"/>
        <w:rPr>
          <w:sz w:val="20"/>
          <w:szCs w:val="20"/>
          <w:color w:val="auto"/>
        </w:rPr>
      </w:pPr>
      <w:r>
        <w:rPr>
          <w:rFonts w:ascii="Arial" w:cs="Arial" w:eastAsia="Arial" w:hAnsi="Arial"/>
          <w:sz w:val="19"/>
          <w:szCs w:val="19"/>
          <w:color w:val="auto"/>
        </w:rPr>
        <w:t>risk of genomic integration associated with cancerous transformation. Descartes-08 has been granted Orphan Drug Designation and Regenerative Medicine Advanced Therapy Designation by the U.S. Food and Drug Administration for the treatment of MG,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Rare Pediatric Disease Designation for the treatment of juvenile dermatomyositis.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Descartes-15</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Descartes-15 is a next-generation, autologous anti-BCMA CAR-T cell therapy. In preclinical studies, Descartes-15 has been observed to achieve an approximately ten-fold increase in CAR expression and selective target-specific killing, relative to Descartes-08. Similar to Descartes-08, Descartes-15 is designed to be administered without preconditioning chemotherapy and does not use integrating vectors.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Cartesian Therapeutics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Cartesian Therapeutics is a clinical-stage company pioneering cell therapy for the treatment of autoimmune diseases. The</w:t>
      </w:r>
    </w:p>
    <w:p>
      <w:pPr>
        <w:spacing w:after="0" w:line="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Company’s lead asset, Descartes-08, is a CAR-T in Phase 3 clinical development for patients with generalized myasthenia gravis and Phase 2 development for systemic lupus erythematosus, with a Phase 2 basket trial planned in additional</w:t>
      </w:r>
    </w:p>
    <w:p>
      <w:pPr>
        <w:spacing w:after="0" w:line="226" w:lineRule="auto"/>
        <w:rPr>
          <w:sz w:val="20"/>
          <w:szCs w:val="20"/>
          <w:color w:val="auto"/>
        </w:rPr>
      </w:pPr>
      <w:r>
        <w:rPr>
          <w:rFonts w:ascii="Arial" w:cs="Arial" w:eastAsia="Arial" w:hAnsi="Arial"/>
          <w:sz w:val="20"/>
          <w:szCs w:val="20"/>
          <w:color w:val="auto"/>
        </w:rPr>
        <w:t>autoimmune indications. The Company’s clinical-stage pipeline also includes Descartes-15, a next-generation, autologous anti-</w:t>
      </w:r>
    </w:p>
    <w:p>
      <w:pPr>
        <w:jc w:val="both"/>
        <w:ind w:right="20"/>
        <w:spacing w:after="0" w:line="232" w:lineRule="auto"/>
        <w:rPr>
          <w:sz w:val="20"/>
          <w:szCs w:val="20"/>
          <w:color w:val="auto"/>
        </w:rPr>
      </w:pPr>
      <w:r>
        <w:rPr>
          <w:rFonts w:ascii="Arial" w:cs="Arial" w:eastAsia="Arial" w:hAnsi="Arial"/>
          <w:sz w:val="20"/>
          <w:szCs w:val="20"/>
          <w:color w:val="auto"/>
        </w:rPr>
        <w:t>BCMA CAR-T currently being evaluated in a Phase 1 trial in patients with multiple myeloma. For more information, please visit www.cartesiantherapeutics.com or follow the Company on LinkedIn or X, formerly known as Twitter.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ectPr>
          <w:pgSz w:w="11900" w:h="16838" w:orient="portrait"/>
          <w:cols w:equalWidth="0" w:num="1">
            <w:col w:w="11240"/>
          </w:cols>
          <w:pgMar w:left="320" w:top="1236" w:right="339" w:bottom="1440" w:gutter="0" w:footer="0" w:header="0"/>
        </w:sectPr>
      </w:pPr>
    </w:p>
    <w:bookmarkStart w:id="5" w:name="page6"/>
    <w:bookmarkEnd w:id="5"/>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19"/>
          <w:szCs w:val="19"/>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multiple myeloma, or any other disease, the anticipated timing or the outcome of ongoing and planned clinical trials, studies and data readouts, including the Phase 3 AURORA trial of Descartes-08 in myasthenia gravis, the planned Phase 2 pediatric basket trial of Descartes-08 in juvenile dermatomyositis, juvenile systemic lupus erythematosus, juvenile myasthenia gravis, and anti-neutrophil cytoplasmic antibody-associated vasculitis, and the ongoing Phase 2 trial of Descartes-08 in systemic lupus erythematosus,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220"/>
          </w:cols>
          <w:pgMar w:left="320" w:top="1440"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160,324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163,395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216,626</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388,893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7,761</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12,256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22,976</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387,739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391,420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441,825</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June 30, 2025 and December 31, 2024; 120,790.402</w:t>
            </w:r>
          </w:p>
        </w:tc>
        <w:tc>
          <w:tcPr>
            <w:tcW w:w="260" w:type="dxa"/>
            <w:vAlign w:val="bottom"/>
          </w:tcPr>
          <w:p>
            <w:pPr>
              <w:spacing w:after="0"/>
              <w:rPr>
                <w:sz w:val="12"/>
                <w:szCs w:val="12"/>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June 30, 2025 and December 31, 2024</w:t>
            </w: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B Preferred Stock, $0.0001 par value; 437,927 shares authorized as of June 30, 2025 and December 31, 2024; 437,927 shares</w:t>
            </w:r>
          </w:p>
        </w:tc>
        <w:tc>
          <w:tcPr>
            <w:tcW w:w="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as of June 30, 2025 and December 31, 2024</w:t>
            </w:r>
          </w:p>
        </w:tc>
        <w:tc>
          <w:tcPr>
            <w:tcW w:w="260" w:type="dxa"/>
            <w:vAlign w:val="bottom"/>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June 30, 2025 and December 31, 2024; no shares issued</w:t>
            </w:r>
          </w:p>
        </w:tc>
        <w:tc>
          <w:tcPr>
            <w:tcW w:w="260" w:type="dxa"/>
            <w:vAlign w:val="bottom"/>
          </w:tcPr>
          <w:p>
            <w:pPr>
              <w:spacing w:after="0"/>
              <w:rPr>
                <w:sz w:val="12"/>
                <w:szCs w:val="12"/>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outstanding as of June 30, 2025 and December 31, 2024</w:t>
            </w: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June 30, 2025 and December 31, 2024; 26,000,065 and</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25,767,369 shares issued and outstanding as of June 30, 2025 and December 31, 2024, respectively</w:t>
            </w:r>
          </w:p>
        </w:tc>
        <w:tc>
          <w:tcPr>
            <w:tcW w:w="26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695,942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388,893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25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22,109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38,876</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35,300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15,886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15,898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allocable to common stockholders: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25,980,262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16,723,479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26,447,251</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17,791,143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17" w:lineRule="auto"/>
        <w:rPr>
          <w:sz w:val="20"/>
          <w:szCs w:val="20"/>
          <w:color w:val="auto"/>
        </w:rPr>
      </w:pPr>
      <w:r>
        <w:rPr>
          <w:rFonts w:ascii="Arial" w:cs="Arial" w:eastAsia="Arial" w:hAnsi="Arial"/>
          <w:sz w:val="20"/>
          <w:szCs w:val="20"/>
          <w:color w:val="auto"/>
        </w:rPr>
        <w:t>Megan LeDuc</w:t>
      </w:r>
    </w:p>
    <w:p>
      <w:pPr>
        <w:spacing w:after="0" w:line="237" w:lineRule="auto"/>
        <w:rPr>
          <w:sz w:val="20"/>
          <w:szCs w:val="20"/>
          <w:color w:val="auto"/>
        </w:rPr>
      </w:pPr>
      <w:r>
        <w:rPr>
          <w:rFonts w:ascii="Arial" w:cs="Arial" w:eastAsia="Arial" w:hAnsi="Arial"/>
          <w:sz w:val="19"/>
          <w:szCs w:val="19"/>
          <w:color w:val="auto"/>
        </w:rPr>
        <w:t>Associate 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megan.leduc@cartesiantx.com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25" w:lineRule="auto"/>
        <w:rPr>
          <w:sz w:val="20"/>
          <w:szCs w:val="20"/>
          <w:color w:val="auto"/>
        </w:rPr>
      </w:pPr>
      <w:r>
        <w:rPr>
          <w:rFonts w:ascii="Arial" w:cs="Arial" w:eastAsia="Arial" w:hAnsi="Arial"/>
          <w:sz w:val="20"/>
          <w:szCs w:val="20"/>
          <w:color w:val="auto"/>
        </w:rPr>
        <w:t>David Rosen</w:t>
      </w:r>
    </w:p>
    <w:p>
      <w:pPr>
        <w:spacing w:after="0" w:line="225" w:lineRule="auto"/>
        <w:rPr>
          <w:sz w:val="20"/>
          <w:szCs w:val="20"/>
          <w:color w:val="auto"/>
        </w:rPr>
      </w:pPr>
      <w:r>
        <w:rPr>
          <w:rFonts w:ascii="Arial" w:cs="Arial" w:eastAsia="Arial" w:hAnsi="Arial"/>
          <w:sz w:val="20"/>
          <w:szCs w:val="20"/>
          <w:color w:val="auto"/>
        </w:rPr>
        <w:t>Argot Partners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david.rosen@argotpartners.com</w:t>
      </w:r>
    </w:p>
    <w:sectPr>
      <w:pgSz w:w="11900" w:h="16838" w:orient="portrait"/>
      <w:cols w:equalWidth="0" w:num="1">
        <w:col w:w="10139"/>
      </w:cols>
      <w:pgMar w:left="320" w:top="12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14" Type="http://schemas.openxmlformats.org/officeDocument/2006/relationships/hyperlink" Target="https://www.sec.gov/Archives/edgar/data/0001453687/000145368725000091/pressrelease53025.htm" TargetMode="External"/><Relationship Id="rId15" Type="http://schemas.openxmlformats.org/officeDocument/2006/relationships/hyperlink" Target="https://www.sec.gov/Archives/edgar/data/0001453687/000145368725000064/exhibit991pressreleased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2025-08-07T06:08:41Z</dcterms:created>
  <dcterms:modified xsi:type="dcterms:W3CDTF">2025-08-07T06:08:41Z</dcterms:modified>
</cp:coreProperties>
</file>