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274560" cy="4704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47040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Johnston Lloyd P.</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3"/>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tcBorders>
              <w:top w:val="single" w:sz="8" w:color="0000EE"/>
              <w:bottom w:val="single" w:sz="8" w:color="9A9A9A"/>
            </w:tcBorders>
          </w:tcPr>
          <w:p>
            <w:pPr>
              <w:spacing w:after="0"/>
              <w:rPr>
                <w:sz w:val="16"/>
                <w:szCs w:val="16"/>
                <w:color w:val="auto"/>
              </w:rPr>
            </w:pPr>
          </w:p>
        </w:tc>
        <w:tc>
          <w:tcPr>
            <w:tcW w:w="720" w:type="dxa"/>
            <w:vAlign w:val="bottom"/>
            <w:tcBorders>
              <w:top w:val="single" w:sz="8" w:color="0000EE"/>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8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01/07/2019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3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0"/>
          <w:szCs w:val="20"/>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911"/>
        <w:spacing w:after="0"/>
        <w:rPr>
          <w:sz w:val="20"/>
          <w:szCs w:val="20"/>
          <w:color w:val="auto"/>
        </w:rPr>
      </w:pPr>
      <w:r>
        <w:rPr>
          <w:rFonts w:ascii="Arial" w:cs="Arial" w:eastAsia="Arial" w:hAnsi="Arial"/>
          <w:sz w:val="17"/>
          <w:szCs w:val="17"/>
          <w:color w:val="0000FF"/>
        </w:rPr>
        <w:t>COO and SVP, R&amp;D</w:t>
      </w:r>
    </w:p>
    <w:p>
      <w:pPr>
        <w:spacing w:after="0" w:line="397" w:lineRule="exact"/>
        <w:rPr>
          <w:sz w:val="20"/>
          <w:szCs w:val="20"/>
          <w:color w:val="auto"/>
        </w:rPr>
      </w:pPr>
    </w:p>
    <w:p>
      <w:pPr>
        <w:sectPr>
          <w:pgSz w:w="11900" w:h="16838" w:orient="portrait"/>
          <w:cols w:equalWidth="0" w:num="2">
            <w:col w:w="7980" w:space="69"/>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4"/>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4"/>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02472</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gridSpan w:val="3"/>
            <w:vMerge w:val="restart"/>
          </w:tcPr>
          <w:p>
            <w:pPr>
              <w:ind w:left="160"/>
              <w:spacing w:after="0"/>
              <w:rPr>
                <w:sz w:val="20"/>
                <w:szCs w:val="20"/>
                <w:color w:val="auto"/>
              </w:rPr>
            </w:pPr>
            <w:r>
              <w:rPr>
                <w:rFonts w:ascii="Arial" w:cs="Arial" w:eastAsia="Arial" w:hAnsi="Arial"/>
                <w:sz w:val="13"/>
                <w:szCs w:val="13"/>
                <w:color w:val="auto"/>
              </w:rPr>
              <w:t>Person</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5"/>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6"/>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ind w:left="3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w:t>
            </w: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01/07/2019</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28" w:lineRule="exact"/>
              <w:rPr>
                <w:sz w:val="20"/>
                <w:szCs w:val="20"/>
                <w:color w:val="auto"/>
              </w:rPr>
            </w:pPr>
            <w:r>
              <w:rPr>
                <w:rFonts w:ascii="Arial" w:cs="Arial" w:eastAsia="Arial" w:hAnsi="Arial"/>
                <w:sz w:val="13"/>
                <w:szCs w:val="13"/>
                <w:color w:val="0000FF"/>
              </w:rPr>
              <w:t>100,000</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01/06/2029</w:t>
            </w: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ind w:left="2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220"/>
              <w:spacing w:after="0" w:line="128" w:lineRule="exact"/>
              <w:rPr>
                <w:sz w:val="20"/>
                <w:szCs w:val="20"/>
                <w:color w:val="auto"/>
              </w:rPr>
            </w:pPr>
            <w:r>
              <w:rPr>
                <w:rFonts w:ascii="Arial" w:cs="Arial" w:eastAsia="Arial" w:hAnsi="Arial"/>
                <w:sz w:val="13"/>
                <w:szCs w:val="13"/>
                <w:color w:val="0000FF"/>
              </w:rPr>
              <w:t>100,000</w:t>
            </w:r>
          </w:p>
        </w:tc>
        <w:tc>
          <w:tcPr>
            <w:tcW w:w="6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00" w:type="dxa"/>
            <w:vAlign w:val="bottom"/>
            <w:gridSpan w:val="4"/>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60" w:type="dxa"/>
            <w:vAlign w:val="bottom"/>
            <w:gridSpan w:val="16"/>
          </w:tcPr>
          <w:p>
            <w:pPr>
              <w:ind w:left="20"/>
              <w:spacing w:after="0"/>
              <w:rPr>
                <w:sz w:val="20"/>
                <w:szCs w:val="20"/>
                <w:color w:val="auto"/>
              </w:rPr>
            </w:pPr>
            <w:r>
              <w:rPr>
                <w:rFonts w:ascii="Arial" w:cs="Arial" w:eastAsia="Arial" w:hAnsi="Arial"/>
                <w:sz w:val="13"/>
                <w:szCs w:val="13"/>
                <w:color w:val="008000"/>
                <w:w w:val="99"/>
              </w:rPr>
              <w:t>1. This option will vest as to 25% on January 7, 2020. The remainder of the underlying shares will vest in 36 equal monthly installments thereafter.</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0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40" w:type="dxa"/>
            <w:vAlign w:val="bottom"/>
            <w:tcBorders>
              <w:bottom w:val="single" w:sz="8" w:color="auto"/>
            </w:tcBorders>
            <w:gridSpan w:val="7"/>
          </w:tcPr>
          <w:p>
            <w:pPr>
              <w:spacing w:after="0"/>
              <w:rPr>
                <w:sz w:val="20"/>
                <w:szCs w:val="20"/>
                <w:color w:val="auto"/>
              </w:rPr>
            </w:pPr>
            <w:r>
              <w:rPr>
                <w:rFonts w:ascii="Arial" w:cs="Arial" w:eastAsia="Arial" w:hAnsi="Arial"/>
                <w:sz w:val="17"/>
                <w:szCs w:val="17"/>
                <w:color w:val="0000FF"/>
                <w:w w:val="91"/>
              </w:rPr>
              <w:t>/s/ Rachel Goldstein, Attorney-</w:t>
            </w:r>
          </w:p>
        </w:tc>
        <w:tc>
          <w:tcPr>
            <w:tcW w:w="100" w:type="dxa"/>
            <w:vAlign w:val="bottom"/>
          </w:tcPr>
          <w:p>
            <w:pPr>
              <w:spacing w:after="0"/>
              <w:rPr>
                <w:sz w:val="24"/>
                <w:szCs w:val="24"/>
                <w:color w:val="auto"/>
              </w:rPr>
            </w:pPr>
          </w:p>
        </w:tc>
        <w:tc>
          <w:tcPr>
            <w:tcW w:w="9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8"/>
              </w:rPr>
              <w:t>01/08/2019</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0" w:type="dxa"/>
            <w:vAlign w:val="bottom"/>
            <w:gridSpan w:val="6"/>
            <w:vMerge w:val="restart"/>
          </w:tcPr>
          <w:p>
            <w:pPr>
              <w:spacing w:after="0" w:line="192" w:lineRule="exact"/>
              <w:rPr>
                <w:sz w:val="20"/>
                <w:szCs w:val="20"/>
                <w:color w:val="auto"/>
              </w:rPr>
            </w:pPr>
            <w:r>
              <w:rPr>
                <w:rFonts w:ascii="Arial" w:cs="Arial" w:eastAsia="Arial" w:hAnsi="Arial"/>
                <w:sz w:val="17"/>
                <w:szCs w:val="17"/>
                <w:color w:val="0000FF"/>
                <w:w w:val="91"/>
              </w:rPr>
              <w:t>in-Fact for Lloyd P. Johnston</w:t>
            </w:r>
          </w:p>
        </w:tc>
        <w:tc>
          <w:tcPr>
            <w:tcW w:w="240" w:type="dxa"/>
            <w:vAlign w:val="bottom"/>
            <w:gridSpan w:val="2"/>
            <w:vMerge w:val="restart"/>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0" w:type="dxa"/>
            <w:vAlign w:val="bottom"/>
            <w:tcBorders>
              <w:bottom w:val="single" w:sz="8" w:color="auto"/>
            </w:tcBorders>
            <w:gridSpan w:val="6"/>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4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600" w:type="dxa"/>
            <w:vAlign w:val="bottom"/>
            <w:gridSpan w:val="2"/>
          </w:tcPr>
          <w:p>
            <w:pPr>
              <w:ind w:left="4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11"/>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8"/>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-3144520</wp:posOffset>
            </wp:positionV>
            <wp:extent cx="24130" cy="2016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016125"/>
                    </a:xfrm>
                    <a:prstGeom prst="rect">
                      <a:avLst/>
                    </a:prstGeom>
                    <a:noFill/>
                  </pic:spPr>
                </pic:pic>
              </a:graphicData>
            </a:graphic>
          </wp:anchor>
        </w:drawing>
      </w:r>
    </w:p>
    <w:p>
      <w:pPr>
        <w:spacing w:after="0" w:line="7"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317" w:lineRule="exact"/>
        <w:rPr>
          <w:sz w:val="20"/>
          <w:szCs w:val="20"/>
          <w:color w:val="auto"/>
        </w:rPr>
      </w:pPr>
    </w:p>
    <w:p>
      <w:pPr>
        <w:jc w:val="both"/>
        <w:ind w:firstLine="635"/>
        <w:spacing w:after="0" w:line="329"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247" w:lineRule="exact"/>
        <w:rPr>
          <w:sz w:val="20"/>
          <w:szCs w:val="20"/>
          <w:color w:val="auto"/>
        </w:rPr>
      </w:pPr>
    </w:p>
    <w:p>
      <w:pPr>
        <w:ind w:left="720" w:right="160" w:hanging="370"/>
        <w:spacing w:after="0" w:line="276"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11" w:lineRule="exact"/>
        <w:rPr>
          <w:rFonts w:ascii="Arial" w:cs="Arial" w:eastAsia="Arial" w:hAnsi="Arial"/>
          <w:sz w:val="17"/>
          <w:szCs w:val="17"/>
          <w:color w:val="auto"/>
        </w:rPr>
      </w:pPr>
    </w:p>
    <w:p>
      <w:pPr>
        <w:ind w:left="720" w:right="240" w:hanging="370"/>
        <w:spacing w:after="0" w:line="27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9"/>
          <w:szCs w:val="19"/>
          <w:color w:val="auto"/>
        </w:rPr>
        <w:t>execute for and on behalf of the undersigned, Forms 3, 4, and 5 in accordance with Section 16 of the Securities Exchange Act of 1934, as amended, and the rules thereunder;</w:t>
      </w:r>
    </w:p>
    <w:p>
      <w:pPr>
        <w:spacing w:after="0" w:line="208" w:lineRule="exact"/>
        <w:rPr>
          <w:rFonts w:ascii="Arial" w:cs="Arial" w:eastAsia="Arial" w:hAnsi="Arial"/>
          <w:sz w:val="18"/>
          <w:szCs w:val="18"/>
          <w:color w:val="auto"/>
        </w:rPr>
      </w:pPr>
    </w:p>
    <w:p>
      <w:pPr>
        <w:ind w:left="720" w:right="220" w:hanging="370"/>
        <w:spacing w:after="0" w:line="262"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23" w:lineRule="exact"/>
        <w:rPr>
          <w:rFonts w:ascii="Arial" w:cs="Arial" w:eastAsia="Arial" w:hAnsi="Arial"/>
          <w:sz w:val="18"/>
          <w:szCs w:val="18"/>
          <w:color w:val="auto"/>
        </w:rPr>
      </w:pPr>
    </w:p>
    <w:p>
      <w:pPr>
        <w:ind w:left="720" w:right="200" w:hanging="370"/>
        <w:spacing w:after="0" w:line="25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9" w:lineRule="exact"/>
        <w:rPr>
          <w:sz w:val="20"/>
          <w:szCs w:val="20"/>
          <w:color w:val="auto"/>
        </w:rPr>
      </w:pPr>
    </w:p>
    <w:p>
      <w:pPr>
        <w:jc w:val="both"/>
        <w:ind w:firstLine="635"/>
        <w:spacing w:after="0" w:line="298"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38" w:lineRule="exact"/>
        <w:rPr>
          <w:sz w:val="20"/>
          <w:szCs w:val="20"/>
          <w:color w:val="auto"/>
        </w:rPr>
      </w:pPr>
    </w:p>
    <w:p>
      <w:pPr>
        <w:jc w:val="both"/>
        <w:ind w:firstLine="635"/>
        <w:spacing w:after="0" w:line="306" w:lineRule="auto"/>
        <w:rPr>
          <w:sz w:val="20"/>
          <w:szCs w:val="20"/>
          <w:color w:val="auto"/>
        </w:rPr>
      </w:pPr>
      <w:r>
        <w:rPr>
          <w:rFonts w:ascii="Arial" w:cs="Arial" w:eastAsia="Arial" w:hAnsi="Arial"/>
          <w:sz w:val="19"/>
          <w:szCs w:val="19"/>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ectPr>
          <w:pgSz w:w="11900" w:h="16838" w:orient="portrait"/>
          <w:cols w:equalWidth="0" w:num="1">
            <w:col w:w="11420"/>
          </w:cols>
          <w:pgMar w:left="240" w:top="844" w:right="239" w:bottom="1440" w:gutter="0" w:footer="0" w:header="0"/>
        </w:sectPr>
      </w:pPr>
    </w:p>
    <w:bookmarkStart w:id="2" w:name="page3"/>
    <w:bookmarkEnd w:id="2"/>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6</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June, 2016.</w:t>
      </w:r>
    </w:p>
    <w:p>
      <w:pPr>
        <w:spacing w:after="0" w:line="321" w:lineRule="exact"/>
        <w:rPr>
          <w:sz w:val="20"/>
          <w:szCs w:val="20"/>
          <w:color w:val="auto"/>
        </w:rPr>
      </w:pPr>
    </w:p>
    <w:tbl>
      <w:tblPr>
        <w:tblLayout w:type="fixed"/>
        <w:tblInd w:w="4440" w:type="dxa"/>
        <w:tblCellMar>
          <w:top w:w="0" w:type="dxa"/>
          <w:left w:w="0" w:type="dxa"/>
          <w:bottom w:w="0" w:type="dxa"/>
          <w:right w:w="0" w:type="dxa"/>
        </w:tblCellMar>
      </w:tblP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Signature:</w:t>
            </w:r>
          </w:p>
        </w:tc>
        <w:tc>
          <w:tcPr>
            <w:tcW w:w="4480" w:type="dxa"/>
            <w:vAlign w:val="bottom"/>
          </w:tcPr>
          <w:p>
            <w:pPr>
              <w:ind w:left="20"/>
              <w:spacing w:after="0"/>
              <w:rPr>
                <w:sz w:val="20"/>
                <w:szCs w:val="20"/>
                <w:color w:val="auto"/>
              </w:rPr>
            </w:pPr>
            <w:r>
              <w:rPr>
                <w:rFonts w:ascii="Arial" w:cs="Arial" w:eastAsia="Arial" w:hAnsi="Arial"/>
                <w:sz w:val="18"/>
                <w:szCs w:val="18"/>
                <w:color w:val="auto"/>
              </w:rPr>
              <w:t>/s/ Lloyd P. Johnston</w:t>
            </w:r>
          </w:p>
        </w:tc>
      </w:tr>
      <w:tr>
        <w:trPr>
          <w:trHeight w:val="27"/>
        </w:trPr>
        <w:tc>
          <w:tcPr>
            <w:tcW w:w="178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Print Name:</w:t>
            </w:r>
          </w:p>
        </w:tc>
        <w:tc>
          <w:tcPr>
            <w:tcW w:w="4480" w:type="dxa"/>
            <w:vAlign w:val="bottom"/>
          </w:tcPr>
          <w:p>
            <w:pPr>
              <w:ind w:left="20"/>
              <w:spacing w:after="0"/>
              <w:rPr>
                <w:sz w:val="20"/>
                <w:szCs w:val="20"/>
                <w:color w:val="auto"/>
              </w:rPr>
            </w:pPr>
            <w:r>
              <w:rPr>
                <w:rFonts w:ascii="Arial" w:cs="Arial" w:eastAsia="Arial" w:hAnsi="Arial"/>
                <w:sz w:val="18"/>
                <w:szCs w:val="18"/>
                <w:color w:val="auto"/>
              </w:rPr>
              <w:t>Lloyd P. Johnston</w:t>
            </w:r>
          </w:p>
        </w:tc>
      </w:tr>
      <w:tr>
        <w:trPr>
          <w:trHeight w:val="27"/>
        </w:trPr>
        <w:tc>
          <w:tcPr>
            <w:tcW w:w="178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bl>
    <w:p>
      <w:pPr>
        <w:sectPr>
          <w:pgSz w:w="11900" w:h="16838" w:orient="portrait"/>
          <w:cols w:equalWidth="0" w:num="1">
            <w:col w:w="10700"/>
          </w:cols>
          <w:pgMar w:left="880" w:top="826" w:right="319" w:bottom="1440" w:gutter="0" w:footer="0" w:header="0"/>
        </w:sectPr>
      </w:pPr>
    </w:p>
    <w:bookmarkStart w:id="3" w:name="page4"/>
    <w:bookmarkEnd w:id="3"/>
    <w:p>
      <w:pPr>
        <w:ind w:left="5240"/>
        <w:spacing w:after="0"/>
        <w:rPr>
          <w:sz w:val="20"/>
          <w:szCs w:val="20"/>
          <w:color w:val="auto"/>
        </w:rPr>
      </w:pPr>
      <w:r>
        <w:rPr>
          <w:rFonts w:ascii="Arial" w:cs="Arial" w:eastAsia="Arial" w:hAnsi="Arial"/>
          <w:sz w:val="19"/>
          <w:szCs w:val="19"/>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839"/>
        <w:spacing w:after="0"/>
        <w:rPr>
          <w:sz w:val="20"/>
          <w:szCs w:val="20"/>
          <w:color w:val="auto"/>
        </w:rPr>
      </w:pPr>
      <w:r>
        <w:rPr>
          <w:rFonts w:ascii="Arial" w:cs="Arial" w:eastAsia="Arial" w:hAnsi="Arial"/>
          <w:sz w:val="19"/>
          <w:szCs w:val="19"/>
          <w:color w:val="auto"/>
        </w:rPr>
        <w:t>Individuals Appointed as Attorney-in-Fact with Full Power of Substitution and Resubstitution: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Rachel Goldstein</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John Harold Leaman</w:t>
      </w:r>
    </w:p>
    <w:sectPr>
      <w:pgSz w:w="11900" w:h="16838" w:orient="portrait"/>
      <w:cols w:equalWidth="0" w:num="1">
        <w:col w:w="10219"/>
      </w:cols>
      <w:pgMar w:left="240" w:top="8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2019-12-24T07:35:20Z</dcterms:created>
  <dcterms:modified xsi:type="dcterms:W3CDTF">2019-12-24T07:35:20Z</dcterms:modified>
</cp:coreProperties>
</file>