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ind w:left="380" w:hanging="334"/>
        <w:spacing w:after="0" w:line="183" w:lineRule="auto"/>
        <w:tabs>
          <w:tab w:leader="none" w:pos="3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1"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Selecta Biosciences, Inc.</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tbl>
      <w:tblPr>
        <w:tblLayout w:type="fixed"/>
        <w:tblInd w:w="2000" w:type="dxa"/>
        <w:tblCellMar>
          <w:top w:w="0" w:type="dxa"/>
          <w:left w:w="0" w:type="dxa"/>
          <w:bottom w:w="0" w:type="dxa"/>
          <w:right w:w="0" w:type="dxa"/>
        </w:tblCellMar>
      </w:tblPr>
      <w:tr>
        <w:trPr>
          <w:trHeight w:val="238"/>
        </w:trPr>
        <w:tc>
          <w:tcPr>
            <w:tcW w:w="3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11"/>
        </w:trPr>
        <w:tc>
          <w:tcPr>
            <w:tcW w:w="36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6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420" w:type="dxa"/>
            <w:vAlign w:val="bottom"/>
          </w:tcPr>
          <w:p>
            <w:pPr>
              <w:spacing w:after="0"/>
              <w:rPr>
                <w:sz w:val="20"/>
                <w:szCs w:val="20"/>
                <w:color w:val="auto"/>
              </w:rPr>
            </w:pPr>
          </w:p>
        </w:tc>
      </w:tr>
      <w:tr>
        <w:trPr>
          <w:trHeight w:val="257"/>
        </w:trPr>
        <w:tc>
          <w:tcPr>
            <w:tcW w:w="36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w:t>
            </w:r>
          </w:p>
        </w:tc>
        <w:tc>
          <w:tcPr>
            <w:tcW w:w="34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57"/>
        </w:trPr>
        <w:tc>
          <w:tcPr>
            <w:tcW w:w="3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60" w:type="dxa"/>
            <w:vAlign w:val="bottom"/>
            <w:tcBorders>
              <w:right w:val="single" w:sz="8" w:color="auto"/>
            </w:tcBorders>
          </w:tcPr>
          <w:p>
            <w:pPr>
              <w:spacing w:after="0"/>
              <w:rPr>
                <w:sz w:val="21"/>
                <w:szCs w:val="21"/>
                <w:color w:val="auto"/>
              </w:rPr>
            </w:pP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SELB</w:t>
            </w:r>
          </w:p>
        </w:tc>
        <w:tc>
          <w:tcPr>
            <w:tcW w:w="4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8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1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400" w:type="dxa"/>
            <w:vAlign w:val="bottom"/>
            <w:gridSpan w:val="4"/>
          </w:tcPr>
          <w:p>
            <w:pPr>
              <w:ind w:left="280"/>
              <w:spacing w:after="0" w:line="18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94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w w:val="99"/>
              </w:rPr>
              <w:t>o</w:t>
            </w:r>
          </w:p>
        </w:tc>
        <w:tc>
          <w:tcPr>
            <w:tcW w:w="1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40" w:firstLine="324"/>
        <w:spacing w:after="0" w:line="2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ind w:right="180" w:firstLine="324"/>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80" w:type="dxa"/>
        <w:tblCellMar>
          <w:top w:w="0" w:type="dxa"/>
          <w:left w:w="0" w:type="dxa"/>
          <w:bottom w:w="0" w:type="dxa"/>
          <w:right w:w="0" w:type="dxa"/>
        </w:tblCellMar>
      </w:tblP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Large accelerated filer</w:t>
            </w:r>
          </w:p>
        </w:tc>
        <w:tc>
          <w:tcPr>
            <w:tcW w:w="1460" w:type="dxa"/>
            <w:vAlign w:val="bottom"/>
          </w:tcPr>
          <w:p>
            <w:pPr>
              <w:jc w:val="center"/>
              <w:ind w:right="1110"/>
              <w:spacing w:after="0" w:line="161" w:lineRule="exact"/>
              <w:rPr>
                <w:sz w:val="20"/>
                <w:szCs w:val="20"/>
                <w:color w:val="auto"/>
              </w:rPr>
            </w:pPr>
            <w:r>
              <w:rPr>
                <w:rFonts w:ascii="MS PGothic" w:cs="MS PGothic" w:eastAsia="MS PGothic" w:hAnsi="MS PGothic"/>
                <w:sz w:val="16"/>
                <w:szCs w:val="16"/>
                <w:color w:val="auto"/>
                <w:w w:val="87"/>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Accelerated filer</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1"/>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Non-accelerated filer</w:t>
            </w:r>
          </w:p>
        </w:tc>
        <w:tc>
          <w:tcPr>
            <w:tcW w:w="1460" w:type="dxa"/>
            <w:vAlign w:val="bottom"/>
          </w:tcPr>
          <w:p>
            <w:pPr>
              <w:jc w:val="center"/>
              <w:ind w:right="1110"/>
              <w:spacing w:after="0" w:line="201" w:lineRule="exact"/>
              <w:rPr>
                <w:sz w:val="20"/>
                <w:szCs w:val="20"/>
                <w:color w:val="auto"/>
              </w:rPr>
            </w:pPr>
            <w:r>
              <w:rPr>
                <w:rFonts w:ascii="MS PGothic" w:cs="MS PGothic" w:eastAsia="MS PGothic" w:hAnsi="MS PGothic"/>
                <w:sz w:val="20"/>
                <w:szCs w:val="20"/>
                <w:color w:val="auto"/>
                <w:w w:val="89"/>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r>
      <w:tr>
        <w:trPr>
          <w:trHeight w:val="254"/>
        </w:trPr>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 company</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4" w:lineRule="exact"/>
        <w:rPr>
          <w:sz w:val="24"/>
          <w:szCs w:val="24"/>
          <w:color w:val="auto"/>
        </w:rPr>
      </w:pPr>
    </w:p>
    <w:p>
      <w:pPr>
        <w:ind w:right="16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20" w:firstLine="324"/>
        <w:spacing w:after="0" w:line="234"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420" w:firstLine="324"/>
        <w:spacing w:after="0" w:line="229"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ind w:left="34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7" w:lineRule="exact"/>
        <w:rPr>
          <w:sz w:val="24"/>
          <w:szCs w:val="24"/>
          <w:color w:val="auto"/>
        </w:rPr>
      </w:pPr>
    </w:p>
    <w:p>
      <w:pPr>
        <w:jc w:val="center"/>
        <w:ind w:right="20"/>
        <w:spacing w:after="0" w:line="255" w:lineRule="auto"/>
        <w:rPr>
          <w:sz w:val="20"/>
          <w:szCs w:val="20"/>
          <w:color w:val="auto"/>
        </w:rPr>
      </w:pPr>
      <w:r>
        <w:rPr>
          <w:rFonts w:ascii="Times New Roman" w:cs="Times New Roman" w:eastAsia="Times New Roman" w:hAnsi="Times New Roman"/>
          <w:sz w:val="17"/>
          <w:szCs w:val="17"/>
          <w:color w:val="auto"/>
        </w:rPr>
        <w:t>The aggregate market value of common stock held by non-affiliates of the registrant based on the closing price of the registrant’s common stock as reported on the Nasdaq Stock Market on June 30, 2022, the last business day of the registrant’s most recently completed second quarter, was $149,708,988.</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24, 2023 the registrant had 153,318,915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2022 Annual Meeting of Stockholders to be filed with the Securities and Exchange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1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4"/>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2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6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200" w:type="dxa"/>
            <w:vAlign w:val="bottom"/>
            <w:gridSpan w:val="4"/>
          </w:tcPr>
          <w:p>
            <w:pPr>
              <w:jc w:val="right"/>
              <w:ind w:right="240"/>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540" w:type="dxa"/>
            <w:vAlign w:val="bottom"/>
          </w:tcPr>
          <w:p>
            <w:pPr>
              <w:spacing w:after="0"/>
              <w:rPr>
                <w:sz w:val="18"/>
                <w:szCs w:val="18"/>
                <w:color w:val="auto"/>
              </w:rPr>
            </w:pPr>
          </w:p>
        </w:tc>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540" w:type="dxa"/>
            <w:vAlign w:val="bottom"/>
          </w:tcPr>
          <w:p>
            <w:pPr>
              <w:spacing w:after="0"/>
              <w:rPr>
                <w:sz w:val="18"/>
                <w:szCs w:val="18"/>
                <w:color w:val="auto"/>
              </w:rPr>
            </w:pPr>
          </w:p>
        </w:tc>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1300" w:type="dxa"/>
            <w:vAlign w:val="bottom"/>
            <w:gridSpan w:val="8"/>
          </w:tcPr>
          <w:p>
            <w:pPr>
              <w:spacing w:after="0"/>
              <w:rPr>
                <w:sz w:val="18"/>
                <w:szCs w:val="18"/>
                <w:color w:val="auto"/>
              </w:rPr>
            </w:pPr>
          </w:p>
        </w:tc>
        <w:tc>
          <w:tcPr>
            <w:tcW w:w="6620" w:type="dxa"/>
            <w:vAlign w:val="bottom"/>
            <w:gridSpan w:val="20"/>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340" w:type="dxa"/>
            <w:vAlign w:val="bottom"/>
            <w:gridSpan w:val="24"/>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4"/>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00" w:type="dxa"/>
            <w:vAlign w:val="bottom"/>
          </w:tcPr>
          <w:p>
            <w:pPr>
              <w:spacing w:after="0"/>
              <w:rPr>
                <w:sz w:val="24"/>
                <w:szCs w:val="24"/>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bottom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25"/>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540" w:type="dxa"/>
            <w:vAlign w:val="bottom"/>
          </w:tcPr>
          <w:p>
            <w:pPr>
              <w:spacing w:after="0"/>
              <w:rPr>
                <w:sz w:val="18"/>
                <w:szCs w:val="18"/>
                <w:color w:val="auto"/>
              </w:rPr>
            </w:pPr>
          </w:p>
        </w:tc>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540" w:type="dxa"/>
            <w:vAlign w:val="bottom"/>
          </w:tcPr>
          <w:p>
            <w:pPr>
              <w:spacing w:after="0"/>
              <w:rPr>
                <w:sz w:val="18"/>
                <w:szCs w:val="18"/>
                <w:color w:val="auto"/>
              </w:rPr>
            </w:pPr>
          </w:p>
        </w:tc>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6"/>
          </w:tcPr>
          <w:p>
            <w:pPr>
              <w:spacing w:after="0"/>
              <w:rPr>
                <w:sz w:val="18"/>
                <w:szCs w:val="18"/>
                <w:color w:val="auto"/>
              </w:rPr>
            </w:pPr>
          </w:p>
        </w:tc>
        <w:tc>
          <w:tcPr>
            <w:tcW w:w="4300" w:type="dxa"/>
            <w:vAlign w:val="bottom"/>
            <w:gridSpan w:val="11"/>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40" w:type="dxa"/>
            <w:vAlign w:val="bottom"/>
            <w:gridSpan w:val="3"/>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54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80" w:type="dxa"/>
            <w:vAlign w:val="bottom"/>
            <w:gridSpan w:val="22"/>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54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18"/>
                <w:szCs w:val="18"/>
                <w:color w:val="auto"/>
              </w:rPr>
            </w:pPr>
          </w:p>
        </w:tc>
        <w:tc>
          <w:tcPr>
            <w:tcW w:w="6880" w:type="dxa"/>
            <w:vAlign w:val="bottom"/>
            <w:gridSpan w:val="22"/>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540" w:type="dxa"/>
            <w:vAlign w:val="bottom"/>
          </w:tcPr>
          <w:p>
            <w:pPr>
              <w:spacing w:after="0"/>
              <w:rPr>
                <w:sz w:val="18"/>
                <w:szCs w:val="18"/>
                <w:color w:val="auto"/>
              </w:rPr>
            </w:pPr>
          </w:p>
        </w:tc>
        <w:tc>
          <w:tcPr>
            <w:tcW w:w="4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60" w:type="dxa"/>
            <w:vAlign w:val="bottom"/>
            <w:gridSpan w:val="6"/>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40" w:type="dxa"/>
            <w:vAlign w:val="bottom"/>
            <w:tcBorders>
              <w:top w:val="single" w:sz="8" w:color="0000FF"/>
            </w:tcBorders>
          </w:tcPr>
          <w:p>
            <w:pPr>
              <w:spacing w:after="0"/>
              <w:rPr>
                <w:sz w:val="24"/>
                <w:szCs w:val="24"/>
                <w:color w:val="auto"/>
              </w:rPr>
            </w:pPr>
          </w:p>
        </w:tc>
        <w:tc>
          <w:tcPr>
            <w:tcW w:w="37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16"/>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9"/>
              </w:rPr>
              <w:t>Part IV</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4500" w:type="dxa"/>
            <w:vAlign w:val="bottom"/>
            <w:gridSpan w:val="16"/>
          </w:tcPr>
          <w:p>
            <w:pPr>
              <w:ind w:left="5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80" w:type="dxa"/>
            <w:vAlign w:val="bottom"/>
            <w:tcBorders>
              <w:top w:val="single" w:sz="8" w:color="0000FF"/>
            </w:tcBorders>
            <w:gridSpan w:val="7"/>
          </w:tcPr>
          <w:p>
            <w:pPr>
              <w:spacing w:after="0"/>
              <w:rPr>
                <w:sz w:val="24"/>
                <w:szCs w:val="24"/>
                <w:color w:val="auto"/>
              </w:rPr>
            </w:pPr>
          </w:p>
        </w:tc>
        <w:tc>
          <w:tcPr>
            <w:tcW w:w="4120" w:type="dxa"/>
            <w:vAlign w:val="bottom"/>
            <w:gridSpan w:val="8"/>
          </w:tcPr>
          <w:p>
            <w:pPr>
              <w:spacing w:after="0"/>
              <w:rPr>
                <w:sz w:val="24"/>
                <w:szCs w:val="24"/>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50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9200" w:type="dxa"/>
            <w:vAlign w:val="bottom"/>
            <w:gridSpan w:val="31"/>
          </w:tcPr>
          <w:p>
            <w:pPr>
              <w:ind w:left="540"/>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100" w:type="dxa"/>
            <w:vAlign w:val="bottom"/>
            <w:gridSpan w:val="23"/>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78</w:t>
            </w:r>
          </w:p>
        </w:tc>
        <w:tc>
          <w:tcPr>
            <w:tcW w:w="0" w:type="dxa"/>
            <w:vAlign w:val="bottom"/>
          </w:tcPr>
          <w:p>
            <w:pPr>
              <w:spacing w:after="0"/>
              <w:rPr>
                <w:sz w:val="1"/>
                <w:szCs w:val="1"/>
                <w:color w:val="auto"/>
              </w:rPr>
            </w:pPr>
          </w:p>
        </w:tc>
      </w:tr>
      <w:tr>
        <w:trPr>
          <w:trHeight w:val="892"/>
        </w:trPr>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need to raise additional funds;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such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leveraging our ImmTOR®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 focused on enzyme therapies, gene therapies, and autoimmune diseases.</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preclinical studies, we have observed that ImmTOR may have synergistic activity with interleukin-2, or IL-2, molecules that have been engineered to be selective for regulatory T cells, or Tregs. Treg-selective IL-2 molecules have been shown to transiently expand all pre-existing Tregs in preclinical and clinical studies conducted by others. We have observed in preclinical studies that the combination of ImmTOR, a Treg-selective IL-2 molecule and an antigen exhibited substantial synergistic activity in inducing and expanding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believe this combination has the potential to be a "first-in-class" antigen specific IL-2 therapy for autoimmune disease.</w:t>
      </w:r>
    </w:p>
    <w:p>
      <w:pPr>
        <w:spacing w:after="0" w:line="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ImmTOR and ImmTOR-IL have the potential to enable novel therapeutic modalities in autoimmune disease as well as enhance both the efficacy and safety of biologic therapies (including gene therapies) and improve product candidates under development. In clinical trials, ImmTOR has been observed to inhibit the formation of neutralizing antibodies to adeno-associated virus (AAV) capsids, potentially enabling re-dosing of gene therapies. Additionally, based on preclinical data in AAV gene therapies, we believe that ImmTOR has the potential to improve efficacy and safety by increasing transgene expression, reducing hepatic inflammation and inhibiting undesired immune responses to both the AAV capsid and the transgene product that can occur with the first dose of gene therapy.</w:t>
      </w:r>
    </w:p>
    <w:p>
      <w:pPr>
        <w:spacing w:after="0" w:line="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biologic therapies, clinical activity of ImmTOR in humans has been observed with pegadricase, a highly immunogenic pegylated uricase enzyme being developed for the treatment of patients with chronic refractory gout. The combination of ImmTOR and pegadricase is currently being evaluated in a Phase 3 clinical trial that we are conducting on behalf of our partner Swedish Orphan Biovitrum AB, or Sobi.</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intend to pursue development of therapies for autoimmune diseases where expansion of either all Tregs or antigen-specific Tregs has been shown to, or we believe is, likely to have a beneficial effect. We believe that ImmTOR and ImmTOR-IL have the potential to unlock antigen-specific therapies for autoimmune diseases and that ImmTOR-IL can further improve the efficacy and safety profile of biologic therapies beyond ImmTOR alone.</w:t>
      </w:r>
    </w:p>
    <w:p>
      <w:pPr>
        <w:spacing w:after="0" w:line="68"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 portfolio of wholly owned and partnered candidates across gene therapies, biologic therapies and tolerogenic therapies for autoimmune diseases that leverage our ImmTOR platform. We plan to continue to develop proprietary compounds and pursue collaboration-driven development in certain disease areas, which could include strategic collaborations, out-licensing, and in-licensing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ImmTOR Platform</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ImmTOR consists of biodegradable nanoparticles encapsulating the immunomodulator rapamycin. Rapamycin is the active ingredient of Rapamune, an immunosuppressant that has been used extensively in humans and is currently FDA-approved as a prophylaxis of organ rejection in kidney transplant patients aged 13 or older. The rapamycin component of ImmTOR is embedded in a matrix of synthetic polymers called poly(D,L-lactide), or PLA, and poly(D,L-lactide)-block-poly(ethylene-glycol), or PLA-PEG.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w:t>
      </w:r>
    </w:p>
    <w:p>
      <w:pPr>
        <w:spacing w:after="0" w:line="7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nanoparticles are designed to remain intact after injection into the body and accumulate predominantly in lymph nodes, the spleen, and the liver, where immune responses are coordinated. The nanoparticles are designed to be processed by specialized immune cells, such as dendritic cells and other antigen-presenting cells, that initiate and regulate immune responses. ImmTOR is intended to induce a tolerogenic phenotype in these antigen-presenting cells, which then process and present co-administered antigens in a manner that results in the induction of antigen-specific regulatory T cells. To mitigate unwanted immune responses by inducing precision immune tolerance in the body, we administer our ImmTOR with the desired antigen, such as an auto-antigen in the case of an autoimmune disease, a viral vector in the case of our gene therapy program, or a therapeutic enzyme, as depicted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360045</wp:posOffset>
            </wp:positionV>
            <wp:extent cx="3429000" cy="2168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case of a biologic drug, ImmTOR is designed to be administered in conjunction with such biologic drugs to mitigate the formation of ADAs without requiring the alteration of the drug or its dose regimen. As a result, we believe ImmTOR may provide us with significant opportunities to co-administer ImmTOR with a variety of biologic drugs, including therapeutic enzymes and gene therapies. We believe each pairing of ImmTOR with a biologic drug also offers us the opportunity to pursue distinct proprietary product candidates, which we believe have the potential to be separately patented, approved and marketed. ImmTOR is manufactured in facilities subject to current good manufacturing practice, or cGMP, requirements using well-defined commercial operations, which, we believe, further enhances the scalability of our tolerance programs.</w:t>
      </w:r>
    </w:p>
    <w:p>
      <w:pPr>
        <w:spacing w:after="0" w:line="7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preclinical studies, we observed that delivering an antigen together with ImmTOR provided the appropriate signals in vivo to induce regulatory T cells, which, in turn, inhibited effector immune responses, such as the formation of ADAs. In additional preclinical studies, we observed that ImmTOR labeled with a fluorescent dye selectively accumulated in the spleen and the liver following intravenous dosing, where it was processed by antigen-presenting cells, such as dendritic cells. The figure below depicts a model of how we believe ImmTOR would be taken up by a dendritic cell in the spleen. We believe that both the biologic drug and ImmTOR are taken up and processed by dendritic cells and other antigen presenting cells in a manner that may result in the activation of antigen-specific regulatory T cells, which can potentially block the activation of helper T cells, thus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62865</wp:posOffset>
            </wp:positionV>
            <wp:extent cx="3000375" cy="3206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037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ImmTOR-IL</w:t>
      </w:r>
    </w:p>
    <w:p>
      <w:pPr>
        <w:spacing w:after="0" w:line="121" w:lineRule="exact"/>
        <w:rPr>
          <w:sz w:val="20"/>
          <w:szCs w:val="20"/>
          <w:color w:val="auto"/>
        </w:rPr>
      </w:pPr>
    </w:p>
    <w:p>
      <w:pPr>
        <w:ind w:right="300" w:firstLine="324"/>
        <w:spacing w:after="0" w:line="277" w:lineRule="auto"/>
        <w:rPr>
          <w:sz w:val="20"/>
          <w:szCs w:val="20"/>
          <w:color w:val="auto"/>
        </w:rPr>
      </w:pPr>
      <w:r>
        <w:rPr>
          <w:rFonts w:ascii="Times New Roman" w:cs="Times New Roman" w:eastAsia="Times New Roman" w:hAnsi="Times New Roman"/>
          <w:sz w:val="17"/>
          <w:szCs w:val="17"/>
          <w:color w:val="auto"/>
        </w:rPr>
        <w:t>We look for ways to enhance our ImmTOR platform. Recent preclinical data generated by our scientific teams suggest that ImmTOR may have profound synergistic activity with engineered IL-2 molecules that are selective for Tregs. The IL-2 pathway influences critical aspects of both immune stimulation and immune regulation. Tregs express a high affinity form of the IL-2 receptor. Low doses of IL-2 have been shown by others to selectively activate Tregs resulting in expansion of pre-existing Tregs. Clinical trials of low dose IL-2 have generated evidence of efficacy in autoimmune diseases. Other investigators have shown that IL-2 can be engineered to selectively bind to the high affinity IL-2 receptor and expand pre-existing Tregs.</w:t>
      </w:r>
    </w:p>
    <w:p>
      <w:pPr>
        <w:spacing w:after="0" w:line="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our preclinical studies, we observed that ImmTOR combined with a Treg-selective IL-2 mutant protein, or IL-2 mutein, exhibited substantial synergistic activity in increasing the percentage and durability of total Treg expansion in the spleen. We believe that this combination has the potential to be a best-in-class therapy in diseases where expansion of total Treg may prove beneficial. The tables below show the synergistic expansion of total Treg we observed with treatment with ImmTOR and a Treg-selective IL-2 mutein. In the study, seven C57BL/6 mice per group were untreated, treated with ImmTOR alone, treated with IL-2 mutein alone or treated with a combination of ImmTOR and IL-2 mutein. Expansion of CD4+, CD25+ and FoxP3+ T regulatory cells in the spleen was assessed at four, seven and 14 days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62230</wp:posOffset>
            </wp:positionV>
            <wp:extent cx="4714875" cy="1200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48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power of ImmTOR is the ability to induce antigen-specific Treg to co-administered antigens. The ability to induce antigen-specific Treg may be beneficial in autoimmune diseases where the auto-antigens are well characterized. We believe the combination of a Treg-selective IL-2 with ImmTOR and an antigen has the potential to induce and/or expand antigen specific Treg. The image below illustrates the possibility that the combination of a Treg-selective IL-2 with ImmTOR plus an antigen could give rise to the induction and/or expansion of an antigen-specific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57150</wp:posOffset>
            </wp:positionV>
            <wp:extent cx="4714875" cy="171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48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 preclinical study, we evaluated the potential of a Treg-selective IL-2 to further expand antigen-specific Treg when combined with ImmTOR and an antigen. In this preclinical study, transgenic T cells expressing a T cell receptor specific for the antigen ovalbumin were adoptively transferred into wildtype mice. The next day, the mice were treated, left untreated or treated with ovalbumin or various combinations of ovalbumin with ImmTOR and/or IL-2 mutein. When total Treg were evaluated, we observed no increase an expansion of total Treg by IL-2 mutein + ovalbumin with a further increase in animals treated with ovalbumin + IL-2 mutein + ImmTOR. As we had expected, ImmTOR + ovalbumin alone did not increase total Treg. However, when ovalbumin-specific Treg were evaluated, we observed a significant increase in antigen-specific Treg in animals treated with the combination of ovalbumin</w:t>
      </w:r>
    </w:p>
    <w:p>
      <w:pPr>
        <w:spacing w:after="0" w:line="5" w:lineRule="exact"/>
        <w:rPr>
          <w:sz w:val="20"/>
          <w:szCs w:val="20"/>
          <w:color w:val="auto"/>
        </w:rPr>
      </w:pPr>
    </w:p>
    <w:p>
      <w:pPr>
        <w:ind w:right="300" w:firstLine="8"/>
        <w:spacing w:after="0" w:line="255" w:lineRule="auto"/>
        <w:tabs>
          <w:tab w:leader="none" w:pos="1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ImmTOR + IL-2 mutein. Animals treated with only ImmTOR + ovalbumin also were observed to have an increase in ovalbumin-specific Tregs but at levels that were approximately three-fold lower than those in the former group. The following graphs show expansion of antigen-specific Treg in mice treated with ImmTOR plus IL-2 mutein plus ovalbumin antigen.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291465</wp:posOffset>
            </wp:positionV>
            <wp:extent cx="4286250" cy="265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Immune homeostasis is a dynamic process balancing immune stimulatory and immune tolerizing signals. This balance is thought to be mediated in part by the ratio of antigen-specific Treg to antigen-specific effector T cells. The expansion of antigen-specific Tregs has the potential to better withstand potent immune stimulatory signals and provide better durability of immune tolerance. In a preclinical study, we evaluated the ability of ImmTOR and IL-2 mutein to mitigate the immunogenicity to a co-administered AAV vector. Mice were injected with a dose of 2.7E12 vg/kg AAV8 on Day 0 and 5.0E12 vg/kg on Day 56 with or without IL-2 mutein and/or ImmTOR on the same days. Mice treated with AAV alone showed a robust antibody response to the AAV capsid, as we had expected. Co-treatment with IL-2 mutein on Days 0 and 56 showed a modest attenuation of the antibody response. Co-treatment with ImmTOR on Days 0 and 56 showed a dose-responsive effect on the antibody response, with a therapeutic dose of 200 µg ImmTOR providing inhibition of antibodies against AAV through at least Day 75, or 19 days after the second dose. At Day 91, some animals showed breakthrough of the antibody response. ImmTOR doses of 50 and 100 µg alone were sub-optimal. However, when ImmTOR was combined with IL-2 mutein, we observed inhibition of antibody formation through Day 117, 61 days after the second dose and the last time point measured. Importantly full inhibition of anti-AAV immunoglobulin G, or IgG, antibodies was observed even when IL-2 mutein was combined with 50 and 100 µg doses of ImmTOR. We believe these results suggest that the addition of a Treg-selective IL-2 to ImmTOR has the potential to increase the durability of tolerance allow for dose-sparing of ImmTOR and thus, potentially enabling chronic dosing of ImmTOR-IL in the treatment of autoimmune disease. The following graphs illustrate that the combination of ImmTOR and IL-2 mutein mitigated the formation of anti-AAV antibodies in response to a high vector dose of 5E13 vg/kg. These results suggest that ImmTOR-IL has the potential to enable repeat dosing of AAV vectors at 5E13 vg/kg which could be used as a strategy to avoid the toxicities that have been observed at doses of 1E14 vg/kg or higher in some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69850</wp:posOffset>
            </wp:positionV>
            <wp:extent cx="5203190" cy="1971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31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ImmTOR platform has a broad range of potential applications. Our product development strategy is built on the following three distinct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85725</wp:posOffset>
            </wp:positionV>
            <wp:extent cx="4714875" cy="1722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487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Biologic therapies</w:t>
      </w:r>
      <w:r>
        <w:rPr>
          <w:rFonts w:ascii="Times New Roman" w:cs="Times New Roman" w:eastAsia="Times New Roman" w:hAnsi="Times New Roman"/>
          <w:sz w:val="18"/>
          <w:szCs w:val="18"/>
          <w:color w:val="auto"/>
        </w:rPr>
        <w:t>. Biologic therapies are a class of biologic drugs frequently used to treat rare diseases. Through our analysis of biologic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drugs, 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is currently in Phase 3 clinical development,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We selected a next generation IgA protease candidate from a commensal bacteria with a lower level of baseline ADAs from IGAN Biosciences for the treatment of IgA nephropathy. By combining ImmTOR with this next generation IgA protease candidate, we believe our novel approach has the potential to mitigate the formation of new ADAs and address the underlying pathophysiology of the disease.</w:t>
      </w:r>
    </w:p>
    <w:p>
      <w:pPr>
        <w:spacing w:after="0" w:line="81"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Additionally, we believe advances in protein engineering may lead to innovative therapeutic enzymes with improved pharmaceutical properties or entirely novel specificity and/or activity, but which may be recognized as foreign by the immune system. We are partnering with Ginkgo Bioworks, or Ginkgo, to design novel enzymes and proteins with transformative therapeutic potential which can be paired with ImmTOR to advance treatments for orphan and rare diseases. We intend to seek, if appropriate, licenses to other enzymes to evaluate in combination with ImmTOR.</w:t>
      </w:r>
    </w:p>
    <w:p>
      <w:pPr>
        <w:spacing w:after="0" w:line="71" w:lineRule="exact"/>
        <w:rPr>
          <w:sz w:val="20"/>
          <w:szCs w:val="20"/>
          <w:color w:val="auto"/>
        </w:rPr>
      </w:pPr>
    </w:p>
    <w:p>
      <w:pPr>
        <w:ind w:left="6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Gene therapies</w:t>
      </w:r>
      <w:r>
        <w:rPr>
          <w:rFonts w:ascii="Times New Roman" w:cs="Times New Roman" w:eastAsia="Times New Roman" w:hAnsi="Times New Roman"/>
          <w:sz w:val="18"/>
          <w:szCs w:val="18"/>
          <w:color w:val="auto"/>
        </w:rPr>
        <w:t>. We believe gene therapies have the potential to address key unmet medical needs for many rare genetic diseases,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undesired 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potentially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spacing w:after="0" w:line="86"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We have observed that ImmTOR, when used in combination with AAV gene therapy vectors, inhibited the immune response to the viral vector and enabled successful re-dosing in both mice and non-human primates.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expression over time as they grow. In a study conducted in non-human primates, or NHP, we observed that co-administration of AAV vector and ImmTOR resulted in higher and more durable transgene expression after the first dose of gene therapy as well as robust inhibition of anti-AAV8 immunoglobulin G, or IgG and neutralizing antibodies. We believe the observation that co-administration of AAV vector and ImmTOR can lead to higher transgene expression illustrates the potential for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dosing lower levels of AAV gene therapies when combined with ImmTOR. Integrating ImmTOR into a gene therapy protocol has the potential to provide a first dose benefit by enhancing liver-directed transgene expression and durability, as well as the potential to enable re-dosing to restore or augment transgene expression.</w:t>
      </w:r>
    </w:p>
    <w:p>
      <w:pPr>
        <w:spacing w:after="0" w:line="6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We have observed in preclinical studies that ImmTOR may also have hepatoprotective effects in mouse models of inflammation. As hepatotoxicity is associated with higher vector doses, one potential strategy that we are pursuing is to use ImmTOR to enable multiple lower doses of AAV vectors to mitigate toxicity risks associated with high vector doses. We are concurrently working with our partner Ginkgo to develop a proprietary AAV capsid with improved transduction for liver-directed gene therapy. The below illustration depicts the potential benefits of ImmTOR in systemic AAV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59690</wp:posOffset>
            </wp:positionV>
            <wp:extent cx="4714875" cy="2057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We conducted a human proof-of-concept trial (SEL-399) in healthy volunteers who were treated with an empty AAV8 capsid (EMC-101), which is an AAV capsid containing no transgene, alone or in combination with ImmTOR. This clinical trial was conducted in Belgium in partnership with Asklepios BioPharmaceutical, Inc., or AskBio (a Bayer AG subsidiary). The goal of the SEL-399 clinical trial was to evaluate the appropriate dose of ImmTOR in humans to mitigate the formation of antibodies to AAV capsids used in gene therapies. Top-line results indicated that AAV8 empty capsids elicited peak median anti-AA8 neutralizing antibody, or NAb, titers of 1:6875. Median day 30 NAb titers were reduced to titers of 1:25 and 1:5 in the 0.15 mg/kg and 0.3 mg/kg ImmTOR cohorts, respectively, representing a 50-fold and 250-fold difference, respectively, compared to the median of control subjects dosed with AAV8 empty capsid alone, as depicted in the figure below. Further, we observed that at Day 30, six of six, or 100%, of subjects that received 0.3 mg/kg exhibited NAb titers of 1:25 or less, and four of six, or 67%, of those subjects at this dose exhibited NAb titers of 1:5 or less. We observed at Day 30 that six of nine, or 67%, of subjects that received 0.15 mg/kg of ImmTOR exhibited NAb titers of 1:25 or less, and two of nine, or 22%, of subjects at this dose had a titer of 1:5 or less. At Day 90, two of six subjects in the 0.3 mg/kg cohort were observed to have sustained control of neutralizing antibodies with titers of 1:25 or less. Consistent with preclinical data, we observed that the single dose ImmTOR cohorts showed delayed formation of neutralizing antibodies which eventually reached similar median levels of neutralizing antibodies to the control group by Day 90. Similar data were observed in NHP receiving a single dose of ImmTOR with an AAV gene therapy vector in a preclinical study. Importantly, we observed that two additional doses of ImmTOR, or a total of three monthly doses, provided durable inhibition of neutralizing antibodies in NHP. Although we could not evaluate three-monthly doses of ImmTOR in healthy volunteers, we intend to employ a three-monthly dose regimen in clinical trials performed in patients. ImmTOR showed safety results consistent with prior human studies and was generally well tolerated. No serious adverse events were reported. The most common treatment-related adverse events included mild-to-moderate stomatitis and rash. We believe this promising trial in healthy volunteers provides support for the potential use of ImmTOR for the inhibition of neutralizing antibodies to AAV8 in gene therapy clinical trials. The following graphs depict the effect of ImmTOR on the formation of neutralizing antibodies to AAV8 capsid in humans and NHP.</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5940425" cy="4800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0425"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Finally, pre-existing neutralizing antibodies, which develop as a result of prior infection with wildtype AAV, are a major exclusion factor in clinical trials causing many potential patients to be ineligible for gene therapy. We have licensed a bacterial IgG protease, or Xork, from Genovis AB (publ.), or Genovis. IgG proteases have been shown by others to transiently cleave IgG and enable dosing of AAV vectors in the presence of pre-existing antibodies in NHP. However, IgG proteases, being of bacterial origin, are themselves immunogenic. The most commonly studied IgG protease, called IdeS or imlifidase, is derived from Streptococcus pyogenes, a common human pathogen. Most healthy individuals have been exposed to S. pyogenes and have pre-existing antibodies against IdeS. We believe that Xork is a differentiated product candidate, as it is derived from a Streptoccocal species that does not infect humans and so the enzyme shows very low cross reactivity to naturally existing antibodies in most human serum. We plan to develop Xork with the intention of enabling access to AAV gene therapy for those patients who are currently excluded due to pre-existing anti-AAV antibodies. In January 2023, we announced an exclusive licensing and development agreement for Xork to be developed for use with AT845, Astellas Gene Therapies' investigational AAV-based treatment for Late-Onset Pompe disease in adults. We are responsible for the early development activities and manufacturing of Xork and will maintain the rights for the development of additional indications beyond Pompe disease.</w:t>
      </w:r>
    </w:p>
    <w:p>
      <w:pPr>
        <w:spacing w:after="0" w:line="8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Through our analysis of genetic diseases, we have identified applications and patient segments that we believe would benefit from our ImmTOR platform. Our initial area of focus is on genetic metabolic diseases but may also include lysosomal storage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proprietary products. We also have licensed our ImmTOR platform to AskBio, Sarepta Therapeutics, Inc., or Sarepta, and Takeda Pharmaceuticals USA, Inc., or Takeda, for certain pre-specified targets.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660"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Autoimmune diseases are caused by a breakdown in natural tolerance to our own self-antigens. With 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spacing w:after="0" w:line="7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Recent preclinical data generated by our scientific team suggest that ImmTOR may have profound synergistic activity with engineered IL-2 molecules that are selective for Tregs. The IL-2 pathway influences critical aspects of both immune stimulation and immune regulation. Tregs express a high affinity form of the IL-2 receptor. Low doses of IL-2 have been shown by others to selectively activate Tregs resulting in expansion of pre-existing Tregs.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preclinical studies, we observed that ImmTOR combined with a Treg-selective IL-2 molecule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molecule approaches which do not show an antigen specific T-cell expansion. Thus, we believe that not only is ImmTOR-IL a potentially "best-in-class" IL-2 where generalized T cell expansion can be beneficial, but also a “first-in-class” antigen specific IL-2 therapy. Furthermore, in our preclinical studies, when we combined ImmTOR-IL with an antigen, we measured an approximately three-fold increase in antigen-specific T regulatory cells versus ImmTOR alone.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our ongoing discovery,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308610</wp:posOffset>
            </wp:positionV>
            <wp:extent cx="5657850" cy="265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360045</wp:posOffset>
            </wp:positionV>
            <wp:extent cx="5657850" cy="2366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Chronic Refractory Gout</w:t>
      </w:r>
    </w:p>
    <w:p>
      <w:pPr>
        <w:spacing w:after="0" w:line="108"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SEL-212 consists of ImmTOR co-administered with pegadricase. Our pegadricase consists of a yeast-derived uricase modified with polyethylene glycol moieties. Uricase is an enzyme endogenous to all mammals, except for humans and certain primates, which converts serum urate to the more soluble metabolite, allantoin. There is a natural limit to the amount of serum urate that can be excreted by the kidneys, which decreases with age and can be reduced by some medications. By converting serum urate to allantoin, uricase provides an additional way for the body to reduce serum urate.</w:t>
      </w:r>
    </w:p>
    <w:p>
      <w:pPr>
        <w:spacing w:after="0" w:line="8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Pegadricase is designed for the treatment of patients with chronic gout, refractory to standard serum urate lowering treatment, by breaking down the excess serum urate, or SU, to the more soluble allantoin. However, the immune response to pegadricase limits administration to a single dose which is effective for less than one month. The addition of ImmTOR to pegadricase (SEL-212) allows multiple monthly doses to be administered, thus reducing serum urate for a prolonged time.</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preclinical studies and in our Phase 1b and Phase 2 clinical trials, we observed that ImmTOR, when co-administered with pegadricase, SEL-212 substantially reduced the formation of associated ADAs. We believe that SEL-212 serves as proof of concept for the ImmTOR platform in ameliorating the unwanted immune response to an immunogenic biologic. SEL-212 is in two pivotal Phase 3 studies versus placebo, which we refer to as DISSOLVE I and DISSOLVE II, with top-line data expected first quarter of 2023. SEL-212 has been licensed (except as to Greater China) to Sobi, pursuant to our license and development agreement dated June 11, 2020, with Sobi, or the Sobi License.</w:t>
      </w:r>
    </w:p>
    <w:p>
      <w:pPr>
        <w:spacing w:after="0" w:line="62"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Enrollment into the DISSOLVE II trial is complete and the study is being conducted in the United States and four countries across eastern Europe. As a result of the ongoing and rapidly evolving geopolitical situation in Ukraine and Russia, we have proactively undertaken mitigation steps to prioritize the safety of our patients and investigators, as well as address any potential disruptions. We have reserved existing clinical trial supplies in these countries for those already enrolled in the DISSOLVE II trial. In agreement with our study partner, Sobi, we increased enrollment in DISSOLVE II to 153 subjects for potential loss of subjects enrolled in Russia and Ukraine due to operational or other issues arising from instability in the region. As of the filing of this Annual Report, we expect to report DISSOLVE I and DISSOLVE II topline results in the first quarter of 2023.</w:t>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gout therapy</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Gout is a painful and potentially disabling form of arthritis associated with elevation of SU levels caused by an overproduction of serum urate and/or an inability of the kidneys to excrete adequate amounts of serum urate from the body. High concentrations of SU lead to formation of serum urate crystals in joints and tissues, causing pain, inflammation and joint damage, and increase the risk for other conditions, including cardiovascular, cardiometabolic, joint and kidney disease.</w:t>
      </w:r>
    </w:p>
    <w:p>
      <w:pPr>
        <w:spacing w:after="0" w:line="7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Patients who are unable to reduce their SU levels below 6.0 mg/dL with oral drugs are defined as having refractory gout. Chronic refractory gout constitutes a subset of gout patients exhibiting chronic high SU levels and painful and damaging serum urate deposits. We estimate that there are approximately 160,000 chronic refractory gout patients in the U.S.</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believe SEL-212 may potentially address several key unmet needs in the treatment of chronic refractory gout: the durable control of SU levels, the elimination of painful and damaging serum urate deposits, reduction in incidence and severity of flares, based on our preclinical studies, clinical trials, and market research. SEL-212 is designed to address these unmet medical needs while improving the dosing regimen to a once-monthly treatment.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SEL-212 Clinical Development</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conducted Phase 1a, Phase 1b, and Phase 2 clinical trials for SEL-212 at multiple sites in the United States. These trials were designed to demonstrate the induction of an immune response to pegadricase and the ability of ImmTOR to mitigate that immune response to both single and multiple doses. The table below summarizes the trial designs and objectives of these clinical trials.</w:t>
      </w:r>
    </w:p>
    <w:p>
      <w:pPr>
        <w:spacing w:after="0" w:line="93" w:lineRule="exact"/>
        <w:rPr>
          <w:sz w:val="20"/>
          <w:szCs w:val="20"/>
          <w:color w:val="auto"/>
        </w:rPr>
      </w:pPr>
    </w:p>
    <w:tbl>
      <w:tblPr>
        <w:tblLayout w:type="fixed"/>
        <w:tblInd w:w="1790" w:type="dxa"/>
        <w:tblCellMar>
          <w:top w:w="0" w:type="dxa"/>
          <w:left w:w="0" w:type="dxa"/>
          <w:bottom w:w="0" w:type="dxa"/>
          <w:right w:w="0" w:type="dxa"/>
        </w:tblCellMar>
      </w:tblPr>
      <w:tr>
        <w:trPr>
          <w:trHeight w:val="220"/>
        </w:trPr>
        <w:tc>
          <w:tcPr>
            <w:tcW w:w="1020" w:type="dxa"/>
            <w:vAlign w:val="bottom"/>
            <w:tcBorders>
              <w:top w:val="single" w:sz="8" w:color="auto"/>
              <w:left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8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Design</w:t>
            </w:r>
          </w:p>
        </w:tc>
        <w:tc>
          <w:tcPr>
            <w:tcW w:w="320" w:type="dxa"/>
            <w:vAlign w:val="bottom"/>
            <w:tcBorders>
              <w:top w:val="single" w:sz="8" w:color="auto"/>
            </w:tcBorders>
          </w:tcPr>
          <w:p>
            <w:pPr>
              <w:spacing w:after="0"/>
              <w:rPr>
                <w:sz w:val="19"/>
                <w:szCs w:val="19"/>
                <w:color w:val="auto"/>
              </w:rPr>
            </w:pPr>
          </w:p>
        </w:tc>
        <w:tc>
          <w:tcPr>
            <w:tcW w:w="392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Objective</w:t>
            </w:r>
          </w:p>
        </w:tc>
        <w:tc>
          <w:tcPr>
            <w:tcW w:w="0" w:type="dxa"/>
            <w:vAlign w:val="bottom"/>
          </w:tcPr>
          <w:p>
            <w:pPr>
              <w:spacing w:after="0"/>
              <w:rPr>
                <w:sz w:val="1"/>
                <w:szCs w:val="1"/>
                <w:color w:val="auto"/>
              </w:rPr>
            </w:pPr>
          </w:p>
        </w:tc>
      </w:tr>
      <w:tr>
        <w:trPr>
          <w:trHeight w:val="51"/>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Phase 1a</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Subjects with hyperuricemia</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Evaluate safety and tolerability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Single dose of pegadricase</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Define dose of pegadricase that would support monthly dosing</w:t>
            </w: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SEL-212/101</w:t>
            </w:r>
          </w:p>
        </w:tc>
        <w:tc>
          <w:tcPr>
            <w:tcW w:w="300" w:type="dxa"/>
            <w:vAlign w:val="bottom"/>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vMerge w:val="continue"/>
          </w:tcPr>
          <w:p>
            <w:pPr>
              <w:spacing w:after="0"/>
              <w:rPr>
                <w:sz w:val="8"/>
                <w:szCs w:val="8"/>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n=22</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Demonstrate formation of ADAs</w:t>
            </w: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42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tcPr>
          <w:p>
            <w:pPr>
              <w:spacing w:after="0"/>
              <w:rPr>
                <w:sz w:val="18"/>
                <w:szCs w:val="18"/>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Subjects with hyperuricemia</w:t>
            </w:r>
          </w:p>
        </w:tc>
        <w:tc>
          <w:tcPr>
            <w:tcW w:w="42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Evaluate safety and tolerability</w:t>
            </w: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Phase 1b</w:t>
            </w:r>
          </w:p>
        </w:tc>
        <w:tc>
          <w:tcPr>
            <w:tcW w:w="300" w:type="dxa"/>
            <w:vAlign w:val="bottom"/>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Proof-of-biological activity: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278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   Single dose of SEL-212</w:t>
            </w:r>
          </w:p>
        </w:tc>
        <w:tc>
          <w:tcPr>
            <w:tcW w:w="320" w:type="dxa"/>
            <w:vAlign w:val="bottom"/>
            <w:vMerge w:val="continue"/>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SEL-212/101</w:t>
            </w:r>
          </w:p>
        </w:tc>
        <w:tc>
          <w:tcPr>
            <w:tcW w:w="278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   Mitigation of ADAs after single dose</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vMerge w:val="continue"/>
          </w:tcPr>
          <w:p>
            <w:pPr>
              <w:spacing w:after="0"/>
              <w:rPr>
                <w:sz w:val="5"/>
                <w:szCs w:val="5"/>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n=53</w:t>
            </w:r>
          </w:p>
        </w:tc>
        <w:tc>
          <w:tcPr>
            <w:tcW w:w="320" w:type="dxa"/>
            <w:vAlign w:val="bottom"/>
          </w:tcPr>
          <w:p>
            <w:pPr>
              <w:spacing w:after="0"/>
              <w:rPr>
                <w:sz w:val="5"/>
                <w:szCs w:val="5"/>
                <w:color w:val="auto"/>
              </w:rPr>
            </w:pPr>
          </w:p>
        </w:tc>
        <w:tc>
          <w:tcPr>
            <w:tcW w:w="3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020" w:type="dxa"/>
            <w:vAlign w:val="bottom"/>
            <w:tcBorders>
              <w:left w:val="single" w:sz="8" w:color="auto"/>
              <w:right w:val="single" w:sz="8" w:color="auto"/>
            </w:tcBorders>
          </w:tcPr>
          <w:p>
            <w:pPr>
              <w:spacing w:after="0"/>
              <w:rPr>
                <w:sz w:val="10"/>
                <w:szCs w:val="10"/>
                <w:color w:val="auto"/>
              </w:rPr>
            </w:pPr>
          </w:p>
        </w:tc>
        <w:tc>
          <w:tcPr>
            <w:tcW w:w="300" w:type="dxa"/>
            <w:vAlign w:val="bottom"/>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   Select dose to take forward into Phase 2</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42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Subjects with symptomatic gout and</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Evaluate safety and tolerability</w:t>
            </w:r>
          </w:p>
        </w:tc>
        <w:tc>
          <w:tcPr>
            <w:tcW w:w="0" w:type="dxa"/>
            <w:vAlign w:val="bottom"/>
          </w:tcPr>
          <w:p>
            <w:pPr>
              <w:spacing w:after="0"/>
              <w:rPr>
                <w:sz w:val="1"/>
                <w:szCs w:val="1"/>
                <w:color w:val="auto"/>
              </w:rPr>
            </w:pPr>
          </w:p>
        </w:tc>
      </w:tr>
      <w:tr>
        <w:trPr>
          <w:trHeight w:val="152"/>
        </w:trPr>
        <w:tc>
          <w:tcPr>
            <w:tcW w:w="1020" w:type="dxa"/>
            <w:vAlign w:val="bottom"/>
            <w:tcBorders>
              <w:left w:val="single" w:sz="8" w:color="auto"/>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4"/>
                <w:szCs w:val="14"/>
                <w:color w:val="auto"/>
              </w:rPr>
              <w:t>Phase 2</w:t>
            </w:r>
          </w:p>
        </w:tc>
        <w:tc>
          <w:tcPr>
            <w:tcW w:w="300" w:type="dxa"/>
            <w:vAlign w:val="bottom"/>
          </w:tcPr>
          <w:p>
            <w:pPr>
              <w:spacing w:after="0"/>
              <w:rPr>
                <w:sz w:val="13"/>
                <w:szCs w:val="13"/>
                <w:color w:val="auto"/>
              </w:rPr>
            </w:pPr>
          </w:p>
        </w:tc>
        <w:tc>
          <w:tcPr>
            <w:tcW w:w="2480" w:type="dxa"/>
            <w:vAlign w:val="bottom"/>
            <w:tcBorders>
              <w:right w:val="single" w:sz="8" w:color="auto"/>
            </w:tcBorders>
          </w:tcPr>
          <w:p>
            <w:pPr>
              <w:ind w:left="100"/>
              <w:spacing w:after="0" w:line="152" w:lineRule="exact"/>
              <w:rPr>
                <w:sz w:val="20"/>
                <w:szCs w:val="20"/>
                <w:color w:val="auto"/>
              </w:rPr>
            </w:pPr>
            <w:r>
              <w:rPr>
                <w:rFonts w:ascii="Times New Roman" w:cs="Times New Roman" w:eastAsia="Times New Roman" w:hAnsi="Times New Roman"/>
                <w:sz w:val="14"/>
                <w:szCs w:val="14"/>
                <w:color w:val="auto"/>
              </w:rPr>
              <w:t>hyperuricemia</w:t>
            </w:r>
          </w:p>
        </w:tc>
        <w:tc>
          <w:tcPr>
            <w:tcW w:w="320" w:type="dxa"/>
            <w:vAlign w:val="bottom"/>
          </w:tcPr>
          <w:p>
            <w:pPr>
              <w:ind w:left="1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tcPr>
          <w:p>
            <w:pPr>
              <w:ind w:left="100"/>
              <w:spacing w:after="0" w:line="152" w:lineRule="exact"/>
              <w:rPr>
                <w:sz w:val="20"/>
                <w:szCs w:val="20"/>
                <w:color w:val="auto"/>
              </w:rPr>
            </w:pPr>
            <w:r>
              <w:rPr>
                <w:rFonts w:ascii="Times New Roman" w:cs="Times New Roman" w:eastAsia="Times New Roman" w:hAnsi="Times New Roman"/>
                <w:sz w:val="14"/>
                <w:szCs w:val="14"/>
                <w:color w:val="auto"/>
              </w:rPr>
              <w:t>Clinical proof-of-concept:</w:t>
            </w:r>
          </w:p>
        </w:tc>
        <w:tc>
          <w:tcPr>
            <w:tcW w:w="0" w:type="dxa"/>
            <w:vAlign w:val="bottom"/>
          </w:tcPr>
          <w:p>
            <w:pPr>
              <w:spacing w:after="0"/>
              <w:rPr>
                <w:sz w:val="1"/>
                <w:szCs w:val="1"/>
                <w:color w:val="auto"/>
              </w:rPr>
            </w:pPr>
          </w:p>
        </w:tc>
      </w:tr>
      <w:tr>
        <w:trPr>
          <w:trHeight w:val="185"/>
        </w:trPr>
        <w:tc>
          <w:tcPr>
            <w:tcW w:w="10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SEL-212/201</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Repeated monthly dosing of SEL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212</w:t>
            </w:r>
          </w:p>
        </w:tc>
        <w:tc>
          <w:tcPr>
            <w:tcW w:w="320" w:type="dxa"/>
            <w:vAlign w:val="bottom"/>
          </w:tcPr>
          <w:p>
            <w:pPr>
              <w:spacing w:after="0"/>
              <w:rPr>
                <w:sz w:val="16"/>
                <w:szCs w:val="16"/>
                <w:color w:val="auto"/>
              </w:rPr>
            </w:pP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Demonstrate sustained reduction of SU with repeat dosing</w:t>
            </w: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auto"/>
            </w:tcBorders>
          </w:tcPr>
          <w:p>
            <w:pPr>
              <w:spacing w:after="0"/>
              <w:rPr>
                <w:sz w:val="16"/>
                <w:szCs w:val="16"/>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n=152</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Select dose to take into Phase 3</w:t>
            </w:r>
          </w:p>
        </w:tc>
        <w:tc>
          <w:tcPr>
            <w:tcW w:w="0" w:type="dxa"/>
            <w:vAlign w:val="bottom"/>
          </w:tcPr>
          <w:p>
            <w:pPr>
              <w:spacing w:after="0"/>
              <w:rPr>
                <w:sz w:val="1"/>
                <w:szCs w:val="1"/>
                <w:color w:val="auto"/>
              </w:rPr>
            </w:pPr>
          </w:p>
        </w:tc>
      </w:tr>
      <w:tr>
        <w:trPr>
          <w:trHeight w:val="91"/>
        </w:trPr>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Phase 1a trial, we observed that a single dose of pegadricase rapidly reduced SU levels below 6.0 mg/dL for each dose level, although SU levels returned close to baseline by day 30. Consistent with our preclinical studies in animals, pegadricase induced uricase-specific ADAs in all patients with varying levels in this Phase 1a trial. The following table depicts the observations from the single ascending dose trial of pegadricase in patients with hyperuricemia. In this trial, patients with SU &gt; 6 mg/dL at screening were assigned to one of five cohorts receiving a single IV infusion of pegadricase (0.1, 0.2, 0.4, 0.8 or 1.2 mg/kg). Each cohort consisted of five patients, except for cohort 5 (1.2 mg/kg) which enrolled two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59690</wp:posOffset>
            </wp:positionV>
            <wp:extent cx="4714875" cy="180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487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the Phase 1b clinical trial, we observed the potential for increasing doses of ImmTOR to mitigate the formation of pegadricase ADAs and sustain the anti-uricase enzyme activity through 30 days. The cohort of subjects who received a single 0.4 mg/kg dose of pegadricase alone showed development of uricase ADAs, a short pegadricase half-life, and poor control of SU at 30 days. Three cohorts who received 0.4 mg/kg of pegadricase plus ascending doses of ImmTOR (0.1, 0.15 and 0.3 mg/kg) showed a dose related reduction in uricase ADAs, an increase in pegadricase half-life, and substantial reduction in SU. This graphs below depict the observed correlation of SU with anti-uricase IgG and serum pegadricase activity. In these graphs, anti-uricase IgG titers, serum pegadricase activity, and SU are plotted against time for individual patients in cohorts A, G, H, and I. Each line represents an individual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360045</wp:posOffset>
            </wp:positionV>
            <wp:extent cx="4714875" cy="1885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Phase 2 trial included patients with symptomatic gout and elevated SU levels in an open-label, multiple ascending-dose clinical trial of SEL-212 to demonstrate sustained reduction of SU and identify the best dose for Phase 3. Five monthly doses of SEL-212 reduced SU to less than 6.0 mg/dL in 21 of 32 evaluable patients, or 66%. In distinct contrast, pegadricase alone reduced SU to less than 6.0 mg/dL in only three of 19 patients one month after a single injection (data from pegadricase alone cohorts from the SEL-037/101, SEL-212/101, and SEL-212/201 trials). We believe these results support our view that the addition of ImmTOR to pegadricase is able dramatically enhance the efficacy of pegadricase in the long-term reduction of SU in gout patients. The chart below depicts SU after five monthly doses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62230</wp:posOffset>
            </wp:positionV>
            <wp:extent cx="4714875" cy="1714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324"/>
        <w:spacing w:after="0" w:line="222" w:lineRule="exact"/>
        <w:rPr>
          <w:sz w:val="20"/>
          <w:szCs w:val="20"/>
          <w:color w:val="auto"/>
        </w:rPr>
      </w:pPr>
      <w:r>
        <w:rPr>
          <w:rFonts w:ascii="Times New Roman" w:cs="Times New Roman" w:eastAsia="Times New Roman" w:hAnsi="Times New Roman"/>
          <w:sz w:val="18"/>
          <w:szCs w:val="18"/>
          <w:color w:val="auto"/>
        </w:rPr>
        <w:t>We have observed that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its components, ImmTOR and pegadricase, were generally well-tolerated in the Phase 1a, 1b, and 2 clinical trials. In the Phase 1a trial we observed no serious adverse events, or SAEs, and that pegadricase was well tolerated at the five dose levels tested. Of the six SAEs in the Phase 1b trial, three were determined to not to be related to study drug by investigators. Of the remaining three SAEs that were determined to possibly or likely be related to study drug, two were cases of stomatitis that occurred at the highest dose of ImmTOR tested (0.5 mg/kg), leading us to define 0.3 mg/kg as the maximum tolerated dose of ImmTOR in this patient population. The remaining SAE was a case of drug hypersensitivity that occurred at a dose of 0.1 mg/kg of ImmTOR in combination with 0.4 mg/kg of pegadricase. In the Phase 2 trial, 20 subjects reported a total of 23 SAEs, nine in the five dose combination cohorts, seven of which were reported to be not related or unlikely related to study drug, and two of which were infusion reactions. All SAEs were successfully treated without residual effects.</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2 head-to-head clinical trial</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March 2019, we initiated a non-registrational Phase 2 head-to-head clinical trial of SEL-212, which we refer to as COMPARE, in which SEL-212 was compared against the current FDA-approved therapy for chronic refractory gout, pegloticase, in multiple clinical sites in the United States.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360045</wp:posOffset>
            </wp:positionV>
            <wp:extent cx="4714875" cy="2400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1487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September 2020, we announced top-line results from the COMPARE trial. We observed a numerically higher response rate to pegloticase on the primary endpoint during months three and six combined but did not meet the primary endpoint of statistical superiority. SEL-212 did generate a statistically significant higher response rate to pegloticase during the third month of treatment, as well as a statistically significant greater overall reduction in mean SU levels in SEL-212 versus pegloticase in months three and six combined. We observed a numerically higher response rate of SEL-212 during the sixth month of treatment. In patients with tophi at baseline, we observed substantially higher responder rates for SEL-212 compared to pegloticase on the primary endpoint, and a statistically significant reduction in mean SU levels when compared to pegloticase.</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Approximately 41% of patients in the Phase 2 COMPARE trial had visible tophi at baseline, which is lower than we expected for the general refractory gout population. However, in these most severe patients with tophi, SEL-212 was superior to pegloticase with a 58% responder rate for SEL-212 versus a 39 % responder rate for pegloticase. Response rates observed in patients with tophi at baseline are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54610</wp:posOffset>
            </wp:positionV>
            <wp:extent cx="4714875" cy="771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48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SEL-212 showed a favorable safety profile and was well-tolerated. There were no deaths during the study. There were no notable differences in serious TEAEs, treatment-related serious TEAEs, or infusion reactions between the two groups. A full analysis of safety signals, including gout flare incidence and severity, requires evaluation of the full data set and will be reported together with the full efficacy analysis in a manuscript in a medical journal.</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3 DISSOLVE clinical program</w:t>
      </w:r>
    </w:p>
    <w:p>
      <w:pPr>
        <w:spacing w:after="0" w:line="108"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In September 2020, we commenced the Phase 3 clinical program of SEL-212, which we refer to as DISSOLVE. We are responsible for the execution of the DISSOLVE program and are being reimbursed by Sobi on a quarterly basis for expenses incurred in connection with these activities. The Phase 3 clinical program consists of two double-blinded, placebo-controlled trials of SEL-212. We refer to these trials as DISSOLVE I and DISSOLVE II. Each trial was expected to enroll up to 120 patients, with up to 40 patients receiving 0.1 mg/kg of ImmTOR and 0.2 mg/kg of pegadricase, up to 40 patients receiving 0.15 mg/kg of ImmTOR and 0.2 mg/kg of pegadricase, and up to 40 patients receiving placebo. An additional 15 patients were added to the study sample size to account for potential treatment discontinuations due to the ongoing COVID-19 pandemic as a result of the emergence of COVID-19 variants which were not accounted for in the sample size calculations. In agreement with our study partner, Sobi, we increased enrollment in DISSOLVE II to 153 subjects for potential loss of subjects enrolled in Russia and Ukraine due to operational or other issues arising from instability in the region.</w:t>
      </w:r>
    </w:p>
    <w:p>
      <w:pPr>
        <w:spacing w:after="0" w:line="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commenced enrollment of DISSOLVE I in September 2020 and DISSOLVE II in December 2020. In December 2021, we announced the completion of enrollment of the DISSOLVE I trial. DISSOLVE I has a six-month primary endpoint followed by a six-month safety extension. In June 2022, we announced the completion of enrollment of the DISSOLVE II trial. DISSOLVE II will have a six-month primary endpoint with no extension. The primary endpoint of the DISSOLVE program 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maintenance of SU levels below 6 mg/dL at six months. As of the filing of this Annual Report, we expect to report DISSOLVE I and DISSOLVE II topline results in first quarter of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IgA Nephropathy</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second development program in biologic therapies is in IgA nephropathy, an autoimmune kidney disease that occurs when immune complexes of a subclass of antibodies called immunoglobulin A1, or IgA1, accumulates in the kidneys. Previous studies in animal models conducted at independent laboratories demonstrated that bacterial IgA protease has the potential to remove injurious IgA immune complexes from kidneys and reduce inflammation, fibrosis, and hematuria. We believe these results suggest that IgA protease can potentially decrease the rate of disease progression and possibly even reverse the disease. The barrier to IgA protease commercialization has been the bacterial origin of the protease, which makes it highly immunogenic. Based on the learnings of SEL-212, we believe the combination of ImmTOR with an IgA protease could potentially enable repeated dosing to treat IgA nephropathy.</w:t>
      </w:r>
    </w:p>
    <w:p>
      <w:pPr>
        <w:spacing w:after="0" w:line="8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clinical trials, we have observed ImmTOR mitigating the formation of ADAs to immunogenic enzymes. We intend to combine an IgA protease with our ImmTOR platform to develop a novel combination product candidate for the treatment of IgA nephropathy and IgA-mediated diseases. In December 2022, we announced the selection of a next generation IgA protease candidate from IGAN Biosciences for its IgA nephropathy program.</w:t>
      </w:r>
    </w:p>
    <w:p>
      <w:pPr>
        <w:spacing w:after="0" w:line="6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October 2020, we entered into an Option and License Agreement, or the IGAN Agreement, with IGAN Biosciences, Inc., or IGAN. Pursuant to the IGAN Agreement, IGAN granted us an exclusive license to research, evaluate, and conduct pre-clinical development activities on IGAN’s proprietary IgA proteases. We had an initial option term of 24 months, during which we could elect to obtain an exclusive license to further develop and commercialize the product candidate to treat all IgA-mediated diseases, including IgA nephropathy, Linear IgA bullous dermatitis, IgA pemphigus, and Henoch-Schonlein purpura (also known as IgA vasculitis).</w:t>
      </w:r>
    </w:p>
    <w:p>
      <w:pPr>
        <w:spacing w:after="0" w:line="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May 2022, we entered into Amendment No. 1 to the IGAN Agreement, or the First IGAN Amendment, with IGAN. The First IGAN Amendment provided an extension to the option term of 24 months from the date of the First IGAN Amendment.</w:t>
      </w:r>
    </w:p>
    <w:p>
      <w:pPr>
        <w:spacing w:after="0" w:line="54" w:lineRule="exact"/>
        <w:rPr>
          <w:sz w:val="20"/>
          <w:szCs w:val="20"/>
          <w:color w:val="auto"/>
        </w:rPr>
      </w:pPr>
    </w:p>
    <w:p>
      <w:pPr>
        <w:ind w:right="180" w:firstLine="324"/>
        <w:spacing w:after="0" w:line="245" w:lineRule="auto"/>
        <w:rPr>
          <w:sz w:val="20"/>
          <w:szCs w:val="20"/>
          <w:color w:val="auto"/>
        </w:rPr>
      </w:pPr>
      <w:r>
        <w:rPr>
          <w:rFonts w:ascii="Times New Roman" w:cs="Times New Roman" w:eastAsia="Times New Roman" w:hAnsi="Times New Roman"/>
          <w:sz w:val="18"/>
          <w:szCs w:val="18"/>
          <w:color w:val="auto"/>
        </w:rPr>
        <w:t>In December 2022, we exercised our option to opt-in to an exclusive license agreement and selected a next generation IgA protease candidate from a commensal bacteria with a lower level of baseline ADAs from IGAN for the treatment of IgA nephropathy. By combining ImmTOR with this next generation IgA protease candidate, we believe our novel approach has the potential to mitigate the formation of new ADAs and address the underlying pathophysiology of the disease.</w:t>
      </w:r>
    </w:p>
    <w:p>
      <w:pPr>
        <w:spacing w:after="0" w:line="8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Collaboration and License Agreement, or the First Ginkgo Agreement, with Ginkgo. Pursuant to the First Ginkgo Agreement, Ginkgo will leverage their high throughput enzyme discovery, design and screening capabilities to identify and further optimize a proprietary, next generation IgA protease. We have an exclusive license to further develop and commercialize the discovered IgA proteases to treat all IgA-mediated diseases, including IgA nephropathy, Linear IgA bullous dermatitis, IgA pemphigus, and Henoch-Schonlein purpura.</w:t>
      </w:r>
    </w:p>
    <w:p>
      <w:pPr>
        <w:spacing w:after="0" w:line="58" w:lineRule="exact"/>
        <w:rPr>
          <w:sz w:val="20"/>
          <w:szCs w:val="20"/>
          <w:color w:val="auto"/>
        </w:rPr>
      </w:pPr>
    </w:p>
    <w:p>
      <w:pPr>
        <w:jc w:val="both"/>
        <w:ind w:right="540" w:firstLine="324"/>
        <w:spacing w:after="0" w:line="242" w:lineRule="auto"/>
        <w:rPr>
          <w:sz w:val="20"/>
          <w:szCs w:val="20"/>
          <w:color w:val="auto"/>
        </w:rPr>
      </w:pPr>
      <w:r>
        <w:rPr>
          <w:rFonts w:ascii="Times New Roman" w:cs="Times New Roman" w:eastAsia="Times New Roman" w:hAnsi="Times New Roman"/>
          <w:sz w:val="18"/>
          <w:szCs w:val="18"/>
          <w:color w:val="auto"/>
        </w:rPr>
        <w:t>These collaborations build on extensive preclinical as well as strong clinical data from our Phase 2 COMPARE trial for the treatment of chronic refractory gout that we believe further supports ImmTOR’s potential for sustained therapeutic benefit when combined with immunogenic enzymatic therapies.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continuing to perform pre-clinical IND enabling studies.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Methylmalonic Acidemia</w:t>
      </w:r>
    </w:p>
    <w:p>
      <w:pPr>
        <w:spacing w:after="0" w:line="108"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AskBio. In October and November 2020, we received rare pediatric disease designation and orphan drug designation, respectively, from the FDA for MMA-101, for the treatment of MMA due to methylmalonyl-CoA mutase, or MMUT gene mutations. See “ Licenses and Collaborations AskBio” for more information.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ImmTOR manufacturing, controlled by us, continues to proceed in accordance with our expectations and we have not observed any impact to any of our ImmTOR programs. In October and November 2020, we received rare pediatric disease designation and orphan drug designation, respectively, from the FDA for MMA-101, for the treatment of MMA due to methylmalonyl-CoA mutase, or MMUT gene mutations. In December 2022, we initiated ReiMMAgine, the Phase 1/2 clinical trial of SEL-302. The ReiMMAgine trial is now enrolling patients and aims to evaluate the safety, tolerability and efficacy of SEL-302.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IgG Protease (Xork)</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have exclusively licensed Xork, an IgG-specific protease from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w:t>
      </w:r>
    </w:p>
    <w:p>
      <w:pPr>
        <w:spacing w:after="0" w:line="8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Because of this, the commercial potential of many gene therapies may be significantly limited due to the ineligibility of large segments of the target patient population. This is particularly important for gene therapies given the low incidence and small prevalent populations of rare monogenic diseases which many gene therapies target. Patients that are ineligible for gene therapy due to pre-existing immunity may have few or no alternative therapies available to them.</w:t>
      </w:r>
    </w:p>
    <w:p>
      <w:pPr>
        <w:spacing w:after="0" w:line="7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Xork, as a pre-treatment in advance of an AAV gene therapy, can potentially open a treatment window by cleaving the IgG antibodies and transiently reducing their concentration.</w:t>
      </w:r>
    </w:p>
    <w:p>
      <w:pPr>
        <w:spacing w:after="0" w:line="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IgG proteases are bacterial proteins, which are themselves immunogenic. We believe that Xork is differentiated from other IgG proteases since it is not derived from a human pathogen and thus, exhibits low cross-reactivity with human sera. Additionally, to further reduce any potential immunogenicity of the Xork enzyme, we plan to explore the combination of Xork and ImmTOR. The following images depict how Xork cleaves human IgG specifically and efficiently, but shows low cross reactivity to human sera compared to IdeS, an IgG protease derived from the common human pathogen Streptococcus pyogenes.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282575</wp:posOffset>
            </wp:positionV>
            <wp:extent cx="5143500" cy="2717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Xork and ImmTOR has the potential to address two of the major challenges to AAV gene therapy, pre-existing immunity that limits eligibility and de novo immunogenicity that can adversely affect safety and durability and which prevents the ability to re-dose AAV. We plan to explore the application of Xork in combination with our wholly owned gene therapies, as well as explore partnering opportunities for the enzyme with other gene therapy companies.</w:t>
      </w:r>
    </w:p>
    <w:p>
      <w:pPr>
        <w:spacing w:after="0" w:line="7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In January 2023, we announced an exclusive licensing and development agreement for Xork to be developed for use with AT845, Astellas Gene Therapies' investigational AAV-based treatment for Late-Onset Pompe disease in adults. We are responsible for the early development activities and manufacturing of Xork and will maintain the rights for the development of additional indications beyond Pompe disease.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 – ImmTOR &amp; ImmTOR-IL</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in preclinical studies we have observed ImmTOR, in combination with IL-2 molecules, expanding T-regulatory cells beyond IL-2 alone and we intend to pursue a combination of ImmTOR and IL-2 (ImmTOR-IL) in diseases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where general T cell expansion has shown a therapeutic benefit. Additionally, we have observed in preclinical studies that the combination of ImmTOR, a Treg-selective IL-2 molecule and an antigen, exhibited substantial synergistic activity in inducing and expanding antigen specific regulatory T cells when ImmTOR and IL-2 is combined with an antigen of interest. We intend to pursue and develop treatments for autoimmune diseases with well-defined antigens using either ImmTOR or ImmTOR-IL.</w:t>
      </w:r>
    </w:p>
    <w:p>
      <w:pPr>
        <w:spacing w:after="0" w:line="73"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Cyrus Biotechnology, Inc., a collaboration partner,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molecule we have observed a substantial synergistic activity in increasing the percentage and durability of Treg expansion in the spleen.</w:t>
      </w:r>
    </w:p>
    <w:p>
      <w:pPr>
        <w:spacing w:after="0" w:line="9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lead autoimmune diseases indication is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Collaborations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intend to both partner and strategically out-license ImmTOR, ImmTOR-IL and Xork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 Additionally, we may strategically in-license products to combine with ImmTOR and develop novel therapeutic products independently. Our key partnerships are listed below.</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Ginkgo Bioworks Holdings, Inc.</w:t>
      </w:r>
    </w:p>
    <w:p>
      <w:pPr>
        <w:spacing w:after="0" w:line="108" w:lineRule="exact"/>
        <w:rPr>
          <w:sz w:val="20"/>
          <w:szCs w:val="20"/>
          <w:color w:val="auto"/>
        </w:rPr>
      </w:pPr>
    </w:p>
    <w:p>
      <w:pPr>
        <w:ind w:right="280" w:firstLine="324"/>
        <w:spacing w:after="0" w:line="245" w:lineRule="auto"/>
        <w:rPr>
          <w:sz w:val="20"/>
          <w:szCs w:val="20"/>
          <w:color w:val="auto"/>
        </w:rPr>
      </w:pPr>
      <w:r>
        <w:rPr>
          <w:rFonts w:ascii="Times New Roman" w:cs="Times New Roman" w:eastAsia="Times New Roman" w:hAnsi="Times New Roman"/>
          <w:sz w:val="18"/>
          <w:szCs w:val="18"/>
          <w:color w:val="auto"/>
        </w:rPr>
        <w:t>In October 2021, we entered into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w:t>
      </w:r>
    </w:p>
    <w:p>
      <w:pPr>
        <w:spacing w:after="0" w:line="8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January 3,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Genovis AB (publ.)</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and sublicensing fees, as well as tiered royalties on worldwide sales in the low double digits.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Cyrus Biotechnology, Inc.</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2022, we mutually agreed with Cyrus that the preclinical key in-vitro success milestone had been achieved.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IGAN Biosciences, Inc.</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2020, we entered into the IGAN Agreement with IGAN. Pursuant to the IGAN Agreement, IGAN granted us an exclusive license to research, evaluate, and conduct preclinical development activities on IGAN’s proprietary IgA proteases. We have an option term of 24 months, or the Option Term, during which we can elect to obtain an exclusive license to further develop and commercialize the product to treat all IgA-mediated diseases, including IgA nephropathy, Linear IgA bullous dermatitis, IgA pemphigus, and Henoch-Schonlein purpura.</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Upon execution of the IGAN Agreement, we paid IGAN a one-time upfront payment of $0.5 million and we would owe additional payments to IGAN if we were to opt-in to an exclusive license agreement, as well as upon the achievement of certain development and sales milestones. During the option term, we may terminate the IGAN Agreement immediately for any reason upon written notice to IGAN. If we opt-in to an exclusive license agreement, we may terminate the IGAN Agreement upon 120 days’ written notice.</w:t>
      </w:r>
    </w:p>
    <w:p>
      <w:pPr>
        <w:spacing w:after="0" w:line="58" w:lineRule="exact"/>
        <w:rPr>
          <w:sz w:val="20"/>
          <w:szCs w:val="20"/>
          <w:color w:val="auto"/>
        </w:rPr>
      </w:pPr>
    </w:p>
    <w:p>
      <w:pPr>
        <w:ind w:right="760" w:firstLine="324"/>
        <w:spacing w:after="0" w:line="266" w:lineRule="auto"/>
        <w:rPr>
          <w:sz w:val="20"/>
          <w:szCs w:val="20"/>
          <w:color w:val="auto"/>
        </w:rPr>
      </w:pPr>
      <w:r>
        <w:rPr>
          <w:rFonts w:ascii="Times New Roman" w:cs="Times New Roman" w:eastAsia="Times New Roman" w:hAnsi="Times New Roman"/>
          <w:sz w:val="18"/>
          <w:szCs w:val="18"/>
          <w:color w:val="auto"/>
        </w:rPr>
        <w:t>On May 25, 2022, we entered into Amendment No. 1 to the IGAN Agreement, or the First IGAN Amendment, with IGAN. The First IGAN Amendment provided an extension to the option term of 24 months from the date of the First IGAN Amendment.</w:t>
      </w:r>
    </w:p>
    <w:p>
      <w:pPr>
        <w:spacing w:after="0" w:line="54"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On December 14, 2022, we exercised our option to opt-in to an exclusive license agreement and selected a next generation IgA protease candidate from a commensal bacteria with a lower level of baseline ADAs from IGAN for the treatment of IgA nephropathy. By combining ImmTOR with this next generation IgA protease candidate, we believe our novel approach has the potential to mitigate the formation of new ADAs and address the underlying pathophysiology of the disease.</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Astellas Therapeutics, Inc.</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January 2023, we entered into a License and Development Agreement with Astellas Therapeutics, Inc., or Astellas. Under this agreement, Astellas obtained the sole and exclusive right to commercialize Xork for use in Pompe disease with an Astellas gene therapy investigational or authorized product, with a current focus on AT845.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Pharmaceuticals USA, Inc.</w:t>
      </w:r>
    </w:p>
    <w:p>
      <w:pPr>
        <w:spacing w:after="0" w:line="12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Takeda, or the Takeda Agreement.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Swedish Orphan Biovitrum AB (publ.)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 In July 2022, we received $10.0 million for the completion of the enrollment of the DISSOLVE II trial.</w:t>
      </w:r>
    </w:p>
    <w:p>
      <w:pPr>
        <w:spacing w:after="0" w:line="79"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auto"/>
        </w:rPr>
        <w:t>Additionally, Sobi purchased an aggregate of 5,416,390 shares of our common stock at a purchase price of $4.6156 per share for aggregate gross proceeds of $25 million, which we refer to as the Sobi Private Placement. The closing of the Sobi Private Placement occurred on July 31, 2020.</w:t>
      </w:r>
    </w:p>
    <w:p>
      <w:pPr>
        <w:spacing w:after="0" w:line="1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Under the Sobi License, we will have operational oversight of the Phase 3 DISSOLVE clinical program of SEL-212 (DISSOLVE I and DISSOLVE II) that commenced in September 2020, at Sobi’s expense. We expect to report DISSOLVE I and DISSOLVE II topline results in first quarter of 2023.</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Sarepta Therapeutics, Inc.</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treat at least one Sarepta Indication, with a potential to extend the option term if Sarepta pays an additional fee to us. Sarepta made an upfront payment of $2.0 million to us upon signing of the agreement, and we are eligible to receive additional payments under the option term. If Sarepta opts-in to an exclusive license agreement, we could receive option exercise payments per indication and we would be entitled to significant development and commercial milestone payments and tiered royalties ranging from the mid-to-high single digits based on net sales. In June 2021, we received a payment of $3.0 million for the achievement of certain pre-clinical milestones. In August 2022, we received a payment of $2.0 for a nine-month extension to Sarepta’s options to both Duchenne muscular dystrophy and certain limb-girdle muscular dystrophies and a payment of $4.0 million for the achievement of certain pre-clinical milestones.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Asklepios Biopharmaceutical, Inc.</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feasibility study and license agreement with AskBio, or AskBio Collaboration Agreement, otherwise remains in effect.</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2008, we entered into a license agreement with the Massachusetts Institute of Technology, or MIT, which we refer to in its amended form as the MIT License. We amended the MIT License in January 2010, August 2013, November 2016, December 2019 and June 2020.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and Women’s Hospital, or Brigham, the President and Fellows of Harvard College, the Immune Disease Institute and the Children’s Medical Center Corporation. Our exclusivity is subject to certain retained rights of these institutions and other third parties.</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80"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In June 2020, we entered into a Fifth Amendment to the MIT License, or the MIT Amendment, which was effective as of May 15, 2020. Pursuant to the MIT Amendment, certain of our diligence obligations were extended to the second quarter of 2021, including a diligence obligation to commence a Phase 3 trial for a licensed product by a specific date in the second quarter of 2021 or to file an IND for a licensed product by a specific date in the third quarter of 2023. Additionally, certain of our development and regulatory milestones and payments upon achievement of such milestones were adjusted.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Shenyang Sunshine Pharmaceutical Co., Ltd.</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2014, we entered into a license agreement with 3SBio, as amended in 2017, which we refer to as the 3SBio License. Pursuant to the 3SBio License, we were granted an exclusive license to certain pegadricase-related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ImmTOR platform with pegadricase or related compounds supplied by 3SBio (or otherwise supplied if our rights to manufacture are in effect) for human therapeutic, diagnostic and prophylactic use. We were also granted a co-exclusive license to manufacture and have manufactured pegadricase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pegadricase. Otherwise, except in the case of a supply shortage on the part of 3SBio, we are obligated to obtain at least 80% of our supply of such compounds for Phase 3 clinical trials and commercial use from 3SBio under the terms of our separate Commercial Supply Agreement with 3SBio dated August 1, 2019.</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Under the 3SBio License we have paid to 3SBio an aggregate of $7.0 million in upfront and milestone-based payments. We are required to make future payments to 3SBio contingent upon the occurrence of events related to the achievement of clinical and regulatory approval milestones of up to an aggregate of $15.0 million for products containing our ImmTOR platform. We are also required to pay 3SBio tiered royalties on annual worldwide net sales related to the pegadricase component of products at percentages ranging from the low-to-mid single digits for products containing our ImmTOR platform, subject to specified reductions. These royalties are payable,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6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3SBio License expires on the date of expiration of all of our royalty payment obligations unless earlier terminated by either party for an uncured material default of the other party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manufacture ImmTOR using a scalable, self-assembly nanoemulsion process with well-defined, pharmaceutical unit operations. This proprietary, highly specialized and precisely controlled manufacturing process enables us to reproducibly manufacture ImmTOR across many production scales, from milligram-scale at the laboratory bench to hundreds of grams to multi-kilogram scale for commercial production. We have also developed and executed the required detailed analytic characterization of our products.</w:t>
      </w:r>
    </w:p>
    <w:p>
      <w:pPr>
        <w:spacing w:after="0" w:line="7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For our most advanced product candidate, SEL-212, we are producing ImmTOR at an approximately 400-gram scale process, which, at the doses being tested in the Phase 3 DISSOLVE program, we believe will be suitable for commercialization. The process is designed such that this same equipment is capable of potentially producing up to a one-kilogram batch size scale. As our nanoparticle manufacturing process is compact, and therefore also portable, our strategy is to transfer our custom designed process skids to a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7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pegadricase enzyme for SEL-212 is produced by fermentation in E. coli and is sourced from 3SBio in China. Through a licensing arrangement, we own exclusive worldwide rights to pegadricase outside of China, with co-ownership of rights in Japan and with 3SBio owning all rights in China. Under this arrangement, 3SBio has agreed to supply pegadricase for the SEL-212 program. There is also a second supplier for pegadricase in the United States.</w:t>
      </w:r>
    </w:p>
    <w:p>
      <w:pPr>
        <w:spacing w:after="0" w:line="5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AAV vector product candidates are produced using the established triple transfection production process at CMOs. We work closely with our CMOs who have platform AAV production processes that we are able to leverage for our specific AAV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ImmTOR platform is designed to deliver precise instructions to the immune system as a result of the natural predisposition of the immune system to interrogate nanoparticles such as viruses. In connection with our founding, we licensed multiple patent families, including a patent family based in part on the pioneering research performed by our co-founders at Harvard University, MIT and Brigham. We have also conducted extensive research in-house to further research this area, leading to key discoveries regarding and uses for our ImmTOR technology. We have aggressively sought to extend and protect the proprietary intellectual property underlying the composition and use of ImmTOR, such as for antigen-specific immunotolerance.</w:t>
      </w:r>
    </w:p>
    <w:p>
      <w:pPr>
        <w:spacing w:after="0" w:line="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endeavor to protect our nanoparticle technology, which we consider fundamental to our business, by seeking, maintaining and defending patent and other intellectual property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and continue innovating and seeking in-licensing opportunities to maintain, advance and fortify our proprietary position in our nanoparticle-based immunotherapy program and product candidates as well as to develop new programs and other product candidates. Our commercial success will depend in part on our ability to obtain and maintain patent and other proprietary protection for our technology programs,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and in-licensed numerous patents and patent applications and possess substantial know-how and trade secrets relating to our technology programs and product candidates. Our patent portfolio contains a number of issued patents in the United States and certain foreign jurisdictions. We also own a number of pending patent applications in the United States and certain foreign jurisdictions. These patents and patent applications include claims related to:</w:t>
      </w:r>
    </w:p>
    <w:p>
      <w:pPr>
        <w:spacing w:after="0" w:line="7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tolerance immunotherapy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and compositions related to our proprietary nanoparticles in a variety of applications, including tolerance applications, such as:</w:t>
      </w:r>
    </w:p>
    <w:p>
      <w:pPr>
        <w:spacing w:after="0" w:line="117"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anti-drug antibodies and/or their effects associated with protein drugs, such as for chronic refractory gout, including coverage for ImmTOR co-administered with pegadricase, which related patents are expected to expire between 2032 and 2041, and</w:t>
      </w:r>
    </w:p>
    <w:p>
      <w:pPr>
        <w:spacing w:after="0" w:line="53"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 therapies (such as viral vector gene therapy), including coverage for ImmTOR co-administered with a viral vector, which related patents are expected to expire between 2032 and 2042; and</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commercialization of SEL-212, including both composition of matter and method of treatment claims (there are multiple patent families with claims that cover the SEL-212 product, one of which is a licensed, issued U.S. patent that expired in August 2021).</w:t>
      </w:r>
    </w:p>
    <w:p>
      <w:pPr>
        <w:spacing w:after="0" w:line="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addition, we have exclusively or non-exclusively licensed intellectual property, including U.S. issued patents, foreign issued patents, and pending applications in both the U.S. and foreign jurisdictions.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to, if claims are issued, 2042.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Canada, China, India, Israel, Japan, Mexico and/or South Korea.</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and patent applications with expected material expiration dates ranging from 2032 to 2043.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any other tolerance or immune modulation product candidates that we develop, if approved, are likely to be their efficacy, safety, convenience, price, the level of generic competition and the availability of reimbursement from government and other third-party payors.</w:t>
      </w:r>
    </w:p>
    <w:p>
      <w:pPr>
        <w:spacing w:after="0" w:line="6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obtain approval for ours. In addition, our ability to compete may be affected in many cases by insurers or other third-party payors seeking to encourage the use of generic or biosimilar products.</w:t>
      </w:r>
    </w:p>
    <w:p>
      <w:pPr>
        <w:spacing w:after="0" w:line="40"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SEL-212 may compete with others in the gout market, including pegloticase, which contains a pegylated uricase similar to the pegadricase component of SEL-212 and is indicated for the treatment of refractory gout. Horizon Pharma plc, whose affiliates own pegloticase, may find other approaches to eliminate undesired immunogenicity to pegloticase. Long-term treatment with global immunosuppressive products may increase the susceptibility to contract infections, tumors and may lead to organ failure.</w:t>
      </w:r>
    </w:p>
    <w:p>
      <w:pPr>
        <w:spacing w:after="0" w:line="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Large companies with active research to prevent the formation of ADAs and treat allergies or autoimmune diseases include Eli Lilly, Roche Holding AG, Sanofi S.A., Pfizer Inc., and Merck &amp; Co., Inc. Small, early-stage biopharmaceutical companies active in the research for new technologies to induce antigen-specific immune tolerance include Abata Therapeutics, Anokion SA, Cour Pharmaceutical Development Company, Inc., Cue Biopharma, Parvus Therapeutics, REGiMMUNE Corporation, Topas Therapeutics GmbH, Sangamo Therapeutics, and SQZ Biotechnologies. Biopharmaceutical companies active in the research for MMA include BridgeBio Pharma, Inc., HemoShear Therapeutics, Inc., LogicBio, Poseida, and Moderna. Biopharmaceutical companies active in the research for IgA nephropathy include Omeros, Travere, Novartis, Ionis, Visterra, Chinook Therapeutics, Calliditas Therapeutics AB, Vera Therapeutics, and Eledon Pharmaceuticals. Biopharmaceutical companies active in autoimmune disease research include Calliditas Therapeutics AB, CymaBay, Genfit, and Intercept Pharmaceuticals. Large biopharmaceutical companies active in the IL-2 research include Abbvie, Inc., Amgen, Bristol Myers Squibb, Eli Lilly, Sanofi S.A., and Merck &amp; Co., Inc.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We expect to seek approval of SEL-212 through a single BLA reviewed by CDER, and we do not expect that the FDA will require a separate marketing authorization for each constituent of SEL-212.</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required by the FDA before a biologic, including a gene therapy, may be marketed in the United States is summarized below.</w:t>
      </w:r>
    </w:p>
    <w:p>
      <w:pPr>
        <w:spacing w:after="0" w:line="11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68" w:lineRule="exact"/>
        <w:rPr>
          <w:sz w:val="20"/>
          <w:szCs w:val="20"/>
          <w:color w:val="auto"/>
        </w:rPr>
      </w:pPr>
    </w:p>
    <w:p>
      <w:pPr>
        <w:ind w:right="240" w:firstLine="324"/>
        <w:spacing w:after="0" w:line="272" w:lineRule="auto"/>
        <w:rPr>
          <w:sz w:val="20"/>
          <w:szCs w:val="20"/>
          <w:color w:val="auto"/>
        </w:rPr>
      </w:pPr>
      <w:r>
        <w:rPr>
          <w:rFonts w:ascii="Times New Roman" w:cs="Times New Roman" w:eastAsia="Times New Roman" w:hAnsi="Times New Roman"/>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or IBC, that reviews and oversees research utilizing recombinant or synthetic nucleic acid molecules at that institution.</w:t>
      </w:r>
    </w:p>
    <w:p>
      <w:pPr>
        <w:spacing w:after="0" w:line="7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Clinical trials are conducted under protocols detailing, among other things, the objectives of the clinical study, dosing procedures, patient selection and exclusion criteria, and the parameters to be used to monitor patient safety. Each protocol and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biological product candidate is initially introduced into healthy human patients and tested for safety.</w:t>
      </w:r>
    </w:p>
    <w:p>
      <w:pPr>
        <w:spacing w:after="0" w:line="117"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biological product candidate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and provide an adequate basis for product labeling.</w:t>
      </w:r>
    </w:p>
    <w:p>
      <w:pPr>
        <w:spacing w:after="0" w:line="6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FDA or the sponsor or its data safety monitoring board may suspend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6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biologics, are also required to register and disclose certain clinical trial information, which is publicly available at www.clinicaltrials.gov. Concurrent with clinical trials, companies must also finalize a process for manufacturing the product in commercial quantities in accordance with GMP requirements.</w:t>
      </w:r>
    </w:p>
    <w:p>
      <w:pPr>
        <w:spacing w:after="0" w:line="68"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sponsors planning to submit a BLA for a biological product that in certain circumstances n submit an initial Pediatric Study Plan, or PSP, within sixty days after a Type C meeting or as may be agreed between the sponsor and FDA. Unless otherwise required by regulation, PREA does not apply to any biological product for an indication for which orphan designation has been granted.</w:t>
      </w:r>
    </w:p>
    <w:p>
      <w:pPr>
        <w:spacing w:after="0" w:line="64"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Under the Prescription Drug Fee User Act, or PDUFA, as amended, each BLA must be accompanied by a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for completeness. The FDA may refuse to file any BLA that it deems incomplete or otherwise not reviewable and may request additional information. Once the submission is accepted for filing, the FDA substantively reviews the BLA to determine, among other things, whether the proposed product is safe, pure and potent, and manufactured in accordance with cGMP requirements.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in which the product is manufactured to determine whether the manufacturing processes and facilities are in compliance with GMPs. The FDA may also audit the clinical investigation sites to determine that they have complied with good clinical practices.</w:t>
      </w:r>
    </w:p>
    <w:p>
      <w:pPr>
        <w:spacing w:after="0" w:line="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deny approval. Data obtained from clinical trials are not always conclusive and the FDA may interpret data differently than the applicant interprets the same data.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One of the performance goals agreed to by the FDA under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Rare Pediatric Disease designation program allows for a sponsor who receives an approval for a product to potentially qualify for a voucher that can be redeemed to receive a priority review of a subsequent marketing application for a different product.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compared to marketed products.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studies establishing that the product has an effect on a surrogate endpoint that is reasonably likely to predict a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and adverse publicity.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68"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7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75" w:lineRule="exact"/>
        <w:rPr>
          <w:sz w:val="20"/>
          <w:szCs w:val="20"/>
          <w:color w:val="auto"/>
        </w:rPr>
      </w:pPr>
    </w:p>
    <w:p>
      <w:pPr>
        <w:jc w:val="both"/>
        <w:ind w:right="300" w:firstLine="324"/>
        <w:spacing w:after="0" w:line="258"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As a result, the ultimate impact, implementation and meaning of the BPCIA is subject to significant uncertainty.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the European Economic Area, or EEA, which is composed of the 27 member states of the European Union plus Norway, Iceland and Liechtenstein medicinal products can only be commercialized after obtaining a Marketing Authorization, or MA.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two types of MAs.</w:t>
      </w:r>
    </w:p>
    <w:p>
      <w:pPr>
        <w:spacing w:after="0" w:line="117" w:lineRule="exact"/>
        <w:rPr>
          <w:sz w:val="20"/>
          <w:szCs w:val="20"/>
          <w:color w:val="auto"/>
        </w:rPr>
      </w:pPr>
    </w:p>
    <w:p>
      <w:pPr>
        <w:ind w:left="660" w:right="4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advanced therapy medicinal products (such as gene therapy, somatic cell therapy and tissue engineered products), among others.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CHMP in exceptional cases. Under the accelerated procedure the standard 210 days review period is reduced to 150 days.</w:t>
      </w:r>
    </w:p>
    <w:p>
      <w:pPr>
        <w:spacing w:after="0" w:line="117" w:lineRule="exact"/>
        <w:rPr>
          <w:sz w:val="20"/>
          <w:szCs w:val="20"/>
          <w:color w:val="auto"/>
        </w:rPr>
      </w:pPr>
    </w:p>
    <w:p>
      <w:pPr>
        <w:ind w:left="660" w:right="30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Upon receiving marketing authorization, new chemical entities generally receive eight years of data exclusivity, which prevents regulatory authorities in the European Union from referencing the innovator’s data to assess a generic or biosimilar application, and an additional two years of market exclusivity, during which no generic or biosimilar product can be marketed.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8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certain financial and exclusivity incentives.</w:t>
      </w:r>
    </w:p>
    <w:p>
      <w:pPr>
        <w:spacing w:after="0" w:line="81"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5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European Union.</w:t>
      </w:r>
    </w:p>
    <w:p>
      <w:pPr>
        <w:spacing w:after="0" w:line="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The majority of states also similar have anti-kickback laws, which in some cases are more restrictive.</w:t>
      </w:r>
    </w:p>
    <w:p>
      <w:pPr>
        <w:spacing w:after="0" w:line="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Violations of the civil False Claims Act can result in very significant monetary penalties and treble damages, and may be accompanied by additional civil monetary penalties against individuals. Many states also have similar fraud and abuse statutes or regulations that apply to items and services reimbursed under Medicaid and other state programs, or, in several states, apply regardless of the payor.</w:t>
      </w:r>
    </w:p>
    <w:p>
      <w:pPr>
        <w:spacing w:after="0" w:line="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(defined to include doctors, dentists, optometrists, podiatrists and chiropractors), certain other health care professionals beginning in 2022, and teaching hospitals, as well as ownership and investment interests held by physicians and their immediate family members.</w:t>
      </w:r>
    </w:p>
    <w:p>
      <w:pPr>
        <w:spacing w:after="0" w:line="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5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Selecta Biosciences, we consider human capital to be an essential driver of our business and successful strategy creation and execution. Our people, driven by our Collaborative, Pioneering, and Patient Focused culture, propel our business forward, strengthening us for long-term success.</w:t>
      </w:r>
    </w:p>
    <w:p>
      <w:pPr>
        <w:spacing w:after="0" w:line="54"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64 employees, 47 of whom are primarily engaged in research and development activities and 17 in corporate functions. 61% of our employees have at least one of a Masters, PhD, or MD degree. Our 2022 annualized voluntary turnover rate was 9.82%. All employees reside and work in the United States and are not represented by a labor union. We consider our employee relations to be strong and in good standing.</w:t>
      </w:r>
    </w:p>
    <w:p>
      <w:pPr>
        <w:spacing w:after="0" w:line="72"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HR solutions, coupled with an intentional culture dialog aimed to drive a high engagement, high performance, patient centric culture.</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as well as the opportunity to participate in our Employee Stock Purchase Plan. Employees are also eligible to receive an annual cash bonus and to participate in a 401(k) retirement plan with an industry competitive company match.</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www.selectabio.com, free of charge, copies of these reports as soon as reasonably practicable after filing or furnishing these reports with the SEC. The hyperlink to our website is included as an inactive textual reference only, and the information on our website is not incorporated by reference in this Annual Report on Form 10-K or in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0" w:lineRule="exact"/>
        <w:rPr>
          <w:sz w:val="20"/>
          <w:szCs w:val="20"/>
          <w:color w:val="auto"/>
        </w:rPr>
      </w:pPr>
    </w:p>
    <w:p>
      <w:pPr>
        <w:spacing w:after="0" w:line="2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various risks. You should carefully read and consider the matters discussed in this Annual Report under the heading “Risk Factors,” which include the following risks:</w:t>
      </w:r>
    </w:p>
    <w:p>
      <w:pPr>
        <w:spacing w:after="0" w:line="67" w:lineRule="exact"/>
        <w:rPr>
          <w:sz w:val="20"/>
          <w:szCs w:val="20"/>
          <w:color w:val="auto"/>
        </w:rPr>
      </w:pPr>
    </w:p>
    <w:p>
      <w:pPr>
        <w:ind w:left="660" w:right="160" w:hanging="328"/>
        <w:spacing w:after="0" w:line="27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are a clinical-stage company and have incurred significant losses since our inception. We expect to incur losses for the foreseeable future and may never achieve or maintain profitability.</w:t>
      </w:r>
    </w:p>
    <w:p>
      <w:pPr>
        <w:spacing w:after="0" w:line="60" w:lineRule="exact"/>
        <w:rPr>
          <w:rFonts w:ascii="Times New Roman" w:cs="Times New Roman" w:eastAsia="Times New Roman" w:hAnsi="Times New Roman"/>
          <w:sz w:val="20"/>
          <w:szCs w:val="20"/>
          <w:color w:val="auto"/>
        </w:rPr>
      </w:pPr>
    </w:p>
    <w:p>
      <w:pPr>
        <w:ind w:left="660" w:right="5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development of our product candidates and commercialize our products, if approved.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facility place restrictions on our operating and financial flexibility.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our ImmTOR platform, which is an unproven approach designed to induce antigen-specific immune tolerance to biologic drugs.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 the United States and European Union have limited experience in reviewing and approving gene therapy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may continue to adversely impact our business, including sourcing raw materials and supplies to produce our product candidates, our preclinical studies and clinical trials.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instability and wars can adversely affect both our clinical operations and supply chains that we rely on to advance our drug candidates.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3SBio in China as our primary supplier of pegadricase and on other third parties for the manufacture of our product candidates for preclinical and clinical testing, and expect to continue to do so for the foreseeable future.</w:t>
      </w:r>
    </w:p>
    <w:p>
      <w:pPr>
        <w:spacing w:after="0" w:line="5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by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from effects of macroeconomic instability and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reliant on Sobi to execute the marketing and sale of SEL-212, if SEL-212 were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funds necessary to fulfill our obligation to repurchase certain warrants.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 the past and may in the future be subject to securities class action lawsuits.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our ImmTOR platform, which is an unproven approach designed to induce antigen-specific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6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All of our product candidates are derived from our ImmTOR platform, which is an unproven approach to induce antigen-specific immune tolerance and to mitigate the immunogenicity of biologic therapies currently being implemented to treat patients. We are developing our ImmTOR platform to restore self-tolerance to autoantigens and potentially treat autoimmune diseases, to be co-administered with AAV gene therapies to potentially enable redosing of said gene therapies and improve and enable activity in biologics (including therapeutic enzymes and other immunogenic drugs).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While we have completed our early development clinical trials and a Phase 2 clinical trial for SEL-212, we have not completed a clinical trial for any other product candidate, nor have we demonstrated our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initiation and 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including but not limited to collaborators, licensees, clinical research organizations and contract manufacturing organizations;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 not infringing or violating patents or other intellectual property of third parties;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 or establishing such capabilities ourselves;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and the medical 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products, if approved;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would effectively prevent or delay approval of our lead and other product candidates. The ongoing COVID-19 pandemic may continue to adversely impact our business, including our preclinical studies and clinical trials.</w:t>
      </w:r>
    </w:p>
    <w:p>
      <w:pPr>
        <w:spacing w:after="0" w:line="5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success depends in part on our successful development of viable gene therapy product candidates utilizing our ImmTOR platform.</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regulatory approval process for gene therapy product candidates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European Medicines Agency, or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8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68"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Additionally, adverse developments in clinical trials conducted by others of gene therapy products or products created using genome editing technology, or adverse public perception of the field of genome editing, may cause the FDA and other regulatory bodies to revise the requirements for approval of any product candidates we may develop or limit the use of products utilizing genome editing technologies, either of which could materially harm our business. Delay or failure to obtain, or unexpected costs in obtaining, the regulatory approval necessary to bring a potential product to market would materially and adversely affect our business, financial condition, results of operations and prospects.</w:t>
      </w:r>
    </w:p>
    <w:p>
      <w:pPr>
        <w:spacing w:after="0" w:line="6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Except for SEL-212 and SEL-302,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topline clinical trial results we reported from our Phase 2 head-to-head COMPARE study of SEL-212 and the top-line data from our SEL-399 program may not be predictive of future results. Moreover, we may not be able to complete, or may be required to deviate from the current clinical trial protocol for a variety of reasons.</w:t>
      </w:r>
    </w:p>
    <w:p>
      <w:pPr>
        <w:spacing w:after="0" w:line="8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In the SEL-212 Phase 1/2 clinical program, we have observed multiple SAEs, and future SAEs may occur causing us to incur additional costs or experience delays in completing, or causing us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8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incomplete or inconclusive results;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contract research organizations, or CROs, or clinical trial sites;</w:t>
      </w:r>
    </w:p>
    <w:p>
      <w:pPr>
        <w:spacing w:after="0" w:line="53"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COVID-19 pandemic or the ongoing conflict in Ukraine;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required for clinical trials of our product candidates may be larger than we expect;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5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expect;</w:t>
      </w:r>
    </w:p>
    <w:p>
      <w:pPr>
        <w:spacing w:after="0" w:line="117"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may affect international and overseas trial sites in ways beyond our control.</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collaborators, requiring us to bear more of the burden of research and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product removed from the market after obtaining marketing approval.</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7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filed an IND to conduct a Phase 1/2 clinical trial of our SEL-302 product candidate in pediatric patients with methylmalonic acidemia in the third quarter of 2021. ImmTOR manufacturing continues to proceed in accordance with our expectations, and we have not observed any impact to any of our ImmTOR programs.</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The safety of our patients and investigators continues to be our utmost priority.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inherent in conducting international clinical trials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burdensome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 and</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geopolitical instability or wars in regions outside of the United States where we conduct clinical trials may impact ongoing clinical trials.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we and AskBio received orphan drug designation for SEL-302 in November 2020. We expect to seek one or more of these designations for our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Further, there can be no assurance that any of our product candidates that are granted such designations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7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 Interim, top-line or preliminary data may not be representative of final data. If final data is not as positive as earlier interim, top-line or preliminary we have released, our business prospects would be significantly harmed.</w:t>
      </w:r>
    </w:p>
    <w:p>
      <w:pPr>
        <w:spacing w:after="0" w:line="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7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5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w:t>
      </w:r>
    </w:p>
    <w:p>
      <w:pPr>
        <w:spacing w:after="0" w:line="7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Further, therapies such as those we are developing involve unique side effects that could be more significant than side effects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the clinical development of SEL-212 over many years has required multiple clinical trials and resulted in the use of different formulations of ImmTOR. While we do not believe that such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7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 become subject to fines, injunctions or the imposition of civil or criminal penalties;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w:t>
      </w:r>
    </w:p>
    <w:p>
      <w:pPr>
        <w:spacing w:after="0" w:line="11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develop a REMS plan to prevent, monitor and/or manage a specific serious risk by informing, educating and/or reinforcing actions to reduce the frequency and/or severity of the event.</w:t>
      </w:r>
    </w:p>
    <w:p>
      <w:pPr>
        <w:spacing w:after="0" w:line="54"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7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obtain the biologic pegadricase, a component of SEL-212, primarily from 3SBio in China. Under the 3SBio License,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disruption in production or inability of 3SBio in China to produce adequate quantities of pegadricase to meet our needs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and our agreement with Sobi. If COVID-19 continues to impact U.S. business operations, including those of our CMOs and suppliers, we could face additional disruptions to our supply chain that could affect the supply of drug product for our preclinical studies and clinical trials.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These factors and increasing wage rates due to increased demand for skilled laborers and the declining availability of skilled labor in China could cause our labor costs to rise.</w:t>
      </w:r>
    </w:p>
    <w:p>
      <w:pPr>
        <w:spacing w:after="0" w:line="8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rely, and expect to continue to rely, in addition to 3SBio, on other third parties for the manufacture of our product candidates for supply in preclinical studies and clinical trials,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84"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on acceptable terms or at all, and even if we do rely on third-party manufacturers entails additional risks, including the:</w:t>
      </w:r>
    </w:p>
    <w:p>
      <w:pPr>
        <w:spacing w:after="0" w:line="54" w:lineRule="exact"/>
        <w:rPr>
          <w:sz w:val="20"/>
          <w:szCs w:val="20"/>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manufacturers to comply with regulatory requirements, maintain quality assurance, meet our needs, specifications or schedules or continue to supply products to us;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we have over product development, including with respect to our lead product candidate, due to our reliance on such third-party manufacturers,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manufacturing agreements by the third-party manufacturers;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8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7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any of our existing collaborations, or if these arrangements are not successful, or we are unable to enter into future licenses, our business could be adversely affected.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collaborations with other parties, including pharmaceutical and biotechnology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us, and certain collaborations, licenses and agreements may result in increased expenditures by us. Our existing collaborations, and any future collaborations, may pose a number of risks, including the following:</w:t>
      </w:r>
    </w:p>
    <w:p>
      <w:pPr>
        <w:spacing w:after="0" w:line="7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we would potentially lose the right to pursue further development or commercialization of the applicable product candidates as well as have difficulty entering into a similar collaboration where the potential collaborator is aware of the prior termination;</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technology and use this knowledge to compete with us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conflicts between different collaborators that could negatively affect those collaborations and potentially others;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future collaborators or acquirers.</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such as CROs, clinical data management organizations, medical institutions and clinical investigators, to conduct and manage our clinical trials, including our ongoing Phase 3 DISSOLVE clinical program for SEL-212, consisting of the DISSOLVE I and DISSOLVE II trials, which we have agreed to continue to run on behalf of Sobi, and for our other product candidates. We also expect to rely on other third parties to store and distribute drug supplies for our clinical trials.</w:t>
      </w:r>
    </w:p>
    <w:p>
      <w:pPr>
        <w:spacing w:after="0" w:line="7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7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for commercial use, and if we decide to establish our own commercial manufacturing facility, we cannot assure you that we can manufacture our product candidates in compliance with regulations at a cost or in quantities necessary to make them commercially viable.</w:t>
      </w:r>
    </w:p>
    <w:p>
      <w:pPr>
        <w:spacing w:after="0" w:line="6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have a pilot manufacturing facility at our Watertown, Massachusetts location where we conduct process development, scale-up activities and the manufacture of ImmTOR product candidates for preclinical use. We do not currently have any of our own manufacturing facilities that meet the FDA’s cGMP requirements for the production of any product candidates used in humans, and rely on our CMOs for clinical production. We currently have no plans to establish our own commercial manufacturing facilities and we will continue to rely on our partnership with CMOs who are currently producing ImmTOR at the commercial scale for SEL-212 using our proprietary process and equipment.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Legal Compliance Matters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7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 once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and expect to rely on Sobi for the marketing and sale of SEL-212, if approved.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7"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rely on Sobi for the marketing and sale of SEL-212, if approved. For our other product candidates,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5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8"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5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7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third-party coverage or reimbursement policies, any of which would have a material adverse effect on our business.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80"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clinical trial participants or increased difficulty in enrolling future participants;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or to reach a settlement;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7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2" w:lineRule="exact"/>
        <w:rPr>
          <w:sz w:val="20"/>
          <w:szCs w:val="20"/>
          <w:color w:val="auto"/>
        </w:rPr>
      </w:pPr>
    </w:p>
    <w:p>
      <w:pPr>
        <w:ind w:left="660" w:right="2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4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80"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8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For example,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5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7" w:lineRule="exact"/>
        <w:rPr>
          <w:sz w:val="20"/>
          <w:szCs w:val="20"/>
          <w:color w:val="auto"/>
        </w:rPr>
      </w:pPr>
    </w:p>
    <w:p>
      <w:pPr>
        <w:jc w:val="both"/>
        <w:ind w:right="420" w:firstLine="324"/>
        <w:spacing w:after="0" w:line="272"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Department of State, the U.S. Foreign Corrupt Practices Act of 1977, as amended, or FCPA, the U.S. domestic bribery statute contained in 18 U.S.C. § 201, the U.S. Travel Act, the USA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Except for the year ended December 31, 2022, we have incurred significant operating losses since our inception. Our net income was $35.4 million for the year ended December 31, 2022, and net losses were $25.7 million and $68.9 million for each of the years ended December 31, 2021 and 2020, respectively. As of December 31, 2022, we had an accumulated deficit of $394.9 million. To date, we have financed our operations primarily through public offerings and private placements of our securities, funding received from collaboration and license arrangements and our credit facility. We currently have no source of product revenue, and we do not expect to generate product revenue for the foreseeable future. We have devoted substantially all</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7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and evolve our ImmTOR platform and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and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manufacturing or scale-up challenges; and</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exposed to broad macroeconomic conditions including inflation and supply chain tightness which could result in us paying more, or being unable, to access goods and services.</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6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to develop our gene therapy pipeline, including our collaboration with AskBio, research and develop our autoimmune programs and advance the evolution of our ImmTOR platform in combination with IL-2, and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8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December 31, 2022 will enable us to fund our current planned operations into mid-2024, though we may realize additional cash resources upon the achievement of certain contingent collaboration milestones and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 preclinical development, and laboratory testing;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the ongoing conflict in Ukraine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5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August 31, 2020, we entered into a term loan, or the 2020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and the draw period relating to the Term B Loan expired on September 30, 2021.</w:t>
      </w:r>
    </w:p>
    <w:p>
      <w:pPr>
        <w:spacing w:after="0" w:line="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2020 Term Loan is secured by a lien on substantially all of our assets, other than intellectual property, provided that such lien includes any rights to payments and proceeds from the sale, licensing or disposition of intellectual property. We also granted Oxford a negative pledge with respect to our intellectual property.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including covenants to take or avoid specific actions, under the 2020 Term Loan could result in an event of default, our lenders could accelerate all of the amounts due. If we raise any additional debt financing, the terms of such additional debt could further restrict our operating and financial flexibility.</w:t>
      </w:r>
    </w:p>
    <w:p>
      <w:pPr>
        <w:spacing w:after="0" w:line="6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5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current law, NOLs that arose before January 1, 2018, will begin to expire in 2041. NOLs that arose after 2017 may be used to offset at most 80% of our taxable income to the extent not offset by pre-2018 NOLs. As a result, we may become required to pay federal income taxes in future years despite having generated losses for federal income tax purposes in prior years.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7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8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developments or public access to related documents. If investors perceive these results to be negative, the market price for our common stock could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12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8"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impact on our business.</w:t>
      </w:r>
    </w:p>
    <w:p>
      <w:pPr>
        <w:spacing w:after="0" w:line="11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5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lives of our patents may not be sufficient to effectively protect our products and business.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80"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5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7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7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maintaining our subsidiary in Russia or expanding operations internationally could adversely affect our business.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U.S. operations, we maintain a wholly owned subsidiary in Russia, Selecta (RUS). However, we are in the process of winding down these operations.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75" w:lineRule="exact"/>
        <w:rPr>
          <w:sz w:val="20"/>
          <w:szCs w:val="20"/>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of and enforcing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cross-border investment, including enhanced oversight by the Committee on Foreign Investment in the United States and substantial restrictions on investment from China;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risks, including use of the legal system by the government to benefit itself or affiliated entities at our expense, including expropriation of property;</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suffer reputational harm as a result of our operations in Russia.</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121"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related to acquired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or progress, or changes in approach or timelines,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termination of, or any development related to any collaboration or licensing arrangement;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market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projections or development timelines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our stockholder base;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in the options market for shares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0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63"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38.4% of our outstanding voting stock as of December 31, 2022.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or the perception in the market that the holders of a large number of shares intend to sell shares, could reduce the market price of our common stock.</w:t>
      </w:r>
    </w:p>
    <w:p>
      <w:pPr>
        <w:spacing w:after="0" w:line="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reduce. As of December 31, 2022, we had 153,042,435 shares of common stock outstanding. Also, as of December 31, 2022, 15,844,651 and 1,705,558 shares of common stock that are subject to outstanding options or restricted stock unit awards, respectively, under our outstanding equity plans are eligible for sale in the public market to the extent permitted by the provisions of various vesting schedules, and Rule 144 under the Securities Act. Additionally, as of December 31, 2022, up to 31,228,279 shares of common stock are issuable upon exercise of outstanding warrants. If these additional shares of common stock are sold, or it is perceived that they will be sold, in the public market, the trading price of our common stock could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the funds necessary to fulfill our obligation to repurchase certain warrants.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holders of certain warrants may require us to repurchase the remaining unexercised portion of such warrants for an amount of cash equal to the value of the warrant as determined in accordance with the Black-Scholes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2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restated bylaws may discourage, delay or prevent a merger, acquisition or other change in control of our company that stockholders may consider favorable, including transactions in which a stockholder might otherwise receive a premium for its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in the past and may in the future be subject to securities class action lawsuits.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54"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While we intend to vigorously defend against any demands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currently located at 65 Grove Street, Watertown, Massachusetts and consist of 32,294 total square feet of leased office and laboratory space under a lease that expires in May 2028.</w:t>
      </w:r>
    </w:p>
    <w:p>
      <w:pPr>
        <w:spacing w:after="0" w:line="54" w:lineRule="exact"/>
        <w:rPr>
          <w:sz w:val="20"/>
          <w:szCs w:val="20"/>
          <w:color w:val="auto"/>
        </w:rPr>
      </w:pPr>
    </w:p>
    <w:p>
      <w:pPr>
        <w:ind w:right="1920" w:firstLine="324"/>
        <w:spacing w:after="0" w:line="367" w:lineRule="auto"/>
        <w:rPr>
          <w:sz w:val="20"/>
          <w:szCs w:val="20"/>
          <w:color w:val="auto"/>
        </w:rPr>
      </w:pPr>
      <w:r>
        <w:rPr>
          <w:rFonts w:ascii="Times New Roman" w:cs="Times New Roman" w:eastAsia="Times New Roman" w:hAnsi="Times New Roman"/>
          <w:sz w:val="18"/>
          <w:szCs w:val="18"/>
          <w:color w:val="auto"/>
        </w:rPr>
        <w:t xml:space="preserve">We also lease approximately 2,500 square feet of office and laboratory space in Moscow, Russia on a month-to-month basis. </w:t>
      </w:r>
      <w:r>
        <w:rPr>
          <w:rFonts w:ascii="Times New Roman" w:cs="Times New Roman" w:eastAsia="Times New Roman" w:hAnsi="Times New Roman"/>
          <w:sz w:val="18"/>
          <w:szCs w:val="18"/>
          <w:b w:val="1"/>
          <w:bCs w:val="1"/>
          <w:color w:val="auto"/>
        </w:rPr>
        <w:t>Item 3. Legal Proceedings</w:t>
      </w:r>
    </w:p>
    <w:p>
      <w:pPr>
        <w:spacing w:after="0" w:line="1"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publicly traded on The Nasdaq Stock Market under the symbol “SELB.”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24, 2023, there were approximately 153,318,915 shares of our common stock outstanding held by approximately 47 holders of record. The actual number of stockholders is greater than this number of record holders, and includes stockholders who are beneficial owners, but whose shares are held in street name by brokers and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loan and security agreement with Oxford and SVB currently prohibits us from paying dividends on our equity securities, and any future debt agreements may likewise preclude us from paying dividends. See “Management’s Discussion and Analysis of Financial Condition and Results of Operations Liquidity and Capital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December 31, 2017 and December 31, 2022, with the cumulative total return of (a) the Nasdaq Composite Index and (b) the Nasdaq Biotechnology Index, over the same period. This graph assumes the investment of $100 at the market close on December 31, 2017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Selecta Biosciences,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88265</wp:posOffset>
            </wp:positionV>
            <wp:extent cx="5143500" cy="2331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Item 1A. “Risk Factors.” A discussion of the year ended December 31, 2021 compared to the year ended December 31, 2020 has been reported previously in our Annual Report on Form 10-K for the year ended December 31, 2021, filed with the SEC on March 10, 2022, under the heading “Management’s Discussion and Analysis of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leveraging our ImmTOR®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 focused on enzyme therapies, gene therapies, and autoimmune diseases.</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preclinical studies, we have observed that ImmTOR may have synergistic activity with interleukin-2, or IL-2, molecules that have been engineered to be selective for regulatory T cells, or Tregs. Treg-selective IL-2 molecules have been shown to transiently expand all pre-existing Tregs in preclinical and clinical studies conducted by others. We have observed in preclinical studies that the combination of ImmTOR, a Treg-selective IL-2 molecule and an antigen exhibited substantial synergistic activity in inducing and expanding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believe this combination has the potential to be a "first-in-class" antigen specific IL-2 therapy for autoimmune disease.</w:t>
      </w:r>
    </w:p>
    <w:p>
      <w:pPr>
        <w:spacing w:after="0" w:line="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ImmTOR and ImmTOR-IL have the potential to enable novel therapeutic modalities in autoimmune disease as well as enhance both the efficacy and safety of biologic therapies (including gene therapies) and improve product candidates under development. In clinical trials, ImmTOR has been observed to inhibit the formation of neutralizing antibodies to adeno-associated virus (AAV) capsids, potentially enabling re-dosing of gene therapies. Additionally, based on preclinical data in AAV gene therapies, we believe that ImmTOR has the potential to improve efficacy and safety by increasing transgene expression, reducing hepatic inflammation and inhibiting undesired immune responses to both the AAV capsid and the transgene product that can occur with the first dose of gene therapy.</w:t>
      </w:r>
    </w:p>
    <w:p>
      <w:pPr>
        <w:spacing w:after="0" w:line="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biologic therapies, clinical activity of ImmTOR in humans has been observed with pegadricase, a highly immunogenic pegylated uricase enzyme being developed for the treatment of patients with chronic refractory gout. The combination of ImmTOR and pegadricase is currently being evaluated in a Phase 3 clinical trial that we are conducting on behalf of our partner Swedish Orphan Biovitrum AB, or Sobi.</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intend to pursue development of therapies for autoimmune diseases where expansion of either all Tregs or antigen-specific Tregs has been shown to, or we believe is, likely to have a beneficial effect. We believe that ImmTOR and ImmTOR-IL have the potential to unlock antigen-specific therapies for autoimmune diseases and that ImmTOR-IL can further improve the efficacy and safety profile of biologic therapies beyond ImmTOR alone.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continue to closely monitor how the COVID-19 pandemic is affecting our employees, business, preclinical studies and clinical trials. Disruptions caused by the COVID-19 pandemic may result in difficulties or delays in initiating, enrolling, conducting or completing our planned and ongoing clinical trials, and the incurrence of unforeseen costs as a result of supply chain, preclinical study, or clinical trial delays.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While the COVID-19 pandemic has not had a material impact on our clinical programs as of the date of this Annual Report, it could have an impact on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72" w:lineRule="exact"/>
        <w:rPr>
          <w:sz w:val="20"/>
          <w:szCs w:val="20"/>
          <w:color w:val="auto"/>
        </w:rPr>
      </w:pPr>
    </w:p>
    <w:p>
      <w:pPr>
        <w:ind w:right="820" w:firstLine="324"/>
        <w:spacing w:after="0" w:line="266" w:lineRule="auto"/>
        <w:rPr>
          <w:sz w:val="20"/>
          <w:szCs w:val="20"/>
          <w:color w:val="auto"/>
        </w:rPr>
      </w:pPr>
      <w:r>
        <w:rPr>
          <w:rFonts w:ascii="Times New Roman" w:cs="Times New Roman" w:eastAsia="Times New Roman" w:hAnsi="Times New Roman"/>
          <w:sz w:val="18"/>
          <w:szCs w:val="18"/>
          <w:color w:val="auto"/>
        </w:rPr>
        <w:t>At this time, any impact of COVID-19 on our business, revenues, results of operations and financial condition will largely depend on future developments, which are highly uncertain and cannot be predicted with confidence, such as the duration of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6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Except for the year ended December 31, 2022, we have incurred significant operating losses since our inception. We had net income of $35.4 million and incurred a net loss of $25.7 million for the years ended December 31, 2022 and 2021, respectively. As of December 31, 2022, we had an accumulated deficit of $394.9 million. We expect to continue to incur significant expenses and operating losses for at least the next several years as we:</w:t>
      </w:r>
    </w:p>
    <w:p>
      <w:pPr>
        <w:spacing w:after="0" w:line="68" w:lineRule="exact"/>
        <w:rPr>
          <w:sz w:val="20"/>
          <w:szCs w:val="20"/>
          <w:color w:val="auto"/>
        </w:rPr>
      </w:pPr>
    </w:p>
    <w:p>
      <w:pPr>
        <w:ind w:left="660" w:right="4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 as well as product candidates that we may be developing jointly with collaboration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ImmTOR platform and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 and</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December 31, 2022 will enable us to fund our operating expenses and capital expenditure requirements into mid-2024. We have based this estimate on assumptions that may prove to be wrong, and we could use our capital resources sooner than we currently expect.</w:t>
      </w:r>
    </w:p>
    <w:p>
      <w:pPr>
        <w:spacing w:after="0" w:line="6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Notes 2 and 12 to our consolidated financial statements included elsewhere in this Annual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CMO-related costs and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incurred a total of $436.4 million in research and development expenses from inception through December 31, 2022, with a majority of the expenses being spent on the development of SEL-212 and the remainder being spent on our various discovery and preclinical stage product candidate programs and the general expansion of our technology platform.</w:t>
      </w:r>
    </w:p>
    <w:p>
      <w:pPr>
        <w:spacing w:after="0" w:line="6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research and development expenses during the periods indicated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SEL-212</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32,288</w:t>
            </w:r>
          </w:p>
        </w:tc>
      </w:tr>
      <w:tr>
        <w:trPr>
          <w:trHeight w:val="19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22,217</w:t>
            </w:r>
          </w:p>
        </w:tc>
      </w:tr>
      <w:tr>
        <w:trPr>
          <w:trHeight w:val="22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prior period expenses have been reclassified to conform to current year presentation.</w:t>
      </w:r>
    </w:p>
    <w:p>
      <w:pPr>
        <w:spacing w:after="0" w:line="11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consolidated financial statements included elsewhere in this Annual Report. The reimbursable costs exclude any costs of additional development activities required that are related to ImmTOR and that are unrelated to SEL-212.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sublease income during the year ended December 31, 2022 and was de minimis during the years ended December 31, 2021 and December 31,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December 31, 2022 and 2021, we maintained cash of $0.2 million and $0.3 million, respectively,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collaboration and license revenue for the years ended December 31, 2022 and 2021 (in thousands, except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6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25,700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we recognized $82.6 million and $83.5 million, respectively, under the license agreement with Sobi resulting from both the shipment of clinical supply and the reimbursement of costs incurred for the Phase 3 DISSOLVE clinical program. Additionally, during the year ended December 31, 2022, we recognized $10.2 million under the Sarepta agreement, $9.2 million upon the mutual termination of the Spark License Agreement (as defined below), $7.0 million upon the mutual termination of the AskBio License Agreement (as defined below), and $1.8 million under the Takeda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years ended December 31, 2022 and 2021 (in thousands, except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gridSpan w:val="3"/>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SEL-212</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(4,645)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prior period expenses have been reclassified to conform to current year presentation.</w:t>
      </w:r>
    </w:p>
    <w:p>
      <w:pPr>
        <w:spacing w:after="0" w:line="11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w:t>
      </w:r>
      <w:r>
        <w:rPr>
          <w:rFonts w:ascii="Times New Roman" w:cs="Times New Roman" w:eastAsia="Times New Roman" w:hAnsi="Times New Roman"/>
          <w:sz w:val="18"/>
          <w:szCs w:val="18"/>
          <w:color w:val="2C2C2C"/>
        </w:rPr>
        <w:t>, our research and development expenses increased by $3.6 million, or 5%, as com</w:t>
      </w:r>
      <w:r>
        <w:rPr>
          <w:rFonts w:ascii="Times New Roman" w:cs="Times New Roman" w:eastAsia="Times New Roman" w:hAnsi="Times New Roman"/>
          <w:sz w:val="18"/>
          <w:szCs w:val="18"/>
          <w:color w:val="auto"/>
        </w:rPr>
        <w:t>pared to 2021. The increase in cost was primarily the result of expenses incurred for the preclinical programs, increased personnel expenses and stock compensation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years ended December 31, 2022 and 2021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2,924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our general and administrative expenses increased by $2.9 million, or 14%, as compared to 2021. The increase in costs was primarily the result of expenses incurred for stock compensation and personnel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Investment income was $2.1 million and de minimis for the years ended December 31, 2022 and 2021, respectively. The increase in investment income was due to increased investment balances and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translation adjustments during each of the years ended December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$3.0 million and $2.8 million for the years ended December 31, 2022 and 2021, respectively, representing interest expense and amortization of the carrying costs of our credit facilities.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recognized $20.9 million of income from the decrease in the fair value of warrant liabilities utilizing the Black-Scholes valuation methodology. The decrease in value was primarily driven by a decrease in the Company’s share price. For the year ended December 31, 2021, we recognized $2.3 million of loss from the increase in the fair value of warrant liabilities primarily driven by a slight increase in the Company's share price, offset by the decrease in outstanding warrants due to exercise.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was $0.3 million and de minimis for the years ended December 31, 2022 and 2021, respectively.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100" w:firstLine="324"/>
        <w:spacing w:after="0" w:line="236" w:lineRule="auto"/>
        <w:rPr>
          <w:sz w:val="20"/>
          <w:szCs w:val="20"/>
          <w:color w:val="auto"/>
        </w:rPr>
      </w:pPr>
      <w:r>
        <w:rPr>
          <w:rFonts w:ascii="Times New Roman" w:cs="Times New Roman" w:eastAsia="Times New Roman" w:hAnsi="Times New Roman"/>
          <w:sz w:val="18"/>
          <w:szCs w:val="18"/>
          <w:color w:val="auto"/>
        </w:rPr>
        <w:t>For the year ended December 31, 2022, we recognized $0.6 million benefit for penalty abatements received. For the year ended December 31, 2021, we recognized $16.0 million of expense for the income taxes primarily related to the license agreement with Sobi upon the Company’s election to opt out of the installment sale method of taxation. For income tax purposes, the transfer of trademark and product rights is treated as a sale and the net proceeds from the sale are taxed under the default installment method as cash is received by the Company. During the year ended December 31,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2020 tax return. In the elect out method, the Company was initially taxed based upon the estimated fair value of all present and future proceeds from the sale and the Company utilized all of its available net operating losses and income tax credits, which served to reduce the federal and state tax liability. As the Company recognizes future cash proceeds under the Sobi license, the Company will exclude such amounts from taxable income up to the originally estimated fair value that was previously taxed.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Net income for the year ended December 31, 2022 increased to $35.4 million as compared to a net loss of $25.7 million in 2021 primarily due to increased collaboration and license revenue, increase in the benefit from the change in fair value of warrant liabilities, and an increase in income tax benefit, partially offset by increased research and development expenses.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of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our inception through December 31, 2022, we have raised an aggregate of $723.3 million to fund our operations, which includes $118.5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sale of preferred stock, $11.1 million in government grant funding, $36.7 million from borrowings under our credit facilities past and present,</w:t>
      </w:r>
    </w:p>
    <w:p>
      <w:pPr>
        <w:spacing w:after="0" w:line="234" w:lineRule="auto"/>
        <w:rPr>
          <w:sz w:val="20"/>
          <w:szCs w:val="20"/>
          <w:color w:val="auto"/>
        </w:rPr>
      </w:pPr>
      <w:r>
        <w:rPr>
          <w:rFonts w:ascii="Times New Roman" w:cs="Times New Roman" w:eastAsia="Times New Roman" w:hAnsi="Times New Roman"/>
          <w:sz w:val="18"/>
          <w:szCs w:val="18"/>
          <w:color w:val="auto"/>
        </w:rPr>
        <w:t>$250.2 million from our collaborations and license agreements, $64.5 million in combined net proceeds from our initial public offering, $185.2 million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net proceeds from private placements and follow-on offerings of our common stock, and, through December 31, 2022, $57.1 million in aggregate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“at-the-market” offerings of our common stock.</w:t>
      </w:r>
    </w:p>
    <w:p>
      <w:pPr>
        <w:spacing w:after="0" w:line="8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our cash, cash equivalents, restricted cash, and marketable securities were $136.2 million, of which $1.6 million was restricted cash related to lease commitments and $0.2 million was held by our Russian subsidiary designated solely for use in its operations.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our existing cash equivalents, we receive research and development funding pursuant to our collaboration and license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funding from payments under our collaboration agreements represent our only source of committed external funds.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October 2021, we entered into the First Ginkgo Agreement and paid Ginkgo a $0.5 million one-time upfront payment. In June 2022, we paid $0.5 million and issued 892,857 shares of our common stock then-valued at $1.0 million to Ginkgo for the achievement of certain preclinical milestones under the First Ginkgo Agreement. In January 2022, we entered into the Second Ginkgo Agreement and paid Ginkgo a $1.5 million one-time upfront payment.</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Additionally, in October 2021, we entered into the Genovis Agreement, and paid Genovis a $4.0 million one-time upfront payment. In February 2023, as a result of the sublicense of Xork to Astellas, we made a $4.0 million payment to Genovis.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September 7, 2021, we entered into the Cyrus Agreement, and purchased 2,326,934 shares of Cyrus’ Series B Preferred Stock, par value $0.0001 per share at a purchase price of $0.8595 per share for $2.0 million.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October 1, 2021, we entered into the Takeda Agreement. We received a $3.0 million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the Sobi Private Placement, we received an additional $25 million from Sobi in consideration for Sobi’s purchase of our common stock at $4.6156 per share.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w:t>
      </w:r>
    </w:p>
    <w:p>
      <w:pPr>
        <w:spacing w:after="0" w:line="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in June 2020, we entered into the Sarepta Agreement. Sarepta paid us a $2.0 million upfront payment upon closing and a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w:t>
      </w:r>
    </w:p>
    <w:p>
      <w:pPr>
        <w:spacing w:after="0" w:line="7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December 2019, we entered into a license agreement with AskBio, or the AskBio License Agreement. Pursuant to the AskBio License Agreement, AskBio has exercised its option to exclusively license intellectual property rights covering ImmTOR to research, develop, and commercialize certain AAV gene therapy products utilizing ImmTOR, and targeting the GAA gene, or derivatives thereof, to treat Pompe Disease. We received $7.0 million of upfront fees pursuant to the AskBio License Agreement. In November 2022, the AskBio License Agreement was mutually terminated.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On August 6, 2020, we filed a universal shelf registration statement on Form S-3 (File No. 333-241692) with the Securities and Exchange Commission, or the SEC, to sell an aggregate amount of up to $200.0 million of certain of its securities. The shelf registration statement was declared effective by the SEC on August 14, 2020. Concurrent with the filing, we entered into a sales agreement, or the 2020 Sales Agreement, with Jefferies LLC, as sales agent, pursuant to which we were permitted, from time to time, to issue and sell common stock with an aggregate value of up to $50.0 million in an “at-the-market” offering. On October 8, 2021, we delivered notice to Jefferies LLC that we were terminating the 2020 Sales Agreement, with effect as of October 19, 2021.</w:t>
      </w:r>
    </w:p>
    <w:p>
      <w:pPr>
        <w:spacing w:after="0" w:line="72" w:lineRule="exact"/>
        <w:rPr>
          <w:sz w:val="20"/>
          <w:szCs w:val="20"/>
          <w:color w:val="auto"/>
        </w:rPr>
      </w:pPr>
    </w:p>
    <w:p>
      <w:pPr>
        <w:jc w:val="both"/>
        <w:ind w:right="100" w:firstLine="324"/>
        <w:spacing w:after="0" w:line="250" w:lineRule="auto"/>
        <w:rPr>
          <w:sz w:val="20"/>
          <w:szCs w:val="20"/>
          <w:color w:val="auto"/>
        </w:rPr>
      </w:pPr>
      <w:r>
        <w:rPr>
          <w:rFonts w:ascii="Times New Roman" w:cs="Times New Roman" w:eastAsia="Times New Roman" w:hAnsi="Times New Roman"/>
          <w:sz w:val="18"/>
          <w:szCs w:val="18"/>
          <w:color w:val="auto"/>
        </w:rPr>
        <w:t>On October 25, 2021, we entered into a Sales Agreement, or the 2021 Sales Agreement, with SVB Leerink LLC to sell shares of our common stock, from time to time, through an “at the market” equity offering program under which SVB Leerink will act as sales agent. The shares of common stock sold pursuant to the 2021 Sales Agreement will be issued pursuant to such shelf registration statement on Form S-3 and related prospectus supplement, filed on October 25, 2021 with the SEC, for aggregate gross sales proceeds of up to $75.0 million.</w:t>
      </w:r>
    </w:p>
    <w:p>
      <w:pPr>
        <w:spacing w:after="0" w:line="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sold 774,544 shares of our common stock pursuant to the 2021 Sales Agreement for aggregate net proceeds of $2.1 million, after deducting commissions and other transaction costs. During the year ended December 31, 2021, we sold 13,767,511 shares of our common stock pursuant to the 2021 and 2020 Sales Agreements, as applicable, for aggregate net proceeds of $51.9 million, after deducting commissions and other transaction costs.</w:t>
      </w:r>
    </w:p>
    <w:p>
      <w:pPr>
        <w:spacing w:after="0" w:line="7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April 11, 2022, we sold an aggregate of 27,428,572 shares of our common stock at a purchase price of $1.41 per share and warrants to purchase an aggregate of 20,571,429 shares of common stock at a purchase price of $1.55 per share underlying each common warrant for net proceeds of $36.9 million, after deducting commissions and other transaction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August 31, 2020, we entered into a term loan of up to $35.0 million, or the 2020 Term Loan,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or the Funding Date. The second draw period expired on September 30, 2021 and the Term B Loan is no longer available to be drawn by the Company.</w:t>
      </w:r>
    </w:p>
    <w:p>
      <w:pPr>
        <w:spacing w:after="0" w:line="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March 21, 2022, we entered into a Second Amendment to Loan and Security Agreement, or the Second Amendment, which amended the Loan and Security Agreement. The Second Amendment extends the date on which amortization payments in respect of the 2020 Term Loan will commence to April 1, 2023. Thereafter, amortization payments will be paid monthly in equal installments of principal and interest to fully amortize the outstanding principal over the remaining term of the 2020 Term</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Loan, subject to recalculation upon a change in the prime rate. The Second Amendment was determined to be a loan modification, and the $0.1 million fee was recorded as an addition to the debt discount on the effective date.</w:t>
      </w:r>
    </w:p>
    <w:p>
      <w:pPr>
        <w:spacing w:after="0" w:line="40"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On September 20, 2022, we entered into a Third Amendment to the Loan and Security Agreement, or the Third Amendment, which amended the Loan and Security Agreement. The Third Amendment was entered into in connection with the expansion of our corporate headquarters to provide for an increase of $0.2 million in the letter of credit for a total of $1.6 million which renews automatically each year.</w:t>
      </w:r>
    </w:p>
    <w:p>
      <w:pPr>
        <w:spacing w:after="0" w:line="8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spacing w:after="0" w:line="81" w:lineRule="exact"/>
        <w:rPr>
          <w:sz w:val="20"/>
          <w:szCs w:val="20"/>
          <w:color w:val="auto"/>
        </w:rPr>
      </w:pPr>
    </w:p>
    <w:p>
      <w:pPr>
        <w:ind w:right="6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For a further description of the 2020 Term Loan, see Note 9 to our consolidated financial statements included elsewhere in this Annual Report. </w:t>
      </w:r>
      <w:r>
        <w:rPr>
          <w:rFonts w:ascii="Times New Roman" w:cs="Times New Roman" w:eastAsia="Times New Roman" w:hAnsi="Times New Roman"/>
          <w:sz w:val="18"/>
          <w:szCs w:val="18"/>
          <w:b w:val="1"/>
          <w:bCs w:val="1"/>
          <w:color w:val="auto"/>
        </w:rPr>
        <w:t>Future funding requirements</w:t>
      </w:r>
    </w:p>
    <w:p>
      <w:pPr>
        <w:spacing w:after="0" w:line="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an accumulated deficit of $394.9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continually evaluating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shareholders will be diluted, and other preferences may be necessary that adversely affect the rights of existing shareholders.</w:t>
      </w:r>
    </w:p>
    <w:p>
      <w:pPr>
        <w:spacing w:after="0" w:line="7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December 31, 2022 will enable us to fund our current planned operations into mid-2024, though we may realize additional cash resources upon the achievement of certain contingent collaboration milestones and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14,431</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$31.6 million compared to $60.4 million in the same period in 2021. The decrease in net cash used in operating activities was primarily due to $28.8 million of net income, adjusted for non-cash items, and uses of cash of approximately $60.4 million for changes in operating assets and liabilities.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$15.0 million compared to net cash used in investing activities of $17.1 million in the same period in 2021. The net cash used in investing activities in 2022 was to purchase marketable securities and property and equipment, offset by proceeds from the maturities of marketable securities. The net cash used in investing activities in 2021 was primarily to purchase marketable securities and to invest in Cyrus Biotechnology, offset by proceeds from the maturities of marketable securities.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year ended December 31, 2022 was $39.2 million compared to net cash provided by financing activities of $52.9 million in the same period in 2021. The net cash provided by financing activities in 2022 was primarily the result of net proceeds from issuance of common stock and common warrants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at-the-market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offerings. The net cash provided by financing activities in 2021 was primarily the result of net proceeds from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at-the-market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offerings and from the exercise of stock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contract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our license agreement with MIT, milestone payments are due upon the occurrence of certain events and royalty payments commence upon our commercialization of a product. As of December 31, 2022, contractual obligations were $0.4 million. We have assumed license payments are fully offset by royalty payments in 2028.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consolidated financial statements included elsewhere in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did not have any off-balance sheet arrangements as defined in the rules and regulations of the Securities and Exchange Commission.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included elsewhere in this Annual Report on Form 10-K, we believe the following accounting policies to be the most critical in understanding the judgments and estimates we use in preparing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w:t>
      </w:r>
    </w:p>
    <w:p>
      <w:pPr>
        <w:spacing w:after="0" w:line="1" w:lineRule="exact"/>
        <w:rPr>
          <w:sz w:val="20"/>
          <w:szCs w:val="20"/>
          <w:color w:val="auto"/>
        </w:rPr>
      </w:pPr>
    </w:p>
    <w:p>
      <w:pPr>
        <w:ind w:right="20" w:firstLine="8"/>
        <w:spacing w:after="0" w:line="241"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Swedish Orphan Biovitrum, or Sobi, Sarepta Therapeutics, Inc., or Sarepta, and Takeda Pharmaceuticals USA, Inc., or Takeda, (see Note 12) will be satisfied over time, and revenue will be recognized using the output method, based on the proportion of actual deliveries to the total expected deliveries over the initial term.</w:t>
      </w:r>
    </w:p>
    <w:p>
      <w:pPr>
        <w:spacing w:after="0" w:line="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Collaboration and License Revenue: </w:t>
      </w:r>
      <w:r>
        <w:rPr>
          <w:rFonts w:ascii="Times New Roman" w:cs="Times New Roman" w:eastAsia="Times New Roman" w:hAnsi="Times New Roman"/>
          <w:sz w:val="18"/>
          <w:szCs w:val="18"/>
          <w:color w:val="auto"/>
        </w:rPr>
        <w:t>We currently generate revenue through collaboration and license agreements with strategic collaborators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808</w:t>
      </w:r>
      <w:r>
        <w:rPr>
          <w:rFonts w:ascii="Times New Roman" w:cs="Times New Roman" w:eastAsia="Times New Roman" w:hAnsi="Times New Roman"/>
          <w:sz w:val="18"/>
          <w:szCs w:val="18"/>
          <w:color w:val="auto"/>
        </w:rPr>
        <w:t>), and evaluate whether such arrangements involve joint operating activities performed by parties that are both active participants in the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8"/>
          <w:szCs w:val="18"/>
          <w:i w:val="1"/>
          <w:iCs w:val="1"/>
          <w:color w:val="auto"/>
        </w:rPr>
        <w:t>Research and Development (ASC 730)</w:t>
      </w:r>
      <w:r>
        <w:rPr>
          <w:rFonts w:ascii="Times New Roman" w:cs="Times New Roman" w:eastAsia="Times New Roman" w:hAnsi="Times New Roman"/>
          <w:sz w:val="18"/>
          <w:szCs w:val="18"/>
          <w:color w:val="auto"/>
        </w:rPr>
        <w:t>, and record reimbursements from counterparties as an offset to the related research and development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5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6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our intellectual property is determined to be distinct from the other promised goods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 and services in the contract. For licenses that are combined with other promised good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we evaluate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w:t>
      </w:r>
    </w:p>
    <w:p>
      <w:pPr>
        <w:spacing w:after="0" w:line="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121"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December 2019, we issued common warrants in connection with a securities purchase agreement between us and a group of institutional investors and certain members of our board of directors, or the 2019 Warrants. Pursuant to the terms of these common warrants, we could be required to settle the common warrants in cash in the event of certain acquisitions of us and, as a result, the 2019 Warrants are required to be measured at fair value and reported as a liability on the balance sheet.</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April 2022, we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 2019 Warrants held by certain members of our board of directors to remove the cash settlement provision (the Amended 2019 Warrants). As a result, the Amended 2019 Warrants were remeasured at fair value on December 20, 2022 and reclassified from a liability to equity on the balance sheet.</w:t>
      </w:r>
    </w:p>
    <w:p>
      <w:pPr>
        <w:spacing w:after="0" w:line="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08" w:lineRule="exact"/>
        <w:rPr>
          <w:sz w:val="20"/>
          <w:szCs w:val="20"/>
          <w:color w:val="auto"/>
        </w:rPr>
      </w:pPr>
    </w:p>
    <w:p>
      <w:pPr>
        <w:ind w:right="40" w:firstLine="324"/>
        <w:spacing w:after="0" w:line="260"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December 31, 2022 and 2021, we had cash, cash equivalents, restricted cash and marketable securities of $136.2 million and $129.4 million, respectively, consisting of non-interest and interest-bearing money market accounts, U.S. government agency securities and treasuries, corporate bonds and commercial paper.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7"/>
          <w:szCs w:val="17"/>
          <w:b w:val="1"/>
          <w:bCs w:val="1"/>
          <w:color w:val="auto"/>
        </w:rPr>
        <w:t>tem 8. Financial Statements and Supplementary Data</w:t>
      </w:r>
    </w:p>
    <w:p>
      <w:pPr>
        <w:spacing w:after="0" w:line="11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together with the report of our independent registered public company accounting firm, required to be filed pursuant to this Item 8 are appended to this Annual Report. An index of those consolidated financial statements is found in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December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under the Exchange Act.</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2022, our internal control over financial reporting was effective.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believe we have a robust and efficient system of internal and disclosure controls and procedures, our management, including our Chief Executive Officer and Chief Financial Officer, recognize that it is impossible for our disclosure controls and procedures or our internal controls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December 31, 2022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due to an exemption established for “smaller reporting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filed as part of this Annual Report on Form 10-K or the notes thereto or is not required.</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2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2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80" w:type="dxa"/>
            <w:vAlign w:val="bottom"/>
            <w:gridSpan w:val="21"/>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6"/>
        </w:trPr>
        <w:tc>
          <w:tcPr>
            <w:tcW w:w="11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80" w:type="dxa"/>
            <w:vAlign w:val="bottom"/>
            <w:gridSpan w:val="21"/>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9"/>
        </w:trPr>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5"/>
          </w:tcPr>
          <w:p>
            <w:pPr>
              <w:jc w:val="center"/>
              <w:ind w:right="300"/>
              <w:spacing w:after="0" w:line="189"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40" w:type="dxa"/>
            <w:vAlign w:val="bottom"/>
            <w:tcBorders>
              <w:top w:val="single" w:sz="8" w:color="auto"/>
            </w:tcBorders>
            <w:gridSpan w:val="24"/>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6/29/2016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820" w:type="dxa"/>
            <w:vAlign w:val="bottom"/>
            <w:gridSpan w:val="6"/>
          </w:tcPr>
          <w:p>
            <w:pPr>
              <w:jc w:val="center"/>
              <w:ind w:right="38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20" w:type="dxa"/>
            <w:vAlign w:val="bottom"/>
          </w:tcPr>
          <w:p>
            <w:pPr>
              <w:spacing w:after="0"/>
              <w:rPr>
                <w:sz w:val="18"/>
                <w:szCs w:val="18"/>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6/21/2022</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gridSpan w:val="2"/>
          </w:tcPr>
          <w:p>
            <w:pPr>
              <w:spacing w:after="0"/>
              <w:rPr>
                <w:sz w:val="19"/>
                <w:szCs w:val="19"/>
                <w:color w:val="auto"/>
              </w:rPr>
            </w:pPr>
          </w:p>
        </w:tc>
        <w:tc>
          <w:tcPr>
            <w:tcW w:w="200" w:type="dxa"/>
            <w:vAlign w:val="bottom"/>
          </w:tcPr>
          <w:p>
            <w:pPr>
              <w:jc w:val="center"/>
              <w:spacing w:after="0"/>
              <w:rPr>
                <w:rFonts w:ascii="Times New Roman" w:cs="Times New Roman" w:eastAsia="Times New Roman" w:hAnsi="Times New Roman"/>
                <w:sz w:val="18"/>
                <w:szCs w:val="18"/>
                <w:color w:val="0000FF"/>
                <w:w w:val="88"/>
              </w:rPr>
            </w:pPr>
            <w:hyperlink r:id="rId107">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By-laws of Selecta Biosciences, Inc.</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2"/>
          </w:tcPr>
          <w:p>
            <w:pPr>
              <w:spacing w:after="0"/>
              <w:rPr>
                <w:sz w:val="18"/>
                <w:szCs w:val="18"/>
                <w:color w:val="auto"/>
              </w:rPr>
            </w:pPr>
          </w:p>
        </w:tc>
        <w:tc>
          <w:tcPr>
            <w:tcW w:w="200" w:type="dxa"/>
            <w:vAlign w:val="bottom"/>
          </w:tcPr>
          <w:p>
            <w:pPr>
              <w:jc w:val="center"/>
              <w:spacing w:after="0"/>
              <w:rPr>
                <w:rFonts w:ascii="Times New Roman" w:cs="Times New Roman" w:eastAsia="Times New Roman" w:hAnsi="Times New Roman"/>
                <w:sz w:val="18"/>
                <w:szCs w:val="18"/>
                <w:color w:val="0000FF"/>
                <w:w w:val="88"/>
              </w:rPr>
            </w:pPr>
            <w:hyperlink r:id="rId108">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Specimen Stock Certificate evidencing the shares of common stock</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Warrant to Purchase Shares of Series D Preferred Stock, dated</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20" w:type="dxa"/>
            <w:vAlign w:val="bottom"/>
            <w:gridSpan w:val="2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August 9, 2013 or July 25, 2014, issued by the Registrant to Oxford Finance</w:t>
              </w:r>
            </w:hyperlink>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LLC and Square One Bank, together with a schedule of warrant holders</w:t>
              </w:r>
            </w:hyperlink>
          </w:p>
        </w:tc>
        <w:tc>
          <w:tcPr>
            <w:tcW w:w="3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Warrant to Purchase Shares of Series E Preferred Stock, dated</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20" w:type="dxa"/>
            <w:vAlign w:val="bottom"/>
            <w:gridSpan w:val="23"/>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December 31, 2015, issued by the Registrant to Oxford Finance LLC and</w:t>
              </w:r>
            </w:hyperlink>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Square One Bank, together with a schedule of warrant holders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Common Stock Purchase Warrant, dated June 27, 2017, by and between the</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6/28/2017</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Registrant and Timothy Springer, Ph.D.</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Registration Rights Agreement, dated December 23, 2019, by and among the</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12/26/2019</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Registrant and the Investors named therein</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Registration Rights Agreement, dated as of June 11, 2020, by and between</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the Registrant and Swedish Orphan Biovitrum AB (Publ)</w:t>
              </w:r>
            </w:hyperlink>
          </w:p>
        </w:tc>
        <w:tc>
          <w:tcPr>
            <w:tcW w:w="1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3"/>
          </w:tcPr>
          <w:p>
            <w:pPr>
              <w:jc w:val="center"/>
              <w:ind w:left="315"/>
              <w:spacing w:after="0"/>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Registration Rights Agreement, dated as of June 11, 2020, by and between</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11/5/2020</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the Registrant and Swedish Orphan Biovitrum AB (Publ), as amended on</w:t>
              </w:r>
            </w:hyperlink>
          </w:p>
        </w:tc>
        <w:tc>
          <w:tcPr>
            <w:tcW w:w="1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November 4, 2020</w:t>
              </w:r>
            </w:hyperlink>
          </w:p>
        </w:tc>
        <w:tc>
          <w:tcPr>
            <w:tcW w:w="3940" w:type="dxa"/>
            <w:vAlign w:val="bottom"/>
            <w:tcBorders>
              <w:top w:val="single" w:sz="8" w:color="0000FF"/>
            </w:tcBorders>
            <w:gridSpan w:val="15"/>
          </w:tcPr>
          <w:p>
            <w:pPr>
              <w:spacing w:after="0"/>
              <w:rPr>
                <w:sz w:val="13"/>
                <w:szCs w:val="13"/>
                <w:color w:val="auto"/>
              </w:rPr>
            </w:pPr>
          </w:p>
        </w:tc>
        <w:tc>
          <w:tcPr>
            <w:tcW w:w="22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20" w:type="dxa"/>
            <w:vAlign w:val="bottom"/>
            <w:gridSpan w:val="6"/>
          </w:tcPr>
          <w:p>
            <w:pPr>
              <w:jc w:val="center"/>
              <w:ind w:right="400"/>
              <w:spacing w:after="0"/>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8(a)</w:t>
              </w:r>
            </w:hyperlink>
          </w:p>
        </w:tc>
        <w:tc>
          <w:tcPr>
            <w:tcW w:w="20" w:type="dxa"/>
            <w:vAlign w:val="bottom"/>
          </w:tcPr>
          <w:p>
            <w:pPr>
              <w:spacing w:after="0"/>
              <w:rPr>
                <w:sz w:val="19"/>
                <w:szCs w:val="19"/>
                <w:color w:val="auto"/>
              </w:rPr>
            </w:pPr>
          </w:p>
        </w:tc>
        <w:tc>
          <w:tcPr>
            <w:tcW w:w="5640" w:type="dxa"/>
            <w:vAlign w:val="bottom"/>
            <w:gridSpan w:val="2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Common Stock Purchase Warrant, dated December 23, 2019</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12/26/2019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60" w:type="dxa"/>
            <w:vAlign w:val="bottom"/>
            <w:gridSpan w:val="10"/>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8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8(b)</w:t>
            </w:r>
          </w:p>
        </w:tc>
        <w:tc>
          <w:tcPr>
            <w:tcW w:w="20" w:type="dxa"/>
            <w:vAlign w:val="bottom"/>
          </w:tcPr>
          <w:p>
            <w:pPr>
              <w:spacing w:after="0"/>
              <w:rPr>
                <w:sz w:val="18"/>
                <w:szCs w:val="18"/>
                <w:color w:val="auto"/>
              </w:rPr>
            </w:pPr>
          </w:p>
        </w:tc>
        <w:tc>
          <w:tcPr>
            <w:tcW w:w="56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of Amendment No. 1 to Common Stock Purchase Warrant by and</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7"/>
              </w:rPr>
              <w:t>between Selecta Biosciences, Inc. and certain Directors, dated December</w:t>
            </w:r>
          </w:p>
        </w:tc>
        <w:tc>
          <w:tcPr>
            <w:tcW w:w="480" w:type="dxa"/>
            <w:vAlign w:val="bottom"/>
            <w:gridSpan w:val="10"/>
          </w:tcPr>
          <w:p>
            <w:pPr>
              <w:jc w:val="right"/>
              <w:ind w:right="120"/>
              <w:spacing w:after="0" w:line="156" w:lineRule="exact"/>
              <w:rPr>
                <w:sz w:val="20"/>
                <w:szCs w:val="20"/>
                <w:color w:val="auto"/>
              </w:rPr>
            </w:pPr>
            <w:r>
              <w:rPr>
                <w:rFonts w:ascii="Times New Roman" w:cs="Times New Roman" w:eastAsia="Times New Roman" w:hAnsi="Times New Roman"/>
                <w:sz w:val="18"/>
                <w:szCs w:val="18"/>
                <w:color w:val="0000FF"/>
              </w:rPr>
              <w:t>20,</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2022</w:t>
            </w:r>
          </w:p>
        </w:tc>
        <w:tc>
          <w:tcPr>
            <w:tcW w:w="1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32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60" w:type="dxa"/>
            <w:vAlign w:val="bottom"/>
            <w:gridSpan w:val="6"/>
          </w:tcPr>
          <w:p>
            <w:pPr>
              <w:jc w:val="center"/>
              <w:ind w:left="70"/>
              <w:spacing w:after="0"/>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9</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20" w:type="dxa"/>
            <w:vAlign w:val="bottom"/>
            <w:gridSpan w:val="37"/>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of Warrant to Purchase Stock, dated August 31, 2020, issued by Selecta</w:t>
              </w:r>
            </w:hyperlink>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Biosciences, Inc. to Oxford Finance LLC and Silicon Valley Bank, together</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with a schedule of warrants.</w:t>
              </w:r>
            </w:hyperlink>
          </w:p>
        </w:tc>
        <w:tc>
          <w:tcPr>
            <w:tcW w:w="340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540" w:type="dxa"/>
            <w:vAlign w:val="bottom"/>
            <w:gridSpan w:val="7"/>
          </w:tcPr>
          <w:p>
            <w:pPr>
              <w:jc w:val="center"/>
              <w:ind w:left="1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Common Stock Purchase Warrant, dated April 11, 2022</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80" w:type="dxa"/>
            <w:vAlign w:val="bottom"/>
            <w:gridSpan w:val="3"/>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540" w:type="dxa"/>
            <w:vAlign w:val="bottom"/>
            <w:gridSpan w:val="7"/>
          </w:tcPr>
          <w:p>
            <w:pPr>
              <w:jc w:val="center"/>
              <w:ind w:left="10"/>
              <w:spacing w:after="0"/>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2016 Incentive Award Plan and form of award agreements thereunder</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540" w:type="dxa"/>
            <w:vAlign w:val="bottom"/>
            <w:gridSpan w:val="7"/>
          </w:tcPr>
          <w:p>
            <w:pPr>
              <w:jc w:val="center"/>
              <w:ind w:left="10"/>
              <w:spacing w:after="0"/>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2016 Employee Stock Purchase Plan</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540" w:type="dxa"/>
            <w:vAlign w:val="bottom"/>
            <w:gridSpan w:val="7"/>
          </w:tcPr>
          <w:p>
            <w:pPr>
              <w:jc w:val="center"/>
              <w:ind w:left="10"/>
              <w:spacing w:after="0"/>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2018 Employment Inducement Incentive Award Plan, amended and restated,</w:t>
              </w:r>
            </w:hyperlink>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and forms agreement thereunder</w:t>
              </w:r>
            </w:hyperlink>
          </w:p>
        </w:tc>
        <w:tc>
          <w:tcPr>
            <w:tcW w:w="3180" w:type="dxa"/>
            <w:vAlign w:val="bottom"/>
            <w:tcBorders>
              <w:top w:val="single" w:sz="8" w:color="0000FF"/>
            </w:tcBorders>
            <w:gridSpan w:val="2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540" w:type="dxa"/>
            <w:vAlign w:val="bottom"/>
            <w:gridSpan w:val="7"/>
          </w:tcPr>
          <w:p>
            <w:pPr>
              <w:jc w:val="center"/>
              <w:ind w:left="10"/>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2008 Stock Incentive Plan and form of award agreements thereunder</w:t>
              </w:r>
            </w:hyperlink>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54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Non-Employee Director Compensation Program</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540" w:type="dxa"/>
            <w:vAlign w:val="bottom"/>
            <w:gridSpan w:val="7"/>
          </w:tcPr>
          <w:p>
            <w:pPr>
              <w:jc w:val="center"/>
              <w:ind w:left="10"/>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3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Indemnification Agreement for Directors and Officers</w:t>
              </w:r>
            </w:hyperlink>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9"/>
          </w:tcPr>
          <w:p>
            <w:pPr>
              <w:jc w:val="center"/>
              <w:ind w:right="320"/>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7(a)†</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Exclusive Patent License Agreement, dated as of November 25, 2008, by and</w:t>
              </w:r>
            </w:hyperlink>
          </w:p>
        </w:tc>
      </w:tr>
      <w:tr>
        <w:trPr>
          <w:trHeight w:val="156"/>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between the Registrant and the Massachusetts Institute of Technology</w:t>
              </w:r>
            </w:hyperlink>
          </w:p>
        </w:tc>
        <w:tc>
          <w:tcPr>
            <w:tcW w:w="5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940" w:type="dxa"/>
            <w:vAlign w:val="bottom"/>
            <w:gridSpan w:val="10"/>
          </w:tcPr>
          <w:p>
            <w:pPr>
              <w:jc w:val="center"/>
              <w:ind w:right="32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7(b)†</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First Amendment to Exclusive Patent License Agreement, dated as of</w:t>
              </w:r>
            </w:hyperlink>
          </w:p>
        </w:tc>
      </w:tr>
      <w:tr>
        <w:trPr>
          <w:trHeight w:val="155"/>
        </w:trPr>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6"/>
              </w:rPr>
            </w:pPr>
            <w:hyperlink r:id="rId126">
              <w:r>
                <w:rPr>
                  <w:rFonts w:ascii="Times New Roman" w:cs="Times New Roman" w:eastAsia="Times New Roman" w:hAnsi="Times New Roman"/>
                  <w:sz w:val="18"/>
                  <w:szCs w:val="18"/>
                  <w:color w:val="0000FF"/>
                  <w:w w:val="96"/>
                </w:rPr>
                <w:t>January 12, 2010, by and between the Registrant and the Massachusetts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160" w:type="dxa"/>
            <w:vAlign w:val="bottom"/>
            <w:gridSpan w:val="25"/>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Institute of Technology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gridSpan w:val="9"/>
          </w:tcPr>
          <w:p>
            <w:pPr>
              <w:jc w:val="center"/>
              <w:ind w:right="320"/>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7(c)†</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Letter Agreement, dated as of November 27, 2012, by and among the</w:t>
              </w:r>
            </w:hyperlink>
          </w:p>
        </w:tc>
      </w:tr>
      <w:tr>
        <w:trPr>
          <w:trHeight w:val="156"/>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4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Registrant, Massachusetts Institute of Technology and Sanofi</w:t>
              </w:r>
            </w:hyperlink>
          </w:p>
        </w:tc>
        <w:tc>
          <w:tcPr>
            <w:tcW w:w="62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23"/>
        </w:trPr>
        <w:tc>
          <w:tcPr>
            <w:tcW w:w="940" w:type="dxa"/>
            <w:vAlign w:val="bottom"/>
            <w:gridSpan w:val="10"/>
          </w:tcPr>
          <w:p>
            <w:pPr>
              <w:jc w:val="center"/>
              <w:ind w:right="32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7(d)†</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Letter Amendment, dated as of November 27, 2012, by and between the</w:t>
              </w:r>
            </w:hyperlink>
          </w:p>
        </w:tc>
      </w:tr>
      <w:tr>
        <w:trPr>
          <w:trHeight w:val="155"/>
        </w:trPr>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1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Registrant and the Massachusetts Institute of Technology</w:t>
              </w:r>
            </w:hyperlink>
          </w:p>
        </w:tc>
        <w:tc>
          <w:tcPr>
            <w:tcW w:w="10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920" w:type="dxa"/>
            <w:vAlign w:val="bottom"/>
            <w:gridSpan w:val="9"/>
          </w:tcPr>
          <w:p>
            <w:pPr>
              <w:jc w:val="center"/>
              <w:ind w:right="320"/>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7(e)†</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Amendment to Exclusive Patent License Agreement, dated as of</w:t>
              </w:r>
            </w:hyperlink>
          </w:p>
        </w:tc>
      </w:tr>
      <w:tr>
        <w:trPr>
          <w:trHeight w:val="156"/>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August 29, 2013, by and between the Registrant and the Massachusetts</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Institute of Technology</w:t>
              </w:r>
            </w:hyperlink>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gridSpan w:val="9"/>
          </w:tcPr>
          <w:p>
            <w:pPr>
              <w:jc w:val="center"/>
              <w:ind w:right="340"/>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7(f)†</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Third Amendment to Exclusive Patent License Agreement, entered into on</w:t>
              </w:r>
            </w:hyperlink>
          </w:p>
        </w:tc>
      </w:tr>
      <w:tr>
        <w:trPr>
          <w:trHeight w:val="155"/>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3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November 21, 2016 and effective as of November 18, 2016, by and between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00" w:type="dxa"/>
            <w:vAlign w:val="bottom"/>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Massachusetts Institute of Technology and the Registrant</w:t>
              </w:r>
            </w:hyperlink>
          </w:p>
        </w:tc>
        <w:tc>
          <w:tcPr>
            <w:tcW w:w="120" w:type="dxa"/>
            <w:vAlign w:val="bottom"/>
            <w:gridSpan w:val="4"/>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3"/>
        </w:trPr>
        <w:tc>
          <w:tcPr>
            <w:tcW w:w="940" w:type="dxa"/>
            <w:vAlign w:val="bottom"/>
            <w:gridSpan w:val="10"/>
          </w:tcPr>
          <w:p>
            <w:pPr>
              <w:jc w:val="center"/>
              <w:ind w:right="32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7(g)†</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Letter Agreement, dated as of December 2, 2016, by and between the</w:t>
              </w:r>
            </w:hyperlink>
          </w:p>
        </w:tc>
      </w:tr>
      <w:tr>
        <w:trPr>
          <w:trHeight w:val="155"/>
        </w:trPr>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Massachusetts Institute of Technology and the Registrant</w:t>
              </w:r>
            </w:hyperlink>
          </w:p>
        </w:tc>
        <w:tc>
          <w:tcPr>
            <w:tcW w:w="100" w:type="dxa"/>
            <w:vAlign w:val="bottom"/>
            <w:gridSpan w:val="3"/>
          </w:tcPr>
          <w:p>
            <w:pPr>
              <w:spacing w:after="0"/>
              <w:rPr>
                <w:sz w:val="13"/>
                <w:szCs w:val="13"/>
                <w:color w:val="auto"/>
              </w:rPr>
            </w:pPr>
          </w:p>
        </w:tc>
        <w:tc>
          <w:tcPr>
            <w:tcW w:w="2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3"/>
        </w:trPr>
        <w:tc>
          <w:tcPr>
            <w:tcW w:w="940" w:type="dxa"/>
            <w:vAlign w:val="bottom"/>
            <w:gridSpan w:val="10"/>
          </w:tcPr>
          <w:p>
            <w:pPr>
              <w:jc w:val="center"/>
              <w:ind w:right="32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7(h)†</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Letter Agreement, dated as of December 2, 2016, by and among Spark</w:t>
              </w:r>
            </w:hyperlink>
          </w:p>
        </w:tc>
      </w:tr>
      <w:tr>
        <w:trPr>
          <w:trHeight w:val="155"/>
        </w:trPr>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Therapeutics, Inc., the Massachusetts Institute of Technology and the</w:t>
              </w:r>
            </w:hyperlink>
          </w:p>
        </w:tc>
        <w:tc>
          <w:tcPr>
            <w:tcW w:w="2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Registrant</w:t>
              </w:r>
            </w:hyperlink>
          </w:p>
        </w:tc>
        <w:tc>
          <w:tcPr>
            <w:tcW w:w="40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gridSpan w:val="9"/>
          </w:tcPr>
          <w:p>
            <w:pPr>
              <w:jc w:val="center"/>
              <w:ind w:right="34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7(i)†</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Fourth Amendment to Exclusive Patent License Agreement, entered into on</w:t>
              </w:r>
            </w:hyperlink>
          </w:p>
        </w:tc>
      </w:tr>
      <w:tr>
        <w:trPr>
          <w:trHeight w:val="156"/>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December 13, 2019, by and between the Massachusetts Institute of</w:t>
              </w:r>
            </w:hyperlink>
          </w:p>
        </w:tc>
        <w:tc>
          <w:tcPr>
            <w:tcW w:w="140" w:type="dxa"/>
            <w:vAlign w:val="bottom"/>
            <w:gridSpan w:val="5"/>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Technology and the Registrant</w:t>
              </w:r>
            </w:hyperlink>
          </w:p>
        </w:tc>
        <w:tc>
          <w:tcPr>
            <w:tcW w:w="56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7"/>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gridSpan w:val="9"/>
          </w:tcPr>
          <w:p>
            <w:pPr>
              <w:jc w:val="center"/>
              <w:ind w:right="34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7(j)†</w:t>
              </w:r>
            </w:hyperlink>
          </w:p>
        </w:tc>
        <w:tc>
          <w:tcPr>
            <w:tcW w:w="562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Fifth Amendment to Exclusive Patent License Agreement, dated as of May</w:t>
              </w:r>
            </w:hyperlink>
          </w:p>
        </w:tc>
      </w:tr>
      <w:tr>
        <w:trPr>
          <w:trHeight w:val="155"/>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15, 2020, by and between the Registrant and the Massachusetts Institute of</w:t>
              </w:r>
            </w:hyperlink>
          </w:p>
        </w:tc>
        <w:tc>
          <w:tcPr>
            <w:tcW w:w="200" w:type="dxa"/>
            <w:vAlign w:val="bottom"/>
            <w:gridSpan w:val="7"/>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Technology</w:t>
              </w:r>
            </w:hyperlink>
          </w:p>
        </w:tc>
        <w:tc>
          <w:tcPr>
            <w:tcW w:w="240" w:type="dxa"/>
            <w:vAlign w:val="bottom"/>
            <w:gridSpan w:val="9"/>
          </w:tcPr>
          <w:p>
            <w:pPr>
              <w:spacing w:after="0"/>
              <w:rPr>
                <w:sz w:val="13"/>
                <w:szCs w:val="13"/>
                <w:color w:val="auto"/>
              </w:rPr>
            </w:pPr>
          </w:p>
        </w:tc>
      </w:tr>
      <w:tr>
        <w:trPr>
          <w:trHeight w:val="87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gridSpan w:val="2"/>
          </w:tcPr>
          <w:p>
            <w:pPr>
              <w:spacing w:after="0"/>
              <w:rPr>
                <w:sz w:val="24"/>
                <w:szCs w:val="24"/>
                <w:color w:val="auto"/>
              </w:rPr>
            </w:pPr>
          </w:p>
        </w:tc>
        <w:tc>
          <w:tcPr>
            <w:tcW w:w="3780" w:type="dxa"/>
            <w:vAlign w:val="bottom"/>
            <w:gridSpan w:val="1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9/3/2020</w:t>
            </w:r>
          </w:p>
        </w:tc>
      </w:tr>
      <w:tr>
        <w:trPr>
          <w:trHeight w:val="589"/>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4/6/2022</w:t>
            </w:r>
          </w:p>
        </w:tc>
      </w:tr>
      <w:tr>
        <w:trPr>
          <w:trHeight w:val="22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230"/>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23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333-230501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3/25/2019</w:t>
            </w:r>
          </w:p>
        </w:tc>
      </w:tr>
      <w:tr>
        <w:trPr>
          <w:trHeight w:val="41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6/20/2016</w:t>
            </w:r>
          </w:p>
        </w:tc>
      </w:tr>
      <w:tr>
        <w:trPr>
          <w:trHeight w:val="230"/>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23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10.7(a)</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41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10.7(b)</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59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10.7(c)</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418"/>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10.7(d)</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41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10.7(e)</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59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10.3(a)</w:t>
            </w:r>
          </w:p>
        </w:tc>
        <w:tc>
          <w:tcPr>
            <w:tcW w:w="1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12/14/2016</w:t>
            </w:r>
          </w:p>
        </w:tc>
      </w:tr>
      <w:tr>
        <w:trPr>
          <w:trHeight w:val="59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10.3(b)</w:t>
            </w:r>
          </w:p>
        </w:tc>
        <w:tc>
          <w:tcPr>
            <w:tcW w:w="1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12/14/2016</w:t>
            </w:r>
          </w:p>
        </w:tc>
      </w:tr>
      <w:tr>
        <w:trPr>
          <w:trHeight w:val="419"/>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10.3(c)</w:t>
            </w:r>
          </w:p>
        </w:tc>
        <w:tc>
          <w:tcPr>
            <w:tcW w:w="1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12/14/2016</w:t>
            </w:r>
          </w:p>
        </w:tc>
      </w:tr>
      <w:tr>
        <w:trPr>
          <w:trHeight w:val="59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10.7(i)</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59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8/6/2020</w:t>
            </w:r>
          </w:p>
        </w:tc>
      </w:tr>
    </w:tbl>
    <w:p>
      <w:pPr>
        <w:sectPr>
          <w:pgSz w:w="11900" w:h="16838" w:orient="portrait"/>
          <w:cols w:equalWidth="0" w:num="2">
            <w:col w:w="6740" w:space="360"/>
            <w:col w:w="4040"/>
          </w:cols>
          <w:pgMar w:left="320" w:top="121"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hanging="834"/>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Amended and Restated License Agreement, dated as of May 31, 2017, by and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between the Registrant and Shenyang Sunshine Pharmaceutical Co., Ltd.</w:t>
        </w:r>
      </w:hyperlink>
    </w:p>
    <w:p>
      <w:pPr>
        <w:spacing w:after="0" w:line="10" w:lineRule="exact"/>
        <w:rPr>
          <w:rFonts w:ascii="Times New Roman" w:cs="Times New Roman" w:eastAsia="Times New Roman" w:hAnsi="Times New Roman"/>
          <w:sz w:val="18"/>
          <w:szCs w:val="18"/>
          <w:u w:val="single" w:color="auto"/>
          <w:color w:val="0000FF"/>
        </w:rPr>
      </w:pPr>
    </w:p>
    <w:p>
      <w:pPr>
        <w:ind w:left="1140" w:right="360" w:hanging="834"/>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Manufacturing Services Agreement, dated as of August 1, 2014, by and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between the Registrant and Shenyang Sunshine Pharmaceutical Co., Ltd.</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93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10.10(a)</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Lease Agreement by and between BRE-BMR Grove LLC and Selecta</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Biosciences, Inc. dated July 23, 2019</w:t>
        </w:r>
      </w:hyperlink>
    </w:p>
    <w:p>
      <w:pPr>
        <w:spacing w:after="0" w:line="10" w:lineRule="exact"/>
        <w:rPr>
          <w:rFonts w:ascii="Times New Roman" w:cs="Times New Roman" w:eastAsia="Times New Roman" w:hAnsi="Times New Roman"/>
          <w:sz w:val="18"/>
          <w:szCs w:val="18"/>
          <w:u w:val="single" w:color="auto"/>
          <w:color w:val="0000FF"/>
        </w:rPr>
      </w:pPr>
    </w:p>
    <w:p>
      <w:pPr>
        <w:ind w:left="1140" w:right="480" w:hanging="93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10.10(b)</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First Amendment to Lease by and between BRE-BMR Grove LLC and</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Selecta Biosciences, Inc. dated September 1, 2022</w:t>
        </w:r>
      </w:hyperlink>
    </w:p>
    <w:p>
      <w:pPr>
        <w:spacing w:after="0" w:line="10" w:lineRule="exact"/>
        <w:rPr>
          <w:rFonts w:ascii="Times New Roman" w:cs="Times New Roman" w:eastAsia="Times New Roman" w:hAnsi="Times New Roman"/>
          <w:sz w:val="18"/>
          <w:szCs w:val="18"/>
          <w:u w:val="single" w:color="auto"/>
          <w:color w:val="0000FF"/>
        </w:rPr>
      </w:pPr>
    </w:p>
    <w:p>
      <w:pPr>
        <w:ind w:left="1140" w:hanging="875"/>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8"/>
            <w:szCs w:val="18"/>
            <w:u w:val="single" w:color="auto"/>
            <w:color w:val="0000FF"/>
          </w:rPr>
          <w:t>Employment Agreement, dated as of September 25, 2018, by and between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Registrant and Carsten Brunn, Ph.D.</w:t>
        </w:r>
      </w:hyperlink>
    </w:p>
    <w:p>
      <w:pPr>
        <w:spacing w:after="0" w:line="10" w:lineRule="exact"/>
        <w:rPr>
          <w:rFonts w:ascii="Times New Roman" w:cs="Times New Roman" w:eastAsia="Times New Roman" w:hAnsi="Times New Roman"/>
          <w:sz w:val="18"/>
          <w:szCs w:val="18"/>
          <w:u w:val="single" w:color="auto"/>
          <w:color w:val="0000FF"/>
        </w:rPr>
      </w:pPr>
    </w:p>
    <w:p>
      <w:pPr>
        <w:ind w:left="1140" w:right="520" w:hanging="879"/>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8"/>
            <w:szCs w:val="18"/>
            <w:u w:val="single" w:color="auto"/>
            <w:color w:val="0000FF"/>
          </w:rPr>
          <w:t>Employment Agreement, dated as of June 6, 2016, by and between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Registrant and Takashi Kei Kishimoto</w:t>
        </w:r>
      </w:hyperlink>
    </w:p>
    <w:p>
      <w:pPr>
        <w:spacing w:after="0" w:line="10" w:lineRule="exact"/>
        <w:rPr>
          <w:rFonts w:ascii="Times New Roman" w:cs="Times New Roman" w:eastAsia="Times New Roman" w:hAnsi="Times New Roman"/>
          <w:sz w:val="18"/>
          <w:szCs w:val="18"/>
          <w:u w:val="single" w:color="auto"/>
          <w:color w:val="0000FF"/>
        </w:rPr>
      </w:pPr>
    </w:p>
    <w:p>
      <w:pPr>
        <w:ind w:left="1140" w:right="520" w:hanging="879"/>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8"/>
            <w:szCs w:val="18"/>
            <w:u w:val="single" w:color="auto"/>
            <w:color w:val="0000FF"/>
          </w:rPr>
          <w:t>Employment Agreement, dated as of June 6, 2016, by and between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Registrant and Lloyd Johnston, Ph.D.</w:t>
        </w:r>
      </w:hyperlink>
    </w:p>
    <w:p>
      <w:pPr>
        <w:spacing w:after="0" w:line="10" w:lineRule="exact"/>
        <w:rPr>
          <w:rFonts w:ascii="Times New Roman" w:cs="Times New Roman" w:eastAsia="Times New Roman" w:hAnsi="Times New Roman"/>
          <w:sz w:val="18"/>
          <w:szCs w:val="18"/>
          <w:u w:val="single" w:color="auto"/>
          <w:color w:val="0000FF"/>
        </w:rPr>
      </w:pPr>
    </w:p>
    <w:p>
      <w:pPr>
        <w:ind w:left="1140" w:right="460" w:hanging="879"/>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43">
        <w:r>
          <w:rPr>
            <w:rFonts w:ascii="Times New Roman" w:cs="Times New Roman" w:eastAsia="Times New Roman" w:hAnsi="Times New Roman"/>
            <w:sz w:val="18"/>
            <w:szCs w:val="18"/>
            <w:u w:val="single" w:color="auto"/>
            <w:color w:val="0000FF"/>
          </w:rPr>
          <w:t>Employment Agreement, dated as of July 31, 2020, by and between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Registrant and Peter G. Traber, M.D</w:t>
        </w:r>
      </w:hyperlink>
    </w:p>
    <w:p>
      <w:pPr>
        <w:spacing w:after="0" w:line="10" w:lineRule="exact"/>
        <w:rPr>
          <w:rFonts w:ascii="Times New Roman" w:cs="Times New Roman" w:eastAsia="Times New Roman" w:hAnsi="Times New Roman"/>
          <w:sz w:val="18"/>
          <w:szCs w:val="18"/>
          <w:u w:val="single" w:color="auto"/>
          <w:color w:val="0000FF"/>
        </w:rPr>
      </w:pPr>
    </w:p>
    <w:p>
      <w:pPr>
        <w:ind w:left="1140" w:right="100" w:hanging="879"/>
        <w:spacing w:after="0" w:line="237"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10.15#</w:t>
      </w:r>
      <w:r>
        <w:rPr>
          <w:sz w:val="20"/>
          <w:szCs w:val="20"/>
          <w:color w:val="auto"/>
        </w:rPr>
        <w:tab/>
      </w:r>
      <w:r>
        <w:rPr>
          <w:rFonts w:ascii="Times New Roman" w:cs="Times New Roman" w:eastAsia="Times New Roman" w:hAnsi="Times New Roman"/>
          <w:sz w:val="18"/>
          <w:szCs w:val="18"/>
          <w:u w:val="single" w:color="auto"/>
          <w:color w:val="0000FF"/>
        </w:rPr>
        <w:t>Employment Agreement, dated as of November 9, 2022, by and between the Registrant and Blaine Davis</w:t>
      </w:r>
    </w:p>
    <w:p>
      <w:pPr>
        <w:spacing w:after="0" w:line="10" w:lineRule="exact"/>
        <w:rPr>
          <w:rFonts w:ascii="Times New Roman" w:cs="Times New Roman" w:eastAsia="Times New Roman" w:hAnsi="Times New Roman"/>
          <w:sz w:val="18"/>
          <w:szCs w:val="18"/>
          <w:u w:val="single" w:color="auto"/>
          <w:color w:val="0000FF"/>
        </w:rPr>
      </w:pPr>
    </w:p>
    <w:p>
      <w:pPr>
        <w:ind w:left="1140" w:right="560" w:hanging="879"/>
        <w:spacing w:after="0" w:line="237"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10.16#</w:t>
      </w:r>
      <w:r>
        <w:rPr>
          <w:sz w:val="20"/>
          <w:szCs w:val="20"/>
          <w:color w:val="auto"/>
        </w:rPr>
        <w:tab/>
      </w:r>
      <w:r>
        <w:rPr>
          <w:rFonts w:ascii="Times New Roman" w:cs="Times New Roman" w:eastAsia="Times New Roman" w:hAnsi="Times New Roman"/>
          <w:sz w:val="18"/>
          <w:szCs w:val="18"/>
          <w:u w:val="single" w:color="auto"/>
          <w:color w:val="0000FF"/>
        </w:rPr>
        <w:t>Separation and Release Agreement, dated November 23, 2022, by and between the Registrant and Kevin Tan</w:t>
      </w:r>
    </w:p>
    <w:p>
      <w:pPr>
        <w:spacing w:after="0" w:line="10" w:lineRule="exact"/>
        <w:rPr>
          <w:rFonts w:ascii="Times New Roman" w:cs="Times New Roman" w:eastAsia="Times New Roman" w:hAnsi="Times New Roman"/>
          <w:sz w:val="18"/>
          <w:szCs w:val="18"/>
          <w:u w:val="single" w:color="auto"/>
          <w:color w:val="0000FF"/>
        </w:rPr>
      </w:pPr>
    </w:p>
    <w:p>
      <w:pPr>
        <w:ind w:left="1140" w:right="400" w:hanging="879"/>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8"/>
            <w:szCs w:val="18"/>
            <w:u w:val="single" w:color="auto"/>
            <w:color w:val="0000FF"/>
          </w:rPr>
          <w:t>License and Development Agreement, dated as of June 11, 2020, by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between the Registrant and Swedish Orphan Biovitrum AB (Publ)</w:t>
        </w:r>
      </w:hyperlink>
    </w:p>
    <w:p>
      <w:pPr>
        <w:spacing w:after="0" w:line="10" w:lineRule="exact"/>
        <w:rPr>
          <w:rFonts w:ascii="Times New Roman" w:cs="Times New Roman" w:eastAsia="Times New Roman" w:hAnsi="Times New Roman"/>
          <w:sz w:val="18"/>
          <w:szCs w:val="18"/>
          <w:u w:val="single" w:color="auto"/>
          <w:color w:val="0000FF"/>
        </w:rPr>
      </w:pPr>
    </w:p>
    <w:p>
      <w:pPr>
        <w:ind w:left="1140" w:right="360" w:hanging="834"/>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8"/>
            <w:szCs w:val="18"/>
            <w:u w:val="single" w:color="auto"/>
            <w:color w:val="0000FF"/>
          </w:rPr>
          <w:t>Securities Purchase Agreement, dated June 26, 2017, by and between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 and Timothy Springer, Ph.D.</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834"/>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46">
        <w:r>
          <w:rPr>
            <w:rFonts w:ascii="Times New Roman" w:cs="Times New Roman" w:eastAsia="Times New Roman" w:hAnsi="Times New Roman"/>
            <w:sz w:val="18"/>
            <w:szCs w:val="18"/>
            <w:u w:val="single" w:color="auto"/>
            <w:color w:val="0000FF"/>
          </w:rPr>
          <w:t>Stock Purchase Agreement, dated August 19, 2019, by and among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Registrant and the Investors named therein</w:t>
        </w:r>
      </w:hyperlink>
    </w:p>
    <w:p>
      <w:pPr>
        <w:spacing w:after="0" w:line="10" w:lineRule="exact"/>
        <w:rPr>
          <w:rFonts w:ascii="Times New Roman" w:cs="Times New Roman" w:eastAsia="Times New Roman" w:hAnsi="Times New Roman"/>
          <w:sz w:val="18"/>
          <w:szCs w:val="18"/>
          <w:u w:val="single" w:color="auto"/>
          <w:color w:val="0000FF"/>
        </w:rPr>
      </w:pPr>
    </w:p>
    <w:p>
      <w:pPr>
        <w:ind w:left="1140" w:right="140" w:hanging="933"/>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10.20(a)</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Loan and Security Agreement, dated August 31, 2020, between Selecta</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Biosciences, Inc., Oxford Finance LLC, as Collateral Agent and as a lender,</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and Silicon Valley Bank, as a lender.</w:t>
        </w:r>
      </w:hyperlink>
    </w:p>
    <w:p>
      <w:pPr>
        <w:spacing w:after="0" w:line="9" w:lineRule="exact"/>
        <w:rPr>
          <w:rFonts w:ascii="Times New Roman" w:cs="Times New Roman" w:eastAsia="Times New Roman" w:hAnsi="Times New Roman"/>
          <w:sz w:val="18"/>
          <w:szCs w:val="18"/>
          <w:u w:val="single" w:color="auto"/>
          <w:color w:val="0000FF"/>
        </w:rPr>
      </w:pPr>
    </w:p>
    <w:p>
      <w:pPr>
        <w:ind w:left="1140" w:right="40" w:hanging="93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10.20(b)</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8"/>
            <w:szCs w:val="18"/>
            <w:u w:val="single" w:color="auto"/>
            <w:color w:val="0000FF"/>
          </w:rPr>
          <w:t>First Amendment to Loan and Security Agreement, dated September 7, 2021,</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by and among Selecta Biosciences, Inc., Oxford Finance LLC, and Silicon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Valley Bank</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40" w:right="40" w:hanging="933"/>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10.20(c)</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Second Amendment to Loan and Security Agreement, dated March 21, 2022,</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between Selecta Biosciences, Inc., Oxford Finance LLC, as Collateral Agent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and as a lender, and Silicon Valley Bank, as a lender</w:t>
        </w:r>
      </w:hyperlink>
    </w:p>
    <w:p>
      <w:pPr>
        <w:spacing w:after="0" w:line="9" w:lineRule="exact"/>
        <w:rPr>
          <w:rFonts w:ascii="Times New Roman" w:cs="Times New Roman" w:eastAsia="Times New Roman" w:hAnsi="Times New Roman"/>
          <w:sz w:val="18"/>
          <w:szCs w:val="18"/>
          <w:u w:val="single" w:color="auto"/>
          <w:color w:val="0000FF"/>
        </w:rPr>
      </w:pPr>
    </w:p>
    <w:p>
      <w:pPr>
        <w:ind w:left="1140" w:right="120" w:hanging="93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10.20(d)</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8"/>
            <w:szCs w:val="18"/>
            <w:u w:val="single" w:color="auto"/>
            <w:color w:val="0000FF"/>
          </w:rPr>
          <w:t>Third Amendment to Loan and Security Agreement, dated September 20,</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2022, between Selecta Biosciences, Inc., Oxford Finance LLC, as Collateral</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Agent and as a Lender, and Silicon Valley Bank, as a Lender</w:t>
        </w:r>
      </w:hyperlink>
    </w:p>
    <w:p>
      <w:pPr>
        <w:spacing w:after="0" w:line="9" w:lineRule="exact"/>
        <w:rPr>
          <w:rFonts w:ascii="Times New Roman" w:cs="Times New Roman" w:eastAsia="Times New Roman" w:hAnsi="Times New Roman"/>
          <w:sz w:val="18"/>
          <w:szCs w:val="18"/>
          <w:u w:val="single" w:color="auto"/>
          <w:color w:val="0000FF"/>
        </w:rPr>
      </w:pPr>
    </w:p>
    <w:p>
      <w:pPr>
        <w:ind w:left="360"/>
        <w:spacing w:after="0"/>
        <w:tabs>
          <w:tab w:leader="none" w:pos="112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21.1</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8"/>
            <w:szCs w:val="18"/>
            <w:u w:val="single" w:color="auto"/>
            <w:color w:val="0000FF"/>
          </w:rPr>
          <w:t>Subsidiaries of Selecta Biosciences, Inc.</w:t>
        </w:r>
      </w:hyperlink>
    </w:p>
    <w:p>
      <w:pPr>
        <w:spacing w:after="0" w:line="27" w:lineRule="exact"/>
        <w:rPr>
          <w:sz w:val="20"/>
          <w:szCs w:val="20"/>
          <w:color w:val="auto"/>
        </w:rPr>
      </w:pPr>
    </w:p>
    <w:p>
      <w:pPr>
        <w:ind w:left="1140" w:right="180" w:hanging="789"/>
        <w:spacing w:after="0" w:line="234"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8"/>
          <w:szCs w:val="18"/>
          <w:u w:val="single" w:color="auto"/>
          <w:color w:val="0000FF"/>
        </w:rPr>
        <w:t>Consent of Ernst &amp; Young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8/11/2017</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11/8/2019</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11/3/2022</w:t>
            </w:r>
          </w:p>
        </w:tc>
      </w:tr>
      <w:tr>
        <w:trPr>
          <w:trHeight w:val="41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9/27/2018</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11/5/2020</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8/6/2020</w:t>
            </w:r>
          </w:p>
        </w:tc>
      </w:tr>
      <w:tr>
        <w:trPr>
          <w:trHeight w:val="41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6/28/2017</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8/20/2019</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9/3/2020</w:t>
            </w:r>
          </w:p>
        </w:tc>
      </w:tr>
      <w:tr>
        <w:trPr>
          <w:trHeight w:val="59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11/9/2021</w:t>
            </w:r>
          </w:p>
        </w:tc>
      </w:tr>
      <w:tr>
        <w:trPr>
          <w:trHeight w:val="59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3/21/2022</w:t>
            </w:r>
          </w:p>
        </w:tc>
      </w:tr>
      <w:tr>
        <w:trPr>
          <w:trHeight w:val="59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11/3/2022</w:t>
            </w:r>
          </w:p>
        </w:tc>
      </w:tr>
      <w:tr>
        <w:trPr>
          <w:trHeight w:val="58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23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bl>
    <w:p>
      <w:pPr>
        <w:sectPr>
          <w:pgSz w:w="11900" w:h="16838" w:orient="portrait"/>
          <w:cols w:equalWidth="0" w:num="2">
            <w:col w:w="6760" w:space="360"/>
            <w:col w:w="4020"/>
          </w:cols>
          <w:pgMar w:left="320" w:top="121" w:right="4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871"/>
        </w:trPr>
        <w:tc>
          <w:tcPr>
            <w:tcW w:w="360" w:type="dxa"/>
            <w:vAlign w:val="bottom"/>
          </w:tcPr>
          <w:p>
            <w:pPr>
              <w:spacing w:after="0"/>
              <w:rPr>
                <w:sz w:val="24"/>
                <w:szCs w:val="24"/>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80" w:type="dxa"/>
            <w:vAlign w:val="bottom"/>
          </w:tcPr>
          <w:p>
            <w:pPr>
              <w:spacing w:after="0"/>
              <w:rPr>
                <w:sz w:val="24"/>
                <w:szCs w:val="24"/>
                <w:color w:val="auto"/>
              </w:rPr>
            </w:pPr>
          </w:p>
        </w:tc>
        <w:tc>
          <w:tcPr>
            <w:tcW w:w="5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or</w:t>
            </w:r>
          </w:p>
        </w:tc>
        <w:tc>
          <w:tcPr>
            <w:tcW w:w="560" w:type="dxa"/>
            <w:vAlign w:val="bottom"/>
            <w:gridSpan w:val="4"/>
          </w:tcPr>
          <w:p>
            <w:pPr>
              <w:spacing w:after="0"/>
              <w:rPr>
                <w:sz w:val="24"/>
                <w:szCs w:val="24"/>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56"/>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6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5"/>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88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80" w:type="dxa"/>
            <w:vAlign w:val="bottom"/>
          </w:tcPr>
          <w:p>
            <w:pPr>
              <w:spacing w:after="0"/>
              <w:rPr>
                <w:sz w:val="19"/>
                <w:szCs w:val="19"/>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6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6"/>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88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3"/>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Furnished</w:t>
            </w:r>
          </w:p>
        </w:tc>
      </w:tr>
      <w:tr>
        <w:trPr>
          <w:trHeight w:val="155"/>
        </w:trPr>
        <w:tc>
          <w:tcPr>
            <w:tcW w:w="3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54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4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the</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jc w:val="center"/>
              <w:ind w:left="150"/>
              <w:spacing w:after="0" w:line="156" w:lineRule="exact"/>
              <w:rPr>
                <w:sz w:val="20"/>
                <w:szCs w:val="20"/>
                <w:color w:val="auto"/>
              </w:rPr>
            </w:pPr>
            <w:r>
              <w:rPr>
                <w:rFonts w:ascii="Times New Roman" w:cs="Times New Roman" w:eastAsia="Times New Roman" w:hAnsi="Times New Roman"/>
                <w:sz w:val="18"/>
                <w:szCs w:val="18"/>
                <w:color w:val="auto"/>
              </w:rPr>
              <w:t>herewith</w:t>
            </w:r>
          </w:p>
        </w:tc>
      </w:tr>
      <w:tr>
        <w:trPr>
          <w:trHeight w:val="156"/>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560" w:type="dxa"/>
            <w:vAlign w:val="bottom"/>
            <w:tcBorders>
              <w:top w:val="single" w:sz="8" w:color="0000FF"/>
            </w:tcBorders>
            <w:gridSpan w:val="6"/>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10"/>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76"/>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3"/>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0"/>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180"/>
        </w:trPr>
        <w:tc>
          <w:tcPr>
            <w:tcW w:w="680" w:type="dxa"/>
            <w:vAlign w:val="bottom"/>
            <w:gridSpan w:val="2"/>
          </w:tcPr>
          <w:p>
            <w:pPr>
              <w:jc w:val="center"/>
              <w:ind w:left="2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5"/>
                <w:szCs w:val="15"/>
                <w:color w:val="auto"/>
              </w:rPr>
            </w:pPr>
          </w:p>
        </w:tc>
        <w:tc>
          <w:tcPr>
            <w:tcW w:w="58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88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50"/>
              <w:spacing w:after="0" w:line="18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31" w:lineRule="exact"/>
        <w:rPr>
          <w:sz w:val="20"/>
          <w:szCs w:val="20"/>
          <w:color w:val="auto"/>
        </w:rPr>
      </w:pPr>
    </w:p>
    <w:p>
      <w:pPr>
        <w:ind w:left="1160"/>
        <w:spacing w:after="0" w:line="237"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0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2023</w:t>
            </w:r>
          </w:p>
        </w:tc>
        <w:tc>
          <w:tcPr>
            <w:tcW w:w="3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28"/>
        </w:trPr>
        <w:tc>
          <w:tcPr>
            <w:tcW w:w="4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bl>
    <w:p>
      <w:pPr>
        <w:ind w:left="8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7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120" w:type="dxa"/>
            <w:vAlign w:val="bottom"/>
          </w:tcPr>
          <w:p>
            <w:pPr>
              <w:spacing w:after="0"/>
              <w:rPr>
                <w:sz w:val="19"/>
                <w:szCs w:val="19"/>
                <w:color w:val="auto"/>
              </w:rPr>
            </w:pPr>
          </w:p>
        </w:tc>
        <w:tc>
          <w:tcPr>
            <w:tcW w:w="5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120" w:type="dxa"/>
            <w:vAlign w:val="bottom"/>
          </w:tcPr>
          <w:p>
            <w:pPr>
              <w:spacing w:after="0"/>
              <w:rPr>
                <w:sz w:val="19"/>
                <w:szCs w:val="19"/>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C. Barabe</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D. Myers</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D. Myers</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Aymeric Sallin</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Aymeric Sallin</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9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5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90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Selecta Biosciences, Inc. and Subsidiaries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560" w:type="dxa"/>
            <w:vAlign w:val="bottom"/>
          </w:tcPr>
          <w:p>
            <w:pPr>
              <w:spacing w:after="0"/>
              <w:rPr>
                <w:sz w:val="24"/>
                <w:szCs w:val="24"/>
                <w:color w:val="auto"/>
              </w:rPr>
            </w:pPr>
          </w:p>
        </w:tc>
        <w:tc>
          <w:tcPr>
            <w:tcW w:w="9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4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Pages</w:t>
            </w: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9240" w:type="dxa"/>
            <w:vAlign w:val="bottom"/>
            <w:gridSpan w:val="10"/>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924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600" w:type="dxa"/>
            <w:vAlign w:val="bottom"/>
          </w:tcPr>
          <w:p>
            <w:pPr>
              <w:spacing w:after="0"/>
              <w:rPr>
                <w:sz w:val="17"/>
                <w:szCs w:val="17"/>
                <w:color w:val="auto"/>
              </w:rPr>
            </w:pPr>
          </w:p>
        </w:tc>
        <w:tc>
          <w:tcPr>
            <w:tcW w:w="84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b w:val="1"/>
                <w:bCs w:val="1"/>
                <w:color w:val="0000FF"/>
                <w:w w:val="92"/>
              </w:rPr>
              <w:t>F-2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2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Consolidated Balance Sheets at December 31, 2022 and 2021</w:t>
            </w:r>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0000FF"/>
                <w:w w:val="92"/>
              </w:rPr>
              <w:t>F-4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2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Operations and Comprehensive Income (Loss) for the years ended December 31, 2022,</w:t>
            </w:r>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0000FF"/>
                <w:w w:val="92"/>
              </w:rPr>
              <w:t>F-5</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2021 and 2020</w:t>
            </w:r>
          </w:p>
        </w:tc>
        <w:tc>
          <w:tcPr>
            <w:tcW w:w="76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92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Changes in Stockholders' Equity (Deficit) for the years ended December 31, 2022, 2021</w:t>
            </w:r>
          </w:p>
        </w:tc>
        <w:tc>
          <w:tcPr>
            <w:tcW w:w="600" w:type="dxa"/>
            <w:vAlign w:val="bottom"/>
          </w:tcPr>
          <w:p>
            <w:pPr>
              <w:spacing w:after="0"/>
              <w:rPr>
                <w:sz w:val="19"/>
                <w:szCs w:val="19"/>
                <w:color w:val="auto"/>
              </w:rPr>
            </w:pP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0000FF"/>
                <w:w w:val="92"/>
              </w:rPr>
              <w:t>F-6</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8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and 2020</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92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Cash Flows for the years ended December 31, 2022, 2021 and 2020</w:t>
            </w:r>
          </w:p>
        </w:tc>
        <w:tc>
          <w:tcPr>
            <w:tcW w:w="600" w:type="dxa"/>
            <w:vAlign w:val="bottom"/>
          </w:tcPr>
          <w:p>
            <w:pPr>
              <w:spacing w:after="0"/>
              <w:rPr>
                <w:sz w:val="19"/>
                <w:szCs w:val="19"/>
                <w:color w:val="auto"/>
              </w:rPr>
            </w:pP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0000FF"/>
                <w:w w:val="92"/>
              </w:rPr>
              <w:t>F-7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72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202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0000FF"/>
                <w:w w:val="92"/>
              </w:rPr>
              <w:t>F-8</w:t>
            </w:r>
          </w:p>
        </w:tc>
        <w:tc>
          <w:tcPr>
            <w:tcW w:w="0" w:type="dxa"/>
            <w:vAlign w:val="bottom"/>
          </w:tcPr>
          <w:p>
            <w:pPr>
              <w:spacing w:after="0"/>
              <w:rPr>
                <w:sz w:val="1"/>
                <w:szCs w:val="1"/>
                <w:color w:val="auto"/>
              </w:rPr>
            </w:pPr>
          </w:p>
        </w:tc>
      </w:tr>
      <w:tr>
        <w:trPr>
          <w:trHeight w:val="1128"/>
        </w:trPr>
        <w:tc>
          <w:tcPr>
            <w:tcW w:w="5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color w:val="auto"/>
                <w:w w:val="95"/>
              </w:rPr>
              <w:t>F-1</w:t>
            </w:r>
          </w:p>
        </w:tc>
        <w:tc>
          <w:tcPr>
            <w:tcW w:w="6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Selecta Biosciences,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Selecta Biosciences, Inc. (the Company) as of December 31, 2022 and 2021, the related consolidated statements of operations and comprehensive income (loss), changes in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Clinical Trial Expense</w:t>
      </w:r>
    </w:p>
    <w:p>
      <w:pPr>
        <w:spacing w:after="0" w:line="1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records research and development expenses, which include expenses related to clinical trials, as incurred. The Company’s determination of clinical trial costs incurred, as well as the related accrued and prepaid expenses at each reporting period, incorporates judgment and utilizes various assumptions. Such assumptions include progress of the studies, including the phase or completion of events, invoices received and contracted costs. Payments for these activities are based on the terms of the individual arrangements, which may differ from the pattern of costs incurred.</w:t>
      </w:r>
    </w:p>
    <w:p>
      <w:pPr>
        <w:spacing w:after="0" w:line="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Auditing the Company’s accrued and prepaid research and development expenses was especially challenging due to the significant judgment required to estimate the expenses incurred but not yet invoiced. While the Company’s estimates of accrued and prepaid clinical trial expenses are primarily based on information received related to each study from its vendors, the Company makes an estimate for additional costs incurred based on management judgment. Additionally, due to the long duration of clinical trials and the timing of invoicing received from third parties, the actual amounts incurred are not always known at the time the financial statements are issued.</w:t>
      </w:r>
    </w:p>
    <w:p>
      <w:pPr>
        <w:spacing w:after="0" w:line="200" w:lineRule="exact"/>
        <w:rPr>
          <w:sz w:val="20"/>
          <w:szCs w:val="20"/>
          <w:color w:val="auto"/>
        </w:rPr>
      </w:pPr>
    </w:p>
    <w:p>
      <w:pPr>
        <w:sectPr>
          <w:pgSz w:w="11900" w:h="16838" w:orient="portrait"/>
          <w:cols w:equalWidth="0" w:num="2">
            <w:col w:w="1320" w:space="540"/>
            <w:col w:w="9380"/>
          </w:cols>
          <w:pgMar w:left="320" w:top="121"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right="240"/>
        <w:spacing w:after="0" w:line="253"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evaluate the accrued and prepaid clinical trial expenses, our audit procedures included, among others, testing the accuracy and completeness of the underlying data used in the estimates and evaluating the significant assumptions that are used by management to estimate the recorded accruals and prepayments. We obtained third party confirmations from the clinical research organization to further test the underlying data used in management’s estimate. We corroborated the progress of research and development activities associated with clinical trials through discussion with the Company’s research and development personnel that oversee the research and development activities. We inspected the Company’s third-party contracts, amendments, and any pending change orders to assess the impact on amounts recorded. In addition, we performed analytics over fluctuations in accruals and prepaids by vendor throughout the period subject to audit and compared subsequent invoices received from third parties to amounts accrued.</w:t>
      </w:r>
    </w:p>
    <w:p>
      <w:pPr>
        <w:spacing w:after="0" w:line="985" w:lineRule="exact"/>
        <w:rPr>
          <w:sz w:val="20"/>
          <w:szCs w:val="20"/>
          <w:color w:val="auto"/>
        </w:rPr>
      </w:pPr>
    </w:p>
    <w:p>
      <w:pPr>
        <w:sectPr>
          <w:pgSz w:w="11900" w:h="16838" w:orient="portrait"/>
          <w:cols w:equalWidth="0" w:num="2">
            <w:col w:w="1660" w:space="200"/>
            <w:col w:w="9360"/>
          </w:cols>
          <w:pgMar w:left="320" w:top="12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72,058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as of December 31, 2022 and</w:t>
            </w:r>
          </w:p>
        </w:tc>
        <w:tc>
          <w:tcPr>
            <w:tcW w:w="2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2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and 200,000,000 shares authorized as of December 31, 2022 and December 31, 2021,</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153,042,435 and 123,622,965 shares issued and outstanding as of December 31, 2022 and December 31, 2021, respectively</w:t>
            </w: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16,597</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54,505</w:t>
            </w: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18,913</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73,418</w:t>
            </w: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(56,821)</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gain (loss),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(68,876)</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(68,876)</w:t>
            </w: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(68,916)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4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144,758,555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101,202,176</w:t>
            </w:r>
          </w:p>
        </w:tc>
      </w:tr>
      <w:tr>
        <w:trPr>
          <w:trHeight w:val="23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145,874,889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101,202,176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7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(Deficit)</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
                <w:szCs w:val="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86,325,547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348,664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(335,753)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110,212</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93,750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private placement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5,416,390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pre-funded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8,342,128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6,637,608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fees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warrants with long-term debt, net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(68,876)</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108,071,249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391,175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(404,629)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447,492</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13,767,511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1,076,669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0" w:type="dxa"/>
            <w:vAlign w:val="bottom"/>
          </w:tcPr>
          <w:p>
            <w:pPr>
              <w:spacing w:after="0"/>
              <w:rPr>
                <w:sz w:val="1"/>
                <w:szCs w:val="1"/>
                <w:color w:val="auto"/>
              </w:rPr>
            </w:pPr>
          </w:p>
        </w:tc>
      </w:tr>
      <w:tr>
        <w:trPr>
          <w:trHeight w:val="169"/>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123,622,965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120,877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774,544</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and common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27,428,572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892,857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153,042,435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493,308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Pr>
          <w:p>
            <w:pPr>
              <w:spacing w:after="0"/>
              <w:rPr>
                <w:sz w:val="19"/>
                <w:szCs w:val="19"/>
                <w:color w:val="auto"/>
              </w:rPr>
            </w:pPr>
          </w:p>
        </w:tc>
        <w:tc>
          <w:tcPr>
            <w:tcW w:w="2680" w:type="dxa"/>
            <w:vAlign w:val="bottom"/>
            <w:gridSpan w:val="6"/>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(68,876)</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Unbilled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94,462</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w:t>
            </w:r>
          </w:p>
        </w:tc>
        <w:tc>
          <w:tcPr>
            <w:tcW w:w="0" w:type="dxa"/>
            <w:vAlign w:val="bottom"/>
          </w:tcPr>
          <w:p>
            <w:pPr>
              <w:spacing w:after="0"/>
              <w:rPr>
                <w:sz w:val="1"/>
                <w:szCs w:val="1"/>
                <w:color w:val="auto"/>
              </w:rPr>
            </w:pPr>
          </w:p>
        </w:tc>
      </w:tr>
      <w:tr>
        <w:trPr>
          <w:trHeight w:val="173"/>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made for investments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long-term debt, net of expenses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24,736</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principal on outstanding debt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amendment fee included in debt discount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at-the-market offering</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and common warrants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private placement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 paid for December 2019 financing</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fees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pre-funded and common warrants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52,897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14,431</w:t>
            </w:r>
          </w:p>
        </w:tc>
        <w:tc>
          <w:tcPr>
            <w:tcW w:w="0" w:type="dxa"/>
            <w:vAlign w:val="bottom"/>
          </w:tcPr>
          <w:p>
            <w:pPr>
              <w:spacing w:after="0"/>
              <w:rPr>
                <w:sz w:val="1"/>
                <w:szCs w:val="1"/>
                <w:color w:val="auto"/>
              </w:rPr>
            </w:pPr>
          </w:p>
        </w:tc>
      </w:tr>
      <w:tr>
        <w:trPr>
          <w:trHeight w:val="18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48,513</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140,064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91,551</w:t>
            </w:r>
          </w:p>
        </w:tc>
        <w:tc>
          <w:tcPr>
            <w:tcW w:w="0" w:type="dxa"/>
            <w:vAlign w:val="bottom"/>
          </w:tcPr>
          <w:p>
            <w:pPr>
              <w:spacing w:after="0"/>
              <w:rPr>
                <w:sz w:val="1"/>
                <w:szCs w:val="1"/>
                <w:color w:val="auto"/>
              </w:rPr>
            </w:pPr>
          </w:p>
        </w:tc>
      </w:tr>
      <w:tr>
        <w:trPr>
          <w:trHeight w:val="22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115,436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 in stock-based compensation expense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Cashless warrant exercise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liability to equity</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warrants issued in connection with issuance of long-term debt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Selecta Biosciences, Inc., or the Company, was incorporated in Delaware on December 10, 2007, and is based in Watertown, Massachusetts. The Company is a clinical-stage biotechnology company leveraging the Company's ImmTOR® platform to develop toloreogenic therapies that selectively mitigate unwanted immune responses. With a proven ability to induce tolerance to highly immunogenic proteins, the Company believes ImmTOR has the potential to amplify the efficacy of biologic therapies, including redosing of life-saving gene therapies, as well as restore the body's natural self-tolerance in autoimmune diseases. The Company has several proprietary and partnered programs in its pipeline focused on enzyme therapies, gene therapies, and autoimmune diseases.</w:t>
      </w:r>
    </w:p>
    <w:p>
      <w:pPr>
        <w:spacing w:after="0" w:line="7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its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7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Company’s cash, cash equivalents, restricted cash and marketable securities were $136.2 million, of which $1.6 million was restricted cash related to lease commitments and $0.2 million was held by its Russian subsidiary designated solely for use in its operations. The Company believes the cash, cash equivalents, restricted cash and marketable securities as of December 31, 2022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December 31, 2022, the Company had an accumulated deficit of $394.9 million. The Company anticipates operating losses to continue for the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foreseeable future due to, among other things, costs related to research and development of its product candidates and its administrative organization.</w:t>
      </w:r>
    </w:p>
    <w:p>
      <w:pPr>
        <w:spacing w:after="0" w:line="117"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December 31,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19" w:lineRule="exact"/>
        <w:rPr>
          <w:sz w:val="20"/>
          <w:szCs w:val="20"/>
          <w:color w:val="auto"/>
        </w:rPr>
      </w:pPr>
    </w:p>
    <w:p>
      <w:pPr>
        <w:ind w:right="7680" w:firstLine="8"/>
        <w:spacing w:after="0" w:line="377" w:lineRule="auto"/>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All significant intercompany accounts and transactions have been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and estimating accrued research and development expenses. The Company assesses the above estimates on an ongoing basis; however, actual results could materially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340" w:firstLine="324"/>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the research and development of nanoparticle immunomodulatory drugs for the treatment and prevention of human diseases.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Restricted Cash, Marketable Securities and Investments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8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also invest in equity securities of companies whose securities are not publicly traded and where fair value is not readily available. These investments are recorded using cost minus impairment adjusted for changes in observable prices,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in our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short-term deposits and marketable securities, investments, and accounts receivable. Cash and cash equivalents are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2022, the Company maintained approximately $0.2 million in Russian bank accounts in denominations of both Russian rubles and U.S. dollars.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mainly of cash equivalents, restricted cash, accounts payable, loans payable, marketable securities, investments and common warrants. The carrying amounts of cash equivalents, restricted cash, accounts receivable, and accounts payable approximate their estimated fair value due to their short-term maturities.</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7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If the asset or liability has a specified (contractual) term, a Level 2 input must be observable for substantially the full term of the asset or liability.</w:t>
      </w:r>
    </w:p>
    <w:p>
      <w:pPr>
        <w:spacing w:after="0" w:line="65"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 activity for the asset or liability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5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is determined using Level 3 inputs.</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5" w:lineRule="exact"/>
        <w:rPr>
          <w:sz w:val="20"/>
          <w:szCs w:val="20"/>
          <w:color w:val="auto"/>
        </w:rPr>
      </w:pPr>
    </w:p>
    <w:p>
      <w:pPr>
        <w:ind w:right="3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carrying amounts reflected in our consolidated balance sheet for investments approximate fair value and are assessed for impairment quarterly. </w:t>
      </w:r>
      <w:r>
        <w:rPr>
          <w:rFonts w:ascii="Times New Roman" w:cs="Times New Roman" w:eastAsia="Times New Roman" w:hAnsi="Times New Roman"/>
          <w:sz w:val="18"/>
          <w:szCs w:val="18"/>
          <w:b w:val="1"/>
          <w:bCs w:val="1"/>
          <w:color w:val="auto"/>
        </w:rPr>
        <w:t>Property and Equipment</w:t>
      </w:r>
    </w:p>
    <w:p>
      <w:pPr>
        <w:spacing w:after="0" w:line="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7"/>
          <w:szCs w:val="17"/>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7"/>
          <w:szCs w:val="17"/>
          <w:i w:val="1"/>
          <w:iCs w:val="1"/>
          <w:color w:val="auto"/>
        </w:rPr>
        <w:t>Revenue from Contracts with Customers (ASC 606)</w:t>
      </w:r>
      <w:r>
        <w:rPr>
          <w:rFonts w:ascii="Times New Roman" w:cs="Times New Roman" w:eastAsia="Times New Roman" w:hAnsi="Times New Roman"/>
          <w:sz w:val="17"/>
          <w:szCs w:val="17"/>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3" w:lineRule="exact"/>
        <w:rPr>
          <w:sz w:val="20"/>
          <w:szCs w:val="20"/>
          <w:color w:val="auto"/>
        </w:rPr>
      </w:pPr>
    </w:p>
    <w:p>
      <w:pPr>
        <w:ind w:firstLine="8"/>
        <w:spacing w:after="0" w:line="241" w:lineRule="auto"/>
        <w:tabs>
          <w:tab w:leader="none" w:pos="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Swedish Orphan Biovitrum, or Sobi, Sarepta Therapeutics, Inc., or Sarepta, and Takeda Pharmaceuticals USA, Inc., or Takeda, (see Note 12) will be satisfied over time, and revenue will be recognized using the output method, based on the proportion of actual deliveries to the total expected deliveries over the initial term.</w:t>
      </w:r>
    </w:p>
    <w:p>
      <w:pPr>
        <w:spacing w:after="0" w:line="8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Collaboration and License Revenue: </w:t>
      </w:r>
      <w:r>
        <w:rPr>
          <w:rFonts w:ascii="Times New Roman" w:cs="Times New Roman" w:eastAsia="Times New Roman" w:hAnsi="Times New Roman"/>
          <w:sz w:val="18"/>
          <w:szCs w:val="18"/>
          <w:color w:val="auto"/>
        </w:rPr>
        <w:t>The Company currently generates its revenue through collaboration and license agreements with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8"/>
          <w:szCs w:val="18"/>
          <w:i w:val="1"/>
          <w:iCs w:val="1"/>
          <w:color w:val="auto"/>
        </w:rPr>
        <w:t>Collaborative Arrangements (ASC 808</w:t>
      </w:r>
      <w:r>
        <w:rPr>
          <w:rFonts w:ascii="Times New Roman" w:cs="Times New Roman" w:eastAsia="Times New Roman" w:hAnsi="Times New Roman"/>
          <w:sz w:val="18"/>
          <w:szCs w:val="18"/>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8"/>
          <w:szCs w:val="18"/>
          <w:i w:val="1"/>
          <w:iCs w:val="1"/>
          <w:color w:val="auto"/>
        </w:rPr>
        <w:t>Research and Development (ASC 730)</w:t>
      </w:r>
      <w:r>
        <w:rPr>
          <w:rFonts w:ascii="Times New Roman" w:cs="Times New Roman" w:eastAsia="Times New Roman" w:hAnsi="Times New Roman"/>
          <w:sz w:val="18"/>
          <w:szCs w:val="18"/>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8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6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promised goods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7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7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2020, the Company and Sobi entered into a license and development agreement, or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The reimbursable costs exclude any costs of additional development activities required that are related to ImmTOR and that are unrelated to SEL-212.</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8"/>
          <w:szCs w:val="18"/>
          <w:color w:val="auto"/>
        </w:rPr>
        <w:t>. Under ASC 480, warrants are considered liability classified if the warrants are mandatorily redeemable, obligate the issuer to settle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underlying shares by paying cash or other assets, or must or may require settlement by issuing variable number of shares.</w:t>
      </w:r>
    </w:p>
    <w:p>
      <w:pPr>
        <w:spacing w:after="0" w:line="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calculates basic net income (loss) per share by dividing net income (loss) attributable to common stockholders by the weighted average number of common shares outstanding during the period. Diluted net income per share is calculated by dividing the net income attributable to common stockholders by the weighted-average number of common equivalent shares outstanding for the period, including any dilutive effect from outstanding stock options, restricted stock units, warrants to purchase common stock, and employee stock purchase plan stock using the treasury stock method.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contingent liabilities in accordance with ASC No.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Topic 842,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 utilizes its incremental borrowing rates, which are the rates incurred to borrow, on a collateralized basis over a similar term, an amount equal to the lease payments in a similar economic environment.</w:t>
      </w:r>
    </w:p>
    <w:p>
      <w:pPr>
        <w:spacing w:after="0" w:line="54"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Stock Compensation (Topic 718), and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ASU 2021-04 provides guidance as to how entities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The Company adopted the new standard effective January 1, 2022, and there was no impact on its consolidated financial statements.</w:t>
      </w:r>
    </w:p>
    <w:p>
      <w:pPr>
        <w:spacing w:after="0" w:line="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ASU 2020-06 simplifies the accounting for certain financial instruments with characteristics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equity, including convertible instruments and contracts on an entity’s own equity. The Company has adopted ASU 2020-06 as of October 1, 2022, with an effective date of January 1, 2022, using the modified retrospective method. The adoption of ASU 2020-06 had no impact on the Company's consolidated financial statements and disclosures.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Subsequently, in November 2018, the FASB issued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2016-13 requires entities to measure all expected credit losses for most financial assets held at the reporting date based on an expected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 and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marketable securities held as of December 31, 2022 and 2021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3"/>
                <w:szCs w:val="1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marketable securities held at December 31, 2022 and 2021 had maturities of less than 12 months when purchased and are classified as short-term marketable securities on the accompanying consolidated balance sheet. During the years ended December 31, 2022 and 2021, there were no marketable securities adjusted for other than temporary declines in fair value. The Company does not intend to sell its investments and it is not more likely than not that the Company will be required to sell the investments before recovery of their amortized cost bases, which may be maturity. As of December 31, 2022 and 2021, the Company has a $2.0 million investment in Cyrus pursuant to the Cyrus Agreement. The Company’s maximum exposure to loss related to this variable interest entity is limited to the carrying value of the investment. See Note 14 for details.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reported net income for the year ended December 31, 2022 and a net loss for the years ended December 31, 2021 and 2020. The Company used the treasury stock method to determine the number of dilutive shares. The following table sets forth the computation of basic and diluted net income (loss) per share (in thousands, except share and per-share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1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(68,876)</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Change in fair value of warrants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 net income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14,497</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(68,876)</w:t>
            </w:r>
          </w:p>
        </w:tc>
      </w:tr>
      <w:tr>
        <w:trPr>
          <w:trHeight w:val="21"/>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144,758,555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101,202,176</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Dilutive effect of employee equity incentive plans and outstanding warrants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used in per share calculations - diluted</w:t>
            </w: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145,874,889</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101,202,176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89"/>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1"/>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common shares excluded from the computation of the diluted net income (loss) per share for all periods presented, as the effect would have been anti-dilutive: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RSUs and ESPP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17,800,034</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11,492,002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7,909,583</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213,339</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12,378,016</w:t>
            </w:r>
          </w:p>
        </w:tc>
      </w:tr>
      <w:tr>
        <w:trPr>
          <w:trHeight w:val="22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18,013,373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22,227,982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20,287,599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December 31, 2022 and 2021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years ended December 31, 2022 or 2021.</w:t>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money market funds were classified as cash and cash equivalents on the accompanying consolidated balance sheets as they mature within 90 days from the date of purchase.</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restricted cash balances relating to a secured letter of credit in connection with its lease for the Company’s headquarters (see Note 8 included elsewhere in this Annual Report). Short-term restricted cash is included within prepaid expenses and other current assets in the consolidated balance sheets. The Company’s consolidated statement of cash flows includes the following as of December 31, 2022, 2021 and 2020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138,685</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restricted cash</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140,064</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marketable securities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is adjusted for amortization of premiums and accretion of discounts to the earliest call date for premiums or to maturity for discounts.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Loans Payable</w:t>
      </w:r>
    </w:p>
    <w:p>
      <w:pPr>
        <w:spacing w:after="0" w:line="11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in light of the recent issuance of the Term A Loan under the 2020 Term Loan, the Company believes the carrying value approximates the fair value of the loan.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Warrants</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December 2019, the Company issued common warrants in connection with a private placement of common shares, or the 2019 Warrants. Pursuant to the terms of the 2019 Warrants, the Company could be required to settle the common warrants in cash in the event of certain acquisitions of the Company and, as a result, the common warrants are required to be measured at fair value and reported as a liability on the balance sheet. Pursuant to the Stipulation and Agreement of Settlement discussed in Note 17, on December 20, 2022, the Company amended the terms of the outstanding 2019 Warrants held by certain members of the Company's board of directors to remove the cash settlement provision (the Amended 2019 Warrants). As a result, the Amended 2019 Warrants were remeasured at fair value on December 20, 2022 and reclassified from a liability to equity on the balance sheet. Refer to Note 10 for further discussion on the equity classified Amended 2019 Warrants.</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2022, 2021 and 2020.</w:t>
      </w:r>
    </w:p>
    <w:p>
      <w:pPr>
        <w:spacing w:after="0" w:line="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2019 Warrants, the Amended 2019 Warrants on the modification date,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440"/>
        <w:spacing w:after="0" w:line="284"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expire on December 23, 2024 and April 11, 2027, respectively.</w:t>
      </w:r>
    </w:p>
    <w:p>
      <w:pPr>
        <w:spacing w:after="0" w:line="50"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and the historical volatility of peer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period of time commensurate with the expected remaining life of the warrants.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2019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03"/>
        </w:trPr>
        <w:tc>
          <w:tcPr>
            <w:tcW w:w="918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r>
      <w:tr>
        <w:trPr>
          <w:trHeight w:val="195"/>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1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18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96.10 %</w:t>
            </w: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Amended 2019 Warrants liability on the modification date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Modification</w:t>
            </w:r>
          </w:p>
        </w:tc>
      </w:tr>
      <w:tr>
        <w:trPr>
          <w:trHeight w:val="190"/>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20,</w:t>
            </w:r>
          </w:p>
        </w:tc>
      </w:tr>
      <w:tr>
        <w:trPr>
          <w:trHeight w:val="191"/>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4.64 %</w:t>
            </w:r>
          </w:p>
        </w:tc>
      </w:tr>
      <w:tr>
        <w:trPr>
          <w:trHeight w:val="195"/>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8"/>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79.77 %</w:t>
            </w:r>
          </w:p>
        </w:tc>
      </w:tr>
    </w:tbl>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valuation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At Issuance</w:t>
            </w:r>
          </w:p>
        </w:tc>
      </w:tr>
      <w:tr>
        <w:trPr>
          <w:trHeight w:val="203"/>
        </w:trPr>
        <w:tc>
          <w:tcPr>
            <w:tcW w:w="4980" w:type="dxa"/>
            <w:vAlign w:val="bottom"/>
          </w:tcPr>
          <w:p>
            <w:pPr>
              <w:spacing w:after="0"/>
              <w:rPr>
                <w:sz w:val="17"/>
                <w:szCs w:val="17"/>
                <w:color w:val="auto"/>
              </w:rPr>
            </w:pPr>
          </w:p>
        </w:tc>
        <w:tc>
          <w:tcPr>
            <w:tcW w:w="49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April 11,</w:t>
            </w:r>
          </w:p>
        </w:tc>
      </w:tr>
      <w:tr>
        <w:trPr>
          <w:trHeight w:val="203"/>
        </w:trPr>
        <w:tc>
          <w:tcPr>
            <w:tcW w:w="4980" w:type="dxa"/>
            <w:vAlign w:val="bottom"/>
          </w:tcPr>
          <w:p>
            <w:pPr>
              <w:spacing w:after="0"/>
              <w:rPr>
                <w:sz w:val="17"/>
                <w:szCs w:val="17"/>
                <w:color w:val="auto"/>
              </w:rPr>
            </w:pPr>
          </w:p>
        </w:tc>
        <w:tc>
          <w:tcPr>
            <w:tcW w:w="496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49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4.22 %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r>
      <w:tr>
        <w:trPr>
          <w:trHeight w:val="19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4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98.05 %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96.00 %</w:t>
            </w: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Level 3 Liabilities Measured at Fair Value on a Recurring Basis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10),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15,379</w:t>
            </w:r>
          </w:p>
        </w:tc>
      </w:tr>
      <w:tr>
        <w:trPr>
          <w:trHeight w:val="210"/>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Exercises</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 of warrant liability to equity upon modification</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20"/>
        </w:trPr>
        <w:tc>
          <w:tcPr>
            <w:tcW w:w="9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(4,797)</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$0.7 million, $0.6 million and $0.6 million for the years ended December 31, 2022, 2021 and 2020,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1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Headquarters Lease, the Company secured a letter of credit from Silicon Valley Bank, or SVB, for $1.4 million, recognized as long-term restricted cash, as of December 31, 2021.</w:t>
      </w:r>
    </w:p>
    <w:p>
      <w:pPr>
        <w:spacing w:after="0" w:line="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September 1, 2022, the Company entered into an amendment, or the Lease Agreement Amendment, to its lease agreement with BRE-BMR Grove LLC, originally entered into on July 23, 2019, or the Lease Agreement, to expand the Company’s corporate headquarters located at 65 Grove Street, Watertown, Massachusetts by approximately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In connection with the Lease Agreement Amendment, the Company entered into an amendment to its Loan and Security Agreement with Oxford, as Collateral Agent and a Lender, and SVB, as a Lender, on September 20, 2022, or the Third Amendment, to provide for an increase of $0.2 million in the letter of credit for a total of $1.6 million as of December 31, 2022, which renews automatically each year. The Company recorded the right-of-use asset and operating lease liabilities of $3.2 million during the year ended December 31, 2022 as control of the premises was transferred to the Company.</w:t>
      </w:r>
    </w:p>
    <w:p>
      <w:pPr>
        <w:spacing w:after="0" w:line="8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with Nexo Therapeutics, Inc., or the Tenant, to sublease approximately 7,216 square feet of space currently rented by the Company at the corporate headquarters located at 65 Grove Street, Watertown, Massachusetts. The sublease commenced on October 24, 2022, when the Company, the Tenant and BRE-BMR Grove LLC, executed the Consent to Sublease. The term of the sublease expires on March 31, 2024 with no option to extend the sublease term. Sublease income is included within other income, net in the consolidated statements of operations and comprehensive income (loss).</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Moscow, Russia Lease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month-to-month facility agreement for its Moscow, Russia office. Rent expense is recognized as incurred.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for the years ended December 31, 2022, 2021 and 2020 was $3.2 million, $2.9 million, and $2.7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lease costs were as follows (in thousands):</w:t>
      </w:r>
    </w:p>
    <w:p>
      <w:pPr>
        <w:spacing w:after="0" w:line="15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2022 were as follows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8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8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228"/>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11,663</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93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Other than the initial recording of the right-of-use asset and lease liability for the Headquarters Lease in 2020 and 2022, which were non-cash, the changes in the Company’s right-of-use asset and lease liability for the years ended December 31, 2022 and 2021 are reflected in the non-cash lease expense and accrued expenses and other liabilities, respectively, in the consolidated statements of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August 31, 2020, the Company entered into a term loan of up to $35.0 million, or the 2020 Term Loan, consisting of term loans in an aggregate amount of $25.0 million, or the Term A Loan, and term loans in an aggregate amount of $10.0 million, or the Term B Loan, governed by a loan and security agreement, or the Loan Agreement, between the Company and Oxford Finance LLC, or Oxford, as Collateral Agent and a Lender, and SVB, as a Lender. The Term A Loan was funded in full on August 31, 2020, or the Funding Date. The second draw period expired on September 30, 2021 and the Term B Loan is no longer available to be drawn by the Company.</w:t>
      </w:r>
    </w:p>
    <w:p>
      <w:pPr>
        <w:spacing w:after="0" w:line="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21, 2022, the Company entered into a Second Amendment to its 2020 Term Loan. The Second Amendment extended the date on which amortization payments in respect of the 2020 Term Loan will commence to April 1, 2023. Thereafter, amortization payments will be paid monthly in equal installments of principal and interest to fully amortize the outstanding principal over the remaining term of the 2020 Term Loan, subject to recalculation upon a change in the prime rate.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Second Amendment was determined to be a loan modification, and the $0.1 million fee was recorded as an addition to the debt discount on the effective date.</w:t>
      </w:r>
    </w:p>
    <w:p>
      <w:pPr>
        <w:spacing w:after="0" w:line="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2023.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spacing w:after="0" w:line="8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6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2"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6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stockholders' equity, with the SVB portion allocated to the reacquisition price of the 2017 Term Loan and the Oxford fair value portion as a loan discount to the Term A Loan.</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Payoff</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the Funding Date, the Company entered into a payoff letter with SVB, pursuant to which the Company utilized $13.7 million of the 2020 Term Loan to pay off all outstanding obligations under the previous term loan, consisting of the principal payment, final prepayment and accrued interest. During the year ended December 31, 2020, the Company recognized a loss on extinguishment of debt in the amount of $0.5 million determined as the difference between the reacquisition price and carrying value at August 31, 2020.</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and 2021, the outstanding principal balance under the 2020 Term Loan was $25.0 million.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2020 Term Loan and unamortized debt discount balances as of December 31, 2022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Face value</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 debt termination fee</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Debt discount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loan payable</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(8,476)</w:t>
            </w:r>
          </w:p>
        </w:tc>
      </w:tr>
      <w:tr>
        <w:trPr>
          <w:trHeight w:val="221"/>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principal payments on the 2020 Term Loan as of December 31, 2022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w:t>
            </w:r>
          </w:p>
        </w:tc>
      </w:tr>
      <w:tr>
        <w:trPr>
          <w:trHeight w:val="221"/>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principal payments</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recognized $3.0 million, $2.8 million and $1.6 million respectively of interest expense related to the 2020 Term Loan and the previous term loan.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Underwritten Offering</w:t>
      </w:r>
    </w:p>
    <w:p>
      <w:pPr>
        <w:spacing w:after="0" w:line="11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April 6, 2022, the Company entered into an underwriting agreement with SVB Securities LLC, as representative of the several underwriters named therein, relating to an underwritten offering of 27,428,572 shares, or the Shares, of the Company’s common stock and warrants to purchase up to</w:t>
      </w:r>
    </w:p>
    <w:p>
      <w:pPr>
        <w:spacing w:after="0" w:line="255" w:lineRule="auto"/>
        <w:rPr>
          <w:sz w:val="20"/>
          <w:szCs w:val="20"/>
          <w:color w:val="auto"/>
        </w:rPr>
      </w:pPr>
      <w:r>
        <w:rPr>
          <w:rFonts w:ascii="Times New Roman" w:cs="Times New Roman" w:eastAsia="Times New Roman" w:hAnsi="Times New Roman"/>
          <w:sz w:val="18"/>
          <w:szCs w:val="18"/>
          <w:color w:val="auto"/>
        </w:rPr>
        <w:t>20,571,429 shares of common stock, or the 2022 Warrants. The offering of the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Sales Agreement</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August 6, 2020, the Company filed a universal shelf registration statement on Form S-3 (File No. 333-241692) with the Securities and Exchange Commission, or the SEC, to sell an aggregate amount of up to $200.0 million of certain of its securities. The shelf registration statement was declared effective by the SEC on August 14, 2020. Concurrent with the filing of the shelf registration statement,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2021 Sales Agreement</w:t>
      </w:r>
    </w:p>
    <w:p>
      <w:pPr>
        <w:spacing w:after="0" w:line="11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SVB Leerink LLC to sell shares of the Company’s common stock, from time to time, through an “at the market” equity offering program under which SVB Leerink will act as sales agent. The shares of common stock sold pursuant to the 2021 Sales Agreement will be issued pursuant to such shelf registration statement on Form S-3 and related prospectus supplement, filed on October 25, 2021 with the SEC, for aggregate gross sales proceeds of up to $75.0 million.</w:t>
      </w:r>
    </w:p>
    <w:p>
      <w:pPr>
        <w:spacing w:after="0" w:line="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sold 774,544 shares of its common stock pursuant to the 2021 Sales Agreement for aggregate net proceeds of $2.1 million, after deducting commissions and other transaction costs. During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year ended December 31, 2021, the Company sold 13,767,511 shares of its common stock pursuant to the 2021 and 2020 Sales Agreements for aggregate net proceeds of $51.9 million, after deducting commissions and other transaction costs.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June 2020 Sobi Stock Purchase</w:t>
      </w:r>
    </w:p>
    <w:p>
      <w:pPr>
        <w:spacing w:after="0" w:line="119"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Also on June 11, 2020, the Company entered into a registration rights agreement (as amended by that certain letter agreement, dated as of November 4, 2020,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(10) Business Days after the SEC informs the Company that no review of such resale registration statement will be made or that the SEC has no further comments on such resale registration statement.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December 2019 Financing</w:t>
      </w:r>
    </w:p>
    <w:p>
      <w:pPr>
        <w:spacing w:after="0" w:line="119"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7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5, the Company remeasured the Amended 2019 Warrants at the fair value of $0.8 million on December 20, 2022 and reclassified this amount to additional paid-in capital.</w:t>
      </w:r>
    </w:p>
    <w:p>
      <w:pPr>
        <w:spacing w:after="0" w:line="5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remaining 2019 Warrants liability and the 2022 Warrants liability were revalued as of December 31, 2022 at $19.1 million. During the years ended December 31, 2022, 2021 and 2020, the Company recorded a decrease of $20.9 million and an increase of $2.3 million and $10.4 million, respectively, in the fair value of the warrants in the consolidated statements of operations and comprehensive income (loss).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June 2017 Financing</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June 2017, the Company entered into a securities purchase agreement, or the Institutional Purchase Agreement, with a select group of institutional investors, or the Institutional Investors and a securities purchase agreement with Timothy A. Springer, 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 classified warrants expired in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years ended December 31,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12,085,547</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12,378,016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(1,642,036)</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(1,642,036)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10,443,511</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20,571,429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liability to equity on modification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2,022,987</w:t>
            </w:r>
          </w:p>
        </w:tc>
        <w:tc>
          <w:tcPr>
            <w:tcW w:w="120" w:type="dxa"/>
            <w:vAlign w:val="bottom"/>
          </w:tcPr>
          <w:p>
            <w:pPr>
              <w:spacing w:after="0"/>
              <w:rPr>
                <w:sz w:val="17"/>
                <w:szCs w:val="17"/>
                <w:color w:val="auto"/>
              </w:rPr>
            </w:pP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(2,022,987)</w:t>
            </w:r>
          </w:p>
        </w:tc>
        <w:tc>
          <w:tcPr>
            <w:tcW w:w="1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2,236,326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28,991,953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June 17, 2022, at the 2022 Annual Meeting of Stockholders, the Company’s stockholders approved an amendment to the Company’s Restated Certificate of Incorporation, or the Charter, to increase the number of authorized shares of common stock, par value $0.0001 per share, from 200,000,000 to 350,000,000 shares. On June 21, 2022, the Company filed a Certificate of Amendment to the Charter with the Secretary of State of the State of Delaware, which became effective upon filing.</w:t>
      </w:r>
    </w:p>
    <w:p>
      <w:pPr>
        <w:spacing w:after="0" w:line="7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350,000,000 shares of common stock authorized for issuance, $0.0001 par value per share, with 153,042,435 shares issued and outstanding. The voting, dividend and liquidation rights of the common stockholders are subject to and qualified by the rights, powers and preferences of the preferred stock. The common stock has the following characteristics: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one vote for each share of common stock held with respect to all matters voted on by the stockholders of the Company.</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receive dividends, if and when declared by the Board of Directors. Through December 31, 2022, no dividends have been declared or paid on common stock.</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Upon liquidation of the Company, the common stockholders are entitled to receive all assets of the Company available for distribution to such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60" w:type="dxa"/>
            <w:vAlign w:val="bottom"/>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3"/>
        </w:trPr>
        <w:tc>
          <w:tcPr>
            <w:tcW w:w="84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2"/>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5,782,591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6,039,564</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1,705,558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15,844,651</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11,039,873</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54,561,079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28,209,867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Awards granted under the 2008 Plan that expire, lapse or terminate become available under the 2016 Plan as shares available for future grants.</w:t>
      </w:r>
    </w:p>
    <w:p>
      <w:pPr>
        <w:spacing w:after="0" w:line="1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2022 and 2021, the number of shares of common stock that may be issued under the 2016 Plan was increased by 4,944,919 and 4,322,850 shares, respectively. As of December 31, 2022, 1,719,015 shares remain available for future issuance under the 2016 Plan.</w:t>
      </w:r>
    </w:p>
    <w:p>
      <w:pPr>
        <w:spacing w:after="0" w:line="7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December 31, 2022, there are 425,858 shares available for future grant under the 2018 Inducement Incentive Award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was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19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w:t>
            </w:r>
          </w:p>
        </w:tc>
      </w:tr>
      <w:tr>
        <w:trPr>
          <w:trHeight w:val="22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r>
      <w:tr>
        <w:trPr>
          <w:trHeight w:val="19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95.04 %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91.00 %</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2.49</w:t>
            </w:r>
          </w:p>
        </w:tc>
      </w:tr>
    </w:tbl>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years ended December 31, 2022, 2021 and 2020 was $1.99, $2.73, and $1.86 respectively.</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unvested employee stock options was $14.8 million, which is expected to be recognized over a weighted average period of 2.6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2008 Plan, the 2016 Plan, and the 2018 Inducement Incentive Award Plan: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10,616,800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6,714,220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(1,682,680)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15,578,412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December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6,985,993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14,749,359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consultants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(156,834)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December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813,200 restricted stock awards with a weighted average fair value of $3.31 per share based on the closing price of the Company’s common stock on the date of grant to employees under the 2016 Plan, which will vest over a four year term and 699,500 restricted stock awards with a weighted average fair value of $1.70 per share based on the closing price of the Company’s common stock on the date of grant to employees under the 2016 Plan, which will vest over a two year term.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7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for all restricted stock units was $3.4 million as of December 31, 2022, which is expected to be recognized over a weighted average period of 2.4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2018 Inducement Incentive Award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1,512,700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(70,162)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1,705,558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173,076 shares of common stock for future issuance under the ESPP to participating employees. In January 2022 and 2021, the number of shares of common stock authorized for issuance under the ESPP was increased by 1,236,229 shares and 1,080,711 shares,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respectively. During the year ended December 31, 2022, the Company issued 120,877 shares of common stock under the ESPP. As of December 31, 2022, 3,637,718 shares remain available for future issuance under the ESPP.</w:t>
      </w:r>
    </w:p>
    <w:p>
      <w:pPr>
        <w:spacing w:after="0" w:line="5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2022 and 2021, the Company recognized $0.1 million of stock-based compensation expense under the ESPP, respectively.</w:t>
      </w:r>
    </w:p>
    <w:p>
      <w:pPr>
        <w:spacing w:after="0" w:line="200" w:lineRule="exact"/>
        <w:rPr>
          <w:sz w:val="20"/>
          <w:szCs w:val="20"/>
          <w:color w:val="auto"/>
        </w:rPr>
      </w:pPr>
    </w:p>
    <w:p>
      <w:pPr>
        <w:spacing w:after="0" w:line="201" w:lineRule="exact"/>
        <w:rPr>
          <w:sz w:val="20"/>
          <w:szCs w:val="20"/>
          <w:color w:val="auto"/>
        </w:rPr>
      </w:pPr>
    </w:p>
    <w:p>
      <w:pPr>
        <w:ind w:right="8560" w:firstLine="8"/>
        <w:spacing w:after="0" w:line="399" w:lineRule="auto"/>
        <w:tabs>
          <w:tab w:leader="none" w:pos="27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Arrangements Takeda Pharmaceuticals USA, Inc.</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360" w:firstLine="324"/>
        <w:spacing w:after="0" w:line="256" w:lineRule="auto"/>
        <w:rPr>
          <w:sz w:val="20"/>
          <w:szCs w:val="20"/>
          <w:color w:val="auto"/>
        </w:rPr>
      </w:pPr>
      <w:r>
        <w:rPr>
          <w:rFonts w:ascii="Times New Roman" w:cs="Times New Roman" w:eastAsia="Times New Roman" w:hAnsi="Times New Roman"/>
          <w:sz w:val="18"/>
          <w:szCs w:val="18"/>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Takeda Agreement, the Company determined the Takeda Agreement represents a service arrangement under the scope of ASC 606, and given the reversion of the rights under the Takeda Agreement represents a penalty in substance for a termination by Takeda, the contract term would remain the stated term of the Takeda Agreement. The Company determined that the research license, the licensed know-how, and the manufactured supply and delivery of materials represent a single promise and performance obligation to be transferred to Takeda over time due to the nature of the promises in the contract. The delivery of the manufactured supply is the predominant promise within the arrangement, as it is essential to the utility of the licensed intellectual property. The material to be supplied by the Company to Takeda is unique to the Company and cannot be obtained by other vendors. As such, consideration in the initial transaction price will be allocated to the single performance obligation and the recognition period would not extend beyond the initial contractual period. The Company will recognize the revenue associated with the upfront payment and combined single performance obligation utilizing the output method over the term that manufactured supply is delivered to Takeda.</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will re-evaluate the transaction price in each reporting period, as uncertain events are resolved, or as other changes in circumstances occur. Takeda has the right to exercise covenant release rights on a field-by-field basis. If Takeda exercises its covenant release rights, we could receive exercise payments per indication and would be entitled to significant development and commercial milestone payments and tiered royalties on commercial sales. The Company determined that a significant financing component does not exist in its arrangement with Takeda. The Company also determined the options to negotiate additional fields, pursue other products, enter into a supply agreement explore additional fields, and pursue additional development under the initial fields do not represent material rights under the agreement. Takeda has the right to terminate the Takeda Agreement in its entirety or on a field-by-field basis, upon 90 days’ written notice to the Company.</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 Company recorded $0.1 million as a short-term contract liability and no long-term contract liability, representing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associated with this agreement. As of December 31, 2021, the Company recorded $1.0 million as a short-term contract liability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as a long-term contract liability, respectively, representing deferred revenue associated with this agreement. Revenue of $1.8 million and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the Takeda Agreement was recognized during the years ended December 31, 2022 and 2021,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SEL-212, and tiered royalty payments ranging from the low double digits on the lowest sales tier to the high teens on the highest sales tier.</w:t>
      </w:r>
    </w:p>
    <w:p>
      <w:pPr>
        <w:spacing w:after="0" w:line="1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72"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spacing w:after="0" w:line="3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8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 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8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recorded no short-term or long-term contract liability. As of December 31, 2021, the Company recorded $37.5 million, as a short-term contract liability and $5.1 million, as a long-term contract liability, representing deferred revenue associated with this agreement. In addition, as of December 31, 2022 the Company has recorded $0.1 million of contract assets related to incremental costs that would not have been incurred if the Sobi License had not been obtained, of which $0.1 million is presented in prepaid expenses and other current assets and less than $0.1 million is presented in other assets in the accompanying consolidated balance sheets. Amortization of contract assets was $0.6 million for the year ended December 31, 2022.</w:t>
      </w:r>
    </w:p>
    <w:p>
      <w:pPr>
        <w:spacing w:after="0" w:line="7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As of December 31, 2022 and 2021, the Company recorded a total outstanding receivable of $5.0 million and $9.9 million, respectively, representing billings for the Phase 3 DISSOLVE program that are subject to reimbursement by Sobi. As of December 31, 2022, the Company recorded a total unbilled receivable of $3.2 million, representing revenue earned but not yet billed for the Phase 3 DISSOLVE program. Revenue of $82.6 million and $83.5 million related to the Sobi License was recognized during the years ended December 31, 2022 and 2021, respectively, inclusive of $13.4 million of revenue recognized from performance obligations related to prior periods as a result of the change in transaction price during the year ended December 31,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and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year ended December 31, 2021, the Company and Sarepta entered into a third amendment relating to the additional feasibility study. During the year ended December 31, 2022, the Company and Sarepta entered into two amendments relating to the additional feasibility study.</w:t>
      </w:r>
    </w:p>
    <w:p>
      <w:pPr>
        <w:spacing w:after="0" w:line="8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three months ended September 30, 2022.</w:t>
      </w:r>
    </w:p>
    <w:p>
      <w:pPr>
        <w:spacing w:after="0" w:line="68"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On June 15, 2022, the Company was notified by Sarepta of the achievement of a milestone event related to certain preclinical study milestones under the Sarepta Agreement. Accordingly, the Company received a milestone payment of $4.0 million during the three months ended September 30, 2022.</w:t>
      </w:r>
    </w:p>
    <w:p>
      <w:pPr>
        <w:spacing w:after="0" w:line="3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one milestone remained constrained. The Company will re-evaluate the transaction price in each reporting period, as uncertain events are resolved. The Company is recognizing the revenue associated with the transaction price and combined single performance obligation utilizing the output method, over the 33-month term as the manufactured supply is delivered to Sarepta.</w:t>
      </w:r>
    </w:p>
    <w:p>
      <w:pPr>
        <w:spacing w:after="0" w:line="6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recorded $0.5 million and $4.6 million, respectively, as a short-term contract liability representing deferred revenue associated with this agreement. Revenue of $10.2 million and $0.4 million related to the Sarepta Agreement was recognized during the years ended December 31, 2022 and 2021, respectively, inclusive of $0.9 million of revenue recognized from performance obligations related to prior periods as a result of the change in transaction price during the year ended December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9"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Company and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November 18, 2022, both parties agreed to mutually terminate the AskBio License Agreement. Therefore, the remaining contract liability of $7.0 million was recognized as revenue during the period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 Therapeutics, Inc.</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or the Spark License Agreement, with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in connection with the Spark License Agreement, the Company entered into a Stock Purchase Agreement with Spark, or the Spark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Pursuant to the Spark Purchase Agreement, Spark purchased a total of $15.0 million of the Company’s common stock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197,238 shares for an aggregate purchase price of $5.0 million at the initial closing, 324,362 shares of common stock for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on June 8, 2017, and 205,254 shares of common stock from the Company for an aggregate purchase price of $5.0 million on October 31, 2017.</w:t>
      </w:r>
    </w:p>
    <w:p>
      <w:pPr>
        <w:spacing w:after="0" w:line="9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January 18, 2022, both parties agreed to mutually terminate the Spark License Agreement. Therefore, the remaining contract liability of $9.2 million was recognized as revenue during the year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Skolkovo Foundation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revenue of $0.1 million related to the remaining contract liability of the Russia-based Development Fund of New Technologies Development and Commercialization Center, or Skolkovo, grant funding was recognized at the expiration of the three-year audit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 As of December 31, 2022, the aggregate amount of the transaction price allocated to remaining performance obligations was $0.6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Contract Balances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Takeda, Sobi, Sarepta, AskBio, and Spark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year ended December 31, 2022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0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3"/>
        </w:trPr>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6"/>
        </w:trPr>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r>
      <w:tr>
        <w:trPr>
          <w:trHeight w:val="22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right="8860" w:hanging="332"/>
        <w:spacing w:after="0" w:line="400" w:lineRule="auto"/>
        <w:tabs>
          <w:tab w:leader="none" w:pos="286"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Related-Party Transactions </w:t>
      </w:r>
      <w:r>
        <w:rPr>
          <w:rFonts w:ascii="Times New Roman" w:cs="Times New Roman" w:eastAsia="Times New Roman" w:hAnsi="Times New Roman"/>
          <w:sz w:val="17"/>
          <w:szCs w:val="17"/>
          <w:i w:val="1"/>
          <w:iCs w:val="1"/>
          <w:color w:val="auto"/>
        </w:rPr>
        <w:t>April 2022 Offering</w:t>
      </w: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completed the 2022 Offering as described in Note 10. The following table sets forth the number of shares of Common Stock and 2022 Warrants purchased in the 2022 Offering by directors and executive officers, as of the time of the Offering, and related parties thereto: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Warrants</w:t>
            </w:r>
          </w:p>
        </w:tc>
        <w:tc>
          <w:tcPr>
            <w:tcW w:w="20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5"/>
        </w:trPr>
        <w:tc>
          <w:tcPr>
            <w:tcW w:w="64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5,011,200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9,421,056</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liability reclassification</w:t>
      </w:r>
    </w:p>
    <w:p>
      <w:pPr>
        <w:spacing w:after="0" w:line="11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amended the terms of certain of the outstanding 2019 Warrants held by members of the Company's board of directors and remeasured the Amended 2019 Warrants as described in Notes 5 and 10.</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1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each of the years ended December 31, 2021 and 2020. No expenses were incurred for the year ended December 31, 2022.</w:t>
      </w:r>
    </w:p>
    <w:p>
      <w:pPr>
        <w:spacing w:after="0" w:line="200" w:lineRule="exact"/>
        <w:rPr>
          <w:sz w:val="20"/>
          <w:szCs w:val="20"/>
          <w:color w:val="auto"/>
        </w:rPr>
      </w:pPr>
    </w:p>
    <w:p>
      <w:pPr>
        <w:spacing w:after="0" w:line="215" w:lineRule="exact"/>
        <w:rPr>
          <w:sz w:val="20"/>
          <w:szCs w:val="20"/>
          <w:color w:val="auto"/>
        </w:rPr>
      </w:pPr>
    </w:p>
    <w:p>
      <w:pPr>
        <w:ind w:right="7980" w:firstLine="8"/>
        <w:spacing w:after="0" w:line="399" w:lineRule="auto"/>
        <w:tabs>
          <w:tab w:leader="none" w:pos="27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and License Agreements Ginkgo Bioworks Holdings, Inc.</w:t>
      </w: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On October 25, 2021, the Company entered into a Collaboration and License Agreement, or the First Ginkgo Agreement, with Ginkgo Bioworks Holdings, Inc., or Ginkgo. Under the First Ginkgo Agreement, Ginkgo will design next generation IgA proteases with potentially transformative therapeutic potential. In return, Ginkgo is eligible to earn both upfront research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development fees and milestone payments, including certain milestone payments for fixed fair values in the form of Selecta common stock, clinical and commercial milestone payments of up to $85.0 million in cash. The Ginkgo Agreement was assessed for collaboration components and was determined not to be within the scope of ASC 808 as the risk and rewards are not shared by both parties. The Company will expense costs related to the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October 21, 2021, the Company entered into an Exclusive License Agreement, or the Genovis Agreement, with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September 7,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potentially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period. The Company is also obligated to pay Cyrus tiered royalties ranging from mid-single digit to low-double digit percentages of annual net sales of collaboration products which will be expensed as the commercial sales occur.</w:t>
      </w:r>
    </w:p>
    <w:p>
      <w:pPr>
        <w:spacing w:after="0" w:line="5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and Cyrus mutually agreed that the preclinical key in-vitro success milestone had been achieved.</w:t>
      </w:r>
    </w:p>
    <w:p>
      <w:pPr>
        <w:spacing w:after="0" w:line="11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The feasibility study and license agreement with AskBio, or AskBio Collaboration Agreement, otherwise remains in effect. Consequently, the Company has assumed all rights to the MMA program and intends to continue to progress the SEL-302 program through clinical development. The Company filed an IND to conduct a Phase 1/2 clinical trial of its SEL-302 product candidate in pediatric patients with methylmalonic acidemia in the third quarter of 2021. In December 2022, we initiated ReiMMAgine, the Phase 1/2 clinical trial of SEL-302. The ReiMMAgine trial is now enrolling patients and aims to evaluate the safety, tolerability and efficacy of SEL-302.</w:t>
      </w:r>
    </w:p>
    <w:p>
      <w:pPr>
        <w:spacing w:after="0" w:line="8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SEL-399 program combined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This promising study in healthy volunteers provides support for the potential use of ImmTOR for the inhibition of neutralizing antibodies to AAV8 in gene therapy clinical trials.</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7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R&amp;D expense and selling, general and administrative expense on the Company’s condensed consolidated statements of operations.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$0.9 million and $2.7 million, respectively, of collaboration expense under the AskBio Collaboration Agreement in which actual costs incurred by both parties approximate a 50% cost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p>
      <w:pPr>
        <w:spacing w:after="0" w:line="121"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in connection with the execution of the Spark License Agreement, the Company has made contractual payments pursuant to the MIT License totaling $2.2 million. In connection with the Spark Purchase Agreement and the calculated premium paid by Spark for the equity investments made as described in Note 12, the Company has made additional contractual payments pursuant to the MIT license totaling $0.4 million as of December 31, 2022. The Company made no additional payments during the year ended December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2022.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On June 11, 2020, the Company entered into the Sobi License (see note 12). In September 2020, Sobi paid the Company a one-time upfront payment of $75.0 million. Sobi has also agreed to make milestone payments totaling up to $630.0 million to the Company upon achievement of various development and regulatory milestones and sales thresholds for annual net sales of</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SEL-212, and tiered royalty payments ranging from low double digits on the lowest sales tier to high teens on the highest sales tier.</w:t>
      </w:r>
    </w:p>
    <w:p>
      <w:pPr>
        <w:spacing w:after="0" w:line="104"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For income tax purposes, the transfer of trademark and product rights is treated as a sale and the net proceeds from the sale are taxed under the default installment method as cash is received by the Company. During the year ending December 31,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2020 tax return. In the elect out method, the Company was initially taxed based upon the estimated fair value of all present and future proceeds from the sale and the Company utilized all of its available net operating losses and income tax credits, which served to reduce the federal and state tax liability. As the Company recognizes future cash proceeds under the Sobi license, the Company will exclude such amounts from taxable income up to the originally estimated fair value that was previously taxed.</w:t>
      </w:r>
    </w:p>
    <w:p>
      <w:pPr>
        <w:spacing w:after="0" w:line="93"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current tax benefit for penalty abatements received of $0.6 million. For the year ended December 31, 2021, the Company recognized tax expense of $16.0 million, inclusive of penalties and interest of $1.3 million assessed as of December 31, 2021. For the year ended December 31, 2020, the Company did not record a current or deferred income tax expense or benefit. The following table reconciles the federal statutory income tax rate to the Company’s effective income tax rate:</w:t>
      </w:r>
    </w:p>
    <w:p>
      <w:pPr>
        <w:spacing w:after="0" w:line="10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U.S. federal rate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 net of federal benefit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tax credits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5"/>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2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Company’s net deferred tax assets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102,583</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R&amp;E capitalization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 costs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6,843</w:t>
            </w:r>
          </w:p>
        </w:tc>
      </w:tr>
      <w:tr>
        <w:trPr>
          <w:trHeight w:val="18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132,120</w:t>
            </w:r>
          </w:p>
        </w:tc>
      </w:tr>
      <w:tr>
        <w:trPr>
          <w:trHeight w:val="223"/>
        </w:trPr>
        <w:tc>
          <w:tcPr>
            <w:tcW w:w="8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9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r>
      <w:tr>
        <w:trPr>
          <w:trHeight w:val="18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 before valuation allowance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129,345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(129,345)</w:t>
            </w:r>
          </w:p>
        </w:tc>
      </w:tr>
      <w:tr>
        <w:trPr>
          <w:trHeight w:val="19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5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benefit of its deferred tax assets. The valuation allowance decreased by $1.5 million for the year ended December 31, 2022, primarily as a result of pre-tax income and credits. The valuation allowance increased by $22.4 million for the year ended December 31, 2021, primarily as a result of an increase in deferred revenue. As of December 31, 2022, the Company is in the process of closing down operations in Russia and does not expect any tax liability.</w:t>
      </w:r>
    </w:p>
    <w:p>
      <w:pPr>
        <w:spacing w:after="0" w:line="6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has federal net operating loss carryforward of $62.4 million, which can be carried forward indefinitely but will be subject to an 80% limitation and state net operating loss carryforward of $61.8 million, which will expire at various times through 2042. The Company has $2.3 million and $0.6 million, respectively, of federal and state research and development tax credit carryforwards, which will expire at various times through 2042. Utilization of the NOL carryforwards and research and orphan drug credit carryforwards may be subject to a substantial annual limitation under Section 382 of the Internal Revenue Code of 1986, as amended (the Code), and similar state law due to ownership changes that could occur in the future.</w:t>
      </w:r>
    </w:p>
    <w:p>
      <w:pPr>
        <w:spacing w:after="0" w:line="7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 performed an analysis of ownership changes through December 31, 2022. Based on this analysis, the Company does not believe that any of its tax attributes through December 31, 2022 will expire unutilized due to Section 382 limitations.</w:t>
      </w:r>
    </w:p>
    <w:p>
      <w:pPr>
        <w:spacing w:after="0" w:line="79"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uncertain tax positions. As of the adoption date on January 1, 2010 and through December 31, 2022, the Company had no unrecognized tax benefits or related interest and penalties accrued.</w:t>
      </w:r>
    </w:p>
    <w:p>
      <w:pPr>
        <w:spacing w:after="0" w:line="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2021, the Company completed a detailed study of its research and development and orphan drug credits through December 31, 2020. The Company generated research credits for the years ended December 31, 2022 and 2021, but has not conducted a formal study to document its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our research and development credits and, if an adjustment is required, this adjustment would be offset by an adjustment to the deferred tax asset established for the research and development credit carryforwards and the valuation allowance.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requires taxpayers to capitalize and amortize, rather than deduct, research and experimental, or R&amp;E, expenditures under section 174 for tax years beginning after December 31, 2021. This rule became effective for the Company during the year and resulted in the capitalization of R&amp;E costs of $38.1 million. The Company will amortize these costs for tax purposes over 5 years if the R&amp;E was performed in the U.S. and over 15 years if the R&amp;E was performed outside the U.S.</w:t>
      </w:r>
    </w:p>
    <w:p>
      <w:pPr>
        <w:spacing w:after="0" w:line="7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 of operations. As of December 31, 2022, the Company had no accrued interest related to uncertain tax positions.</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$0.2 million, and $0.1 million during each of the years ended December 31, 2022, 2021 and 2020,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2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was not a party to any litigation that could have a material adverse effect on the Company’s business, financial position, results of operations or cash flows.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On January 8, 2023, the Company entered into a License and Development Agreement with Astellas Therapeutics, Inc., or the Astellas Agreement. Under the Astellas Agreement obtained the sole and exclusive right to commercialize Xork for use in Pompe disease with an Astellas gene therapy investigational or authorized product, with a current focus on AT845. The Company received a $10 million upfront payment in February 2023 and is eligible to receive $340.0 million for certain additional development and commercial milestones plus royalties on any potential commercial sales where Xork is used as a pre-treatment for AT845. As a result of the sublicense of Xork to Astellas, the Company made a $4.0 million payment to Genovis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21" w:right="35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4.8(b)</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FORM OF COMMON STOCK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THIS WARRANT AND THE SHARES OF COMMON STOCK ISSUED UPON ITS</w:t>
      </w:r>
    </w:p>
    <w:p>
      <w:pPr>
        <w:ind w:left="2840"/>
        <w:spacing w:after="0" w:line="204" w:lineRule="auto"/>
        <w:rPr>
          <w:sz w:val="20"/>
          <w:szCs w:val="20"/>
          <w:color w:val="auto"/>
        </w:rPr>
      </w:pPr>
      <w:r>
        <w:rPr>
          <w:rFonts w:ascii="Times New Roman" w:cs="Times New Roman" w:eastAsia="Times New Roman" w:hAnsi="Times New Roman"/>
          <w:sz w:val="22"/>
          <w:szCs w:val="22"/>
          <w:b w:val="1"/>
          <w:bCs w:val="1"/>
          <w:color w:val="auto"/>
        </w:rPr>
        <w:t>EXERCISE ARE SUBJECT TO THE RESTRICTIONS ON</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TRANSFER SET FORTH IN SECTION 5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-29210</wp:posOffset>
            </wp:positionV>
            <wp:extent cx="4467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189" w:lineRule="exact"/>
        <w:rPr>
          <w:sz w:val="20"/>
          <w:szCs w:val="20"/>
          <w:color w:val="auto"/>
        </w:rPr>
      </w:pPr>
    </w:p>
    <w:p>
      <w:pPr>
        <w:jc w:val="right"/>
        <w:ind w:left="200" w:right="80"/>
        <w:spacing w:after="0" w:line="262" w:lineRule="auto"/>
        <w:rPr>
          <w:sz w:val="20"/>
          <w:szCs w:val="20"/>
          <w:color w:val="auto"/>
        </w:rPr>
      </w:pPr>
      <w:r>
        <w:rPr>
          <w:rFonts w:ascii="Times New Roman" w:cs="Times New Roman" w:eastAsia="Times New Roman" w:hAnsi="Times New Roman"/>
          <w:sz w:val="22"/>
          <w:szCs w:val="22"/>
          <w:color w:val="auto"/>
        </w:rPr>
        <w:t>Warrant No. CS-[●]                                                                Number of Shares: [●] (subject to adjustment)</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 of Issuance: December 23, 2019</w:t>
      </w:r>
    </w:p>
    <w:p>
      <w:pPr>
        <w:ind w:left="200"/>
        <w:spacing w:after="0" w:line="232" w:lineRule="auto"/>
        <w:rPr>
          <w:sz w:val="20"/>
          <w:szCs w:val="20"/>
          <w:color w:val="auto"/>
        </w:rPr>
      </w:pPr>
      <w:r>
        <w:rPr>
          <w:rFonts w:ascii="Times New Roman" w:cs="Times New Roman" w:eastAsia="Times New Roman" w:hAnsi="Times New Roman"/>
          <w:sz w:val="22"/>
          <w:szCs w:val="22"/>
          <w:color w:val="auto"/>
        </w:rPr>
        <w:t>Original Issue Date (as defined in subsection 2(a)): December</w:t>
      </w:r>
    </w:p>
    <w:p>
      <w:pPr>
        <w:ind w:left="200"/>
        <w:spacing w:after="0"/>
        <w:rPr>
          <w:sz w:val="20"/>
          <w:szCs w:val="20"/>
          <w:color w:val="auto"/>
        </w:rPr>
      </w:pPr>
      <w:r>
        <w:rPr>
          <w:rFonts w:ascii="Times New Roman" w:cs="Times New Roman" w:eastAsia="Times New Roman" w:hAnsi="Times New Roman"/>
          <w:sz w:val="22"/>
          <w:szCs w:val="22"/>
          <w:color w:val="auto"/>
        </w:rPr>
        <w:t>23, 2019</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Selecta Biosciences,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Common Stock Purchase Warrant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(Void after December 23, 2024)</w:t>
      </w:r>
    </w:p>
    <w:p>
      <w:pPr>
        <w:spacing w:after="0" w:line="179"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Selecta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certifies that [●], or its registered assigns (the “</w:t>
      </w:r>
      <w:r>
        <w:rPr>
          <w:rFonts w:ascii="Times New Roman" w:cs="Times New Roman" w:eastAsia="Times New Roman" w:hAnsi="Times New Roman"/>
          <w:sz w:val="22"/>
          <w:szCs w:val="22"/>
          <w:u w:val="single" w:color="auto"/>
          <w:color w:val="auto"/>
        </w:rPr>
        <w:t>Registered Holder</w:t>
      </w:r>
      <w:r>
        <w:rPr>
          <w:rFonts w:ascii="Times New Roman" w:cs="Times New Roman" w:eastAsia="Times New Roman" w:hAnsi="Times New Roman"/>
          <w:sz w:val="22"/>
          <w:szCs w:val="22"/>
          <w:color w:val="auto"/>
        </w:rPr>
        <w:t>”), is entitled, subject to the terms and conditions set forth below, to purchase from the Company, at any time or from time to time on or after the date of issuance and on or before 5:00 p.m. (New York City time) on December 23, 2024 shares of Common Stock, $0.0001 par value per share, of the Company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at a purchase price of $1.46 per share. The shares purchasable upon exercise of this Warrant, and the purchase price per share, each as adjusted from time to time pursuant to the provisions of this Warrant, are hereinafter referred to as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respectively. This Warrant is one of the Common Stock Purchase Warrants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issued pursuant to that certain Securities Purchase Agreement, dated as of December 18, 2019, by and among the Company and each of the investors party thereto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Capitalized terms used herein have the respective meanings ascribed thereto in the Purchase Agreement unless otherwise defined herein.</w:t>
      </w:r>
    </w:p>
    <w:p>
      <w:pPr>
        <w:spacing w:after="0" w:line="152" w:lineRule="exact"/>
        <w:rPr>
          <w:sz w:val="20"/>
          <w:szCs w:val="20"/>
          <w:color w:val="auto"/>
        </w:rPr>
      </w:pPr>
    </w:p>
    <w:p>
      <w:pPr>
        <w:ind w:left="840" w:hanging="184"/>
        <w:spacing w:after="0"/>
        <w:tabs>
          <w:tab w:leader="none" w:pos="8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 w:firstLine="1304"/>
        <w:spacing w:after="0" w:line="217" w:lineRule="auto"/>
        <w:tabs>
          <w:tab w:leader="none" w:pos="156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for Cash</w:t>
      </w:r>
      <w:r>
        <w:rPr>
          <w:rFonts w:ascii="Times New Roman" w:cs="Times New Roman" w:eastAsia="Times New Roman" w:hAnsi="Times New Roman"/>
          <w:sz w:val="22"/>
          <w:szCs w:val="22"/>
          <w:color w:val="auto"/>
        </w:rPr>
        <w:t xml:space="preserve">. Subject to the limitations set forth in Section 1(e), the Registered Holder may elect to exercise this Warrant, in whole or in part and at any time or from time to time, by surrendering this Warrant, with the purchase form appended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duly executed by or on behalf of the Registered Holder, at the principal office of the Company, or at such other office or agency as the Company may designate, accompanied by payment in full, in lawful money of the United States, of the Purchase Price payable in respect of the number of Warrant Shares purchased upon such exercise.</w:t>
      </w:r>
    </w:p>
    <w:p>
      <w:pPr>
        <w:spacing w:after="0" w:line="152" w:lineRule="exact"/>
        <w:rPr>
          <w:rFonts w:ascii="Times New Roman" w:cs="Times New Roman" w:eastAsia="Times New Roman" w:hAnsi="Times New Roman"/>
          <w:sz w:val="22"/>
          <w:szCs w:val="22"/>
          <w:color w:val="auto"/>
        </w:rPr>
      </w:pPr>
    </w:p>
    <w:p>
      <w:pPr>
        <w:ind w:firstLine="1304"/>
        <w:spacing w:after="0" w:line="215" w:lineRule="auto"/>
        <w:tabs>
          <w:tab w:leader="none" w:pos="157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xml:space="preserve">. Subject to the limitations set forth in Section 1(e), the Registered Holder may also elect to exercise this Warrant, in whole or in part, on a cashless basis, by surrendering this Warrant, with the purchase form appended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duly executed by or on behalf of the Registered Holder, at the principal office of the Company, or at such other office or agency as the Company may designate, by canceling a portion of this Warrant in payment of the Purchase Price payable in respect of the number of Warrant Shares purchased upon such exercise. In the event of an exercise pursuant to this subsection 1(b), the</w:t>
      </w:r>
    </w:p>
    <w:p>
      <w:pPr>
        <w:sectPr>
          <w:pgSz w:w="11900" w:h="16838" w:orient="portrait"/>
          <w:cols w:equalWidth="0" w:num="1">
            <w:col w:w="11240"/>
          </w:cols>
          <w:pgMar w:left="320" w:top="1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number of Warrant Shares issued to the Registered Holder shall be determined according to the following formula:</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740" w:type="dxa"/>
            <w:vAlign w:val="bottom"/>
            <w:gridSpan w:val="2"/>
          </w:tcPr>
          <w:p>
            <w:pPr>
              <w:jc w:val="center"/>
              <w:ind w:right="5500"/>
              <w:spacing w:after="0"/>
              <w:rPr>
                <w:sz w:val="20"/>
                <w:szCs w:val="20"/>
                <w:color w:val="auto"/>
              </w:rPr>
            </w:pPr>
            <w:r>
              <w:rPr>
                <w:rFonts w:ascii="Times New Roman" w:cs="Times New Roman" w:eastAsia="Times New Roman" w:hAnsi="Times New Roman"/>
                <w:sz w:val="22"/>
                <w:szCs w:val="22"/>
                <w:b w:val="1"/>
                <w:bCs w:val="1"/>
                <w:color w:val="auto"/>
                <w:w w:val="99"/>
              </w:rPr>
              <w:t>[(A-B)*(X)]</w:t>
            </w:r>
          </w:p>
        </w:tc>
      </w:tr>
      <w:tr>
        <w:trPr>
          <w:trHeight w:val="281"/>
        </w:trPr>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w:t>
            </w:r>
          </w:p>
        </w:tc>
        <w:tc>
          <w:tcPr>
            <w:tcW w:w="5500" w:type="dxa"/>
            <w:vAlign w:val="bottom"/>
          </w:tcPr>
          <w:p>
            <w:pPr>
              <w:spacing w:after="0"/>
              <w:rPr>
                <w:sz w:val="24"/>
                <w:szCs w:val="24"/>
                <w:color w:val="auto"/>
              </w:rPr>
            </w:pPr>
          </w:p>
        </w:tc>
      </w:tr>
      <w:tr>
        <w:trPr>
          <w:trHeight w:val="71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86"/>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A =</w:t>
            </w:r>
          </w:p>
        </w:tc>
        <w:tc>
          <w:tcPr>
            <w:tcW w:w="8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the VWAP on the Trading Day immediately preceding the date of such election;</w:t>
            </w: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 =</w:t>
            </w:r>
          </w:p>
        </w:tc>
        <w:tc>
          <w:tcPr>
            <w:tcW w:w="8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the Purchase Price then in effect; and</w:t>
            </w:r>
          </w:p>
        </w:tc>
      </w:tr>
      <w:tr>
        <w:trPr>
          <w:trHeight w:val="474"/>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X =</w:t>
            </w:r>
          </w:p>
        </w:tc>
        <w:tc>
          <w:tcPr>
            <w:tcW w:w="8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w w:val="97"/>
              </w:rPr>
              <w:t>the number of Warrant Shares for which this Warrant is being exercised (which shall include both</w:t>
            </w:r>
          </w:p>
        </w:tc>
      </w:tr>
      <w:tr>
        <w:trPr>
          <w:trHeight w:val="216"/>
        </w:trPr>
        <w:tc>
          <w:tcPr>
            <w:tcW w:w="900" w:type="dxa"/>
            <w:vAlign w:val="bottom"/>
          </w:tcPr>
          <w:p>
            <w:pPr>
              <w:spacing w:after="0"/>
              <w:rPr>
                <w:sz w:val="18"/>
                <w:szCs w:val="18"/>
                <w:color w:val="auto"/>
              </w:rPr>
            </w:pPr>
          </w:p>
        </w:tc>
        <w:tc>
          <w:tcPr>
            <w:tcW w:w="8700" w:type="dxa"/>
            <w:vAlign w:val="bottom"/>
            <w:gridSpan w:val="3"/>
          </w:tcPr>
          <w:p>
            <w:pPr>
              <w:ind w:left="280"/>
              <w:spacing w:after="0" w:line="216" w:lineRule="exact"/>
              <w:rPr>
                <w:sz w:val="20"/>
                <w:szCs w:val="20"/>
                <w:color w:val="auto"/>
              </w:rPr>
            </w:pPr>
            <w:r>
              <w:rPr>
                <w:rFonts w:ascii="Times New Roman" w:cs="Times New Roman" w:eastAsia="Times New Roman" w:hAnsi="Times New Roman"/>
                <w:sz w:val="22"/>
                <w:szCs w:val="22"/>
                <w:color w:val="auto"/>
                <w:w w:val="98"/>
              </w:rPr>
              <w:t>the number of Warrant Shares issued to the Registered Holder and the number of Warrant Shares</w:t>
            </w:r>
          </w:p>
        </w:tc>
      </w:tr>
      <w:tr>
        <w:trPr>
          <w:trHeight w:val="282"/>
        </w:trPr>
        <w:tc>
          <w:tcPr>
            <w:tcW w:w="900" w:type="dxa"/>
            <w:vAlign w:val="bottom"/>
          </w:tcPr>
          <w:p>
            <w:pPr>
              <w:spacing w:after="0"/>
              <w:rPr>
                <w:sz w:val="24"/>
                <w:szCs w:val="24"/>
                <w:color w:val="auto"/>
              </w:rPr>
            </w:pPr>
          </w:p>
        </w:tc>
        <w:tc>
          <w:tcPr>
            <w:tcW w:w="87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subject to the portion of the Warrant being cancelled in payment of the Purchase Price).</w:t>
            </w:r>
          </w:p>
        </w:tc>
      </w:tr>
    </w:tbl>
    <w:p>
      <w:pPr>
        <w:spacing w:after="0" w:line="55"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(i) if the Common Stock is then listed on the Nasdaq Global Select Market, the Nasdaq Global Market, the Nasdaq Capital Market or the New York Stock Exchange (such market, the “</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the daily volume-weighted average price of the Common Stock for such date (or the nearest preceding date) on the Trading Market as reported by Bloomberg Financial L.P. (based on a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from 9:30 a.m. Eastern Time to 4:02 p.m. Eastern Time); (ii) the volume-weighted average price of the Common Stock for such date (or the nearest preceding date) on the OTC Bulletin Board; (iii) if the Common Stock is not then listed on a Trading Market or quoted on the OTC Bulletin Board and if prices for the Common Stock are then reported in the “Pink Sheets” published by the Pink Sheets, LLC (or a similar organization or agency succeeding to its functions of reporting prices), the most recent bid price per share of the Common Stock so reported; or (iv) in all other cases, the fair market value of a share of Common Stock as determined by a good faith determination of the Company’s Board of Directors.</w:t>
      </w:r>
    </w:p>
    <w:p>
      <w:pPr>
        <w:spacing w:after="0" w:line="152" w:lineRule="exact"/>
        <w:rPr>
          <w:sz w:val="20"/>
          <w:szCs w:val="20"/>
          <w:color w:val="auto"/>
        </w:rPr>
      </w:pPr>
    </w:p>
    <w:p>
      <w:pPr>
        <w:ind w:right="80" w:firstLine="1304"/>
        <w:spacing w:after="0" w:line="217" w:lineRule="auto"/>
        <w:tabs>
          <w:tab w:leader="none" w:pos="156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Each exercise of this Warrant shall be deemed to have been effected immediately prior to the close of business on the day on which this Warrant shall have been surrendered to the Company as provided in subsection 1(a) or 1(b) above (the “</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At such time, the person or persons in whose name or names any certificates for Warrant Shares shall be issuable upon such exercise as provided in subsection 1(d) below shall be deemed to have become the holder or holders of record of the Warrant Shares represented by such certificates.</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5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Upon Exercise</w:t>
      </w:r>
      <w:r>
        <w:rPr>
          <w:rFonts w:ascii="Times New Roman" w:cs="Times New Roman" w:eastAsia="Times New Roman" w:hAnsi="Times New Roman"/>
          <w:sz w:val="22"/>
          <w:szCs w:val="22"/>
          <w:color w:val="auto"/>
        </w:rPr>
        <w:t>. As soon as practicable after the exercise of this Warrant in whole or in part, and in any event within 5 days thereafter, the Company, at its expense, will cause to be issued in the name of, and delivered to, the Registered Holder, or as the Registered Holder (upon payment by the Registered Holder of any applicable transfer taxes) may direct:</w:t>
      </w:r>
    </w:p>
    <w:p>
      <w:pPr>
        <w:spacing w:after="0" w:line="152" w:lineRule="exact"/>
        <w:rPr>
          <w:rFonts w:ascii="Times New Roman" w:cs="Times New Roman" w:eastAsia="Times New Roman" w:hAnsi="Times New Roman"/>
          <w:sz w:val="22"/>
          <w:szCs w:val="22"/>
          <w:color w:val="auto"/>
        </w:rPr>
      </w:pPr>
    </w:p>
    <w:p>
      <w:pPr>
        <w:ind w:right="40" w:firstLine="1952"/>
        <w:spacing w:after="0" w:line="220" w:lineRule="auto"/>
        <w:tabs>
          <w:tab w:leader="none" w:pos="217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or certificates for the number of full Warrant Shares to which the Registered Holder shall be entitled upon such exercise transmitted by the transfer agent of the Company to the Registered Holder in electronic book entry form to the account of such Registered Holder or, upon request of the Registered Holder, by physical delivery to the address specified by the Registered Holder,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lieu of any fractional share to which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13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Registered Holder would otherwise be entitled, cash in an amount determined pursuant to Section 3 hereof; and</w:t>
      </w:r>
    </w:p>
    <w:p>
      <w:pPr>
        <w:spacing w:after="0" w:line="179" w:lineRule="exact"/>
        <w:rPr>
          <w:sz w:val="20"/>
          <w:szCs w:val="20"/>
          <w:color w:val="auto"/>
        </w:rPr>
      </w:pPr>
    </w:p>
    <w:p>
      <w:pPr>
        <w:ind w:right="80" w:firstLine="1952"/>
        <w:spacing w:after="0" w:line="215" w:lineRule="auto"/>
        <w:tabs>
          <w:tab w:leader="none" w:pos="2239"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such exercise is in part only, a new warrant or warrants (dated the date hereof) of like tenor, calling in the aggregate on the face or faces thereof for the number of Warrant Shares equal (without giving effect to any adjustment therein) to the number of such shares called for on the face of this Warrant minus the number of Warrant Shares for which this Warrant was so exercised (which, in the case of an exercise pursuant to subsection 1(b), shall include both the number of Warrant Shares issued to the Registered Holder pursuant to such partial exercise and the number of Warrant Shares subject to the portion of the Warrant being cancelled in payment of the Purchase Price).</w:t>
      </w:r>
    </w:p>
    <w:p>
      <w:pPr>
        <w:spacing w:after="0" w:line="152" w:lineRule="exact"/>
        <w:rPr>
          <w:rFonts w:ascii="Times New Roman" w:cs="Times New Roman" w:eastAsia="Times New Roman" w:hAnsi="Times New Roman"/>
          <w:sz w:val="22"/>
          <w:szCs w:val="22"/>
          <w:color w:val="auto"/>
        </w:rPr>
      </w:pPr>
    </w:p>
    <w:p>
      <w:pPr>
        <w:ind w:firstLine="1304"/>
        <w:spacing w:after="0"/>
        <w:tabs>
          <w:tab w:leader="none" w:pos="156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Exercise</w:t>
      </w:r>
      <w:r>
        <w:rPr>
          <w:rFonts w:ascii="Times New Roman" w:cs="Times New Roman" w:eastAsia="Times New Roman" w:hAnsi="Times New Roman"/>
          <w:sz w:val="20"/>
          <w:szCs w:val="20"/>
          <w:color w:val="auto"/>
        </w:rPr>
        <w:t>. Subject to the last sentence of this Section 1(e), the Company shall not effect the exercise of this Warrant, and the Registered Holder shall not have the right to exercise this Warrant, to the extent that after giving effect to such exercise, such Registered Holder (together with such Registered Holder’s Affiliates and any other Persons acting as a group together) would beneficially own in excess of [9.999]%</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Maximum Percentage</w:t>
      </w:r>
      <w:r>
        <w:rPr>
          <w:rFonts w:ascii="Times New Roman" w:cs="Times New Roman" w:eastAsia="Times New Roman" w:hAnsi="Times New Roman"/>
          <w:sz w:val="20"/>
          <w:szCs w:val="20"/>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For purposes of this Warrant, in determining the number of outstanding shares of Common Stock, the Registered Holder may rely on the number of outstanding shares of Common Stock as reflected in (1) the Company’s most recent Form 10-K, Proxy Statement,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For any reason at any time, upon the written or oral request of the Registered Holder, where such request indicates that it is being made pursuant to this Warrant, the Company shall within one (1) Trading Day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the Warrants, by the Registered Holder and its Affiliates since the date as of which such number of outstanding shares of Common Stock was reported. Upon delivery of a written notice to the Company, the Registered Holder may from time to time increase or decrease the Maximum Percentage to any other percentage as specified in such notice; provided that in no event shall such Maximum Percentage be increased to more than 19.99%; provided, further, that (i) any such increase in the Maximum Percentage will not be effective until the sixty-first (61st) day after such notice is delivered to the Company and (ii) any such increase or decrease will apply only to the Registered Holder and not to any other holder of Warrants. For purposes of clarity, the shares of Common Stock issuable pursuant to the terms of this Warrant in excess of the Maximum Percentage shall not be deemed to be beneficially owned by the Registered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w:t>
      </w:r>
    </w:p>
    <w:p>
      <w:pPr>
        <w:spacing w:after="0" w:line="35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Insert Maximum Percentage as indicated on the Buyer’s signature page attached to the Securities Purchase Agreement.</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5580" w:hanging="136"/>
        <w:spacing w:after="0"/>
        <w:tabs>
          <w:tab w:leader="none" w:pos="5580"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1714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8" w:name="page119"/>
    <w:bookmarkEnd w:id="118"/>
    <w:p>
      <w:pPr>
        <w:ind w:right="200"/>
        <w:spacing w:after="0" w:line="217" w:lineRule="auto"/>
        <w:rPr>
          <w:sz w:val="20"/>
          <w:szCs w:val="20"/>
          <w:color w:val="auto"/>
        </w:rPr>
      </w:pPr>
      <w:r>
        <w:rPr>
          <w:rFonts w:ascii="Times New Roman" w:cs="Times New Roman" w:eastAsia="Times New Roman" w:hAnsi="Times New Roman"/>
          <w:sz w:val="22"/>
          <w:szCs w:val="22"/>
          <w:color w:val="auto"/>
        </w:rPr>
        <w:t>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limitations set forth in this Section 1(e) shall not apply to exercises of this Warrant that occur prior to and expressly in connection with the Company’s consummation of a Fundamental Transaction.]</w:t>
      </w:r>
    </w:p>
    <w:p>
      <w:pPr>
        <w:spacing w:after="0" w:line="152" w:lineRule="exact"/>
        <w:rPr>
          <w:sz w:val="20"/>
          <w:szCs w:val="20"/>
          <w:color w:val="auto"/>
        </w:rPr>
      </w:pPr>
    </w:p>
    <w:p>
      <w:pPr>
        <w:ind w:firstLine="1304"/>
        <w:spacing w:after="0" w:line="218" w:lineRule="auto"/>
        <w:tabs>
          <w:tab w:leader="none" w:pos="154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including Section 1(e),] and subject to the last sentence of this Section 1[(f)], the Company shall not effect any exercise of this Warrant, and the Registered Holder shall not be entitled to exercise this Warrant for a number of Warrant Shares in excess of that number of Warrant Shares which, upon giving effect to such exercise, would cause (i) the aggregate number of shares of Common Stock beneficially owned by the Registered Holder and its Affiliates and any other Persons whose beneficial ownership of Common Stock would be aggregated with the Registered Holder’s for purposes of Section 13(d) of the 1934 Act and the rules and regulations promulgated thereunder, including any “group” of which the Registered Holder is a member, to exceed 19.99% of the total number of issued and outstanding shares of Common Stock of the Company following such exercise, or (ii) the combined voting power of the securities of the Company beneficially owned by the Registered Holder and its Affiliates and any other Persons whose beneficial ownership of Common Stock would be aggregated with the Registered Holder’s for purposes of Section 13(d) of the 1934 Act to exceed 19.99% of the combined voting power of all of the securities of the Company then outstanding following such exercise. For purposes of this Section 2(e), the aggregate number of shares of Common Stock or voting securities beneficially owned by the Registered Holder and its Affiliates and any other Persons whose beneficial ownership of Common Stock would be aggregated with the Registered Holder’s for purposes of Section 13(d) of the 1934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Registered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Registered Holder or any of its Affiliates and other Persons whose beneficial ownership of Common Stock would be aggregated with the Registered Holder’s for purposes of Section 13(d) of the 1934 Act. The limitations set forth in this Section 1[(f)] shall not apply to exercises of this Warrant that occur prior to and expressly in connection with the Company’s consummation of a Fundamental Transaction.]</w:t>
      </w:r>
      <w:r>
        <w:rPr>
          <w:rFonts w:ascii="Times New Roman" w:cs="Times New Roman" w:eastAsia="Times New Roman" w:hAnsi="Times New Roman"/>
          <w:sz w:val="27"/>
          <w:szCs w:val="27"/>
          <w:color w:val="auto"/>
          <w:vertAlign w:val="superscript"/>
        </w:rPr>
        <w:t>2</w:t>
      </w:r>
    </w:p>
    <w:p>
      <w:pPr>
        <w:spacing w:after="0" w:line="69" w:lineRule="exact"/>
        <w:rPr>
          <w:rFonts w:ascii="Times New Roman" w:cs="Times New Roman" w:eastAsia="Times New Roman" w:hAnsi="Times New Roman"/>
          <w:sz w:val="21"/>
          <w:szCs w:val="21"/>
          <w:color w:val="auto"/>
        </w:rPr>
      </w:pPr>
    </w:p>
    <w:p>
      <w:pPr>
        <w:ind w:left="840" w:hanging="184"/>
        <w:spacing w:after="0"/>
        <w:tabs>
          <w:tab w:leader="none" w:pos="8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60" w:firstLine="1304"/>
        <w:spacing w:after="0" w:line="213" w:lineRule="auto"/>
        <w:tabs>
          <w:tab w:leader="none" w:pos="156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Stock Splits and Combinations</w:t>
      </w:r>
      <w:r>
        <w:rPr>
          <w:rFonts w:ascii="Times New Roman" w:cs="Times New Roman" w:eastAsia="Times New Roman" w:hAnsi="Times New Roman"/>
          <w:sz w:val="22"/>
          <w:szCs w:val="22"/>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(either such date being referred to as the “</w:t>
      </w:r>
      <w:r>
        <w:rPr>
          <w:rFonts w:ascii="Times New Roman" w:cs="Times New Roman" w:eastAsia="Times New Roman" w:hAnsi="Times New Roman"/>
          <w:sz w:val="22"/>
          <w:szCs w:val="22"/>
          <w:u w:val="single" w:color="auto"/>
          <w:color w:val="auto"/>
        </w:rPr>
        <w:t>Original Issue Date</w:t>
      </w:r>
      <w:r>
        <w:rPr>
          <w:rFonts w:ascii="Times New Roman" w:cs="Times New Roman" w:eastAsia="Times New Roman" w:hAnsi="Times New Roman"/>
          <w:sz w:val="22"/>
          <w:szCs w:val="22"/>
          <w:color w:val="auto"/>
        </w:rPr>
        <w:t>”) effect a subdivision of the outstanding Common Stock, the Purchase Price then in effect immediately before that subdivision shall be proportionately decreased. If the Company shall at any time or from time to time after the Original Issue Date combine the outstanding shares of Common Stock, the Purchase Price then in effect immediately before the combination shall be proportionately increased. Any adjustment under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120" w:hanging="112"/>
        <w:spacing w:after="0"/>
        <w:tabs>
          <w:tab w:leader="none" w:pos="1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for investors which would otherwise acquire more than 19.99%</w:t>
      </w:r>
    </w:p>
    <w:p>
      <w:pPr>
        <w:spacing w:after="0" w:line="200" w:lineRule="exact"/>
        <w:rPr>
          <w:rFonts w:ascii="Times New Roman" w:cs="Times New Roman" w:eastAsia="Times New Roman" w:hAnsi="Times New Roman"/>
          <w:sz w:val="23"/>
          <w:szCs w:val="23"/>
          <w:color w:val="auto"/>
          <w:vertAlign w:val="superscript"/>
        </w:rPr>
      </w:pPr>
    </w:p>
    <w:p>
      <w:pPr>
        <w:spacing w:after="0" w:line="231" w:lineRule="exact"/>
        <w:rPr>
          <w:rFonts w:ascii="Times New Roman" w:cs="Times New Roman" w:eastAsia="Times New Roman" w:hAnsi="Times New Roman"/>
          <w:sz w:val="23"/>
          <w:szCs w:val="23"/>
          <w:color w:val="auto"/>
          <w:vertAlign w:val="superscript"/>
        </w:rPr>
      </w:pPr>
    </w:p>
    <w:p>
      <w:pPr>
        <w:ind w:left="5580" w:hanging="136"/>
        <w:spacing w:after="0"/>
        <w:tabs>
          <w:tab w:leader="none" w:pos="5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80"/>
          </w:cols>
          <w:pgMar w:left="320" w:top="1138" w:right="3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shall become effective at the close of business on the date the subdivision or combination becomes effective.</w:t>
      </w:r>
    </w:p>
    <w:p>
      <w:pPr>
        <w:spacing w:after="0" w:line="179" w:lineRule="exact"/>
        <w:rPr>
          <w:sz w:val="20"/>
          <w:szCs w:val="20"/>
          <w:color w:val="auto"/>
        </w:rPr>
      </w:pPr>
    </w:p>
    <w:p>
      <w:pPr>
        <w:ind w:firstLine="1304"/>
        <w:spacing w:after="0" w:line="215" w:lineRule="auto"/>
        <w:tabs>
          <w:tab w:leader="none" w:pos="157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Certain Dividends and Distributions</w:t>
      </w:r>
      <w:r>
        <w:rPr>
          <w:rFonts w:ascii="Times New Roman" w:cs="Times New Roman" w:eastAsia="Times New Roman" w:hAnsi="Times New Roman"/>
          <w:sz w:val="22"/>
          <w:szCs w:val="22"/>
          <w:color w:val="auto"/>
        </w:rPr>
        <w:t>. In the event the Company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w:t>
      </w:r>
    </w:p>
    <w:p>
      <w:pPr>
        <w:spacing w:after="0" w:line="152" w:lineRule="exact"/>
        <w:rPr>
          <w:rFonts w:ascii="Times New Roman" w:cs="Times New Roman" w:eastAsia="Times New Roman" w:hAnsi="Times New Roman"/>
          <w:sz w:val="22"/>
          <w:szCs w:val="22"/>
          <w:color w:val="auto"/>
        </w:rPr>
      </w:pPr>
    </w:p>
    <w:p>
      <w:pPr>
        <w:ind w:right="720" w:firstLine="2600"/>
        <w:spacing w:after="0" w:line="236" w:lineRule="auto"/>
        <w:tabs>
          <w:tab w:leader="none" w:pos="28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which shall be the total number of shares of Common Stock issued and outstanding immediately prior to the time of such issuance or the close of business on such record date, and</w:t>
      </w:r>
    </w:p>
    <w:p>
      <w:pPr>
        <w:spacing w:after="0" w:line="150" w:lineRule="exact"/>
        <w:rPr>
          <w:rFonts w:ascii="Times New Roman" w:cs="Times New Roman" w:eastAsia="Times New Roman" w:hAnsi="Times New Roman"/>
          <w:sz w:val="22"/>
          <w:szCs w:val="22"/>
          <w:color w:val="auto"/>
        </w:rPr>
      </w:pPr>
    </w:p>
    <w:p>
      <w:pPr>
        <w:ind w:right="80" w:firstLine="2600"/>
        <w:spacing w:after="0" w:line="225" w:lineRule="auto"/>
        <w:tabs>
          <w:tab w:leader="none" w:pos="287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53"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record date shall have been fixed and such dividend is not fully paid or if such distribution is not fully made on the date fixed therefor, the Purchase Price shall be recomputed accordingly as of the close of business on such record date and thereafter the Purchase Price shall be adjusted pursuant to this paragraph as of the time of actual payment of such dividends or distributions.</w:t>
      </w:r>
    </w:p>
    <w:p>
      <w:pPr>
        <w:spacing w:after="0" w:line="152" w:lineRule="exact"/>
        <w:rPr>
          <w:sz w:val="20"/>
          <w:szCs w:val="20"/>
          <w:color w:val="auto"/>
        </w:rPr>
      </w:pPr>
    </w:p>
    <w:p>
      <w:pPr>
        <w:ind w:right="220" w:firstLine="1304"/>
        <w:spacing w:after="0" w:line="217" w:lineRule="auto"/>
        <w:tabs>
          <w:tab w:leader="none" w:pos="15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in Number of Warrant Shares</w:t>
      </w:r>
      <w:r>
        <w:rPr>
          <w:rFonts w:ascii="Times New Roman" w:cs="Times New Roman" w:eastAsia="Times New Roman" w:hAnsi="Times New Roman"/>
          <w:sz w:val="22"/>
          <w:szCs w:val="22"/>
          <w:color w:val="auto"/>
        </w:rPr>
        <w:t>. When any adjustment is required to be made in the Purchase Price pursuant to subsections 2(a) or 2(b), the number of Warrant Shares purchasable upon the exercise of this Warrant shall be changed to the number determined by dividing (i) an amount equal to the number of shares issuable upon the exercise of this Warrant immediately prior to such adjustment, multiplied by the Purchase Price in effect immediately prior to such adjustment, by (ii) the Purchase Price in effect immediately after such adjustment.</w:t>
      </w:r>
    </w:p>
    <w:p>
      <w:pPr>
        <w:spacing w:after="0" w:line="152" w:lineRule="exact"/>
        <w:rPr>
          <w:rFonts w:ascii="Times New Roman" w:cs="Times New Roman" w:eastAsia="Times New Roman" w:hAnsi="Times New Roman"/>
          <w:sz w:val="22"/>
          <w:szCs w:val="22"/>
          <w:color w:val="auto"/>
        </w:rPr>
      </w:pPr>
    </w:p>
    <w:p>
      <w:pPr>
        <w:ind w:firstLine="1304"/>
        <w:spacing w:after="0" w:line="221" w:lineRule="auto"/>
        <w:tabs>
          <w:tab w:leader="none" w:pos="157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for Other Dividends and Distributions.</w:t>
      </w:r>
      <w:r>
        <w:rPr>
          <w:rFonts w:ascii="Times New Roman" w:cs="Times New Roman" w:eastAsia="Times New Roman" w:hAnsi="Times New Roman"/>
          <w:sz w:val="21"/>
          <w:szCs w:val="21"/>
          <w:color w:val="auto"/>
        </w:rPr>
        <w:t xml:space="preserve"> In the event the Company at any time or from time to time after the Original Issue Date shall make or issue, or fix a record date for the determination of holders of Common Stock entitled to receive, a dividend or other distribution payable in securities of the Company (other than shares of Common Stock) or in cash or other property (other than regular cash dividends paid out of earnings or earned surplus, determined in accordance with generally accepted accounting principles), then and in each such event provision shall be made so that the Registered Holder shall receive upon exercise hereof, in addition to the number of shares of Common Stock issuable hereunder, the kind and amount of securities of the Company, cash or other property which the Registered Holder would have been entitled to receive had this Warrant been exercised on the date of such event and had the Registered Holder thereafter, during the period from the date of such event to and including the Exercise Date, retained any such securities receivable during such period, giving application to all adjustments called for during such period under this Section 2 with respect to the rights of the Registered Holder.</w:t>
      </w:r>
    </w:p>
    <w:p>
      <w:pPr>
        <w:spacing w:after="0" w:line="152" w:lineRule="exact"/>
        <w:rPr>
          <w:rFonts w:ascii="Times New Roman" w:cs="Times New Roman" w:eastAsia="Times New Roman" w:hAnsi="Times New Roman"/>
          <w:sz w:val="21"/>
          <w:szCs w:val="21"/>
          <w:color w:val="auto"/>
        </w:rPr>
      </w:pPr>
    </w:p>
    <w:p>
      <w:pPr>
        <w:ind w:right="180" w:firstLine="1304"/>
        <w:spacing w:after="0" w:line="220" w:lineRule="auto"/>
        <w:tabs>
          <w:tab w:leader="none" w:pos="15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Reorganization</w:t>
      </w:r>
      <w:r>
        <w:rPr>
          <w:rFonts w:ascii="Times New Roman" w:cs="Times New Roman" w:eastAsia="Times New Roman" w:hAnsi="Times New Roman"/>
          <w:sz w:val="22"/>
          <w:szCs w:val="22"/>
          <w:color w:val="auto"/>
        </w:rPr>
        <w:t>. If there shall occur any reorganization, recapitalization, reclassification, consolidation or merger involving the Company in which the Common Stock is converted into or exchanged for securities, cash or other property (other than a transaction covered by subsections 2(a), 2(b) or 2(d)) (collectively, a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then, following such Reorganization, the Registered Holder shall receive upon exercise hereof the kind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138" w:right="339" w:bottom="1440" w:gutter="0" w:footer="0" w:header="0"/>
        </w:sectPr>
      </w:pPr>
    </w:p>
    <w:bookmarkStart w:id="120" w:name="page121"/>
    <w:bookmarkEnd w:id="120"/>
    <w:p>
      <w:pPr>
        <w:ind w:right="260"/>
        <w:spacing w:after="0" w:line="213" w:lineRule="auto"/>
        <w:rPr>
          <w:sz w:val="20"/>
          <w:szCs w:val="20"/>
          <w:color w:val="auto"/>
        </w:rPr>
      </w:pPr>
      <w:r>
        <w:rPr>
          <w:rFonts w:ascii="Times New Roman" w:cs="Times New Roman" w:eastAsia="Times New Roman" w:hAnsi="Times New Roman"/>
          <w:sz w:val="22"/>
          <w:szCs w:val="22"/>
          <w:color w:val="auto"/>
        </w:rPr>
        <w:t>and amount of securities, cash or other property which the Registered Holder would have been entitled to receive pursuant to such Reorganization if such exercise had taken place immediately prior to such Reorganization. In any such case, appropriate adjustment (as determined in good faith by the Board) shall be made in the application of the provisions set forth herein with respect to the rights and interests thereafter of the Registered Holder, to the end that the provisions set forth in this Section 2 (including provisions with respect to changes in and other adjustments of the Purchase Price) shall thereafter be applicable, as nearly as reasonably may be, in relation to any securities, cash or other property thereafter deliverable upon the exercise of this Warrant.</w:t>
      </w:r>
    </w:p>
    <w:p>
      <w:pPr>
        <w:spacing w:after="0" w:line="156" w:lineRule="exact"/>
        <w:rPr>
          <w:sz w:val="20"/>
          <w:szCs w:val="20"/>
          <w:color w:val="auto"/>
        </w:rPr>
      </w:pPr>
    </w:p>
    <w:p>
      <w:pPr>
        <w:ind w:firstLine="1304"/>
        <w:spacing w:after="0" w:line="219" w:lineRule="auto"/>
        <w:tabs>
          <w:tab w:leader="none" w:pos="154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Fundamental Transactions</w:t>
      </w:r>
      <w:r>
        <w:rPr>
          <w:rFonts w:ascii="Times New Roman" w:cs="Times New Roman" w:eastAsia="Times New Roman" w:hAnsi="Times New Roman"/>
          <w:sz w:val="21"/>
          <w:szCs w:val="21"/>
          <w:color w:val="auto"/>
          <w:highlight w:val="white"/>
        </w:rPr>
        <w:t>. If the Company shall enter into or be party to a Fundamental</w:t>
      </w:r>
      <w:r>
        <w:rPr>
          <w:rFonts w:ascii="Times New Roman" w:cs="Times New Roman" w:eastAsia="Times New Roman" w:hAnsi="Times New Roman"/>
          <w:sz w:val="21"/>
          <w:szCs w:val="21"/>
          <w:color w:val="auto"/>
        </w:rPr>
        <w:t xml:space="preserve"> Transaction (as defined below) and (i) if the successor entity is a publicly traded corporation whose common stock is quoted on or listed for </w:t>
      </w:r>
      <w:r>
        <w:rPr>
          <w:rFonts w:ascii="Times New Roman" w:cs="Times New Roman" w:eastAsia="Times New Roman" w:hAnsi="Times New Roman"/>
          <w:sz w:val="21"/>
          <w:szCs w:val="21"/>
          <w:color w:val="auto"/>
          <w:highlight w:val="white"/>
        </w:rPr>
        <w:t xml:space="preserve">trading on an Eligible Market </w:t>
      </w:r>
      <w:r>
        <w:rPr>
          <w:rFonts w:ascii="Times New Roman" w:cs="Times New Roman" w:eastAsia="Times New Roman" w:hAnsi="Times New Roman"/>
          <w:sz w:val="21"/>
          <w:szCs w:val="21"/>
          <w:color w:val="auto"/>
        </w:rPr>
        <w:t>(as defined below)</w:t>
      </w:r>
      <w:r>
        <w:rPr>
          <w:rFonts w:ascii="Times New Roman" w:cs="Times New Roman" w:eastAsia="Times New Roman" w:hAnsi="Times New Roman"/>
          <w:sz w:val="21"/>
          <w:szCs w:val="21"/>
          <w:color w:val="auto"/>
          <w:highlight w:val="white"/>
        </w:rPr>
        <w:t>, the successor entity shall assume in writing all of the obligations of the Company under this Warrant pursuant to written agreements in customary form, including agreements to deliver to each Registered Holder of Warrants in exchange for such Warrants a written instrument issued by the successor entity substantially similar in form and substance to this Warrant and exercisable for a corresponding number of shares of capital stock equivalent to the shares of Common Stock acquirable and receivable upon exercise of this Warrant (without regard to any limitations on the exercise of this Warrant) on or prior to the date of such Fundamental Transaction and (ii) if the successor entity is not a publicly traded corporation whose common stock is quoted on or listed for trading on an Eligible Market, the successor entity shall assume in writing all of the obligations of the Company under this Warrant pursuant to written agreements in customary form, including agreements to deliver to each holder of Warrants in exchange for such Warrants a written instrument issued by the successor entity substantially similar in form and substance to this Warrant exercisable for the consideration that would have been issuable in the Fundamental Transaction in respect of the Warrant Shares had this Warrant been exercised immediately prior to the consummation of the Fundamental Transaction. The provisions of this Section 2(f) shall apply similarly and equally to successive Fundamental Transactions and shall be applied without regard to any limitations on the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-1943735</wp:posOffset>
            </wp:positionV>
            <wp:extent cx="5734685"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5734685" cy="145415"/>
                    </a:xfrm>
                    <a:prstGeom prst="rect">
                      <a:avLst/>
                    </a:prstGeom>
                    <a:noFill/>
                  </pic:spPr>
                </pic:pic>
              </a:graphicData>
            </a:graphic>
          </wp:anchor>
        </w:drawing>
      </w:r>
    </w:p>
    <w:p>
      <w:pPr>
        <w:spacing w:after="0" w:line="131" w:lineRule="exact"/>
        <w:rPr>
          <w:sz w:val="20"/>
          <w:szCs w:val="20"/>
          <w:color w:val="auto"/>
        </w:rPr>
      </w:pPr>
    </w:p>
    <w:p>
      <w:pPr>
        <w:ind w:left="660" w:right="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Market</w:t>
      </w:r>
      <w:r>
        <w:rPr>
          <w:rFonts w:ascii="Times New Roman" w:cs="Times New Roman" w:eastAsia="Times New Roman" w:hAnsi="Times New Roman"/>
          <w:sz w:val="22"/>
          <w:szCs w:val="22"/>
          <w:color w:val="auto"/>
        </w:rPr>
        <w:t>” means any of the Nasdaq Global Select Market, the Nasdaq Global Market, the Nasdaq Capital Market or the New York Stock Exchange (or any successors to any of the foregoing).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Transaction</w:t>
      </w:r>
      <w:r>
        <w:rPr>
          <w:rFonts w:ascii="Times New Roman" w:cs="Times New Roman" w:eastAsia="Times New Roman" w:hAnsi="Times New Roman"/>
          <w:sz w:val="21"/>
          <w:szCs w:val="21"/>
          <w:color w:val="auto"/>
        </w:rPr>
        <w:t>” means that (A) the Company shall, directly or indirectly, in one or more related transactions,</w:t>
      </w:r>
    </w:p>
    <w:p>
      <w:pPr>
        <w:ind w:left="920" w:hanging="264"/>
        <w:spacing w:after="0" w:line="204" w:lineRule="auto"/>
        <w:tabs>
          <w:tab w:leader="none" w:pos="9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or merge with or into (whether or not the Company is the surviving corporation) another Person, or</w:t>
      </w:r>
    </w:p>
    <w:p>
      <w:pPr>
        <w:ind w:left="660" w:right="20" w:hanging="4"/>
        <w:spacing w:after="0" w:line="208" w:lineRule="auto"/>
        <w:tabs>
          <w:tab w:leader="none" w:pos="9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transfer, convey or otherwise dispose of all or substantially all of the properties or assets of the Company to another Person, or (iii) allow another Person to make a purchase, tender or exchange offer that is accepted by the holders of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(as these terms are used for purposes of Sections 13(d) and 14(d) of the 1934 Act) is or shall become the “beneficial owner” (as defined in Rule 13d-3 under the 1934 Act), directly or indirectly, of more than 50% of the aggregate ordinary voting power represented by issued and outstanding Common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138" w:right="339" w:bottom="1440" w:gutter="0" w:footer="0" w:header="0"/>
        </w:sectPr>
      </w:pPr>
    </w:p>
    <w:bookmarkStart w:id="121" w:name="page122"/>
    <w:bookmarkEnd w:id="121"/>
    <w:p>
      <w:pPr>
        <w:ind w:left="660" w:right="40"/>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Holders</w:t>
      </w:r>
      <w:r>
        <w:rPr>
          <w:rFonts w:ascii="Times New Roman" w:cs="Times New Roman" w:eastAsia="Times New Roman" w:hAnsi="Times New Roman"/>
          <w:sz w:val="22"/>
          <w:szCs w:val="22"/>
          <w:color w:val="auto"/>
        </w:rPr>
        <w:t>” means the holders of the Warrants representing a majority of the shares of Common Stock underlying the Warrants then outstanding (disregarding for this purpose any and all limitations of any kind on exercise of any Warrants).</w:t>
      </w:r>
    </w:p>
    <w:p>
      <w:pPr>
        <w:spacing w:after="0" w:line="153" w:lineRule="exact"/>
        <w:rPr>
          <w:sz w:val="20"/>
          <w:szCs w:val="20"/>
          <w:color w:val="auto"/>
        </w:rPr>
      </w:pPr>
    </w:p>
    <w:p>
      <w:pPr>
        <w:ind w:left="660" w:right="76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limited liability company, a partnership, a joint venture, a corporation, a trust, an unincorporated organization, any other entity and a government or any department or agency thereof.</w:t>
      </w:r>
    </w:p>
    <w:p>
      <w:pPr>
        <w:spacing w:after="0" w:line="150" w:lineRule="exact"/>
        <w:rPr>
          <w:sz w:val="20"/>
          <w:szCs w:val="20"/>
          <w:color w:val="auto"/>
        </w:rPr>
      </w:pPr>
    </w:p>
    <w:p>
      <w:pPr>
        <w:ind w:right="20" w:firstLine="1304"/>
        <w:spacing w:after="0" w:line="211" w:lineRule="auto"/>
        <w:tabs>
          <w:tab w:leader="none" w:pos="157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as to Adjustments</w:t>
      </w:r>
      <w:r>
        <w:rPr>
          <w:rFonts w:ascii="Times New Roman" w:cs="Times New Roman" w:eastAsia="Times New Roman" w:hAnsi="Times New Roman"/>
          <w:sz w:val="22"/>
          <w:szCs w:val="22"/>
          <w:color w:val="auto"/>
        </w:rPr>
        <w:t>. Upon the occurrence of each adjustment or readjustment of the Purchase Price pursuant to this Section 2, the Company at its expense shall, as promptly as reasonably practicable but in any event not later than 10 days thereafter, compute such adjustment or readjustment in accordance with the terms hereof and furnish to the Registered Holder a certificate setting forth such adjustment or readjustment (including the kind and amount of securities, cash or other property for which this Warrant shall be exercisable and the Purchase Price). The Company shall, as promptly as reasonably practicable after the written request at any time of the Registered Holder (but in any event not later than 10 days thereafter), furnish or cause to be furnished to the Registered Holder a certificate setting forth (i) the Purchase Price then in effect and (ii) the number of shares of Common Stock and the amount, if any, of other securities, cash or property which then would be received upon the exercise of this Warrant.</w:t>
      </w:r>
    </w:p>
    <w:p>
      <w:pPr>
        <w:spacing w:after="0" w:line="145"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under this Section 2 shall be made to the nearest cent or the nearest 1/100th of a share, as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 may be.</w:t>
      </w:r>
    </w:p>
    <w:p>
      <w:pPr>
        <w:spacing w:after="0" w:line="155" w:lineRule="exact"/>
        <w:rPr>
          <w:rFonts w:ascii="Times New Roman" w:cs="Times New Roman" w:eastAsia="Times New Roman" w:hAnsi="Times New Roman"/>
          <w:sz w:val="22"/>
          <w:szCs w:val="22"/>
          <w:color w:val="auto"/>
        </w:rPr>
      </w:pPr>
    </w:p>
    <w:p>
      <w:pPr>
        <w:ind w:right="20" w:firstLine="656"/>
        <w:spacing w:after="0" w:line="225" w:lineRule="auto"/>
        <w:tabs>
          <w:tab w:leader="none" w:pos="8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The Company shall not be required upon the exercise of this Warrant to issue any fractional shares, but shall pay the value thereof to the Registered Holder in cash on the basis of the VWAP used in connection with the calculation set forth in subsection 1(b) above upon the applicable exercise.</w:t>
      </w:r>
    </w:p>
    <w:p>
      <w:pPr>
        <w:spacing w:after="0" w:line="152" w:lineRule="exact"/>
        <w:rPr>
          <w:rFonts w:ascii="Times New Roman" w:cs="Times New Roman" w:eastAsia="Times New Roman" w:hAnsi="Times New Roman"/>
          <w:sz w:val="22"/>
          <w:szCs w:val="22"/>
          <w:color w:val="auto"/>
        </w:rPr>
      </w:pPr>
    </w:p>
    <w:p>
      <w:pPr>
        <w:ind w:left="840" w:hanging="184"/>
        <w:spacing w:after="0"/>
        <w:tabs>
          <w:tab w:leader="none" w:pos="8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The initial Registered Holder represents and warrants to the Company as follows:</w:t>
      </w:r>
    </w:p>
    <w:p>
      <w:pPr>
        <w:spacing w:after="0" w:line="179" w:lineRule="exact"/>
        <w:rPr>
          <w:rFonts w:ascii="Times New Roman" w:cs="Times New Roman" w:eastAsia="Times New Roman" w:hAnsi="Times New Roman"/>
          <w:sz w:val="22"/>
          <w:szCs w:val="22"/>
          <w:color w:val="auto"/>
        </w:rPr>
      </w:pPr>
    </w:p>
    <w:p>
      <w:pPr>
        <w:ind w:firstLine="1304"/>
        <w:spacing w:after="0" w:line="217" w:lineRule="auto"/>
        <w:tabs>
          <w:tab w:leader="none" w:pos="156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The Registered Holder is acquiring the Warrant, and (if and when the Registered Holder exercises this Warrant) the Registered Holder will acquire the Warrant Shares, for the Registered Holder’s own account for investment and not with a view to, or for sale in connection with, any distribution thereof, nor with any present intention of distributing or selling the same; and the Registered Holder has no present or contemplated agreement, undertaking, arrangement, obligation, indebtedness or commitment providing for the disposition thereof.</w:t>
      </w:r>
    </w:p>
    <w:p>
      <w:pPr>
        <w:spacing w:after="0" w:line="139"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Registered Holder is an "accredited investor" as defined in Rule 501(a) under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1933 Act.</w:t>
      </w:r>
    </w:p>
    <w:p>
      <w:pPr>
        <w:spacing w:after="0" w:line="155" w:lineRule="exact"/>
        <w:rPr>
          <w:rFonts w:ascii="Times New Roman" w:cs="Times New Roman" w:eastAsia="Times New Roman" w:hAnsi="Times New Roman"/>
          <w:sz w:val="22"/>
          <w:szCs w:val="22"/>
          <w:color w:val="auto"/>
        </w:rPr>
      </w:pPr>
    </w:p>
    <w:p>
      <w:pPr>
        <w:ind w:right="120" w:firstLine="1304"/>
        <w:spacing w:after="0" w:line="220" w:lineRule="auto"/>
        <w:tabs>
          <w:tab w:leader="none" w:pos="156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Experience</w:t>
      </w:r>
      <w:r>
        <w:rPr>
          <w:rFonts w:ascii="Times New Roman" w:cs="Times New Roman" w:eastAsia="Times New Roman" w:hAnsi="Times New Roman"/>
          <w:sz w:val="22"/>
          <w:szCs w:val="22"/>
          <w:color w:val="auto"/>
        </w:rPr>
        <w:t>. The Registered Holder has made such inquiry concerning the Company and its business and personnel as the Registered Holder has deemed appropriate; and the Registered Holder has sufficient knowledge and experience in finance and business that the Registered Holder is capable of evaluating the risks and merits of the Registered Holder’s investment in the Company.</w:t>
      </w:r>
    </w:p>
    <w:p>
      <w:pPr>
        <w:spacing w:after="0" w:line="152" w:lineRule="exact"/>
        <w:rPr>
          <w:rFonts w:ascii="Times New Roman" w:cs="Times New Roman" w:eastAsia="Times New Roman" w:hAnsi="Times New Roman"/>
          <w:sz w:val="22"/>
          <w:szCs w:val="22"/>
          <w:color w:val="auto"/>
        </w:rPr>
      </w:pPr>
    </w:p>
    <w:p>
      <w:pPr>
        <w:ind w:left="840" w:hanging="184"/>
        <w:spacing w:after="0"/>
        <w:tabs>
          <w:tab w:leader="none" w:pos="8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etc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304"/>
        <w:spacing w:after="0" w:line="236" w:lineRule="auto"/>
        <w:tabs>
          <w:tab w:leader="none" w:pos="156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Warrant and the Warrant Shares shall not be sold or transferred unless either (i) they first shall have been registered under the Act, or (ii) the Company first shall have been furnished with an opinion of legal counsel, reasonably satisfactory to the Company, to the effect that such sale or transfer is exempt from the registration requirements of the Act.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1"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00"/>
          </w:cols>
          <w:pgMar w:left="320" w:top="1138" w:right="379" w:bottom="1440" w:gutter="0" w:footer="0" w:header="0"/>
        </w:sectPr>
      </w:pPr>
    </w:p>
    <w:bookmarkStart w:id="122" w:name="page123"/>
    <w:bookmarkEnd w:id="122"/>
    <w:p>
      <w:pPr>
        <w:ind w:right="280" w:firstLine="1304"/>
        <w:spacing w:after="0" w:line="225" w:lineRule="auto"/>
        <w:tabs>
          <w:tab w:leader="none" w:pos="157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Holder acknowledges and agrees that the Warrant Shares shall be subject to the restrictive legend requirements set forth in that certain Securities Purchase Agreement, dated December 18, 2019, between the Company and the investors named therein.</w:t>
      </w:r>
    </w:p>
    <w:p>
      <w:pPr>
        <w:spacing w:after="0" w:line="152" w:lineRule="exact"/>
        <w:rPr>
          <w:rFonts w:ascii="Times New Roman" w:cs="Times New Roman" w:eastAsia="Times New Roman" w:hAnsi="Times New Roman"/>
          <w:sz w:val="22"/>
          <w:szCs w:val="22"/>
          <w:color w:val="auto"/>
        </w:rPr>
      </w:pPr>
    </w:p>
    <w:p>
      <w:pPr>
        <w:ind w:right="140" w:firstLine="1304"/>
        <w:spacing w:after="0" w:line="225" w:lineRule="auto"/>
        <w:tabs>
          <w:tab w:leader="none" w:pos="156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maintain a register containing the name and address of the Registered Holder of this Warrant. The Registered Holder may change the Registered Holder’s address as shown on the warrant register by written notice to the Company requesting such change.</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57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Section 5 hereof, this Warrant and all rights hereunder are transferable, in whole or in part, upon surrender of this Warrant with a properly executed assignment (in the form of </w:t>
      </w:r>
      <w:r>
        <w:rPr>
          <w:rFonts w:ascii="Times New Roman" w:cs="Times New Roman" w:eastAsia="Times New Roman" w:hAnsi="Times New Roman"/>
          <w:sz w:val="22"/>
          <w:szCs w:val="22"/>
          <w:u w:val="single" w:color="auto"/>
          <w:color w:val="auto"/>
        </w:rPr>
        <w:t>Exhibit II</w:t>
      </w:r>
      <w:r>
        <w:rPr>
          <w:rFonts w:ascii="Times New Roman" w:cs="Times New Roman" w:eastAsia="Times New Roman" w:hAnsi="Times New Roman"/>
          <w:sz w:val="22"/>
          <w:szCs w:val="22"/>
          <w:color w:val="auto"/>
        </w:rPr>
        <w:t xml:space="preserve"> hereto) at the principal office of the Company (or, if another office or agency has been designated by the Company for such purpose, then at such other office or agency).</w:t>
      </w:r>
    </w:p>
    <w:p>
      <w:pPr>
        <w:spacing w:after="0" w:line="152" w:lineRule="exact"/>
        <w:rPr>
          <w:rFonts w:ascii="Times New Roman" w:cs="Times New Roman" w:eastAsia="Times New Roman" w:hAnsi="Times New Roman"/>
          <w:sz w:val="22"/>
          <w:szCs w:val="22"/>
          <w:color w:val="auto"/>
        </w:rPr>
      </w:pPr>
    </w:p>
    <w:p>
      <w:pPr>
        <w:ind w:left="840" w:hanging="184"/>
        <w:spacing w:after="0"/>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of Record Date, etc.</w:t>
      </w:r>
      <w:r>
        <w:rPr>
          <w:rFonts w:ascii="Times New Roman" w:cs="Times New Roman" w:eastAsia="Times New Roman" w:hAnsi="Times New Roman"/>
          <w:sz w:val="22"/>
          <w:szCs w:val="22"/>
          <w:color w:val="auto"/>
        </w:rPr>
        <w:t xml:space="preserve"> In the event:</w:t>
      </w:r>
    </w:p>
    <w:p>
      <w:pPr>
        <w:spacing w:after="0" w:line="179" w:lineRule="exact"/>
        <w:rPr>
          <w:rFonts w:ascii="Times New Roman" w:cs="Times New Roman" w:eastAsia="Times New Roman" w:hAnsi="Times New Roman"/>
          <w:sz w:val="22"/>
          <w:szCs w:val="22"/>
          <w:color w:val="auto"/>
        </w:rPr>
      </w:pPr>
    </w:p>
    <w:p>
      <w:pPr>
        <w:ind w:right="300" w:firstLine="1304"/>
        <w:spacing w:after="0" w:line="220" w:lineRule="auto"/>
        <w:tabs>
          <w:tab w:leader="none" w:pos="156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52" w:lineRule="exact"/>
        <w:rPr>
          <w:rFonts w:ascii="Times New Roman" w:cs="Times New Roman" w:eastAsia="Times New Roman" w:hAnsi="Times New Roman"/>
          <w:sz w:val="22"/>
          <w:szCs w:val="22"/>
          <w:color w:val="auto"/>
        </w:rPr>
      </w:pPr>
    </w:p>
    <w:p>
      <w:pPr>
        <w:ind w:right="100" w:firstLine="1304"/>
        <w:spacing w:after="0" w:line="220" w:lineRule="auto"/>
        <w:tabs>
          <w:tab w:leader="none" w:pos="157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capital reorganization of the Company, any reclassification of the Common Stock of the Company, any consolidation or merger of the Company with or into another corporation (other than a consolidation or merger in which the Company is the surviving entity and its Common Stock is not converted into or exchanged for any other securities or property), or any transfer of all or substantially all of the assets of the Company; or</w:t>
      </w:r>
    </w:p>
    <w:p>
      <w:pPr>
        <w:spacing w:after="0" w:line="152"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voluntary or involuntary dissolution, liquidation or winding-up of the Company,</w:t>
      </w:r>
    </w:p>
    <w:p>
      <w:pPr>
        <w:spacing w:after="0" w:line="179"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22"/>
          <w:szCs w:val="22"/>
          <w:color w:val="auto"/>
        </w:rPr>
        <w:t>then, and in each such case, the Company will send or cause to be sent to the Registered Holder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transfer, dissolution, liquidation or winding-up. Such notice shall be sent at least 3 days prior to the record date or effective date for the event specified in such notice, and the Registered Holder shall keep any such notice confidential.</w:t>
      </w:r>
    </w:p>
    <w:p>
      <w:pPr>
        <w:spacing w:after="0" w:line="158" w:lineRule="exact"/>
        <w:rPr>
          <w:sz w:val="20"/>
          <w:szCs w:val="20"/>
          <w:color w:val="auto"/>
        </w:rPr>
      </w:pPr>
    </w:p>
    <w:p>
      <w:pPr>
        <w:jc w:val="both"/>
        <w:ind w:firstLine="656"/>
        <w:spacing w:after="0" w:line="220" w:lineRule="auto"/>
        <w:tabs>
          <w:tab w:leader="none" w:pos="8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Stock</w:t>
      </w:r>
      <w:r>
        <w:rPr>
          <w:rFonts w:ascii="Times New Roman" w:cs="Times New Roman" w:eastAsia="Times New Roman" w:hAnsi="Times New Roman"/>
          <w:sz w:val="22"/>
          <w:szCs w:val="22"/>
          <w:color w:val="auto"/>
        </w:rPr>
        <w:t>. The Company will at all times reserve and keep available, solely for issuance and delivery upon the exercise of this Warrant, such number of Warrant Shares and other securities, cash and/or property, as from time to time shall be issuable upon the exercise of this Warrant. Such reservation shall comply without regard to the provisions of Section 1(e) [and Section 1(f)].</w:t>
      </w:r>
    </w:p>
    <w:p>
      <w:pPr>
        <w:spacing w:after="0" w:line="152" w:lineRule="exact"/>
        <w:rPr>
          <w:rFonts w:ascii="Times New Roman" w:cs="Times New Roman" w:eastAsia="Times New Roman" w:hAnsi="Times New Roman"/>
          <w:sz w:val="22"/>
          <w:szCs w:val="22"/>
          <w:color w:val="auto"/>
        </w:rPr>
      </w:pPr>
    </w:p>
    <w:p>
      <w:pPr>
        <w:ind w:left="840" w:hanging="184"/>
        <w:spacing w:after="0"/>
        <w:tabs>
          <w:tab w:leader="none" w:pos="8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or Replacement of Warrants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20" w:firstLine="1304"/>
        <w:spacing w:after="0" w:line="236" w:lineRule="auto"/>
        <w:tabs>
          <w:tab w:leader="none" w:pos="156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surrender by the Registered Holder, properly endorsed, to the Company at the principal office of the Company, the Company will, subject to the provisions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180"/>
          </w:cols>
          <w:pgMar w:left="320" w:top="1138" w:right="399" w:bottom="1440" w:gutter="0" w:footer="0" w:header="0"/>
        </w:sectPr>
      </w:pPr>
    </w:p>
    <w:bookmarkStart w:id="123" w:name="page124"/>
    <w:bookmarkEnd w:id="123"/>
    <w:p>
      <w:pPr>
        <w:ind w:right="40"/>
        <w:spacing w:after="0" w:line="220" w:lineRule="auto"/>
        <w:rPr>
          <w:sz w:val="20"/>
          <w:szCs w:val="20"/>
          <w:color w:val="auto"/>
        </w:rPr>
      </w:pPr>
      <w:r>
        <w:rPr>
          <w:rFonts w:ascii="Times New Roman" w:cs="Times New Roman" w:eastAsia="Times New Roman" w:hAnsi="Times New Roman"/>
          <w:sz w:val="22"/>
          <w:szCs w:val="22"/>
          <w:color w:val="auto"/>
        </w:rPr>
        <w:t>Section 5 hereof, issue and deliver to or upon the order of the Registered Holder, at the Company’s expense, a new Warrant or Warrants of like tenor, in the name of the Registered Holder or as the Registered Holder (upon payment by the Registered Holder of any applicable transfer taxes) may direct, calling in the aggregate on the face or faces thereof for the number of shares of Common Stock (or other securities, cash and/or property) then issuable upon exercise of this Warrant.</w:t>
      </w:r>
    </w:p>
    <w:p>
      <w:pPr>
        <w:spacing w:after="0" w:line="152" w:lineRule="exact"/>
        <w:rPr>
          <w:sz w:val="20"/>
          <w:szCs w:val="20"/>
          <w:color w:val="auto"/>
        </w:rPr>
      </w:pPr>
    </w:p>
    <w:p>
      <w:pPr>
        <w:ind w:right="60" w:firstLine="1304"/>
        <w:spacing w:after="0" w:line="220" w:lineRule="auto"/>
        <w:tabs>
          <w:tab w:leader="none" w:pos="157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52" w:lineRule="exact"/>
        <w:rPr>
          <w:rFonts w:ascii="Times New Roman" w:cs="Times New Roman" w:eastAsia="Times New Roman" w:hAnsi="Times New Roman"/>
          <w:sz w:val="22"/>
          <w:szCs w:val="22"/>
          <w:color w:val="auto"/>
        </w:rPr>
      </w:pPr>
    </w:p>
    <w:p>
      <w:pPr>
        <w:ind w:right="40" w:firstLine="656"/>
        <w:spacing w:after="0" w:line="210" w:lineRule="auto"/>
        <w:tabs>
          <w:tab w:leader="none" w:pos="8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from the Company to the Registered Holder in connection herewith shall be mailed by certified or registered mail, postage prepaid, or sent via a reputable nationwide overnight courier service guaranteeing next business day delivery, to the address last furnished to the Company in writing by the Registered Holder. All notices and other communications from the Registered Holder to the Company in connection herewith shall be mailed by certified or registered mail, postage prepaid, or sent via a reputable nationwide overnight courier service guaranteeing next business day delivery, to the Company at its principal office set forth below. If the Company should at any time change the location of its principal office to a place other than as set forth below, it shall give prompt written notice to the Registered Holder and thereafter all references in this Warrant to the location of its principal office at the particular time shall be as so specified in such notice. All such notices and communications shall be deemed delivered (i) two business days after being sent by certified or registered mail, return receipt requested, postage prepaid, or (ii) one business day after being sent via a reputable nationwide overnight courier service guaranteeing next business day delivery.</w:t>
      </w:r>
    </w:p>
    <w:p>
      <w:pPr>
        <w:spacing w:after="0" w:line="157" w:lineRule="exact"/>
        <w:rPr>
          <w:rFonts w:ascii="Times New Roman" w:cs="Times New Roman" w:eastAsia="Times New Roman" w:hAnsi="Times New Roman"/>
          <w:sz w:val="22"/>
          <w:szCs w:val="22"/>
          <w:color w:val="auto"/>
        </w:rPr>
      </w:pPr>
    </w:p>
    <w:p>
      <w:pPr>
        <w:ind w:firstLine="656"/>
        <w:spacing w:after="0" w:line="212" w:lineRule="auto"/>
        <w:tabs>
          <w:tab w:leader="none" w:pos="11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Until the exercise of this Warrant, the Registered Holder shall not have or exercise any rights by virtue hereof as a stockholder of the Company. Notwithstanding the foregoing, in the event (i) the Company effects a split of the Common Stock by means of a stock dividend and the Purchase Price of and the number of Warrant Shares are adjusted as of the date of the distribution of the dividend (rather than as of the record date for such dividend), and (ii) the Registered Holder exercises this Warrant between the record date and the distribution date for such stock dividend, the Registered Holder shall be entitled to receive, on the distribution date, the stock dividend with respect to the shares of Common Stock acquired upon such exercise, notwithstanding the fact that such shares were not outstanding as of the close of business on the record date for such stock dividend.</w:t>
      </w:r>
    </w:p>
    <w:p>
      <w:pPr>
        <w:spacing w:after="0" w:line="156" w:lineRule="exact"/>
        <w:rPr>
          <w:rFonts w:ascii="Times New Roman" w:cs="Times New Roman" w:eastAsia="Times New Roman" w:hAnsi="Times New Roman"/>
          <w:sz w:val="22"/>
          <w:szCs w:val="22"/>
          <w:color w:val="auto"/>
        </w:rPr>
      </w:pPr>
    </w:p>
    <w:p>
      <w:pPr>
        <w:ind w:right="80" w:firstLine="656"/>
        <w:spacing w:after="0" w:line="220" w:lineRule="auto"/>
        <w:tabs>
          <w:tab w:leader="none" w:pos="112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Waiver</w:t>
      </w:r>
      <w:r>
        <w:rPr>
          <w:rFonts w:ascii="Times New Roman" w:cs="Times New Roman" w:eastAsia="Times New Roman" w:hAnsi="Times New Roman"/>
          <w:sz w:val="22"/>
          <w:szCs w:val="22"/>
          <w:color w:val="auto"/>
        </w:rPr>
        <w:t>. Any term of this Warrant may be amended or waived only by an instrument in writing signed by the party against which enforcement of the change or waiver is sought. No waivers of any term, condition or provision of this Warrant, in any one or more instances, shall be deemed to be, or construed as, a further or continuing waiver of any such term, condition or provision.</w:t>
      </w:r>
    </w:p>
    <w:p>
      <w:pPr>
        <w:spacing w:after="0" w:line="152" w:lineRule="exact"/>
        <w:rPr>
          <w:rFonts w:ascii="Times New Roman" w:cs="Times New Roman" w:eastAsia="Times New Roman" w:hAnsi="Times New Roman"/>
          <w:sz w:val="22"/>
          <w:szCs w:val="22"/>
          <w:color w:val="auto"/>
        </w:rPr>
      </w:pPr>
    </w:p>
    <w:p>
      <w:pPr>
        <w:ind w:right="280" w:firstLine="656"/>
        <w:spacing w:after="0" w:line="236" w:lineRule="auto"/>
        <w:tabs>
          <w:tab w:leader="none" w:pos="11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in this Warrant are for the convenience of the parties and in no way alter, modify, amend, limit or restrict the contractual obligations of the parties.</w:t>
      </w:r>
    </w:p>
    <w:p>
      <w:pPr>
        <w:spacing w:after="0" w:line="150" w:lineRule="exact"/>
        <w:rPr>
          <w:rFonts w:ascii="Times New Roman" w:cs="Times New Roman" w:eastAsia="Times New Roman" w:hAnsi="Times New Roman"/>
          <w:sz w:val="22"/>
          <w:szCs w:val="22"/>
          <w:color w:val="auto"/>
        </w:rPr>
      </w:pPr>
    </w:p>
    <w:p>
      <w:pPr>
        <w:ind w:right="40" w:firstLine="656"/>
        <w:spacing w:after="0" w:line="225" w:lineRule="auto"/>
        <w:tabs>
          <w:tab w:leader="none" w:pos="11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shall be governed by, and construed in accordance with, the internal laws of the Commonwealth of Massachusetts without regard to the choice of law principles thereof that would result in the application of the laws of any other jurisdiction.</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Facsimile Signatures</w:t>
      </w:r>
      <w:r>
        <w:rPr>
          <w:rFonts w:ascii="Times New Roman" w:cs="Times New Roman" w:eastAsia="Times New Roman" w:hAnsi="Times New Roman"/>
          <w:sz w:val="22"/>
          <w:szCs w:val="22"/>
          <w:color w:val="auto"/>
        </w:rPr>
        <w:t>. This Warrant may be executed by facsimile signature.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20"/>
          </w:cols>
          <w:pgMar w:left="320" w:top="1138" w:right="35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9019"/>
          </w:cols>
          <w:pgMar w:left="1440" w:top="11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- 10 -</w:t>
      </w:r>
    </w:p>
    <w:p>
      <w:pPr>
        <w:sectPr>
          <w:pgSz w:w="11900" w:h="16838" w:orient="portrait"/>
          <w:cols w:equalWidth="0" w:num="1">
            <w:col w:w="9019"/>
          </w:cols>
          <w:pgMar w:left="1440" w:top="1138"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EXECUTED as of the Date of Issuance indicated above.</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By:________________________________</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Name:_______________________________</w:t>
      </w:r>
    </w:p>
    <w:p>
      <w:pPr>
        <w:spacing w:after="0" w:line="1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0139"/>
          </w:cols>
          <w:pgMar w:left="320" w:top="1138"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t>EXHIBIT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PURCHASE FORM</w:t>
      </w:r>
    </w:p>
    <w:p>
      <w:pPr>
        <w:spacing w:after="0" w:line="179"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2"/>
          <w:szCs w:val="22"/>
          <w:color w:val="auto"/>
        </w:rPr>
        <w:t>To:_________________</w:t>
      </w:r>
      <w:r>
        <w:rPr>
          <w:sz w:val="20"/>
          <w:szCs w:val="20"/>
          <w:color w:val="auto"/>
        </w:rPr>
        <w:tab/>
      </w:r>
      <w:r>
        <w:rPr>
          <w:rFonts w:ascii="Times New Roman" w:cs="Times New Roman" w:eastAsia="Times New Roman" w:hAnsi="Times New Roman"/>
          <w:sz w:val="21"/>
          <w:szCs w:val="21"/>
          <w:color w:val="auto"/>
        </w:rPr>
        <w:t>Dated:____________</w:t>
      </w:r>
    </w:p>
    <w:p>
      <w:pPr>
        <w:spacing w:after="0" w:line="179" w:lineRule="exact"/>
        <w:rPr>
          <w:sz w:val="20"/>
          <w:szCs w:val="20"/>
          <w:color w:val="auto"/>
        </w:rPr>
      </w:pPr>
    </w:p>
    <w:p>
      <w:pPr>
        <w:ind w:right="580" w:firstLine="860"/>
        <w:spacing w:after="0" w:line="236" w:lineRule="auto"/>
        <w:rPr>
          <w:sz w:val="20"/>
          <w:szCs w:val="20"/>
          <w:color w:val="auto"/>
        </w:rPr>
      </w:pPr>
      <w:r>
        <w:rPr>
          <w:rFonts w:ascii="Times New Roman" w:cs="Times New Roman" w:eastAsia="Times New Roman" w:hAnsi="Times New Roman"/>
          <w:sz w:val="22"/>
          <w:szCs w:val="22"/>
          <w:color w:val="auto"/>
        </w:rPr>
        <w:t xml:space="preserve">The undersigned, pursuant to the provisions set forth in the attached Warrant (No. ___), hereby elects to purchase </w:t>
      </w:r>
      <w:r>
        <w:rPr>
          <w:rFonts w:ascii="Times New Roman" w:cs="Times New Roman" w:eastAsia="Times New Roman" w:hAnsi="Times New Roman"/>
          <w:sz w:val="22"/>
          <w:szCs w:val="22"/>
          <w:i w:val="1"/>
          <w:iCs w:val="1"/>
          <w:color w:val="auto"/>
        </w:rPr>
        <w:t>(check applicable box)</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080" w:hanging="424"/>
        <w:spacing w:after="0"/>
        <w:tabs>
          <w:tab w:leader="none" w:pos="1080" w:val="left"/>
        </w:tabs>
        <w:numPr>
          <w:ilvl w:val="0"/>
          <w:numId w:val="5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____ shares of the Common Stock of Selecta Biosciences, Inc. covered by such Warrant; or</w:t>
      </w:r>
    </w:p>
    <w:p>
      <w:pPr>
        <w:spacing w:after="0" w:line="14" w:lineRule="exact"/>
        <w:rPr>
          <w:rFonts w:ascii="MS PGothic" w:cs="MS PGothic" w:eastAsia="MS PGothic" w:hAnsi="MS PGothic"/>
          <w:sz w:val="22"/>
          <w:szCs w:val="22"/>
          <w:color w:val="auto"/>
        </w:rPr>
      </w:pPr>
    </w:p>
    <w:p>
      <w:pPr>
        <w:ind w:right="720" w:firstLine="656"/>
        <w:spacing w:after="0" w:line="237" w:lineRule="auto"/>
        <w:tabs>
          <w:tab w:leader="none" w:pos="1077" w:val="left"/>
        </w:tabs>
        <w:numPr>
          <w:ilvl w:val="0"/>
          <w:numId w:val="5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the maximum number of shares of Common Stock covered by such Warrant pursuant to the cashless exercise procedure set forth in subsection 1(b).</w:t>
      </w:r>
    </w:p>
    <w:p>
      <w:pPr>
        <w:spacing w:after="0" w:line="192"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undersigned herewith makes payment of the full purchase price for such shares at the price per share provided for in such Warrant. Such payment takes the form of </w:t>
      </w:r>
      <w:r>
        <w:rPr>
          <w:rFonts w:ascii="Times New Roman" w:cs="Times New Roman" w:eastAsia="Times New Roman" w:hAnsi="Times New Roman"/>
          <w:sz w:val="22"/>
          <w:szCs w:val="22"/>
          <w:i w:val="1"/>
          <w:iCs w:val="1"/>
          <w:color w:val="auto"/>
        </w:rPr>
        <w:t>(check applicable box or boxes)</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ind w:left="1120" w:hanging="464"/>
        <w:spacing w:after="0"/>
        <w:tabs>
          <w:tab w:leader="none" w:pos="1120" w:val="left"/>
        </w:tabs>
        <w:numPr>
          <w:ilvl w:val="0"/>
          <w:numId w:val="5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$______ in lawful money of the United States; and/or</w:t>
      </w:r>
    </w:p>
    <w:p>
      <w:pPr>
        <w:spacing w:after="0" w:line="233" w:lineRule="exact"/>
        <w:rPr>
          <w:rFonts w:ascii="MS PGothic" w:cs="MS PGothic" w:eastAsia="MS PGothic" w:hAnsi="MS PGothic"/>
          <w:sz w:val="22"/>
          <w:szCs w:val="22"/>
          <w:color w:val="auto"/>
        </w:rPr>
      </w:pPr>
    </w:p>
    <w:p>
      <w:pPr>
        <w:ind w:left="1300" w:right="480" w:hanging="644"/>
        <w:spacing w:after="0" w:line="250" w:lineRule="auto"/>
        <w:tabs>
          <w:tab w:leader="none" w:pos="1121" w:val="left"/>
        </w:tabs>
        <w:numPr>
          <w:ilvl w:val="0"/>
          <w:numId w:val="5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w:t>
      </w:r>
    </w:p>
    <w:p>
      <w:pPr>
        <w:spacing w:after="0" w:line="15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______________________</w:t>
      </w:r>
    </w:p>
    <w:p>
      <w:pPr>
        <w:spacing w:after="0" w:line="179" w:lineRule="exact"/>
        <w:rPr>
          <w:sz w:val="20"/>
          <w:szCs w:val="20"/>
          <w:color w:val="auto"/>
        </w:rPr>
      </w:pPr>
    </w:p>
    <w:p>
      <w:pPr>
        <w:ind w:left="3900"/>
        <w:spacing w:after="0"/>
        <w:tabs>
          <w:tab w:leader="none" w:pos="486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_______________________</w:t>
      </w:r>
    </w:p>
    <w:p>
      <w:pPr>
        <w:spacing w:after="0" w:line="1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13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color w:val="auto"/>
        </w:rPr>
        <w:t>EXHIBIT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ASSIGNMENT FORM</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VALUE RECEIVED, ________________________________________ hereby sells, assigns and transfers all of the</w:t>
      </w:r>
    </w:p>
    <w:p>
      <w:pPr>
        <w:spacing w:after="0" w:line="204" w:lineRule="auto"/>
        <w:rPr>
          <w:sz w:val="20"/>
          <w:szCs w:val="20"/>
          <w:color w:val="auto"/>
        </w:rPr>
      </w:pPr>
      <w:r>
        <w:rPr>
          <w:rFonts w:ascii="Times New Roman" w:cs="Times New Roman" w:eastAsia="Times New Roman" w:hAnsi="Times New Roman"/>
          <w:sz w:val="22"/>
          <w:szCs w:val="22"/>
          <w:color w:val="auto"/>
        </w:rPr>
        <w:t>rights of the undersigned under the attached Warrant (No. ____) with respect to the number of shares of Common Stock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 covered thereby set forth below, unto:</w:t>
      </w:r>
    </w:p>
    <w:p>
      <w:pPr>
        <w:spacing w:after="0" w:line="209" w:lineRule="exact"/>
        <w:rPr>
          <w:sz w:val="20"/>
          <w:szCs w:val="20"/>
          <w:color w:val="auto"/>
        </w:rPr>
      </w:pPr>
    </w:p>
    <w:p>
      <w:pPr>
        <w:ind w:left="200"/>
        <w:spacing w:after="0"/>
        <w:tabs>
          <w:tab w:leader="none" w:pos="3860" w:val="left"/>
          <w:tab w:leader="none" w:pos="7580" w:val="left"/>
        </w:tabs>
        <w:rPr>
          <w:sz w:val="20"/>
          <w:szCs w:val="20"/>
          <w:color w:val="auto"/>
        </w:rPr>
      </w:pPr>
      <w:r>
        <w:rPr>
          <w:rFonts w:ascii="Times New Roman" w:cs="Times New Roman" w:eastAsia="Times New Roman" w:hAnsi="Times New Roman"/>
          <w:sz w:val="22"/>
          <w:szCs w:val="22"/>
          <w:u w:val="single" w:color="auto"/>
          <w:color w:val="auto"/>
        </w:rPr>
        <w:t>Name of Assignee</w:t>
      </w:r>
      <w:r>
        <w:rPr>
          <w:sz w:val="20"/>
          <w:szCs w:val="20"/>
          <w:color w:val="auto"/>
        </w:rPr>
        <w:tab/>
      </w:r>
      <w:r>
        <w:rPr>
          <w:rFonts w:ascii="Times New Roman" w:cs="Times New Roman" w:eastAsia="Times New Roman" w:hAnsi="Times New Roman"/>
          <w:sz w:val="22"/>
          <w:szCs w:val="22"/>
          <w:u w:val="single" w:color="auto"/>
          <w:color w:val="auto"/>
        </w:rPr>
        <w:t>Address</w:t>
      </w:r>
      <w:r>
        <w:rPr>
          <w:sz w:val="20"/>
          <w:szCs w:val="20"/>
          <w:color w:val="auto"/>
        </w:rPr>
        <w:tab/>
      </w:r>
      <w:r>
        <w:rPr>
          <w:rFonts w:ascii="Times New Roman" w:cs="Times New Roman" w:eastAsia="Times New Roman" w:hAnsi="Times New Roman"/>
          <w:sz w:val="21"/>
          <w:szCs w:val="21"/>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Dated:_____________________</w:t>
      </w:r>
      <w:r>
        <w:rPr>
          <w:sz w:val="20"/>
          <w:szCs w:val="20"/>
          <w:color w:val="auto"/>
        </w:rPr>
        <w:tab/>
      </w:r>
      <w:r>
        <w:rPr>
          <w:rFonts w:ascii="Times New Roman" w:cs="Times New Roman" w:eastAsia="Times New Roman" w:hAnsi="Times New Roman"/>
          <w:sz w:val="21"/>
          <w:szCs w:val="21"/>
          <w:color w:val="auto"/>
        </w:rPr>
        <w:t>Signature:________________________________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13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Exhibit 4.11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200" w:lineRule="exact"/>
        <w:rPr>
          <w:sz w:val="20"/>
          <w:szCs w:val="20"/>
          <w:color w:val="auto"/>
        </w:rPr>
      </w:pPr>
    </w:p>
    <w:p>
      <w:pPr>
        <w:spacing w:after="0" w:line="243" w:lineRule="exact"/>
        <w:rPr>
          <w:sz w:val="20"/>
          <w:szCs w:val="20"/>
          <w:color w:val="auto"/>
        </w:rPr>
      </w:pPr>
    </w:p>
    <w:p>
      <w:pPr>
        <w:ind w:right="280" w:firstLine="648"/>
        <w:spacing w:after="0" w:line="310" w:lineRule="auto"/>
        <w:rPr>
          <w:sz w:val="20"/>
          <w:szCs w:val="20"/>
          <w:color w:val="auto"/>
        </w:rPr>
      </w:pPr>
      <w:r>
        <w:rPr>
          <w:rFonts w:ascii="Times New Roman" w:cs="Times New Roman" w:eastAsia="Times New Roman" w:hAnsi="Times New Roman"/>
          <w:sz w:val="19"/>
          <w:szCs w:val="19"/>
          <w:color w:val="auto"/>
        </w:rPr>
        <w:t>As of December 31, 2022, Selecta Biosciences, Inc. (the “Company,” “we,” “us” and “our”) had one class of securities registered under Section 12 of the Securities Exchange Act of 1934, as amended: our common stock, par value $0.0001 per share (“common stock”).</w:t>
      </w:r>
    </w:p>
    <w:p>
      <w:pPr>
        <w:spacing w:after="0" w:line="3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following description of our common stock is a summary and does not purport to be complete. It is subject to and qualified in its entirety by reference to our Restated Certificate of Incorporation (the “Certificate”), our Amended and Restated Bylaws (the “Bylaws”) and applicable provisions of the Delaware General Corporation Law (“DGCL”). Our Certificate and Bylaws are included as exhibits to the Annual Report on Form 10-K of which this Exhibit 4.11 forms a part. We encourage you to carefully read our Certificate, Bylaws and the applicable provisions of the DGCL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2"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9"/>
          <w:szCs w:val="19"/>
          <w:color w:val="auto"/>
        </w:rPr>
        <w:t>Under the Certificate, we have the authority to issue 350,000,000 shares of common stock. Our common stock is listed on The Nasdaq Global Market under the symbol “SELB.” The rights, preferences and privileges of holders of our common stock are subject to, and may be adversely affected by, the rights of the holders of shares of any series of preferred stock we may designate and issue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Outstanding</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outstanding shares of our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125"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Certificate.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Upon Liquidation</w:t>
      </w:r>
    </w:p>
    <w:p>
      <w:pPr>
        <w:spacing w:after="0" w:line="1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112"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Holders of common stock are entitled to receive proportionately any dividends as may be declared by our board of directors, subject to any preferential dividend rights of outstanding preferred stock.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Holders of common stock have no preemptive, subscription, redemption or conversion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112" w:lineRule="exact"/>
        <w:rPr>
          <w:sz w:val="20"/>
          <w:szCs w:val="20"/>
          <w:color w:val="auto"/>
        </w:rPr>
      </w:pPr>
    </w:p>
    <w:p>
      <w:pPr>
        <w:ind w:right="480" w:firstLine="648"/>
        <w:spacing w:after="0" w:line="283" w:lineRule="auto"/>
        <w:rPr>
          <w:sz w:val="20"/>
          <w:szCs w:val="20"/>
          <w:color w:val="auto"/>
        </w:rPr>
      </w:pPr>
      <w:r>
        <w:rPr>
          <w:rFonts w:ascii="Times New Roman" w:cs="Times New Roman" w:eastAsia="Times New Roman" w:hAnsi="Times New Roman"/>
          <w:sz w:val="20"/>
          <w:szCs w:val="20"/>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73" w:right="339" w:bottom="1440" w:gutter="0" w:footer="0" w:header="0"/>
        </w:sectPr>
      </w:pPr>
    </w:p>
    <w:bookmarkStart w:id="129" w:name="page130"/>
    <w:bookmarkEnd w:id="129"/>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These registration rights are granted pursuant to (i) a registration rights agreement, or the 2019 Registration Rights Agreement, we entered into in connection with the private placement of 37,634,883 shares of our common stock and warrants to purchase 31,330,629 shares of our common stock, or the 2019 Private Placement, which closed on December 23, 2019; and (ii) a registration rights agreement, or the 2020 Registration Rights Agreement, we entered into in connection with the private placement of 5,416,390 shares of our common stock, or the 2020 Private Placement, which closed on July 31, 2020.</w:t>
      </w: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2019 Registration Rights Agreement</w:t>
      </w:r>
    </w:p>
    <w:p>
      <w:pPr>
        <w:spacing w:after="0" w:line="125"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shares of common stock underlying the warrants and the shares of common stock issued in connection with our 2019 Private Placement are currently registered under a registration statement that has been declared effective by the SEC, pursuant to the 2019 Registration Rights Agreement. Subject to certain exceptions, pursuant to the 2019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7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2019 Registration Rights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2020 Registration Rights Agreement</w:t>
      </w:r>
    </w:p>
    <w:p>
      <w:pPr>
        <w:spacing w:after="0" w:line="12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Holders of registrable securities under the 2020 Registration Rights Agreement, as amended,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Piggyback Registration Rights</w:t>
      </w:r>
      <w:r>
        <w:rPr>
          <w:rFonts w:ascii="Times New Roman" w:cs="Times New Roman" w:eastAsia="Times New Roman" w:hAnsi="Times New Roman"/>
          <w:sz w:val="20"/>
          <w:szCs w:val="20"/>
          <w:color w:val="auto"/>
        </w:rPr>
        <w:t>. Any time we propose to register any shares of our common stock under the Securities Act,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6" w:lineRule="exact"/>
        <w:rPr>
          <w:sz w:val="20"/>
          <w:szCs w:val="20"/>
          <w:color w:val="auto"/>
        </w:rPr>
      </w:pPr>
    </w:p>
    <w:p>
      <w:pPr>
        <w:ind w:right="1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Demand Registration Rights</w:t>
      </w:r>
      <w:r>
        <w:rPr>
          <w:rFonts w:ascii="Times New Roman" w:cs="Times New Roman" w:eastAsia="Times New Roman" w:hAnsi="Times New Roman"/>
          <w:sz w:val="20"/>
          <w:szCs w:val="20"/>
          <w:color w:val="auto"/>
        </w:rPr>
        <w:t>. If the holders of registrable securities request in writing that we effect a registration with respect to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registrable securities, we will be required to effect such registration.</w:t>
      </w:r>
    </w:p>
    <w:p>
      <w:pPr>
        <w:spacing w:after="0" w:line="3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Ordinarily, other than underwriting discounts and commissions, we will be required to pay all expenses incurred by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70" w:lineRule="exact"/>
        <w:rPr>
          <w:sz w:val="20"/>
          <w:szCs w:val="20"/>
          <w:color w:val="auto"/>
        </w:rPr>
      </w:pPr>
    </w:p>
    <w:p>
      <w:pPr>
        <w:ind w:right="300"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Termination of Registration Rights</w:t>
      </w:r>
      <w:r>
        <w:rPr>
          <w:rFonts w:ascii="Times New Roman" w:cs="Times New Roman" w:eastAsia="Times New Roman" w:hAnsi="Times New Roman"/>
          <w:sz w:val="20"/>
          <w:szCs w:val="20"/>
          <w:color w:val="auto"/>
        </w:rPr>
        <w:t>. The registration rights terminate upon the earlier of (i) such time as there are no longer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registrable securities held by the purchaser, its affiliates or permitted transferees and (ii) such time as all of the securities can otherwise be sold without regard to the volume or manner-of-sale restrictions pursuant to Rule 144.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12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Some provisions of the DGCL, our Certificate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765" w:right="359" w:bottom="1440" w:gutter="0" w:footer="0" w:header="0"/>
        </w:sectPr>
      </w:pPr>
    </w:p>
    <w:bookmarkStart w:id="130" w:name="page131"/>
    <w:bookmarkEnd w:id="130"/>
    <w:p>
      <w:pPr>
        <w:ind w:firstLine="648"/>
        <w:spacing w:after="0" w:line="253" w:lineRule="auto"/>
        <w:rPr>
          <w:sz w:val="20"/>
          <w:szCs w:val="20"/>
          <w:color w:val="auto"/>
        </w:rPr>
      </w:pPr>
      <w:r>
        <w:rPr>
          <w:rFonts w:ascii="Times New Roman" w:cs="Times New Roman" w:eastAsia="Times New Roman" w:hAnsi="Times New Roman"/>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0" w:lineRule="exact"/>
        <w:rPr>
          <w:sz w:val="20"/>
          <w:szCs w:val="20"/>
          <w:color w:val="auto"/>
        </w:rPr>
      </w:pPr>
    </w:p>
    <w:p>
      <w:pPr>
        <w:jc w:val="both"/>
        <w:ind w:right="3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Undesignated Preferred Stock</w:t>
      </w:r>
      <w:r>
        <w:rPr>
          <w:rFonts w:ascii="Times New Roman" w:cs="Times New Roman" w:eastAsia="Times New Roman" w:hAnsi="Times New Roman"/>
          <w:sz w:val="20"/>
          <w:szCs w:val="20"/>
          <w:color w:val="auto"/>
        </w:rPr>
        <w:t>. The ability of our board of directors, without action by the stockholders, to issue up to 10,000,000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56"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Stockholder Meetings</w:t>
      </w:r>
      <w:r>
        <w:rPr>
          <w:rFonts w:ascii="Times New Roman" w:cs="Times New Roman" w:eastAsia="Times New Roman" w:hAnsi="Times New Roman"/>
          <w:sz w:val="20"/>
          <w:szCs w:val="20"/>
          <w:color w:val="auto"/>
        </w:rPr>
        <w:t>. Our Bylaws provide that a special meeting of stockholders may be called only by our chairman of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chief executive officer or president (in the absence of a chief executive officer), or by a resolution adopted by a majority of our board of directors.</w:t>
      </w:r>
    </w:p>
    <w:p>
      <w:pPr>
        <w:spacing w:after="0" w:line="47"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Requirements for Advance Notification of Stockholder Nominations and Proposals</w:t>
      </w:r>
      <w:r>
        <w:rPr>
          <w:rFonts w:ascii="Times New Roman" w:cs="Times New Roman" w:eastAsia="Times New Roman" w:hAnsi="Times New Roman"/>
          <w:sz w:val="20"/>
          <w:szCs w:val="20"/>
          <w:color w:val="auto"/>
        </w:rPr>
        <w:t>. Our Bylaws establish advance notice procedures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7" w:lineRule="exact"/>
        <w:rPr>
          <w:sz w:val="20"/>
          <w:szCs w:val="20"/>
          <w:color w:val="auto"/>
        </w:rPr>
      </w:pPr>
    </w:p>
    <w:p>
      <w:pPr>
        <w:ind w:right="18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Elimination of Stockholder Action by Written Consent</w:t>
      </w:r>
      <w:r>
        <w:rPr>
          <w:rFonts w:ascii="Times New Roman" w:cs="Times New Roman" w:eastAsia="Times New Roman" w:hAnsi="Times New Roman"/>
          <w:sz w:val="20"/>
          <w:szCs w:val="20"/>
          <w:color w:val="auto"/>
        </w:rPr>
        <w:t>. Our Certificate eliminates the right of stockholders to act by written consent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without a meeting.</w:t>
      </w:r>
    </w:p>
    <w:p>
      <w:pPr>
        <w:spacing w:after="0" w:line="30" w:lineRule="exact"/>
        <w:rPr>
          <w:sz w:val="20"/>
          <w:szCs w:val="20"/>
          <w:color w:val="auto"/>
        </w:rPr>
      </w:pPr>
    </w:p>
    <w:p>
      <w:pPr>
        <w:jc w:val="both"/>
        <w:ind w:right="6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Staggered Board</w:t>
      </w:r>
      <w:r>
        <w:rPr>
          <w:rFonts w:ascii="Times New Roman" w:cs="Times New Roman" w:eastAsia="Times New Roman" w:hAnsi="Times New Roman"/>
          <w:sz w:val="20"/>
          <w:szCs w:val="20"/>
          <w:color w:val="auto"/>
        </w:rPr>
        <w:t>. Our board of directors is divided into three classes. The directors in each class will serve for a three-year term,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56" w:lineRule="exact"/>
        <w:rPr>
          <w:sz w:val="20"/>
          <w:szCs w:val="20"/>
          <w:color w:val="auto"/>
        </w:rPr>
      </w:pPr>
    </w:p>
    <w:p>
      <w:pPr>
        <w:ind w:right="380"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Removal of Directors</w:t>
      </w:r>
      <w:r>
        <w:rPr>
          <w:rFonts w:ascii="Times New Roman" w:cs="Times New Roman" w:eastAsia="Times New Roman" w:hAnsi="Times New Roman"/>
          <w:sz w:val="20"/>
          <w:szCs w:val="20"/>
          <w:color w:val="auto"/>
        </w:rPr>
        <w:t>. Our Certificate provides that no member of our board of directors may be removed from office by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4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Stockholders Not Entitled to Cumulative Voting</w:t>
      </w:r>
      <w:r>
        <w:rPr>
          <w:rFonts w:ascii="Times New Roman" w:cs="Times New Roman" w:eastAsia="Times New Roman" w:hAnsi="Times New Roman"/>
          <w:sz w:val="20"/>
          <w:szCs w:val="20"/>
          <w:color w:val="auto"/>
        </w:rPr>
        <w:t>. Our Certificate does not permit stockholders to cumulate their votes in the election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Delaware Anti-Takeover Statute</w:t>
      </w:r>
      <w:r>
        <w:rPr>
          <w:rFonts w:ascii="Times New Roman" w:cs="Times New Roman" w:eastAsia="Times New Roman" w:hAnsi="Times New Roman"/>
          <w:sz w:val="20"/>
          <w:szCs w:val="20"/>
          <w:color w:val="auto"/>
        </w:rPr>
        <w:t>. We are subject to Section 203 of the DGCL, which prohibits persons deemed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interested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from engaging in a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business combination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interested stockholder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is a person who, together with affiliates and associates, owns, or within three years prior to the determination of interested stockholder status did own, 15% or more of a corporation's voting stock. Generally, a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business combination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Choice of Forum</w:t>
      </w:r>
      <w:r>
        <w:rPr>
          <w:rFonts w:ascii="Times New Roman" w:cs="Times New Roman" w:eastAsia="Times New Roman" w:hAnsi="Times New Roman"/>
          <w:sz w:val="20"/>
          <w:szCs w:val="20"/>
          <w:color w:val="auto"/>
        </w:rPr>
        <w:t>. Our Certificate provides that, unless we consent in writing to the selection of an alternative form, the Court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or Bylaws; or (4) any action asserting a claim governed by the internal affairs doctrine. Our Certificate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is inapplicable or unenforceable if it is challenged in a proceeding or otherwise.</w:t>
      </w:r>
    </w:p>
    <w:p>
      <w:pPr>
        <w:spacing w:after="0" w:line="64" w:lineRule="exact"/>
        <w:rPr>
          <w:sz w:val="20"/>
          <w:szCs w:val="20"/>
          <w:color w:val="auto"/>
        </w:rPr>
      </w:pPr>
    </w:p>
    <w:p>
      <w:pPr>
        <w:ind w:right="5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Amendment of Certificate</w:t>
      </w:r>
      <w:r>
        <w:rPr>
          <w:rFonts w:ascii="Times New Roman" w:cs="Times New Roman" w:eastAsia="Times New Roman" w:hAnsi="Times New Roman"/>
          <w:sz w:val="20"/>
          <w:szCs w:val="20"/>
          <w:color w:val="auto"/>
        </w:rPr>
        <w:t>. The amendment of any of the above provisions in our Certificate, except for the provision making 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possible for our board of directors to issue preferred stock and the provision prohibiting cumulative</w:t>
      </w:r>
    </w:p>
    <w:p>
      <w:pPr>
        <w:sectPr>
          <w:pgSz w:w="11900" w:h="16838" w:orient="portrait"/>
          <w:cols w:equalWidth="0" w:num="1">
            <w:col w:w="11220"/>
          </w:cols>
          <w:pgMar w:left="320" w:top="873" w:right="35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873" w:right="35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voting, would require approval by holders of at least two-thirds in voting power of the outstanding shares of stock entitled to vote thereon.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provisions of the DGCL, our Certificate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873" w:right="3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245"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Selecta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as amended by the Board effective March 16, 2021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Effective Date.</w:t>
      </w:r>
    </w:p>
    <w:p>
      <w:pPr>
        <w:spacing w:after="0" w:line="186"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p>
    <w:p>
      <w:pPr>
        <w:spacing w:after="0" w:line="223"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$40,000 for service on the Board.</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each Non-Employee Director shall receive the following annual retainers:</w:t>
      </w:r>
    </w:p>
    <w:p>
      <w:pPr>
        <w:spacing w:after="0" w:line="215" w:lineRule="exact"/>
        <w:rPr>
          <w:rFonts w:ascii="Times New Roman" w:cs="Times New Roman" w:eastAsia="Times New Roman" w:hAnsi="Times New Roman"/>
          <w:sz w:val="22"/>
          <w:szCs w:val="22"/>
          <w:color w:val="auto"/>
        </w:rPr>
      </w:pPr>
    </w:p>
    <w:p>
      <w:pPr>
        <w:jc w:val="both"/>
        <w:ind w:left="1300" w:hanging="320"/>
        <w:spacing w:after="0" w:line="259" w:lineRule="auto"/>
        <w:tabs>
          <w:tab w:leader="none" w:pos="130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Chairperson of the Board or Lead Independent Director</w:t>
      </w:r>
      <w:r>
        <w:rPr>
          <w:rFonts w:ascii="Times New Roman" w:cs="Times New Roman" w:eastAsia="Times New Roman" w:hAnsi="Times New Roman"/>
          <w:sz w:val="22"/>
          <w:szCs w:val="22"/>
          <w:color w:val="auto"/>
        </w:rPr>
        <w:t>. A Non-Employee Director serving as Chairperson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shall receive an additional annual retainer of $30,000 for such service, and a Non-Employee Director serving as Lead Independent Director shall receive an additional annual retainer of $20,000 for such service.</w:t>
      </w:r>
    </w:p>
    <w:p>
      <w:pPr>
        <w:spacing w:after="0" w:line="166" w:lineRule="exact"/>
        <w:rPr>
          <w:rFonts w:ascii="Times New Roman" w:cs="Times New Roman" w:eastAsia="Times New Roman" w:hAnsi="Times New Roman"/>
          <w:sz w:val="22"/>
          <w:szCs w:val="22"/>
          <w:color w:val="auto"/>
        </w:rPr>
      </w:pPr>
    </w:p>
    <w:p>
      <w:pPr>
        <w:jc w:val="both"/>
        <w:ind w:left="1300" w:right="20" w:hanging="320"/>
        <w:spacing w:after="0" w:line="283" w:lineRule="auto"/>
        <w:tabs>
          <w:tab w:leader="none" w:pos="1300"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Audit Committee</w:t>
      </w:r>
      <w:r>
        <w:rPr>
          <w:rFonts w:ascii="Times New Roman" w:cs="Times New Roman" w:eastAsia="Times New Roman" w:hAnsi="Times New Roman"/>
          <w:sz w:val="21"/>
          <w:szCs w:val="21"/>
          <w:color w:val="auto"/>
        </w:rPr>
        <w:t>. A Non-Employee Director serving as Chairperson of the Audit Committee shall receive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additional annual retainer of $15,000 for such service. A Non-Employee Director serving as a member other than the Chairperson of the Audit Committee shall receive an additional annual retainer of $7,500 for such service.</w:t>
      </w:r>
    </w:p>
    <w:p>
      <w:pPr>
        <w:spacing w:after="0" w:line="144" w:lineRule="exact"/>
        <w:rPr>
          <w:rFonts w:ascii="Times New Roman" w:cs="Times New Roman" w:eastAsia="Times New Roman" w:hAnsi="Times New Roman"/>
          <w:sz w:val="21"/>
          <w:szCs w:val="21"/>
          <w:color w:val="auto"/>
        </w:rPr>
      </w:pPr>
    </w:p>
    <w:p>
      <w:pPr>
        <w:jc w:val="both"/>
        <w:ind w:left="1300" w:hanging="320"/>
        <w:spacing w:after="0" w:line="253" w:lineRule="auto"/>
        <w:tabs>
          <w:tab w:leader="none" w:pos="130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A Non-Employee Director serving as Chairperson of the Compensation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receive an additional annual retainer of $12,000 for such service. A Non-Employee Director serving as a member other than the Chairperson of the Compensation Committee shall receive an additional annual retainer of $6,000 for such service.</w:t>
      </w:r>
    </w:p>
    <w:p>
      <w:pPr>
        <w:sectPr>
          <w:pgSz w:w="11900" w:h="16838" w:orient="portrait"/>
          <w:cols w:equalWidth="0" w:num="1">
            <w:col w:w="11240"/>
          </w:cols>
          <w:pgMar w:left="320" w:top="1085" w:right="339" w:bottom="1440" w:gutter="0" w:footer="0" w:header="0"/>
        </w:sectPr>
      </w:pPr>
    </w:p>
    <w:bookmarkStart w:id="133" w:name="page134"/>
    <w:bookmarkEnd w:id="133"/>
    <w:p>
      <w:pPr>
        <w:jc w:val="both"/>
        <w:ind w:left="1300" w:hanging="320"/>
        <w:spacing w:after="0" w:line="258" w:lineRule="auto"/>
        <w:tabs>
          <w:tab w:leader="none" w:pos="130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Non-Employee Director serving as Chairperson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Nominating and Corporate Governance Committee shall receive an additional annual retainer of $8,000 for such service. A Non-Employee Director serving as a member other than the Chairperson of the Nominating and Corporate Governance Committee shall receive an additional annual retainer of $4,000 for such service.</w:t>
      </w:r>
    </w:p>
    <w:p>
      <w:pPr>
        <w:spacing w:after="0" w:line="167" w:lineRule="exact"/>
        <w:rPr>
          <w:rFonts w:ascii="Times New Roman" w:cs="Times New Roman" w:eastAsia="Times New Roman" w:hAnsi="Times New Roman"/>
          <w:sz w:val="22"/>
          <w:szCs w:val="22"/>
          <w:color w:val="auto"/>
        </w:rPr>
      </w:pPr>
    </w:p>
    <w:p>
      <w:pPr>
        <w:jc w:val="both"/>
        <w:ind w:left="1300" w:hanging="320"/>
        <w:spacing w:after="0" w:line="277" w:lineRule="auto"/>
        <w:tabs>
          <w:tab w:leader="none" w:pos="130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Science Committee</w:t>
      </w:r>
      <w:r>
        <w:rPr>
          <w:rFonts w:ascii="Times New Roman" w:cs="Times New Roman" w:eastAsia="Times New Roman" w:hAnsi="Times New Roman"/>
          <w:sz w:val="21"/>
          <w:szCs w:val="21"/>
          <w:color w:val="auto"/>
        </w:rPr>
        <w:t>. A Non-Employee Director serving as Chairperson of the Science Committee shall receive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additional annual retainer of $8,000 for such service. A Non-Employee Director serving as a member other than the Chairperson of the Science Committee shall receive an additional annual retainer of $4,000 for such service.</w:t>
      </w:r>
    </w:p>
    <w:p>
      <w:pPr>
        <w:spacing w:after="0" w:line="149" w:lineRule="exact"/>
        <w:rPr>
          <w:rFonts w:ascii="Times New Roman" w:cs="Times New Roman" w:eastAsia="Times New Roman" w:hAnsi="Times New Roman"/>
          <w:sz w:val="21"/>
          <w:szCs w:val="21"/>
          <w:color w:val="auto"/>
        </w:rPr>
      </w:pPr>
    </w:p>
    <w:p>
      <w:pPr>
        <w:jc w:val="both"/>
        <w:ind w:left="1300" w:hanging="320"/>
        <w:spacing w:after="0" w:line="258" w:lineRule="auto"/>
        <w:tabs>
          <w:tab w:leader="none" w:pos="130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Research and Development Committee</w:t>
      </w:r>
      <w:r>
        <w:rPr>
          <w:rFonts w:ascii="Times New Roman" w:cs="Times New Roman" w:eastAsia="Times New Roman" w:hAnsi="Times New Roman"/>
          <w:sz w:val="22"/>
          <w:szCs w:val="22"/>
          <w:color w:val="auto"/>
        </w:rPr>
        <w:t>. A Non-Employee Director serving as Chairperson of the Research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 Committee shall receive an additional annual retainer of $12,000 for such service. A Non-Employee Director serving as a member other than the Chairperson of the Research and Development Committee shall receive an additional annual retainer of $6,000 for such service.</w:t>
      </w:r>
    </w:p>
    <w:p>
      <w:pPr>
        <w:spacing w:after="0" w:line="171"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0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COMPENSATION</w:t>
      </w:r>
    </w:p>
    <w:p>
      <w:pPr>
        <w:spacing w:after="0" w:line="223" w:lineRule="exact"/>
        <w:rPr>
          <w:rFonts w:ascii="Times New Roman" w:cs="Times New Roman" w:eastAsia="Times New Roman" w:hAnsi="Times New Roman"/>
          <w:sz w:val="22"/>
          <w:szCs w:val="22"/>
          <w:b w:val="1"/>
          <w:bCs w:val="1"/>
          <w:color w:val="auto"/>
        </w:rPr>
      </w:pPr>
    </w:p>
    <w:p>
      <w:pPr>
        <w:ind w:left="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Non-Employee Directors shall be granted the equity awards described below. The awards described below shall be granted</w:t>
      </w:r>
    </w:p>
    <w:p>
      <w:pPr>
        <w:spacing w:after="0" w:line="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under and shall be subject to the terms and provisions of the Company’s 2016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86" w:lineRule="exact"/>
        <w:rPr>
          <w:sz w:val="20"/>
          <w:szCs w:val="20"/>
          <w:color w:val="auto"/>
        </w:rPr>
      </w:pPr>
    </w:p>
    <w:p>
      <w:pPr>
        <w:jc w:val="both"/>
        <w:ind w:left="660" w:hanging="328"/>
        <w:spacing w:after="0" w:line="256" w:lineRule="auto"/>
        <w:tabs>
          <w:tab w:leader="none" w:pos="65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an option to purchase 80,000 shares of the Company’s common stock on the date of such initial election or appointment. The awards described in this Section II(A)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ectPr>
          <w:pgSz w:w="11900" w:h="16838" w:orient="portrait"/>
          <w:cols w:equalWidth="0" w:num="1">
            <w:col w:w="11240"/>
          </w:cols>
          <w:pgMar w:left="320" w:top="1093" w:right="339" w:bottom="1440" w:gutter="0" w:footer="0" w:header="0"/>
        </w:sectPr>
      </w:pPr>
    </w:p>
    <w:bookmarkStart w:id="134" w:name="page135"/>
    <w:bookmarkEnd w:id="134"/>
    <w:p>
      <w:pPr>
        <w:jc w:val="both"/>
        <w:ind w:left="328" w:hanging="328"/>
        <w:spacing w:after="0" w:line="261" w:lineRule="auto"/>
        <w:tabs>
          <w:tab w:leader="none" w:pos="32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Awards</w:t>
      </w:r>
      <w:r>
        <w:rPr>
          <w:rFonts w:ascii="Times New Roman" w:cs="Times New Roman" w:eastAsia="Times New Roman" w:hAnsi="Times New Roman"/>
          <w:sz w:val="21"/>
          <w:szCs w:val="21"/>
          <w:color w:val="auto"/>
        </w:rPr>
        <w:t>. A Non-Employee Director who (i) has been serving as a Non-Employee Director on the Board for at least six months as of the date of grant of any award made under this Program and (ii) will continue to serve as a Non-Employee Director immediately following such date, shall be automatically granted an option to purchase 75,000 shares of the Company’s common stock on the first business day of each new calendar year, provided, however that if such Non-Employee Director will serve as Chairperson of the Board as of immediately following the date of such date of grant, such Non-Employee Director shall receive an option to purchase 95,000 shares of the Company’s common stock on the first business day of each new calendar year. The awards described in this Section II(B) shall be referred to as “</w:t>
      </w:r>
      <w:r>
        <w:rPr>
          <w:rFonts w:ascii="Times New Roman" w:cs="Times New Roman" w:eastAsia="Times New Roman" w:hAnsi="Times New Roman"/>
          <w:sz w:val="21"/>
          <w:szCs w:val="21"/>
          <w:b w:val="1"/>
          <w:bCs w:val="1"/>
          <w:i w:val="1"/>
          <w:iCs w:val="1"/>
          <w:color w:val="auto"/>
        </w:rPr>
        <w:t>Subsequent Awards</w:t>
      </w:r>
      <w:r>
        <w:rPr>
          <w:rFonts w:ascii="Times New Roman" w:cs="Times New Roman" w:eastAsia="Times New Roman" w:hAnsi="Times New Roman"/>
          <w:sz w:val="21"/>
          <w:szCs w:val="21"/>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 Notwithstanding anything to the contrary in this paragraph, for the year 2021, each director, including the Chairperson of the Board, shall receive a Subsequent Award grant on the effective date of this program, being the date it is approved and adopted by the Board of Directors.</w:t>
      </w:r>
    </w:p>
    <w:p>
      <w:pPr>
        <w:spacing w:after="0" w:line="169" w:lineRule="exact"/>
        <w:rPr>
          <w:rFonts w:ascii="Times New Roman" w:cs="Times New Roman" w:eastAsia="Times New Roman" w:hAnsi="Times New Roman"/>
          <w:sz w:val="21"/>
          <w:szCs w:val="21"/>
          <w:color w:val="auto"/>
        </w:rPr>
      </w:pPr>
    </w:p>
    <w:p>
      <w:pPr>
        <w:jc w:val="both"/>
        <w:ind w:left="328" w:hanging="328"/>
        <w:spacing w:after="0" w:line="253" w:lineRule="auto"/>
        <w:tabs>
          <w:tab w:leader="none" w:pos="32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78"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215" w:lineRule="exact"/>
        <w:rPr>
          <w:rFonts w:ascii="Times New Roman" w:cs="Times New Roman" w:eastAsia="Times New Roman" w:hAnsi="Times New Roman"/>
          <w:sz w:val="22"/>
          <w:szCs w:val="22"/>
          <w:color w:val="auto"/>
        </w:rPr>
      </w:pPr>
    </w:p>
    <w:p>
      <w:pPr>
        <w:ind w:left="968" w:right="20" w:hanging="320"/>
        <w:spacing w:after="0" w:line="287" w:lineRule="auto"/>
        <w:tabs>
          <w:tab w:leader="none" w:pos="96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 shall equal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Fair Market Value (as defined in the Equity Plan) of a share of common stock on the date the option is granted.</w:t>
      </w:r>
    </w:p>
    <w:p>
      <w:pPr>
        <w:spacing w:after="0" w:line="137" w:lineRule="exact"/>
        <w:rPr>
          <w:rFonts w:ascii="Times New Roman" w:cs="Times New Roman" w:eastAsia="Times New Roman" w:hAnsi="Times New Roman"/>
          <w:sz w:val="22"/>
          <w:szCs w:val="22"/>
          <w:color w:val="auto"/>
        </w:rPr>
      </w:pPr>
    </w:p>
    <w:p>
      <w:pPr>
        <w:jc w:val="both"/>
        <w:ind w:left="968" w:hanging="320"/>
        <w:spacing w:after="0" w:line="249" w:lineRule="auto"/>
        <w:tabs>
          <w:tab w:leader="none" w:pos="96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Initial Award shall vest and become exercisable in thirty-six (36) substantially equal monthly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ectPr>
          <w:pgSz w:w="11900" w:h="16838" w:orient="portrait"/>
          <w:cols w:equalWidth="0" w:num="1">
            <w:col w:w="10908"/>
          </w:cols>
          <w:pgMar w:left="652" w:top="1097" w:right="339" w:bottom="1440" w:gutter="0" w:footer="0" w:header="0"/>
        </w:sectPr>
      </w:pPr>
    </w:p>
    <w:bookmarkStart w:id="135" w:name="page136"/>
    <w:bookmarkEnd w:id="135"/>
    <w:p>
      <w:pPr>
        <w:ind w:left="1300" w:hanging="320"/>
        <w:spacing w:after="0" w:line="275" w:lineRule="auto"/>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Non-Employee Director hereunder shall be ten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years from the date the option is granted.</w:t>
      </w:r>
    </w:p>
    <w:p>
      <w:pPr>
        <w:spacing w:after="0" w:line="14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LIMITS</w:t>
      </w:r>
    </w:p>
    <w:p>
      <w:pPr>
        <w:spacing w:after="0" w:line="2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ectPr>
          <w:pgSz w:w="11900" w:h="16838" w:orient="portrait"/>
          <w:cols w:equalWidth="0" w:num="1">
            <w:col w:w="11240"/>
          </w:cols>
          <w:pgMar w:left="320" w:top="109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193"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This Employment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November 9, 2022, is made by and between Selecta Biosciences, Inc., a Delaware corporation (together with any successor thereto,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Blaine Davis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(collectively referred to as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effective as of Nov. 28, 2022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ind w:left="660" w:right="800" w:hanging="652"/>
        <w:spacing w:after="0"/>
        <w:tabs>
          <w:tab w:leader="none" w:pos="40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following the Effective Date (as defined below) and thereafter by entering into this Agreement.</w:t>
      </w:r>
    </w:p>
    <w:p>
      <w:pPr>
        <w:spacing w:after="0" w:line="16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171" w:lineRule="exact"/>
        <w:rPr>
          <w:rFonts w:ascii="Times New Roman" w:cs="Times New Roman" w:eastAsia="Times New Roman" w:hAnsi="Times New Roman"/>
          <w:sz w:val="20"/>
          <w:szCs w:val="20"/>
          <w:color w:val="auto"/>
        </w:rPr>
      </w:pPr>
    </w:p>
    <w:p>
      <w:pPr>
        <w:ind w:left="4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w:t>
      </w:r>
    </w:p>
    <w:p>
      <w:pPr>
        <w:spacing w:after="0" w:line="19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right="500" w:firstLine="656"/>
        <w:spacing w:after="0" w:line="266" w:lineRule="auto"/>
        <w:tabs>
          <w:tab w:leader="none" w:pos="128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Effective on the Effective Date, the Company shall employ Executive and Executive shall be employed by the Company, for the period and in the positions set forth in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and subject to the other terms and conditions herein provided.</w:t>
      </w:r>
    </w:p>
    <w:p>
      <w:pPr>
        <w:spacing w:after="0" w:line="136" w:lineRule="exact"/>
        <w:rPr>
          <w:rFonts w:ascii="Times New Roman" w:cs="Times New Roman" w:eastAsia="Times New Roman" w:hAnsi="Times New Roman"/>
          <w:sz w:val="19"/>
          <w:szCs w:val="19"/>
          <w:color w:val="auto"/>
        </w:rPr>
      </w:pPr>
    </w:p>
    <w:p>
      <w:pPr>
        <w:ind w:right="40" w:firstLine="656"/>
        <w:spacing w:after="0" w:line="213" w:lineRule="auto"/>
        <w:tabs>
          <w:tab w:leader="none" w:pos="128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Effective Date and end on the date this Agreement is terminated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ind w:right="20" w:firstLine="656"/>
        <w:spacing w:after="0" w:line="212" w:lineRule="auto"/>
        <w:tabs>
          <w:tab w:leader="none" w:pos="128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Executive shall serve as the Chief Financial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right="160" w:firstLine="656"/>
        <w:spacing w:after="0" w:line="233" w:lineRule="auto"/>
        <w:tabs>
          <w:tab w:leader="none" w:pos="128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$440,000 per annum, which shall be paid in accordance with the customary payroll practices of the</w:t>
      </w:r>
    </w:p>
    <w:p>
      <w:pPr>
        <w:sectPr>
          <w:pgSz w:w="11900" w:h="16838" w:orient="portrait"/>
          <w:cols w:equalWidth="0" w:num="1">
            <w:col w:w="11240"/>
          </w:cols>
          <w:pgMar w:left="320" w:top="104" w:right="339" w:bottom="1440" w:gutter="0" w:footer="0" w:header="0"/>
        </w:sectPr>
      </w:pPr>
    </w:p>
    <w:bookmarkStart w:id="137" w:name="page138"/>
    <w:bookmarkEnd w:id="137"/>
    <w:p>
      <w:pPr>
        <w:ind w:right="340"/>
        <w:spacing w:after="0"/>
        <w:rPr>
          <w:sz w:val="20"/>
          <w:szCs w:val="20"/>
          <w:color w:val="auto"/>
        </w:rPr>
      </w:pPr>
      <w:r>
        <w:rPr>
          <w:rFonts w:ascii="Times New Roman" w:cs="Times New Roman" w:eastAsia="Times New Roman" w:hAnsi="Times New Roman"/>
          <w:sz w:val="20"/>
          <w:szCs w:val="20"/>
          <w:color w:val="auto"/>
        </w:rPr>
        <w:t>Company and shall be pro-rated for partial years of employment. Such annual base salary shall be reviewed (and may be increased) from time to time by the Board (such annual base salary, as it may be increased from time to time,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60" w:firstLine="656"/>
        <w:spacing w:after="0" w:line="218"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Beginning with the Company’s 2023 fiscal year and during the Term,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0"/>
          <w:szCs w:val="20"/>
          <w:u w:val="single" w:color="auto"/>
          <w:color w:val="auto"/>
        </w:rPr>
        <w:t>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shall be targeted at 40% of Executive’s Annual Base Salary (the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The Annual Bonus payable under the incentive program shall be based on the achievement of performance goals to be determined by the Board. The payment of the 2023 Bonus will be made on or before March 15 of the year following the calendar year in which it is earned, subject to Executive’s continued employment through the last day of such year.</w:t>
      </w:r>
    </w:p>
    <w:p>
      <w:pPr>
        <w:spacing w:after="0" w:line="150" w:lineRule="exact"/>
        <w:rPr>
          <w:rFonts w:ascii="Times New Roman" w:cs="Times New Roman" w:eastAsia="Times New Roman" w:hAnsi="Times New Roman"/>
          <w:sz w:val="20"/>
          <w:szCs w:val="20"/>
          <w:color w:val="auto"/>
        </w:rPr>
      </w:pPr>
    </w:p>
    <w:p>
      <w:pPr>
        <w:ind w:right="160" w:firstLine="656"/>
        <w:spacing w:after="0" w:line="222"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During the Term, Executive shall be eligible to participate in employee benefit plans, programs and arrangements of the Company (including medical, dental, vision,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w:t>
      </w:r>
    </w:p>
    <w:p>
      <w:pPr>
        <w:spacing w:after="0" w:line="161" w:lineRule="exact"/>
        <w:rPr>
          <w:rFonts w:ascii="Times New Roman" w:cs="Times New Roman" w:eastAsia="Times New Roman" w:hAnsi="Times New Roman"/>
          <w:sz w:val="20"/>
          <w:szCs w:val="20"/>
          <w:color w:val="auto"/>
        </w:rPr>
      </w:pPr>
    </w:p>
    <w:p>
      <w:pPr>
        <w:ind w:right="60" w:firstLine="656"/>
        <w:spacing w:after="0" w:line="222"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61" w:lineRule="exact"/>
        <w:rPr>
          <w:rFonts w:ascii="Times New Roman" w:cs="Times New Roman" w:eastAsia="Times New Roman" w:hAnsi="Times New Roman"/>
          <w:sz w:val="20"/>
          <w:szCs w:val="20"/>
          <w:color w:val="auto"/>
        </w:rPr>
      </w:pPr>
    </w:p>
    <w:p>
      <w:pPr>
        <w:ind w:right="300" w:firstLine="656"/>
        <w:spacing w:after="0" w:line="226"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60" w:lineRule="exact"/>
        <w:rPr>
          <w:rFonts w:ascii="Times New Roman" w:cs="Times New Roman" w:eastAsia="Times New Roman" w:hAnsi="Times New Roman"/>
          <w:sz w:val="20"/>
          <w:szCs w:val="20"/>
          <w:color w:val="auto"/>
        </w:rPr>
      </w:pPr>
    </w:p>
    <w:p>
      <w:pPr>
        <w:ind w:right="120" w:firstLine="656"/>
        <w:spacing w:after="0" w:line="215" w:lineRule="auto"/>
        <w:tabs>
          <w:tab w:leader="none" w:pos="12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Key Person Insurance</w:t>
      </w:r>
      <w:r>
        <w:rPr>
          <w:rFonts w:ascii="Times New Roman" w:cs="Times New Roman" w:eastAsia="Times New Roman" w:hAnsi="Times New Roman"/>
          <w:sz w:val="20"/>
          <w:szCs w:val="20"/>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0" w:lineRule="exact"/>
        <w:rPr>
          <w:rFonts w:ascii="Times New Roman" w:cs="Times New Roman" w:eastAsia="Times New Roman" w:hAnsi="Times New Roman"/>
          <w:sz w:val="20"/>
          <w:szCs w:val="20"/>
          <w:color w:val="auto"/>
        </w:rPr>
      </w:pPr>
    </w:p>
    <w:p>
      <w:pPr>
        <w:ind w:firstLine="656"/>
        <w:spacing w:after="0" w:line="213"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 Not later than the first regularly scheduled meeting of the Company’s Board of Directors following the Effective Date and subject to the approval of the Board, pursuant to the Company’s 2018 Employment Inducement Incentive Award Plan (as it may be amended, the “Plan”), Executive will be granted an option to purchase 1,250,000 shares of common stock of the Company with an exercise price per share equal to the fair market value of a share of the Company’s common stock on the date of grant (the “Option”). Subject to Executive’s continued employment by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2018 Employment Inducement Incentive Award Plan and the applicable award agreement evidencing such award. The Option will be subject to the terms of the Plan and the applicable award agreement evidencing such award.</w:t>
      </w:r>
    </w:p>
    <w:p>
      <w:pPr>
        <w:spacing w:after="0" w:line="161" w:lineRule="exact"/>
        <w:rPr>
          <w:rFonts w:ascii="Times New Roman" w:cs="Times New Roman" w:eastAsia="Times New Roman" w:hAnsi="Times New Roman"/>
          <w:sz w:val="20"/>
          <w:szCs w:val="20"/>
          <w:color w:val="auto"/>
        </w:rPr>
      </w:pPr>
    </w:p>
    <w:p>
      <w:pPr>
        <w:ind w:right="140" w:firstLine="656"/>
        <w:spacing w:after="0" w:line="220"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 Location</w:t>
      </w:r>
      <w:r>
        <w:rPr>
          <w:rFonts w:ascii="Times New Roman" w:cs="Times New Roman" w:eastAsia="Times New Roman" w:hAnsi="Times New Roman"/>
          <w:sz w:val="20"/>
          <w:szCs w:val="20"/>
          <w:color w:val="auto"/>
        </w:rPr>
        <w:t>. The parties acknowledge that the Company’s principal place of business is currently in Watertown, Massachusetts and Executive’s primary residence is currently in the state of New Jersey. Executive will be permitted to perform obligations under this Agreement remotely, provided that Executive will spend such time at the Company’s principal place of business in Watertown, Massachusetts as the Company’s Chief Executive Officer reasonably determines is necessary or appropriate for Executive to perform her duties and responsibilities under this Agreement. During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399" w:right="3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color w:val="auto"/>
        </w:rPr>
        <w:t>Executive’s employment, notwithstanding any contrary terms of the Company’s expense reimbursement Policy, but subject to Section 9(l)(iv)</w:t>
      </w:r>
    </w:p>
    <w:p>
      <w:pPr>
        <w:spacing w:after="0" w:line="6"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Company shall reimburse Executive for reasonable expenses incurred by Executive for travel between Massachusetts and New Jersey in performing duties for the Company, including airfare, lodging accommodations, and local transportation, up to a maximum monthly amount</w:t>
      </w:r>
    </w:p>
    <w:p>
      <w:pPr>
        <w:spacing w:after="0" w:line="211" w:lineRule="auto"/>
        <w:rPr>
          <w:sz w:val="20"/>
          <w:szCs w:val="20"/>
          <w:color w:val="auto"/>
        </w:rPr>
      </w:pPr>
      <w:r>
        <w:rPr>
          <w:rFonts w:ascii="Times New Roman" w:cs="Times New Roman" w:eastAsia="Times New Roman" w:hAnsi="Times New Roman"/>
          <w:sz w:val="20"/>
          <w:szCs w:val="20"/>
          <w:color w:val="auto"/>
        </w:rPr>
        <w:t>of $5,000, which maximum, for avoidance of doubt, shall not limit amounts otherwise reimbursable under the Company’s expense</w:t>
      </w:r>
    </w:p>
    <w:p>
      <w:pPr>
        <w:ind w:right="380"/>
        <w:spacing w:after="0" w:line="215" w:lineRule="auto"/>
        <w:rPr>
          <w:sz w:val="20"/>
          <w:szCs w:val="20"/>
          <w:color w:val="auto"/>
        </w:rPr>
      </w:pPr>
      <w:r>
        <w:rPr>
          <w:rFonts w:ascii="Times New Roman" w:cs="Times New Roman" w:eastAsia="Times New Roman" w:hAnsi="Times New Roman"/>
          <w:sz w:val="19"/>
          <w:szCs w:val="19"/>
          <w:color w:val="auto"/>
        </w:rPr>
        <w:t>reimbursement Policy. To the extent the Company reasonably determines all or a portion of any such reimbursement constitutes taxable income to Executive, Executive will be liable and responsible for the employee portion of all taxes owed in connection therewith and the</w:t>
      </w:r>
    </w:p>
    <w:p>
      <w:pPr>
        <w:ind w:right="200"/>
        <w:spacing w:after="0" w:line="228" w:lineRule="auto"/>
        <w:rPr>
          <w:sz w:val="20"/>
          <w:szCs w:val="20"/>
          <w:color w:val="auto"/>
        </w:rPr>
      </w:pPr>
      <w:r>
        <w:rPr>
          <w:rFonts w:ascii="Times New Roman" w:cs="Times New Roman" w:eastAsia="Times New Roman" w:hAnsi="Times New Roman"/>
          <w:sz w:val="20"/>
          <w:szCs w:val="20"/>
          <w:color w:val="auto"/>
        </w:rPr>
        <w:t>Company may (but will not be required to) deduct or withhold such taxes from any compensation payable to Executive by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Executive’s employment hereunder may be terminated by the Company or Executive, as applicable, without any breach of this</w:t>
      </w:r>
    </w:p>
    <w:p>
      <w:pPr>
        <w:spacing w:after="0"/>
        <w:rPr>
          <w:sz w:val="20"/>
          <w:szCs w:val="20"/>
          <w:color w:val="auto"/>
        </w:rPr>
      </w:pPr>
      <w:r>
        <w:rPr>
          <w:rFonts w:ascii="Times New Roman" w:cs="Times New Roman" w:eastAsia="Times New Roman" w:hAnsi="Times New Roman"/>
          <w:sz w:val="20"/>
          <w:szCs w:val="20"/>
          <w:color w:val="auto"/>
        </w:rPr>
        <w:t>Agreement under the following circumstances:</w:t>
      </w:r>
    </w:p>
    <w:p>
      <w:pPr>
        <w:spacing w:after="0" w:line="167"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18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4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188" w:lineRule="exact"/>
        <w:rPr>
          <w:rFonts w:ascii="Times New Roman" w:cs="Times New Roman" w:eastAsia="Times New Roman" w:hAnsi="Times New Roman"/>
          <w:sz w:val="20"/>
          <w:szCs w:val="20"/>
          <w:color w:val="auto"/>
        </w:rPr>
      </w:pPr>
    </w:p>
    <w:p>
      <w:pPr>
        <w:ind w:left="660" w:right="800" w:firstLine="644"/>
        <w:spacing w:after="0" w:line="235" w:lineRule="auto"/>
        <w:tabs>
          <w:tab w:leader="none" w:pos="194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7" w:lineRule="exact"/>
        <w:rPr>
          <w:rFonts w:ascii="Times New Roman" w:cs="Times New Roman" w:eastAsia="Times New Roman" w:hAnsi="Times New Roman"/>
          <w:sz w:val="20"/>
          <w:szCs w:val="20"/>
          <w:color w:val="auto"/>
        </w:rPr>
      </w:pPr>
    </w:p>
    <w:p>
      <w:pPr>
        <w:ind w:left="660" w:right="540" w:firstLine="644"/>
        <w:spacing w:after="0" w:line="245" w:lineRule="auto"/>
        <w:tabs>
          <w:tab w:leader="none" w:pos="194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41" w:lineRule="exact"/>
        <w:rPr>
          <w:rFonts w:ascii="Times New Roman" w:cs="Times New Roman" w:eastAsia="Times New Roman" w:hAnsi="Times New Roman"/>
          <w:sz w:val="20"/>
          <w:szCs w:val="20"/>
          <w:color w:val="auto"/>
        </w:rPr>
      </w:pPr>
    </w:p>
    <w:p>
      <w:pPr>
        <w:ind w:right="60" w:firstLine="656"/>
        <w:spacing w:after="0" w:line="211"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9" w:right="359" w:bottom="1440" w:gutter="0" w:footer="0" w:header="0"/>
        </w:sectPr>
      </w:pPr>
    </w:p>
    <w:bookmarkStart w:id="139" w:name="page140"/>
    <w:bookmarkEnd w:id="139"/>
    <w:p>
      <w:pPr>
        <w:ind w:right="280"/>
        <w:spacing w:after="0"/>
        <w:rPr>
          <w:sz w:val="20"/>
          <w:szCs w:val="20"/>
          <w:color w:val="auto"/>
        </w:rPr>
      </w:pPr>
      <w:r>
        <w:rPr>
          <w:rFonts w:ascii="Times New Roman" w:cs="Times New Roman" w:eastAsia="Times New Roman" w:hAnsi="Times New Roman"/>
          <w:sz w:val="20"/>
          <w:szCs w:val="20"/>
          <w:color w:val="auto"/>
        </w:rPr>
        <w:t>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48" w:lineRule="exact"/>
        <w:rPr>
          <w:sz w:val="20"/>
          <w:szCs w:val="20"/>
          <w:color w:val="auto"/>
        </w:rPr>
      </w:pPr>
    </w:p>
    <w:p>
      <w:pPr>
        <w:ind w:firstLine="656"/>
        <w:spacing w:after="0" w:line="223" w:lineRule="auto"/>
        <w:tabs>
          <w:tab w:leader="none" w:pos="1286"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Obligations upon Termination</w:t>
      </w:r>
      <w:r>
        <w:rPr>
          <w:rFonts w:ascii="Times New Roman" w:cs="Times New Roman" w:eastAsia="Times New Roman" w:hAnsi="Times New Roman"/>
          <w:sz w:val="19"/>
          <w:szCs w:val="19"/>
          <w:color w:val="auto"/>
        </w:rPr>
        <w:t xml:space="preserve">. Upon termination of Executive’s employment pursuant to any of the circumstances listed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Times New Roman" w:cs="Times New Roman" w:eastAsia="Times New Roman" w:hAnsi="Times New Roman"/>
          <w:sz w:val="19"/>
          <w:szCs w:val="19"/>
          <w:u w:val="single" w:color="auto"/>
          <w:color w:val="auto"/>
        </w:rPr>
        <w:t>Section 2(e)</w:t>
      </w:r>
      <w:r>
        <w:rPr>
          <w:rFonts w:ascii="Times New Roman" w:cs="Times New Roman" w:eastAsia="Times New Roman" w:hAnsi="Times New Roman"/>
          <w:sz w:val="19"/>
          <w:szCs w:val="19"/>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19"/>
          <w:szCs w:val="19"/>
          <w:u w:val="single" w:color="auto"/>
          <w:color w:val="auto"/>
        </w:rPr>
        <w:t>Company Arrangements</w:t>
      </w:r>
      <w:r>
        <w:rPr>
          <w:rFonts w:ascii="Times New Roman" w:cs="Times New Roman" w:eastAsia="Times New Roman" w:hAnsi="Times New Roman"/>
          <w:sz w:val="19"/>
          <w:szCs w:val="19"/>
          <w:color w:val="auto"/>
        </w:rPr>
        <w:t>”). Except as otherwise expressly required by law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9" w:lineRule="exact"/>
        <w:rPr>
          <w:rFonts w:ascii="Times New Roman" w:cs="Times New Roman" w:eastAsia="Times New Roman" w:hAnsi="Times New Roman"/>
          <w:sz w:val="19"/>
          <w:szCs w:val="19"/>
          <w:color w:val="auto"/>
        </w:rPr>
      </w:pPr>
    </w:p>
    <w:p>
      <w:pPr>
        <w:ind w:right="520" w:firstLine="656"/>
        <w:spacing w:after="0" w:line="233" w:lineRule="auto"/>
        <w:tabs>
          <w:tab w:leader="none" w:pos="128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right="120" w:firstLine="656"/>
        <w:spacing w:after="0" w:line="222" w:lineRule="auto"/>
        <w:tabs>
          <w:tab w:leader="none" w:pos="128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line="216" w:lineRule="auto"/>
        <w:tabs>
          <w:tab w:leader="none" w:pos="128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xml:space="preserve">. If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62" w:lineRule="exact"/>
        <w:rPr>
          <w:rFonts w:ascii="Times New Roman" w:cs="Times New Roman" w:eastAsia="Times New Roman" w:hAnsi="Times New Roman"/>
          <w:sz w:val="20"/>
          <w:szCs w:val="20"/>
          <w:color w:val="auto"/>
        </w:rPr>
      </w:pPr>
    </w:p>
    <w:p>
      <w:pPr>
        <w:jc w:val="both"/>
        <w:ind w:left="660" w:right="20" w:firstLine="644"/>
        <w:spacing w:after="0" w:line="222" w:lineRule="auto"/>
        <w:tabs>
          <w:tab w:leader="none" w:pos="1954"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Annual Base Salary, payable in the form of salary continuation in regular installments over the 12-month period following the date of Executive’s Separation from Service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in accordance with the Company’s normal payroll practices, commencing on the Company’s next regular payday following the effective date of the Release (with the first payment including all amounts accrued to date) (the “</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660" w:right="180" w:firstLine="644"/>
        <w:spacing w:after="0" w:line="216" w:lineRule="auto"/>
        <w:tabs>
          <w:tab w:leader="none" w:pos="1955"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9" w:right="359" w:bottom="1440" w:gutter="0" w:footer="0" w:header="0"/>
        </w:sectPr>
      </w:pPr>
    </w:p>
    <w:bookmarkStart w:id="140" w:name="page141"/>
    <w:bookmarkEnd w:id="140"/>
    <w:p>
      <w:pPr>
        <w:ind w:left="660" w:right="40" w:firstLine="644"/>
        <w:spacing w:after="0" w:line="212" w:lineRule="auto"/>
        <w:tabs>
          <w:tab w:leader="none" w:pos="1956"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elects to receive continued medical, dental and/or vision coverage under one or more of the Company’s group healthcare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54" w:lineRule="exact"/>
        <w:rPr>
          <w:rFonts w:ascii="Times New Roman" w:cs="Times New Roman" w:eastAsia="Times New Roman" w:hAnsi="Times New Roman"/>
          <w:sz w:val="20"/>
          <w:szCs w:val="20"/>
          <w:color w:val="auto"/>
        </w:rPr>
      </w:pPr>
    </w:p>
    <w:p>
      <w:pPr>
        <w:ind w:right="40" w:firstLine="656"/>
        <w:spacing w:after="0" w:line="208" w:lineRule="auto"/>
        <w:tabs>
          <w:tab w:leader="none" w:pos="1286"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Notwithstanding anything to the contrary in any applicable Company equity plan or equity agreement,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within 60 days prior to or on or within 12 months following the date of a Change in Control, subject to Executive signing on or before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Executive’s Separation from Service, and not revoking, the Release (which the Executive will receive no later than ten(10) business days following Executive’s Separation from Service)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4" w:lineRule="exact"/>
        <w:rPr>
          <w:rFonts w:ascii="Times New Roman" w:cs="Times New Roman" w:eastAsia="Times New Roman" w:hAnsi="Times New Roman"/>
          <w:sz w:val="20"/>
          <w:szCs w:val="20"/>
          <w:color w:val="auto"/>
        </w:rPr>
      </w:pPr>
    </w:p>
    <w:p>
      <w:pPr>
        <w:ind w:right="40" w:firstLine="656"/>
        <w:spacing w:after="0"/>
        <w:tabs>
          <w:tab w:leader="none" w:pos="12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pacing w:after="0" w:line="170" w:lineRule="exact"/>
        <w:rPr>
          <w:rFonts w:ascii="Times New Roman" w:cs="Times New Roman" w:eastAsia="Times New Roman" w:hAnsi="Times New Roman"/>
          <w:sz w:val="20"/>
          <w:szCs w:val="20"/>
          <w:color w:val="auto"/>
        </w:rPr>
      </w:pPr>
    </w:p>
    <w:p>
      <w:pPr>
        <w:ind w:right="100" w:firstLine="8"/>
        <w:spacing w:after="0" w:line="216" w:lineRule="auto"/>
        <w:tabs>
          <w:tab w:leader="none" w:pos="64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to the effectiveness of this Agreement, Executive will execute and deliver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5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64"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may assign its rights and obligations under this Agreement to any of its affiliates or to any successor to all or</w:t>
      </w:r>
    </w:p>
    <w:p>
      <w:pPr>
        <w:spacing w:after="0" w:line="211" w:lineRule="auto"/>
        <w:rPr>
          <w:sz w:val="20"/>
          <w:szCs w:val="20"/>
          <w:color w:val="auto"/>
        </w:rPr>
      </w:pPr>
      <w:r>
        <w:rPr>
          <w:rFonts w:ascii="Times New Roman" w:cs="Times New Roman" w:eastAsia="Times New Roman" w:hAnsi="Times New Roman"/>
          <w:sz w:val="20"/>
          <w:szCs w:val="20"/>
          <w:color w:val="auto"/>
        </w:rPr>
        <w:t>substantially all of the business or the assets of the Company (by merger or otherwise). This Agreement shall be binding upon and inure to</w:t>
      </w:r>
    </w:p>
    <w:p>
      <w:pPr>
        <w:spacing w:after="0" w:line="215" w:lineRule="auto"/>
        <w:rPr>
          <w:sz w:val="20"/>
          <w:szCs w:val="20"/>
          <w:color w:val="auto"/>
        </w:rPr>
      </w:pPr>
      <w:r>
        <w:rPr>
          <w:rFonts w:ascii="Times New Roman" w:cs="Times New Roman" w:eastAsia="Times New Roman" w:hAnsi="Times New Roman"/>
          <w:sz w:val="19"/>
          <w:szCs w:val="19"/>
          <w:color w:val="auto"/>
        </w:rPr>
        <w:t>the benefit of the Company, Executive and their respective successors, assigns, personnel and legal representatives, executors, administrators, heirs, distributees, devisees, and legatees, as applicable. None of Executive’s rights or obligations may be assigned or transferred by</w:t>
      </w:r>
    </w:p>
    <w:p>
      <w:pPr>
        <w:spacing w:after="0" w:line="222" w:lineRule="auto"/>
        <w:rPr>
          <w:sz w:val="20"/>
          <w:szCs w:val="20"/>
          <w:color w:val="auto"/>
        </w:rPr>
      </w:pPr>
      <w:r>
        <w:rPr>
          <w:rFonts w:ascii="Times New Roman" w:cs="Times New Roman" w:eastAsia="Times New Roman" w:hAnsi="Times New Roman"/>
          <w:sz w:val="19"/>
          <w:szCs w:val="19"/>
          <w:color w:val="auto"/>
        </w:rPr>
        <w:t>Executive, other than Executive’s rights to payments hereunder, which may be transferred only by will or operation of law. Notwithstanding</w:t>
      </w:r>
    </w:p>
    <w:p>
      <w:pPr>
        <w:ind w:right="100"/>
        <w:spacing w:after="0" w:line="215" w:lineRule="auto"/>
        <w:rPr>
          <w:sz w:val="20"/>
          <w:szCs w:val="20"/>
          <w:color w:val="auto"/>
        </w:rPr>
      </w:pPr>
      <w:r>
        <w:rPr>
          <w:rFonts w:ascii="Times New Roman" w:cs="Times New Roman" w:eastAsia="Times New Roman" w:hAnsi="Times New Roman"/>
          <w:sz w:val="19"/>
          <w:szCs w:val="19"/>
          <w:color w:val="auto"/>
        </w:rPr>
        <w:t>the foregoing, Executive shall be entitled, to the extent permitted under applicable law and applicable Company Arrangements, to select and change a beneficiary or beneficiaries to receive compensation hereunder following Executive’s death by giving written notice thereof to the</w:t>
      </w: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63"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399" w:right="359" w:bottom="1440" w:gutter="0" w:footer="0" w:header="0"/>
        </w:sectPr>
      </w:pPr>
    </w:p>
    <w:bookmarkStart w:id="141" w:name="page142"/>
    <w:bookmarkEnd w:id="141"/>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188" w:lineRule="exact"/>
        <w:rPr>
          <w:rFonts w:ascii="Times New Roman" w:cs="Times New Roman" w:eastAsia="Times New Roman" w:hAnsi="Times New Roman"/>
          <w:sz w:val="20"/>
          <w:szCs w:val="20"/>
          <w:color w:val="auto"/>
        </w:rPr>
      </w:pPr>
    </w:p>
    <w:p>
      <w:pPr>
        <w:ind w:left="660" w:right="580" w:firstLine="644"/>
        <w:spacing w:after="0" w:line="233" w:lineRule="auto"/>
        <w:tabs>
          <w:tab w:leader="none" w:pos="19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substantial failure to perform (other than by reason of Disability), or substantial negligence in the performance of, Executive’s duties and responsibilities to the Company or any of its affiliates;</w:t>
      </w:r>
    </w:p>
    <w:p>
      <w:pPr>
        <w:spacing w:after="0" w:line="15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indictment or conviction for, any felony or any crime involving dishonesty by</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w:t>
      </w:r>
    </w:p>
    <w:p>
      <w:pPr>
        <w:spacing w:after="0" w:line="15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participation in any fraud against the Company or any of its affiliates;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intentional material damage to any property of the Company or any of its affiliates by Executive;</w:t>
      </w:r>
    </w:p>
    <w:p>
      <w:pPr>
        <w:spacing w:after="0" w:line="188" w:lineRule="exact"/>
        <w:rPr>
          <w:rFonts w:ascii="Times New Roman" w:cs="Times New Roman" w:eastAsia="Times New Roman" w:hAnsi="Times New Roman"/>
          <w:sz w:val="20"/>
          <w:szCs w:val="20"/>
          <w:color w:val="auto"/>
        </w:rPr>
      </w:pPr>
    </w:p>
    <w:p>
      <w:pPr>
        <w:ind w:left="660" w:right="180" w:firstLine="644"/>
        <w:spacing w:after="0" w:line="226" w:lineRule="auto"/>
        <w:tabs>
          <w:tab w:leader="none" w:pos="194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60" w:lineRule="exact"/>
        <w:rPr>
          <w:rFonts w:ascii="Times New Roman" w:cs="Times New Roman" w:eastAsia="Times New Roman" w:hAnsi="Times New Roman"/>
          <w:sz w:val="20"/>
          <w:szCs w:val="20"/>
          <w:color w:val="auto"/>
        </w:rPr>
      </w:pPr>
    </w:p>
    <w:p>
      <w:pPr>
        <w:jc w:val="both"/>
        <w:ind w:left="660" w:right="200" w:firstLine="644"/>
        <w:spacing w:after="0" w:line="226" w:lineRule="auto"/>
        <w:tabs>
          <w:tab w:leader="none" w:pos="194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60" w:lineRule="exact"/>
        <w:rPr>
          <w:rFonts w:ascii="Times New Roman" w:cs="Times New Roman" w:eastAsia="Times New Roman" w:hAnsi="Times New Roman"/>
          <w:sz w:val="20"/>
          <w:szCs w:val="20"/>
          <w:color w:val="auto"/>
        </w:rPr>
      </w:pPr>
    </w:p>
    <w:p>
      <w:pPr>
        <w:ind w:right="40" w:firstLine="656"/>
        <w:spacing w:after="0" w:line="233"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have the meaning set forth in the version of the Selecta Biosciences, Inc. 2016 Incentive Award Plan in effect on the Effective Date.</w:t>
      </w:r>
    </w:p>
    <w:p>
      <w:pPr>
        <w:spacing w:after="0" w:line="15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Internal Revenue Code of 1986, as amended, and the regulations and guidance promulgated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53" w:lineRule="exact"/>
        <w:rPr>
          <w:rFonts w:ascii="Times New Roman" w:cs="Times New Roman" w:eastAsia="Times New Roman" w:hAnsi="Times New Roman"/>
          <w:sz w:val="20"/>
          <w:szCs w:val="20"/>
          <w:color w:val="auto"/>
        </w:rPr>
      </w:pPr>
    </w:p>
    <w:p>
      <w:pPr>
        <w:ind w:firstLine="656"/>
        <w:spacing w:after="0" w:line="230"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 – (vi)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48" w:lineRule="exact"/>
        <w:rPr>
          <w:rFonts w:ascii="Times New Roman" w:cs="Times New Roman" w:eastAsia="Times New Roman" w:hAnsi="Times New Roman"/>
          <w:sz w:val="20"/>
          <w:szCs w:val="20"/>
          <w:color w:val="auto"/>
        </w:rPr>
      </w:pPr>
    </w:p>
    <w:p>
      <w:pPr>
        <w:ind w:right="20" w:firstLine="656"/>
        <w:spacing w:after="0" w:line="212"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8" w:lineRule="exact"/>
        <w:rPr>
          <w:rFonts w:ascii="Times New Roman" w:cs="Times New Roman" w:eastAsia="Times New Roman" w:hAnsi="Times New Roman"/>
          <w:sz w:val="20"/>
          <w:szCs w:val="20"/>
          <w:color w:val="auto"/>
        </w:rPr>
      </w:pPr>
    </w:p>
    <w:p>
      <w:pPr>
        <w:jc w:val="both"/>
        <w:ind w:right="20" w:firstLine="656"/>
        <w:spacing w:after="0" w:line="226" w:lineRule="auto"/>
        <w:tabs>
          <w:tab w:leader="none" w:pos="12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399"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applicable event in writing: (i) a material reduction in Executive’s Annual Base Salary or Target Bonus, (ii) a material diminution in</w:t>
      </w:r>
    </w:p>
    <w:p>
      <w:pPr>
        <w:spacing w:after="0" w:line="215" w:lineRule="auto"/>
        <w:rPr>
          <w:sz w:val="20"/>
          <w:szCs w:val="20"/>
          <w:color w:val="auto"/>
        </w:rPr>
      </w:pPr>
      <w:r>
        <w:rPr>
          <w:rFonts w:ascii="Times New Roman" w:cs="Times New Roman" w:eastAsia="Times New Roman" w:hAnsi="Times New Roman"/>
          <w:sz w:val="19"/>
          <w:szCs w:val="19"/>
          <w:color w:val="auto"/>
        </w:rPr>
        <w:t>Executive’s authority, title or duties or areas of responsibility, (iii) the relocation of Executive’s primary office to a location more than 40 miles from the Boston metropolitan area (other than a relocation to a location within 40 miles of his primary residence in New Jersey), or (iv)</w:t>
      </w:r>
    </w:p>
    <w:p>
      <w:pPr>
        <w:spacing w:after="0" w:line="211" w:lineRule="auto"/>
        <w:rPr>
          <w:sz w:val="20"/>
          <w:szCs w:val="20"/>
          <w:color w:val="auto"/>
        </w:rPr>
      </w:pPr>
      <w:r>
        <w:rPr>
          <w:rFonts w:ascii="Times New Roman" w:cs="Times New Roman" w:eastAsia="Times New Roman" w:hAnsi="Times New Roman"/>
          <w:sz w:val="20"/>
          <w:szCs w:val="20"/>
          <w:color w:val="auto"/>
        </w:rPr>
        <w:t>a material breach by the Company of this Agreement or any other written agreement with Executive. Notwithstanding the foregoing, no</w:t>
      </w:r>
    </w:p>
    <w:p>
      <w:pPr>
        <w:ind w:right="120"/>
        <w:spacing w:after="0" w:line="215" w:lineRule="auto"/>
        <w:rPr>
          <w:sz w:val="20"/>
          <w:szCs w:val="20"/>
          <w:color w:val="auto"/>
        </w:rPr>
      </w:pPr>
      <w:r>
        <w:rPr>
          <w:rFonts w:ascii="Times New Roman" w:cs="Times New Roman" w:eastAsia="Times New Roman" w:hAnsi="Times New Roman"/>
          <w:sz w:val="19"/>
          <w:szCs w:val="19"/>
          <w:color w:val="auto"/>
        </w:rPr>
        <w:t>Good Reason will have occurred unless and until Executive has: (a) provided the Company, within 60 days of Executive’s knowledge of the occurrence of the facts and circumstances underlying the Good Reason event, written-notice stating with specificity the applicable facts and</w:t>
      </w:r>
    </w:p>
    <w:p>
      <w:pPr>
        <w:ind w:right="120"/>
        <w:spacing w:after="0" w:line="228" w:lineRule="auto"/>
        <w:rPr>
          <w:sz w:val="20"/>
          <w:szCs w:val="20"/>
          <w:color w:val="auto"/>
        </w:rPr>
      </w:pPr>
      <w:r>
        <w:rPr>
          <w:rFonts w:ascii="Times New Roman" w:cs="Times New Roman" w:eastAsia="Times New Roman" w:hAnsi="Times New Roman"/>
          <w:sz w:val="20"/>
          <w:szCs w:val="20"/>
          <w:color w:val="auto"/>
        </w:rPr>
        <w:t>circumstances underlying such finding of Good Reason, and (b) provided the Company with an opportunity to cure the same within 30 days after the receipt of such notice.</w:t>
      </w:r>
    </w:p>
    <w:p>
      <w:pPr>
        <w:spacing w:after="0" w:line="158"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firstLine="656"/>
        <w:spacing w:after="0" w:line="212" w:lineRule="auto"/>
        <w:tabs>
          <w:tab w:leader="none" w:pos="128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hereof,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in part)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the Total Payments shall be reduced (in the order provided in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4" w:lineRule="exact"/>
        <w:rPr>
          <w:rFonts w:ascii="Times New Roman" w:cs="Times New Roman" w:eastAsia="Times New Roman" w:hAnsi="Times New Roman"/>
          <w:sz w:val="20"/>
          <w:szCs w:val="20"/>
          <w:color w:val="auto"/>
        </w:rPr>
      </w:pPr>
    </w:p>
    <w:p>
      <w:pPr>
        <w:ind w:right="60" w:firstLine="656"/>
        <w:spacing w:after="0" w:line="218" w:lineRule="auto"/>
        <w:tabs>
          <w:tab w:leader="none" w:pos="128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0" w:lineRule="exact"/>
        <w:rPr>
          <w:rFonts w:ascii="Times New Roman" w:cs="Times New Roman" w:eastAsia="Times New Roman" w:hAnsi="Times New Roman"/>
          <w:sz w:val="20"/>
          <w:szCs w:val="20"/>
          <w:color w:val="auto"/>
        </w:rPr>
      </w:pPr>
    </w:p>
    <w:p>
      <w:pPr>
        <w:ind w:right="40" w:firstLine="656"/>
        <w:spacing w:after="0" w:line="215" w:lineRule="auto"/>
        <w:tabs>
          <w:tab w:leader="none" w:pos="128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select an accounting firm or consulting group with experience in performing calculations regarding the applicability of Section 280G of the Code and the Excise Tax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xml:space="preserve">”) to make determinations regarding the application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47" w:lineRule="exact"/>
        <w:rPr>
          <w:rFonts w:ascii="Times New Roman" w:cs="Times New Roman" w:eastAsia="Times New Roman" w:hAnsi="Times New Roman"/>
          <w:sz w:val="20"/>
          <w:szCs w:val="20"/>
          <w:color w:val="auto"/>
        </w:rPr>
      </w:pPr>
    </w:p>
    <w:p>
      <w:pPr>
        <w:ind w:right="60" w:firstLine="656"/>
        <w:spacing w:after="0" w:line="220" w:lineRule="auto"/>
        <w:tabs>
          <w:tab w:leader="none" w:pos="128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Executive incurs legal fees or other expenses (including expert witness and accounting fees) in an effort to determine the applicability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establish entitlement to or obtain any portion of the Total Payments that have been reduced under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(collectively, “Legal and Other Expenses”), Executive shall be entitled to payment of or reimbursement for such Legal and Other Expenses in accordance with this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xml:space="preserve">. Subject to Sections </w:t>
      </w:r>
      <w:r>
        <w:rPr>
          <w:rFonts w:ascii="Times New Roman" w:cs="Times New Roman" w:eastAsia="Times New Roman" w:hAnsi="Times New Roman"/>
          <w:sz w:val="20"/>
          <w:szCs w:val="20"/>
          <w:u w:val="single" w:color="auto"/>
          <w:color w:val="auto"/>
        </w:rPr>
        <w:t>9(1)(iv)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9(m)</w:t>
      </w:r>
      <w:r>
        <w:rPr>
          <w:rFonts w:ascii="Times New Roman" w:cs="Times New Roman" w:eastAsia="Times New Roman" w:hAnsi="Times New Roman"/>
          <w:sz w:val="20"/>
          <w:szCs w:val="20"/>
          <w:color w:val="auto"/>
        </w:rPr>
        <w:t xml:space="preserve"> and the other provisions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Company will reimburse all Legal and Other Expenses on a monthly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394"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basis reasonably promptly after presentation of Executive’s written request for reimbursement accompanied by evidence reasonably</w:t>
      </w:r>
    </w:p>
    <w:p>
      <w:pPr>
        <w:ind w:right="200"/>
        <w:spacing w:after="0" w:line="215" w:lineRule="auto"/>
        <w:rPr>
          <w:sz w:val="20"/>
          <w:szCs w:val="20"/>
          <w:color w:val="auto"/>
        </w:rPr>
      </w:pPr>
      <w:r>
        <w:rPr>
          <w:rFonts w:ascii="Times New Roman" w:cs="Times New Roman" w:eastAsia="Times New Roman" w:hAnsi="Times New Roman"/>
          <w:sz w:val="19"/>
          <w:szCs w:val="19"/>
          <w:color w:val="auto"/>
        </w:rPr>
        <w:t>acceptable to the Company that such Legal and Other Expenses were incurred. If the Company establishes before a court of competent jurisdiction that Executive had no reasonable basis for a claim made by Executive hereunder, or acted in bad faith, no further payment of or</w:t>
      </w:r>
    </w:p>
    <w:p>
      <w:pPr>
        <w:ind w:right="400"/>
        <w:spacing w:after="0" w:line="228" w:lineRule="auto"/>
        <w:rPr>
          <w:sz w:val="20"/>
          <w:szCs w:val="20"/>
          <w:color w:val="auto"/>
        </w:rPr>
      </w:pPr>
      <w:r>
        <w:rPr>
          <w:rFonts w:ascii="Times New Roman" w:cs="Times New Roman" w:eastAsia="Times New Roman" w:hAnsi="Times New Roman"/>
          <w:sz w:val="20"/>
          <w:szCs w:val="20"/>
          <w:color w:val="auto"/>
        </w:rPr>
        <w:t>reimbursement for Legal and Other Expenses shall be due to Executive in respect of such claim, and Executive shall refund any amounts previously paid or reimbursed hereunder with respect to such claim.</w:t>
      </w:r>
    </w:p>
    <w:p>
      <w:pPr>
        <w:spacing w:after="0" w:line="149" w:lineRule="exact"/>
        <w:rPr>
          <w:sz w:val="20"/>
          <w:szCs w:val="20"/>
          <w:color w:val="auto"/>
        </w:rPr>
      </w:pPr>
    </w:p>
    <w:p>
      <w:pPr>
        <w:ind w:right="60" w:firstLine="656"/>
        <w:spacing w:after="0" w:line="222" w:lineRule="auto"/>
        <w:tabs>
          <w:tab w:leader="none" w:pos="128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7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8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61" w:lineRule="exact"/>
        <w:rPr>
          <w:rFonts w:ascii="Times New Roman" w:cs="Times New Roman" w:eastAsia="Times New Roman" w:hAnsi="Times New Roman"/>
          <w:sz w:val="20"/>
          <w:szCs w:val="20"/>
          <w:color w:val="auto"/>
        </w:rPr>
      </w:pPr>
    </w:p>
    <w:p>
      <w:pPr>
        <w:ind w:right="260" w:firstLine="656"/>
        <w:spacing w:after="0" w:line="233" w:lineRule="auto"/>
        <w:tabs>
          <w:tab w:leader="none" w:pos="128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0" w:lineRule="exact"/>
        <w:rPr>
          <w:rFonts w:ascii="Times New Roman" w:cs="Times New Roman" w:eastAsia="Times New Roman" w:hAnsi="Times New Roman"/>
          <w:sz w:val="20"/>
          <w:szCs w:val="20"/>
          <w:color w:val="auto"/>
        </w:rPr>
      </w:pPr>
    </w:p>
    <w:p>
      <w:pPr>
        <w:ind w:right="20" w:firstLine="656"/>
        <w:spacing w:after="0" w:line="226" w:lineRule="auto"/>
        <w:tabs>
          <w:tab w:leader="none" w:pos="128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General Counsel of the Company at the Company’s headquarters,</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17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188" w:lineRule="exact"/>
        <w:rPr>
          <w:rFonts w:ascii="Times New Roman" w:cs="Times New Roman" w:eastAsia="Times New Roman" w:hAnsi="Times New Roman"/>
          <w:sz w:val="20"/>
          <w:szCs w:val="20"/>
          <w:color w:val="auto"/>
        </w:rPr>
      </w:pPr>
    </w:p>
    <w:p>
      <w:pPr>
        <w:jc w:val="both"/>
        <w:ind w:right="100" w:firstLine="656"/>
        <w:spacing w:after="0" w:line="226" w:lineRule="auto"/>
        <w:tabs>
          <w:tab w:leader="none" w:pos="128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60" w:lineRule="exact"/>
        <w:rPr>
          <w:rFonts w:ascii="Times New Roman" w:cs="Times New Roman" w:eastAsia="Times New Roman" w:hAnsi="Times New Roman"/>
          <w:sz w:val="20"/>
          <w:szCs w:val="20"/>
          <w:color w:val="auto"/>
        </w:rPr>
      </w:pPr>
    </w:p>
    <w:p>
      <w:pPr>
        <w:ind w:right="40" w:firstLine="656"/>
        <w:spacing w:after="0" w:line="216" w:lineRule="auto"/>
        <w:tabs>
          <w:tab w:leader="none" w:pos="128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The terms of this Agreement, the Restrictive Covenant Agreement incorporated herein by reference as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2" w:lineRule="exact"/>
        <w:rPr>
          <w:rFonts w:ascii="Times New Roman" w:cs="Times New Roman" w:eastAsia="Times New Roman" w:hAnsi="Times New Roman"/>
          <w:sz w:val="20"/>
          <w:szCs w:val="20"/>
          <w:color w:val="auto"/>
        </w:rPr>
      </w:pPr>
    </w:p>
    <w:p>
      <w:pPr>
        <w:ind w:right="40" w:firstLine="656"/>
        <w:spacing w:after="0"/>
        <w:tabs>
          <w:tab w:leader="none" w:pos="1291"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Parties acknowledge that they have or will enter into an Indemnification Agreement in substantially the form attached as Exhibit C 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144" w:name="page145"/>
    <w:bookmarkEnd w:id="144"/>
    <w:p>
      <w:pPr>
        <w:ind w:left="-220" w:right="40" w:firstLine="656"/>
        <w:spacing w:after="0" w:line="216" w:lineRule="auto"/>
        <w:tabs>
          <w:tab w:leader="none" w:pos="106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62" w:lineRule="exact"/>
        <w:rPr>
          <w:rFonts w:ascii="Times New Roman" w:cs="Times New Roman" w:eastAsia="Times New Roman" w:hAnsi="Times New Roman"/>
          <w:sz w:val="20"/>
          <w:szCs w:val="20"/>
          <w:color w:val="auto"/>
        </w:rPr>
      </w:pPr>
    </w:p>
    <w:p>
      <w:pPr>
        <w:ind w:left="-220" w:right="60" w:firstLine="656"/>
        <w:spacing w:after="0" w:line="226" w:lineRule="auto"/>
        <w:tabs>
          <w:tab w:leader="none" w:pos="106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Inconsistent Actions</w:t>
      </w:r>
      <w:r>
        <w:rPr>
          <w:rFonts w:ascii="Times New Roman" w:cs="Times New Roman" w:eastAsia="Times New Roman" w:hAnsi="Times New Roman"/>
          <w:sz w:val="20"/>
          <w:szCs w:val="20"/>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60" w:lineRule="exact"/>
        <w:rPr>
          <w:rFonts w:ascii="Times New Roman" w:cs="Times New Roman" w:eastAsia="Times New Roman" w:hAnsi="Times New Roman"/>
          <w:sz w:val="20"/>
          <w:szCs w:val="20"/>
          <w:color w:val="auto"/>
        </w:rPr>
      </w:pPr>
    </w:p>
    <w:p>
      <w:pPr>
        <w:ind w:left="-220" w:right="20" w:firstLine="656"/>
        <w:spacing w:after="0" w:line="212" w:lineRule="auto"/>
        <w:tabs>
          <w:tab w:leader="none" w:pos="107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69" w:lineRule="exact"/>
        <w:rPr>
          <w:rFonts w:ascii="Times New Roman" w:cs="Times New Roman" w:eastAsia="Times New Roman" w:hAnsi="Times New Roman"/>
          <w:sz w:val="20"/>
          <w:szCs w:val="20"/>
          <w:color w:val="auto"/>
        </w:rPr>
      </w:pPr>
    </w:p>
    <w:p>
      <w:pPr>
        <w:ind w:left="-220" w:firstLine="656"/>
        <w:spacing w:after="0" w:line="216" w:lineRule="auto"/>
        <w:tabs>
          <w:tab w:leader="none" w:pos="107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2" w:lineRule="exact"/>
        <w:rPr>
          <w:rFonts w:ascii="Times New Roman" w:cs="Times New Roman" w:eastAsia="Times New Roman" w:hAnsi="Times New Roman"/>
          <w:sz w:val="20"/>
          <w:szCs w:val="20"/>
          <w:color w:val="auto"/>
        </w:rPr>
      </w:pPr>
    </w:p>
    <w:p>
      <w:pPr>
        <w:ind w:left="-220" w:right="100" w:firstLine="656"/>
        <w:spacing w:after="0" w:line="226" w:lineRule="auto"/>
        <w:tabs>
          <w:tab w:leader="none" w:pos="106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0" w:lineRule="exact"/>
        <w:rPr>
          <w:rFonts w:ascii="Times New Roman" w:cs="Times New Roman" w:eastAsia="Times New Roman" w:hAnsi="Times New Roman"/>
          <w:sz w:val="20"/>
          <w:szCs w:val="20"/>
          <w:color w:val="auto"/>
        </w:rPr>
      </w:pPr>
    </w:p>
    <w:p>
      <w:pPr>
        <w:ind w:left="1080" w:hanging="644"/>
        <w:spacing w:after="0"/>
        <w:tabs>
          <w:tab w:leader="none" w:pos="10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ind w:left="440" w:right="120" w:firstLine="644"/>
        <w:spacing w:after="0" w:line="232" w:lineRule="auto"/>
        <w:tabs>
          <w:tab w:leader="none" w:pos="173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 exempt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Section 409A and, accordingly, to the maximum extent permitted, this Agreement shall be interpreted to be in compliance therewith.</w:t>
      </w:r>
    </w:p>
    <w:p>
      <w:pPr>
        <w:spacing w:after="0" w:line="143" w:lineRule="exact"/>
        <w:rPr>
          <w:rFonts w:ascii="Times New Roman" w:cs="Times New Roman" w:eastAsia="Times New Roman" w:hAnsi="Times New Roman"/>
          <w:sz w:val="20"/>
          <w:szCs w:val="20"/>
          <w:color w:val="auto"/>
        </w:rPr>
      </w:pPr>
    </w:p>
    <w:p>
      <w:pPr>
        <w:ind w:left="440" w:right="140" w:firstLine="644"/>
        <w:spacing w:after="0" w:line="223" w:lineRule="auto"/>
        <w:tabs>
          <w:tab w:leader="none" w:pos="173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For purposes of any compensation or benefits payable to Executive under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references to “termination of employment” and correlative phrases shall be construed to require a “separation from service” (as defined in Section 1.409A-1(h) of the Treasury regulations after giving effect to the presumptions contained therein) (a “</w:t>
      </w:r>
      <w:r>
        <w:rPr>
          <w:rFonts w:ascii="Times New Roman" w:cs="Times New Roman" w:eastAsia="Times New Roman" w:hAnsi="Times New Roman"/>
          <w:sz w:val="20"/>
          <w:szCs w:val="20"/>
          <w:u w:val="single" w:color="auto"/>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from Service</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left="440" w:right="620" w:firstLine="644"/>
        <w:spacing w:after="0" w:line="235" w:lineRule="auto"/>
        <w:tabs>
          <w:tab w:leader="none" w:pos="158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399"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0"/>
          <w:szCs w:val="20"/>
          <w:color w:val="auto"/>
        </w:rPr>
        <w:t>Service to be a “specified employee” for purposes of Section 409A, to the extent delayed commencement of any portion of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benefits to which Executive is entitled under this Agreement is required in order to avoid a prohibited distribution under Section 409A, such portion of Executive’s benefits shall not be provided to Executive prior to the earlier of (i) the expiration of the six-month</w:t>
      </w:r>
    </w:p>
    <w:p>
      <w:pPr>
        <w:ind w:left="660"/>
        <w:spacing w:after="0" w:line="222" w:lineRule="auto"/>
        <w:rPr>
          <w:sz w:val="20"/>
          <w:szCs w:val="20"/>
          <w:color w:val="auto"/>
        </w:rPr>
      </w:pPr>
      <w:r>
        <w:rPr>
          <w:rFonts w:ascii="Times New Roman" w:cs="Times New Roman" w:eastAsia="Times New Roman" w:hAnsi="Times New Roman"/>
          <w:sz w:val="19"/>
          <w:szCs w:val="19"/>
          <w:color w:val="auto"/>
        </w:rPr>
        <w:t>period measured from the date of Executive’s Separation from Service with the Company or (ii) the date of Executive’s death. Upon</w:t>
      </w: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the first business day following the expiration of the applicable Section 409A period, all payments deferred pursuant to the preceding sentence shall be paid in a lump sum to Executive (or Executive’s estate or beneficiaries), and any remaining payments due to</w:t>
      </w:r>
    </w:p>
    <w:p>
      <w:pPr>
        <w:ind w:left="660"/>
        <w:spacing w:after="0"/>
        <w:rPr>
          <w:sz w:val="20"/>
          <w:szCs w:val="20"/>
          <w:color w:val="auto"/>
        </w:rPr>
      </w:pPr>
      <w:r>
        <w:rPr>
          <w:rFonts w:ascii="Times New Roman" w:cs="Times New Roman" w:eastAsia="Times New Roman" w:hAnsi="Times New Roman"/>
          <w:sz w:val="20"/>
          <w:szCs w:val="20"/>
          <w:color w:val="auto"/>
        </w:rPr>
        <w:t>Executive under this Agreement shall be paid as otherwise provided herein.</w:t>
      </w:r>
    </w:p>
    <w:p>
      <w:pPr>
        <w:spacing w:after="0" w:line="163" w:lineRule="exact"/>
        <w:rPr>
          <w:sz w:val="20"/>
          <w:szCs w:val="20"/>
          <w:color w:val="auto"/>
        </w:rPr>
      </w:pPr>
    </w:p>
    <w:p>
      <w:pPr>
        <w:ind w:left="660" w:right="20" w:firstLine="644"/>
        <w:spacing w:after="0" w:line="218" w:lineRule="auto"/>
        <w:tabs>
          <w:tab w:leader="none" w:pos="1791"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7" w:lineRule="exact"/>
        <w:rPr>
          <w:rFonts w:ascii="Times New Roman" w:cs="Times New Roman" w:eastAsia="Times New Roman" w:hAnsi="Times New Roman"/>
          <w:sz w:val="20"/>
          <w:szCs w:val="20"/>
          <w:color w:val="auto"/>
        </w:rPr>
      </w:pPr>
    </w:p>
    <w:p>
      <w:pPr>
        <w:ind w:left="660" w:right="60" w:firstLine="644"/>
        <w:spacing w:after="0" w:line="216" w:lineRule="auto"/>
        <w:tabs>
          <w:tab w:leader="none" w:pos="1736"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 limitation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61" w:lineRule="exact"/>
        <w:rPr>
          <w:rFonts w:ascii="Times New Roman" w:cs="Times New Roman" w:eastAsia="Times New Roman" w:hAnsi="Times New Roman"/>
          <w:sz w:val="20"/>
          <w:szCs w:val="20"/>
          <w:color w:val="auto"/>
        </w:rPr>
      </w:pPr>
    </w:p>
    <w:p>
      <w:pPr>
        <w:ind w:right="220" w:firstLine="656"/>
        <w:spacing w:after="0" w:line="233" w:lineRule="auto"/>
        <w:tabs>
          <w:tab w:leader="none" w:pos="118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that either Party prevails in a dispute with the other Party concerning the rights and obligations hereunder, the non-prevailing Party shall pay the prevailing Party’s reasonable attorneys’ fees and costs.</w:t>
      </w:r>
    </w:p>
    <w:p>
      <w:pPr>
        <w:spacing w:after="0" w:line="17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w:t>
      </w:r>
    </w:p>
    <w:p>
      <w:pPr>
        <w:ind w:right="240"/>
        <w:spacing w:after="0" w:line="221" w:lineRule="auto"/>
        <w:rPr>
          <w:sz w:val="20"/>
          <w:szCs w:val="20"/>
          <w:color w:val="auto"/>
        </w:rPr>
      </w:pPr>
      <w:r>
        <w:rPr>
          <w:rFonts w:ascii="Times New Roman" w:cs="Times New Roman" w:eastAsia="Times New Roman" w:hAnsi="Times New Roman"/>
          <w:sz w:val="20"/>
          <w:szCs w:val="20"/>
          <w:color w:val="auto"/>
        </w:rPr>
        <w:t>reliance upon any representations or promises made by the Company other than those contained in writing herein, and has entered into this Agreement freely based on Executive’s own judgment.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4" w:right="339" w:bottom="1440" w:gutter="0" w:footer="0" w:header="0"/>
        </w:sectPr>
      </w:pPr>
    </w:p>
    <w:bookmarkStart w:id="146" w:name="page147"/>
    <w:bookmarkEnd w:id="146"/>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Kristen Baldwin Ballinger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-10795</wp:posOffset>
            </wp:positionV>
            <wp:extent cx="16332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6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Name: Kristen Baldwin Ballinger</w:t>
      </w:r>
    </w:p>
    <w:p>
      <w:pPr>
        <w:spacing w:after="0" w:line="6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3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-10795</wp:posOffset>
            </wp:positionV>
            <wp:extent cx="1304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4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Blaine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9919"/>
          </w:cols>
          <w:pgMar w:left="540" w:top="1440" w:right="1440" w:bottom="1440" w:gutter="0" w:footer="0" w:header="0"/>
        </w:sectPr>
      </w:pPr>
    </w:p>
    <w:bookmarkStart w:id="147" w:name="page148"/>
    <w:bookmarkEnd w:id="147"/>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179" w:lineRule="exact"/>
        <w:rPr>
          <w:sz w:val="20"/>
          <w:szCs w:val="20"/>
          <w:color w:val="auto"/>
        </w:rPr>
      </w:pPr>
    </w:p>
    <w:p>
      <w:pPr>
        <w:ind w:firstLine="383"/>
        <w:spacing w:after="0" w:line="230"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Blaine Davis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_____________, 2022 (the</w:t>
      </w:r>
    </w:p>
    <w:p>
      <w:pPr>
        <w:spacing w:after="0"/>
        <w:rPr>
          <w:sz w:val="20"/>
          <w:szCs w:val="20"/>
          <w:color w:val="auto"/>
        </w:rPr>
      </w:pPr>
      <w:r>
        <w:rPr>
          <w:rFonts w:ascii="Times New Roman" w:cs="Times New Roman" w:eastAsia="Times New Roman" w:hAnsi="Times New Roman"/>
          <w:sz w:val="20"/>
          <w:szCs w:val="20"/>
          <w:color w:val="auto"/>
        </w:rPr>
        <w:t>“Employment Agreement”); and</w:t>
      </w:r>
    </w:p>
    <w:p>
      <w:pPr>
        <w:spacing w:after="0" w:line="59" w:lineRule="exact"/>
        <w:rPr>
          <w:sz w:val="20"/>
          <w:szCs w:val="20"/>
          <w:color w:val="auto"/>
        </w:rPr>
      </w:pPr>
    </w:p>
    <w:p>
      <w:pPr>
        <w:ind w:right="180" w:firstLine="383"/>
        <w:spacing w:after="0" w:line="227" w:lineRule="auto"/>
        <w:rPr>
          <w:sz w:val="20"/>
          <w:szCs w:val="20"/>
          <w:color w:val="auto"/>
        </w:rPr>
      </w:pPr>
      <w:r>
        <w:rPr>
          <w:rFonts w:ascii="Times New Roman" w:cs="Times New Roman" w:eastAsia="Times New Roman" w:hAnsi="Times New Roman"/>
          <w:sz w:val="19"/>
          <w:szCs w:val="19"/>
          <w:color w:val="auto"/>
        </w:rPr>
        <w:t>WHEREAS, in connection with Executive’s termination of employment with the Company or a subsidiary or affiliate of the Company effective ________, 2022, the Parties wish to resolve any and all disputes, claims, complaints, grievances, charges, actions, petitions, and</w:t>
      </w:r>
    </w:p>
    <w:p>
      <w:pPr>
        <w:spacing w:after="0" w:line="222" w:lineRule="auto"/>
        <w:rPr>
          <w:sz w:val="20"/>
          <w:szCs w:val="20"/>
          <w:color w:val="auto"/>
        </w:rPr>
      </w:pPr>
      <w:r>
        <w:rPr>
          <w:rFonts w:ascii="Times New Roman" w:cs="Times New Roman" w:eastAsia="Times New Roman" w:hAnsi="Times New Roman"/>
          <w:sz w:val="19"/>
          <w:szCs w:val="19"/>
          <w:color w:val="auto"/>
        </w:rPr>
        <w:t>demands that Executive may have against the Company and any of the Releasees as defined below, including, but not limited to, any and all</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claims arising out of or in any way related to Executive’s employment with or separation from the Company or its subsidiaries or affiliates but, for the avoidance of doubt, nothing herein will be deemed to release any rights or remedies in connection with Executive’s ownership of</w:t>
      </w:r>
    </w:p>
    <w:p>
      <w:pPr>
        <w:spacing w:after="0" w:line="211" w:lineRule="auto"/>
        <w:rPr>
          <w:sz w:val="20"/>
          <w:szCs w:val="20"/>
          <w:color w:val="auto"/>
        </w:rPr>
      </w:pPr>
      <w:r>
        <w:rPr>
          <w:rFonts w:ascii="Times New Roman" w:cs="Times New Roman" w:eastAsia="Times New Roman" w:hAnsi="Times New Roman"/>
          <w:sz w:val="20"/>
          <w:szCs w:val="20"/>
          <w:color w:val="auto"/>
        </w:rPr>
        <w:t>vested equity securities of the Company, vested benefits or Executive’s right to defense or indemnification by the Company or any of its</w:t>
      </w:r>
    </w:p>
    <w:p>
      <w:pPr>
        <w:ind w:right="240"/>
        <w:spacing w:after="0" w:line="215" w:lineRule="auto"/>
        <w:rPr>
          <w:sz w:val="20"/>
          <w:szCs w:val="20"/>
          <w:color w:val="auto"/>
        </w:rPr>
      </w:pPr>
      <w:r>
        <w:rPr>
          <w:rFonts w:ascii="Times New Roman" w:cs="Times New Roman" w:eastAsia="Times New Roman" w:hAnsi="Times New Roman"/>
          <w:sz w:val="19"/>
          <w:szCs w:val="19"/>
          <w:color w:val="auto"/>
        </w:rPr>
        <w:t>affiliates pursuant to contract or applicable law (collectively, the “Retained Claims”). The Company agrees not to contest Executive’s application for unemployment benefits; provided that nothing herein shall prohibit the Company from responding truthfully to requests for</w:t>
      </w:r>
    </w:p>
    <w:p>
      <w:pPr>
        <w:spacing w:after="0"/>
        <w:rPr>
          <w:sz w:val="20"/>
          <w:szCs w:val="20"/>
          <w:color w:val="auto"/>
        </w:rPr>
      </w:pPr>
      <w:r>
        <w:rPr>
          <w:rFonts w:ascii="Times New Roman" w:cs="Times New Roman" w:eastAsia="Times New Roman" w:hAnsi="Times New Roman"/>
          <w:sz w:val="20"/>
          <w:szCs w:val="20"/>
          <w:color w:val="auto"/>
        </w:rPr>
        <w:t>information from, or require the Company to make any false or misleading statements to, any governmental authority.</w:t>
      </w:r>
    </w:p>
    <w:p>
      <w:pPr>
        <w:spacing w:after="0" w:line="59" w:lineRule="exact"/>
        <w:rPr>
          <w:sz w:val="20"/>
          <w:szCs w:val="20"/>
          <w:color w:val="auto"/>
        </w:rPr>
      </w:pPr>
    </w:p>
    <w:p>
      <w:pPr>
        <w:ind w:right="240" w:firstLine="387"/>
        <w:spacing w:after="0" w:line="227" w:lineRule="auto"/>
        <w:rPr>
          <w:sz w:val="20"/>
          <w:szCs w:val="20"/>
          <w:color w:val="auto"/>
        </w:rPr>
      </w:pPr>
      <w:r>
        <w:rPr>
          <w:rFonts w:ascii="Times New Roman" w:cs="Times New Roman" w:eastAsia="Times New Roman" w:hAnsi="Times New Roman"/>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w:t>
      </w:r>
    </w:p>
    <w:p>
      <w:pPr>
        <w:spacing w:after="0"/>
        <w:rPr>
          <w:sz w:val="20"/>
          <w:szCs w:val="20"/>
          <w:color w:val="auto"/>
        </w:rPr>
      </w:pPr>
      <w:r>
        <w:rPr>
          <w:rFonts w:ascii="Times New Roman" w:cs="Times New Roman" w:eastAsia="Times New Roman" w:hAnsi="Times New Roman"/>
          <w:sz w:val="20"/>
          <w:szCs w:val="20"/>
          <w:color w:val="auto"/>
        </w:rPr>
        <w:t>consideration of the mutual promises made herein, the Company and Executive hereby agree as follows:</w:t>
      </w:r>
    </w:p>
    <w:p>
      <w:pPr>
        <w:spacing w:after="0" w:line="45" w:lineRule="exact"/>
        <w:rPr>
          <w:sz w:val="20"/>
          <w:szCs w:val="20"/>
          <w:color w:val="auto"/>
        </w:rPr>
      </w:pPr>
    </w:p>
    <w:p>
      <w:pPr>
        <w:ind w:right="340" w:firstLine="206"/>
        <w:spacing w:after="0" w:line="220" w:lineRule="auto"/>
        <w:tabs>
          <w:tab w:leader="none" w:pos="5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41"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w:t>
      </w:r>
    </w:p>
    <w:p>
      <w:pPr>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161" w:lineRule="exact"/>
        <w:rPr>
          <w:rFonts w:ascii="Times New Roman" w:cs="Times New Roman" w:eastAsia="Times New Roman" w:hAnsi="Times New Roman"/>
          <w:sz w:val="20"/>
          <w:szCs w:val="20"/>
          <w:color w:val="auto"/>
        </w:rPr>
      </w:pPr>
    </w:p>
    <w:p>
      <w:pPr>
        <w:ind w:right="40" w:firstLine="404"/>
        <w:spacing w:after="0" w:line="233" w:lineRule="auto"/>
        <w:tabs>
          <w:tab w:leader="none" w:pos="81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60" w:lineRule="exact"/>
        <w:rPr>
          <w:rFonts w:ascii="Times New Roman" w:cs="Times New Roman" w:eastAsia="Times New Roman" w:hAnsi="Times New Roman"/>
          <w:sz w:val="20"/>
          <w:szCs w:val="20"/>
          <w:color w:val="auto"/>
        </w:rPr>
      </w:pPr>
    </w:p>
    <w:p>
      <w:pPr>
        <w:ind w:right="420" w:firstLine="404"/>
        <w:spacing w:after="0" w:line="226" w:lineRule="auto"/>
        <w:tabs>
          <w:tab w:leader="none" w:pos="82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76" w:lineRule="exact"/>
        <w:rPr>
          <w:sz w:val="20"/>
          <w:szCs w:val="20"/>
          <w:color w:val="auto"/>
        </w:rPr>
      </w:pPr>
    </w:p>
    <w:p>
      <w:pPr>
        <w:ind w:right="220" w:firstLine="404"/>
        <w:spacing w:after="0" w:line="220" w:lineRule="auto"/>
        <w:tabs>
          <w:tab w:leader="none" w:pos="81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47" w:lineRule="exact"/>
        <w:rPr>
          <w:rFonts w:ascii="Times New Roman" w:cs="Times New Roman" w:eastAsia="Times New Roman" w:hAnsi="Times New Roman"/>
          <w:sz w:val="20"/>
          <w:szCs w:val="20"/>
          <w:color w:val="auto"/>
        </w:rPr>
      </w:pPr>
    </w:p>
    <w:p>
      <w:pPr>
        <w:ind w:right="40" w:firstLine="404"/>
        <w:spacing w:after="0" w:line="220" w:lineRule="auto"/>
        <w:tabs>
          <w:tab w:leader="none" w:pos="8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60" w:lineRule="exact"/>
        <w:rPr>
          <w:rFonts w:ascii="Times New Roman" w:cs="Times New Roman" w:eastAsia="Times New Roman" w:hAnsi="Times New Roman"/>
          <w:sz w:val="20"/>
          <w:szCs w:val="20"/>
          <w:color w:val="auto"/>
        </w:rPr>
      </w:pPr>
    </w:p>
    <w:p>
      <w:pPr>
        <w:ind w:left="820" w:hanging="416"/>
        <w:spacing w:after="0"/>
        <w:tabs>
          <w:tab w:leader="none" w:pos="8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175" w:lineRule="exact"/>
        <w:rPr>
          <w:rFonts w:ascii="Times New Roman" w:cs="Times New Roman" w:eastAsia="Times New Roman" w:hAnsi="Times New Roman"/>
          <w:sz w:val="20"/>
          <w:szCs w:val="20"/>
          <w:color w:val="auto"/>
        </w:rPr>
      </w:pPr>
    </w:p>
    <w:p>
      <w:pPr>
        <w:ind w:left="840" w:hanging="436"/>
        <w:spacing w:after="0"/>
        <w:tabs>
          <w:tab w:leader="none" w:pos="8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188" w:lineRule="exact"/>
        <w:rPr>
          <w:rFonts w:ascii="Times New Roman" w:cs="Times New Roman" w:eastAsia="Times New Roman" w:hAnsi="Times New Roman"/>
          <w:sz w:val="20"/>
          <w:szCs w:val="20"/>
          <w:color w:val="auto"/>
        </w:rPr>
      </w:pPr>
    </w:p>
    <w:p>
      <w:pPr>
        <w:ind w:right="140" w:firstLine="404"/>
        <w:spacing w:after="0"/>
        <w:tabs>
          <w:tab w:leader="none" w:pos="8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47" w:lineRule="exact"/>
        <w:rPr>
          <w:rFonts w:ascii="Times New Roman" w:cs="Times New Roman" w:eastAsia="Times New Roman" w:hAnsi="Times New Roman"/>
          <w:sz w:val="20"/>
          <w:szCs w:val="20"/>
          <w:color w:val="auto"/>
        </w:rPr>
      </w:pPr>
    </w:p>
    <w:p>
      <w:pPr>
        <w:ind w:right="720" w:firstLine="404"/>
        <w:spacing w:after="0"/>
        <w:tabs>
          <w:tab w:leader="none" w:pos="8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61" w:lineRule="exact"/>
        <w:rPr>
          <w:sz w:val="20"/>
          <w:szCs w:val="20"/>
          <w:color w:val="auto"/>
        </w:rPr>
      </w:pPr>
    </w:p>
    <w:p>
      <w:pPr>
        <w:ind w:left="400"/>
        <w:spacing w:after="0"/>
        <w:tabs>
          <w:tab w:leader="none" w:pos="82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color w:val="auto"/>
        </w:rPr>
        <w:t>any and all claims for attorneys’ fees and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matters released. This release does not release claims that cannot be released as a matter of law, including, but not limited to, Executive’s right to report possible violations of federal law or regulation to any governmental agency or entity in accordance with the provisions of and</w:t>
      </w:r>
    </w:p>
    <w:p>
      <w:pPr>
        <w:spacing w:after="0" w:line="222" w:lineRule="auto"/>
        <w:rPr>
          <w:sz w:val="20"/>
          <w:szCs w:val="20"/>
          <w:color w:val="auto"/>
        </w:rPr>
      </w:pPr>
      <w:r>
        <w:rPr>
          <w:rFonts w:ascii="Times New Roman" w:cs="Times New Roman" w:eastAsia="Times New Roman" w:hAnsi="Times New Roman"/>
          <w:sz w:val="19"/>
          <w:szCs w:val="19"/>
          <w:color w:val="auto"/>
        </w:rPr>
        <w:t>rules promulgated under Section 21F of the Securities Exchange Act of 1934 or Section 806 of the Sarbanes-Oxley Act of 2002, or any other</w:t>
      </w:r>
    </w:p>
    <w:p>
      <w:pPr>
        <w:ind w:right="220"/>
        <w:spacing w:after="0" w:line="215" w:lineRule="auto"/>
        <w:rPr>
          <w:sz w:val="20"/>
          <w:szCs w:val="20"/>
          <w:color w:val="auto"/>
        </w:rPr>
      </w:pPr>
      <w:r>
        <w:rPr>
          <w:rFonts w:ascii="Times New Roman" w:cs="Times New Roman" w:eastAsia="Times New Roman" w:hAnsi="Times New Roman"/>
          <w:sz w:val="19"/>
          <w:szCs w:val="19"/>
          <w:color w:val="auto"/>
        </w:rPr>
        <w:t>whistleblower protection provisions of state or federal law or regulation, Executive’s right to file a charge with or participate in a charge, investigation or proceeding by the Equal Employment Opportunity Commission, or any other local, state, or federal administrative body or</w:t>
      </w:r>
    </w:p>
    <w:p>
      <w:pPr>
        <w:spacing w:after="0" w:line="222" w:lineRule="auto"/>
        <w:rPr>
          <w:sz w:val="20"/>
          <w:szCs w:val="20"/>
          <w:color w:val="auto"/>
        </w:rPr>
      </w:pPr>
      <w:r>
        <w:rPr>
          <w:rFonts w:ascii="Times New Roman" w:cs="Times New Roman" w:eastAsia="Times New Roman" w:hAnsi="Times New Roman"/>
          <w:sz w:val="19"/>
          <w:szCs w:val="19"/>
          <w:color w:val="auto"/>
        </w:rPr>
        <w:t>government agency that is authorized to enforce or administer laws related to employment, against the Company (with the understanding that</w:t>
      </w:r>
    </w:p>
    <w:p>
      <w:pPr>
        <w:spacing w:after="0" w:line="202" w:lineRule="auto"/>
        <w:rPr>
          <w:sz w:val="20"/>
          <w:szCs w:val="20"/>
          <w:color w:val="auto"/>
        </w:rPr>
      </w:pPr>
      <w:r>
        <w:rPr>
          <w:rFonts w:ascii="Times New Roman" w:cs="Times New Roman" w:eastAsia="Times New Roman" w:hAnsi="Times New Roman"/>
          <w:sz w:val="20"/>
          <w:szCs w:val="20"/>
          <w:color w:val="auto"/>
        </w:rPr>
        <w:t>Executive’s release of claims herein bars Executive from recovering monetary or other individual relief from the Company or any Releasee in connection with any charge, investigation or proceeding, or any related complaint or lawsuit, filed by Executive or by anyone else on</w:t>
      </w:r>
    </w:p>
    <w:p>
      <w:pPr>
        <w:spacing w:after="0" w:line="219" w:lineRule="auto"/>
        <w:rPr>
          <w:sz w:val="20"/>
          <w:szCs w:val="20"/>
          <w:color w:val="auto"/>
        </w:rPr>
      </w:pPr>
      <w:r>
        <w:rPr>
          <w:rFonts w:ascii="Times New Roman" w:cs="Times New Roman" w:eastAsia="Times New Roman" w:hAnsi="Times New Roman"/>
          <w:sz w:val="20"/>
          <w:szCs w:val="20"/>
          <w:color w:val="auto"/>
        </w:rPr>
        <w:t>Executive’s behalf before the f</w:t>
      </w:r>
      <w:r>
        <w:rPr>
          <w:rFonts w:ascii="Times New Roman" w:cs="Times New Roman" w:eastAsia="Times New Roman" w:hAnsi="Times New Roman"/>
          <w:sz w:val="21"/>
          <w:szCs w:val="21"/>
          <w:color w:val="auto"/>
        </w:rPr>
        <w:t>ederal Equal Employment Opportunity Commission or a comparable state or local agency</w:t>
      </w:r>
      <w:r>
        <w:rPr>
          <w:rFonts w:ascii="Times New Roman" w:cs="Times New Roman" w:eastAsia="Times New Roman" w:hAnsi="Times New Roman"/>
          <w:sz w:val="20"/>
          <w:szCs w:val="20"/>
          <w:color w:val="auto"/>
        </w:rPr>
        <w:t>), claims for</w:t>
      </w:r>
    </w:p>
    <w:p>
      <w:pPr>
        <w:spacing w:after="0" w:line="211" w:lineRule="auto"/>
        <w:rPr>
          <w:sz w:val="20"/>
          <w:szCs w:val="20"/>
          <w:color w:val="auto"/>
        </w:rPr>
      </w:pPr>
      <w:r>
        <w:rPr>
          <w:rFonts w:ascii="Times New Roman" w:cs="Times New Roman" w:eastAsia="Times New Roman" w:hAnsi="Times New Roman"/>
          <w:sz w:val="20"/>
          <w:szCs w:val="20"/>
          <w:color w:val="auto"/>
        </w:rPr>
        <w:t>unemployment compensation or any state disability insurance benefits pursuant to the terms of applicable state law, claims to continued</w:t>
      </w:r>
    </w:p>
    <w:p>
      <w:pPr>
        <w:ind w:right="580"/>
        <w:spacing w:after="0" w:line="215" w:lineRule="auto"/>
        <w:rPr>
          <w:sz w:val="20"/>
          <w:szCs w:val="20"/>
          <w:color w:val="auto"/>
        </w:rPr>
      </w:pPr>
      <w:r>
        <w:rPr>
          <w:rFonts w:ascii="Times New Roman" w:cs="Times New Roman" w:eastAsia="Times New Roman" w:hAnsi="Times New Roman"/>
          <w:sz w:val="19"/>
          <w:szCs w:val="19"/>
          <w:color w:val="auto"/>
        </w:rPr>
        <w:t>participation in certain of the Company’s group benefit plans pursuant to the terms and conditions of COBRA, claims to any benefit entitlements vested as the date of separation of Executive’s employment, pursuant to written terms of any employee benefit plan of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49" w:lineRule="exact"/>
        <w:rPr>
          <w:sz w:val="20"/>
          <w:szCs w:val="20"/>
          <w:color w:val="auto"/>
        </w:rPr>
      </w:pPr>
    </w:p>
    <w:p>
      <w:pPr>
        <w:ind w:right="20" w:firstLine="206"/>
        <w:spacing w:after="0" w:line="220" w:lineRule="auto"/>
        <w:tabs>
          <w:tab w:leader="none" w:pos="5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anything of value to which Executive was already entitled. Executive further understands and acknowledges that Executive is hereby advised</w:t>
      </w:r>
    </w:p>
    <w:p>
      <w:pPr>
        <w:ind w:right="160"/>
        <w:spacing w:after="0" w:line="192" w:lineRule="auto"/>
        <w:rPr>
          <w:sz w:val="20"/>
          <w:szCs w:val="20"/>
          <w:color w:val="auto"/>
        </w:rPr>
      </w:pPr>
      <w:r>
        <w:rPr>
          <w:rFonts w:ascii="Times New Roman" w:cs="Times New Roman" w:eastAsia="Times New Roman" w:hAnsi="Times New Roman"/>
          <w:sz w:val="19"/>
          <w:szCs w:val="19"/>
          <w:color w:val="auto"/>
        </w:rPr>
        <w:t>by this writing that: (a) Executive should consult with an attorney prior to executing this Agreement; (b) Executive has [21/45]</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days within which to consider this Agreement; (c) Executive has 7 days following Executive’s execution of this Agreement to revoke this Agreement</w:t>
      </w:r>
    </w:p>
    <w:p>
      <w:pPr>
        <w:spacing w:after="0" w:line="213" w:lineRule="auto"/>
        <w:rPr>
          <w:sz w:val="20"/>
          <w:szCs w:val="20"/>
          <w:color w:val="auto"/>
        </w:rPr>
      </w:pPr>
      <w:r>
        <w:rPr>
          <w:rFonts w:ascii="Times New Roman" w:cs="Times New Roman" w:eastAsia="Times New Roman" w:hAnsi="Times New Roman"/>
          <w:sz w:val="20"/>
          <w:szCs w:val="20"/>
          <w:color w:val="auto"/>
        </w:rPr>
        <w:t>pursuant to written notice to the General Counsel of the Company; (d) this Agreement shall not be effective until after the revocation period</w:t>
      </w:r>
    </w:p>
    <w:p>
      <w:pPr>
        <w:ind w:right="120"/>
        <w:spacing w:after="0" w:line="215" w:lineRule="auto"/>
        <w:rPr>
          <w:sz w:val="20"/>
          <w:szCs w:val="20"/>
          <w:color w:val="auto"/>
        </w:rPr>
      </w:pPr>
      <w:r>
        <w:rPr>
          <w:rFonts w:ascii="Times New Roman" w:cs="Times New Roman" w:eastAsia="Times New Roman" w:hAnsi="Times New Roman"/>
          <w:sz w:val="19"/>
          <w:szCs w:val="19"/>
          <w:color w:val="auto"/>
        </w:rPr>
        <w:t>has expired; and (e) nothing in this Agreement prevents or precludes Executive from challenging or seeking a determination in good faith of the validity of this waiver under the ADEA, nor does it impose any condition precedent, penalties, or costs for doing so, unless specifically</w:t>
      </w:r>
    </w:p>
    <w:p>
      <w:pPr>
        <w:spacing w:after="0" w:line="211" w:lineRule="auto"/>
        <w:rPr>
          <w:sz w:val="20"/>
          <w:szCs w:val="20"/>
          <w:color w:val="auto"/>
        </w:rPr>
      </w:pPr>
      <w:r>
        <w:rPr>
          <w:rFonts w:ascii="Times New Roman" w:cs="Times New Roman" w:eastAsia="Times New Roman" w:hAnsi="Times New Roman"/>
          <w:sz w:val="20"/>
          <w:szCs w:val="20"/>
          <w:color w:val="auto"/>
        </w:rPr>
        <w:t>authorized by federal law. In the event Executive signs this Agreement and returns it to the Company in less than the [21/45] day period</w:t>
      </w:r>
    </w:p>
    <w:p>
      <w:pPr>
        <w:ind w:right="540"/>
        <w:spacing w:after="0" w:line="221" w:lineRule="auto"/>
        <w:rPr>
          <w:sz w:val="20"/>
          <w:szCs w:val="20"/>
          <w:color w:val="auto"/>
        </w:rPr>
      </w:pPr>
      <w:r>
        <w:rPr>
          <w:rFonts w:ascii="Times New Roman" w:cs="Times New Roman" w:eastAsia="Times New Roman" w:hAnsi="Times New Roman"/>
          <w:sz w:val="20"/>
          <w:szCs w:val="20"/>
          <w:color w:val="auto"/>
        </w:rPr>
        <w:t>identified above, Executive hereby acknowledges that Executive has freely and voluntarily chosen to waive the time period allotted for considering this Agreement.</w:t>
      </w:r>
    </w:p>
    <w:p>
      <w:pPr>
        <w:spacing w:after="0" w:line="162" w:lineRule="exact"/>
        <w:rPr>
          <w:sz w:val="20"/>
          <w:szCs w:val="20"/>
          <w:color w:val="auto"/>
        </w:rPr>
      </w:pPr>
    </w:p>
    <w:p>
      <w:pPr>
        <w:ind w:firstLine="206"/>
        <w:spacing w:after="0" w:line="226" w:lineRule="auto"/>
        <w:tabs>
          <w:tab w:leader="none" w:pos="54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0" w:lineRule="exact"/>
        <w:rPr>
          <w:rFonts w:ascii="Times New Roman" w:cs="Times New Roman" w:eastAsia="Times New Roman" w:hAnsi="Times New Roman"/>
          <w:sz w:val="20"/>
          <w:szCs w:val="20"/>
          <w:color w:val="auto"/>
        </w:rPr>
      </w:pPr>
    </w:p>
    <w:p>
      <w:pPr>
        <w:ind w:right="340" w:firstLine="206"/>
        <w:spacing w:after="0"/>
        <w:tabs>
          <w:tab w:leader="none" w:pos="54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47"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subject to the provisions of Sections 9(a) and 9(c) of the Employment Agreement.</w:t>
      </w:r>
    </w:p>
    <w:p>
      <w:pPr>
        <w:spacing w:after="0" w:line="188" w:lineRule="exact"/>
        <w:rPr>
          <w:rFonts w:ascii="Times New Roman" w:cs="Times New Roman" w:eastAsia="Times New Roman" w:hAnsi="Times New Roman"/>
          <w:sz w:val="20"/>
          <w:szCs w:val="20"/>
          <w:color w:val="auto"/>
        </w:rPr>
      </w:pPr>
    </w:p>
    <w:p>
      <w:pPr>
        <w:ind w:right="220" w:firstLine="206"/>
        <w:spacing w:after="0" w:line="217" w:lineRule="auto"/>
        <w:tabs>
          <w:tab w:leader="none" w:pos="54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61" w:lineRule="exact"/>
        <w:rPr>
          <w:rFonts w:ascii="Times New Roman" w:cs="Times New Roman" w:eastAsia="Times New Roman" w:hAnsi="Times New Roman"/>
          <w:sz w:val="20"/>
          <w:szCs w:val="20"/>
          <w:color w:val="auto"/>
        </w:rPr>
      </w:pPr>
    </w:p>
    <w:p>
      <w:pPr>
        <w:ind w:right="240" w:firstLine="206"/>
        <w:spacing w:after="0" w:line="224" w:lineRule="auto"/>
        <w:tabs>
          <w:tab w:leader="none" w:pos="544"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2" w:lineRule="exact"/>
        <w:rPr>
          <w:rFonts w:ascii="Times New Roman" w:cs="Times New Roman" w:eastAsia="Times New Roman" w:hAnsi="Times New Roman"/>
          <w:sz w:val="19"/>
          <w:szCs w:val="19"/>
          <w:color w:val="auto"/>
        </w:rPr>
      </w:pPr>
    </w:p>
    <w:p>
      <w:pPr>
        <w:ind w:right="60" w:firstLine="8"/>
        <w:spacing w:after="0" w:line="218" w:lineRule="auto"/>
        <w:tabs>
          <w:tab w:leader="none" w:pos="26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1714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hanging="112"/>
        <w:spacing w:after="0"/>
        <w:tabs>
          <w:tab w:leader="none" w:pos="120"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NTD: To be determined by the Company at the time of separation.</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28" w:lineRule="exact"/>
        <w:rPr>
          <w:sz w:val="20"/>
          <w:szCs w:val="20"/>
          <w:color w:val="auto"/>
        </w:rPr>
      </w:pPr>
    </w:p>
    <w:p>
      <w:pPr>
        <w:spacing w:after="0"/>
        <w:tabs>
          <w:tab w:leader="none" w:pos="940" w:val="left"/>
          <w:tab w:leader="none" w:pos="56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______</w:t>
      </w:r>
      <w:r>
        <w:rPr>
          <w:sz w:val="20"/>
          <w:szCs w:val="20"/>
          <w:color w:val="auto"/>
        </w:rPr>
        <w:tab/>
      </w:r>
      <w:r>
        <w:rPr>
          <w:rFonts w:ascii="Times New Roman" w:cs="Times New Roman" w:eastAsia="Times New Roman" w:hAnsi="Times New Roman"/>
          <w:sz w:val="21"/>
          <w:szCs w:val="21"/>
          <w:color w:val="auto"/>
        </w:rPr>
        <w:t>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-6985</wp:posOffset>
            </wp:positionV>
            <wp:extent cx="628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-144145</wp:posOffset>
            </wp:positionV>
            <wp:extent cx="628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60" w:type="dxa"/>
            <w:vAlign w:val="bottom"/>
            <w:gridSpan w:val="2"/>
          </w:tcPr>
          <w:p>
            <w:pPr>
              <w:ind w:left="45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169"/>
        </w:trPr>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3"/>
              </w:rPr>
              <w:t>Dated:</w:t>
            </w:r>
          </w:p>
        </w:tc>
        <w:tc>
          <w:tcPr>
            <w:tcW w:w="6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9"/>
                <w:szCs w:val="19"/>
                <w:color w:val="auto"/>
              </w:rPr>
              <w:t>Name:</w:t>
            </w: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9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bl>
    <w:p>
      <w:pPr>
        <w:sectPr>
          <w:pgSz w:w="11900" w:h="16838" w:orient="portrait"/>
          <w:cols w:equalWidth="0" w:num="1">
            <w:col w:w="10059"/>
          </w:cols>
          <w:pgMar w:left="400" w:top="1440" w:right="1440" w:bottom="1440" w:gutter="0" w:footer="0" w:header="0"/>
        </w:sectPr>
      </w:pPr>
    </w:p>
    <w:bookmarkStart w:id="151" w:name="page152"/>
    <w:bookmarkEnd w:id="151"/>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Employee Nondisclosure, Noncompetition and Assignment of Intellectual Property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1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This Separation Agreement and Release (“Agreement”) is made by and between Kevin Tan (“Executive”) and Selecta Biosciences, Inc.</w:t>
      </w:r>
    </w:p>
    <w:p>
      <w:pPr>
        <w:ind w:right="160"/>
        <w:spacing w:after="0" w:line="221" w:lineRule="auto"/>
        <w:rPr>
          <w:sz w:val="20"/>
          <w:szCs w:val="20"/>
          <w:color w:val="auto"/>
        </w:rPr>
      </w:pPr>
      <w:r>
        <w:rPr>
          <w:rFonts w:ascii="Times New Roman" w:cs="Times New Roman" w:eastAsia="Times New Roman" w:hAnsi="Times New Roman"/>
          <w:sz w:val="20"/>
          <w:szCs w:val="20"/>
          <w:color w:val="auto"/>
        </w:rPr>
        <w:t>(the “Company”) (collectively referred to as the “Parties” or individually referred to as a “Party”). Capitalized terms used but not defined in this Agreement shall have the meanings set forth in the Employment Agreement (as defined below).</w:t>
      </w:r>
    </w:p>
    <w:p>
      <w:pPr>
        <w:spacing w:after="0" w:line="54" w:lineRule="exact"/>
        <w:rPr>
          <w:sz w:val="20"/>
          <w:szCs w:val="20"/>
          <w:color w:val="auto"/>
        </w:rPr>
      </w:pPr>
    </w:p>
    <w:p>
      <w:pPr>
        <w:ind w:right="780" w:firstLine="383"/>
        <w:spacing w:after="0" w:line="233"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September 20, 2021 (the “Employment Agreement”); and</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w:t>
      </w:r>
    </w:p>
    <w:p>
      <w:pPr>
        <w:ind w:right="100"/>
        <w:spacing w:after="0" w:line="215" w:lineRule="auto"/>
        <w:rPr>
          <w:sz w:val="20"/>
          <w:szCs w:val="20"/>
          <w:color w:val="auto"/>
        </w:rPr>
      </w:pPr>
      <w:r>
        <w:rPr>
          <w:rFonts w:ascii="Times New Roman" w:cs="Times New Roman" w:eastAsia="Times New Roman" w:hAnsi="Times New Roman"/>
          <w:sz w:val="19"/>
          <w:szCs w:val="19"/>
          <w:color w:val="auto"/>
        </w:rPr>
        <w:t>effective December 31, 2022, the Parties wish to resolve any and all disputes, claims, complaints, grievances, charges, actions, petitions, and demands that Executive may have against the Company and any of the Releasees as defined below, including, but not limited to, any and all</w:t>
      </w:r>
    </w:p>
    <w:p>
      <w:pPr>
        <w:spacing w:after="0" w:line="211" w:lineRule="auto"/>
        <w:rPr>
          <w:sz w:val="20"/>
          <w:szCs w:val="20"/>
          <w:color w:val="auto"/>
        </w:rPr>
      </w:pPr>
      <w:r>
        <w:rPr>
          <w:rFonts w:ascii="Times New Roman" w:cs="Times New Roman" w:eastAsia="Times New Roman" w:hAnsi="Times New Roman"/>
          <w:sz w:val="20"/>
          <w:szCs w:val="20"/>
          <w:color w:val="auto"/>
        </w:rPr>
        <w:t>claims arising out of or in any way related to Executive’s employment with or separation from the Company or its subsidiaries or affiliates</w:t>
      </w:r>
    </w:p>
    <w:p>
      <w:pPr>
        <w:ind w:right="60"/>
        <w:spacing w:after="0" w:line="215" w:lineRule="auto"/>
        <w:rPr>
          <w:sz w:val="20"/>
          <w:szCs w:val="20"/>
          <w:color w:val="auto"/>
        </w:rPr>
      </w:pPr>
      <w:r>
        <w:rPr>
          <w:rFonts w:ascii="Times New Roman" w:cs="Times New Roman" w:eastAsia="Times New Roman" w:hAnsi="Times New Roman"/>
          <w:sz w:val="19"/>
          <w:szCs w:val="19"/>
          <w:color w:val="auto"/>
        </w:rPr>
        <w:t>but, for the avoidance of doubt, nothing herein will be deemed to release any rights or remedies in connection with any breach of this Agreement by Company or Executive’s ownership of vested equity securities of the Company, vested benefits or Executive’s right to defense</w:t>
      </w:r>
    </w:p>
    <w:p>
      <w:pPr>
        <w:spacing w:after="0" w:line="211" w:lineRule="auto"/>
        <w:rPr>
          <w:sz w:val="20"/>
          <w:szCs w:val="20"/>
          <w:color w:val="auto"/>
        </w:rPr>
      </w:pPr>
      <w:r>
        <w:rPr>
          <w:rFonts w:ascii="Times New Roman" w:cs="Times New Roman" w:eastAsia="Times New Roman" w:hAnsi="Times New Roman"/>
          <w:sz w:val="20"/>
          <w:szCs w:val="20"/>
          <w:color w:val="auto"/>
        </w:rPr>
        <w:t>or indemnification by the Company or any of its affiliates pursuant to contract or applicable law (collectively, the “Retained Claims”).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Company agrees not to contest Executive’s application for unemployment benefits; provided that nothing herein shall prohibit the Company from responding truthfully to requests for information from, or require the Company to make any false or misleading statements to, any</w:t>
      </w:r>
    </w:p>
    <w:p>
      <w:pPr>
        <w:spacing w:after="0"/>
        <w:rPr>
          <w:sz w:val="20"/>
          <w:szCs w:val="20"/>
          <w:color w:val="auto"/>
        </w:rPr>
      </w:pPr>
      <w:r>
        <w:rPr>
          <w:rFonts w:ascii="Times New Roman" w:cs="Times New Roman" w:eastAsia="Times New Roman" w:hAnsi="Times New Roman"/>
          <w:sz w:val="20"/>
          <w:szCs w:val="20"/>
          <w:color w:val="auto"/>
        </w:rPr>
        <w:t>governmental authority.</w:t>
      </w:r>
    </w:p>
    <w:p>
      <w:pPr>
        <w:spacing w:after="0" w:line="59" w:lineRule="exact"/>
        <w:rPr>
          <w:sz w:val="20"/>
          <w:szCs w:val="20"/>
          <w:color w:val="auto"/>
        </w:rPr>
      </w:pPr>
    </w:p>
    <w:p>
      <w:pPr>
        <w:ind w:right="260" w:firstLine="387"/>
        <w:spacing w:after="0" w:line="227" w:lineRule="auto"/>
        <w:rPr>
          <w:sz w:val="20"/>
          <w:szCs w:val="20"/>
          <w:color w:val="auto"/>
        </w:rPr>
      </w:pPr>
      <w:r>
        <w:rPr>
          <w:rFonts w:ascii="Times New Roman" w:cs="Times New Roman" w:eastAsia="Times New Roman" w:hAnsi="Times New Roman"/>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w:t>
      </w:r>
    </w:p>
    <w:p>
      <w:pPr>
        <w:spacing w:after="0"/>
        <w:rPr>
          <w:sz w:val="20"/>
          <w:szCs w:val="20"/>
          <w:color w:val="auto"/>
        </w:rPr>
      </w:pPr>
      <w:r>
        <w:rPr>
          <w:rFonts w:ascii="Times New Roman" w:cs="Times New Roman" w:eastAsia="Times New Roman" w:hAnsi="Times New Roman"/>
          <w:sz w:val="20"/>
          <w:szCs w:val="20"/>
          <w:color w:val="auto"/>
        </w:rPr>
        <w:t>consideration of the mutual promises made herein, the Company and Executive hereby agree as follows:</w:t>
      </w:r>
    </w:p>
    <w:p>
      <w:pPr>
        <w:spacing w:after="0" w:line="59" w:lineRule="exact"/>
        <w:rPr>
          <w:sz w:val="20"/>
          <w:szCs w:val="20"/>
          <w:color w:val="auto"/>
        </w:rPr>
      </w:pPr>
    </w:p>
    <w:p>
      <w:pPr>
        <w:ind w:firstLine="206"/>
        <w:spacing w:after="0" w:line="211" w:lineRule="auto"/>
        <w:tabs>
          <w:tab w:leader="none" w:pos="5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4(b) of the Employment Agreement, payable at the times set forth in, and subject to the terms and conditions of, the Employment Agreement.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 except for that Executive shall be entitled to receive a full-year Annual Bonus for the 2022 fiscal year that shall not be pro-rated based on Executive’s termination date, and such bonus shall be paid out based on 100% individual achievement, notwithstanding any determination by the Company’s Board of Directors (the “Board”) of individual achievement less than 100% (or the Compensation Committee of the Board, as properly delegated). The amount of the actual Annual Bonus paid out shall be determined based on actual company performance as determined by the Board in good faith consistent with past practice. For the avoidance of doubt, the Annual Bonus for 2022 shall not be less than 40% of Executive’s Annual Base Salary, as adjusted based on the actual percentage of company achievement as determined by the Board. In addition, Executive shall be entitled to the same vesting of any equity, including stock options and restricted stock units, that he would have been entitled to had Executive been employed at the Company through January 4, 2023.</w:t>
      </w:r>
    </w:p>
    <w:p>
      <w:pPr>
        <w:spacing w:after="0" w:line="147"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w:t>
      </w:r>
    </w:p>
    <w:p>
      <w:pPr>
        <w:ind w:right="2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w:t>
      </w:r>
    </w:p>
    <w:p>
      <w:pPr>
        <w:sectPr>
          <w:pgSz w:w="11900" w:h="16838" w:orient="portrait"/>
          <w:cols w:equalWidth="0" w:num="1">
            <w:col w:w="11240"/>
          </w:cols>
          <w:pgMar w:left="320" w:top="104" w:right="339" w:bottom="1440" w:gutter="0" w:footer="0" w:header="0"/>
        </w:sectPr>
      </w:pPr>
    </w:p>
    <w:bookmarkStart w:id="154" w:name="page155"/>
    <w:bookmarkEnd w:id="154"/>
    <w:p>
      <w:pPr>
        <w:spacing w:after="0" w:line="21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Releasees arising from any omissions, acts, facts, or damages that have occurred up until and including the Effective Date of this Agreement (as defined in Section 7 below), including, without limitation:</w:t>
      </w:r>
    </w:p>
    <w:p>
      <w:pPr>
        <w:spacing w:after="0" w:line="161" w:lineRule="exact"/>
        <w:rPr>
          <w:sz w:val="20"/>
          <w:szCs w:val="20"/>
          <w:color w:val="auto"/>
        </w:rPr>
      </w:pPr>
    </w:p>
    <w:p>
      <w:pPr>
        <w:ind w:right="60" w:firstLine="404"/>
        <w:spacing w:after="0" w:line="233" w:lineRule="auto"/>
        <w:tabs>
          <w:tab w:leader="none" w:pos="81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60" w:lineRule="exact"/>
        <w:rPr>
          <w:rFonts w:ascii="Times New Roman" w:cs="Times New Roman" w:eastAsia="Times New Roman" w:hAnsi="Times New Roman"/>
          <w:sz w:val="20"/>
          <w:szCs w:val="20"/>
          <w:color w:val="auto"/>
        </w:rPr>
      </w:pPr>
    </w:p>
    <w:p>
      <w:pPr>
        <w:ind w:right="440" w:firstLine="404"/>
        <w:spacing w:after="0" w:line="226" w:lineRule="auto"/>
        <w:tabs>
          <w:tab w:leader="none" w:pos="82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60" w:lineRule="exact"/>
        <w:rPr>
          <w:rFonts w:ascii="Times New Roman" w:cs="Times New Roman" w:eastAsia="Times New Roman" w:hAnsi="Times New Roman"/>
          <w:sz w:val="20"/>
          <w:szCs w:val="20"/>
          <w:color w:val="auto"/>
        </w:rPr>
      </w:pPr>
    </w:p>
    <w:p>
      <w:pPr>
        <w:ind w:right="220" w:firstLine="404"/>
        <w:spacing w:after="0" w:line="220" w:lineRule="auto"/>
        <w:tabs>
          <w:tab w:leader="none" w:pos="81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47" w:lineRule="exact"/>
        <w:rPr>
          <w:rFonts w:ascii="Times New Roman" w:cs="Times New Roman" w:eastAsia="Times New Roman" w:hAnsi="Times New Roman"/>
          <w:sz w:val="20"/>
          <w:szCs w:val="20"/>
          <w:color w:val="auto"/>
        </w:rPr>
      </w:pPr>
    </w:p>
    <w:p>
      <w:pPr>
        <w:ind w:right="40" w:firstLine="404"/>
        <w:spacing w:after="0" w:line="220" w:lineRule="auto"/>
        <w:tabs>
          <w:tab w:leader="none" w:pos="82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60" w:lineRule="exact"/>
        <w:rPr>
          <w:rFonts w:ascii="Times New Roman" w:cs="Times New Roman" w:eastAsia="Times New Roman" w:hAnsi="Times New Roman"/>
          <w:sz w:val="20"/>
          <w:szCs w:val="20"/>
          <w:color w:val="auto"/>
        </w:rPr>
      </w:pPr>
    </w:p>
    <w:p>
      <w:pPr>
        <w:ind w:left="820" w:hanging="416"/>
        <w:spacing w:after="0"/>
        <w:tabs>
          <w:tab w:leader="none" w:pos="8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175" w:lineRule="exact"/>
        <w:rPr>
          <w:rFonts w:ascii="Times New Roman" w:cs="Times New Roman" w:eastAsia="Times New Roman" w:hAnsi="Times New Roman"/>
          <w:sz w:val="20"/>
          <w:szCs w:val="20"/>
          <w:color w:val="auto"/>
        </w:rPr>
      </w:pPr>
    </w:p>
    <w:p>
      <w:pPr>
        <w:ind w:left="840" w:hanging="436"/>
        <w:spacing w:after="0"/>
        <w:tabs>
          <w:tab w:leader="none" w:pos="8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188" w:lineRule="exact"/>
        <w:rPr>
          <w:rFonts w:ascii="Times New Roman" w:cs="Times New Roman" w:eastAsia="Times New Roman" w:hAnsi="Times New Roman"/>
          <w:sz w:val="20"/>
          <w:szCs w:val="20"/>
          <w:color w:val="auto"/>
        </w:rPr>
      </w:pPr>
    </w:p>
    <w:p>
      <w:pPr>
        <w:ind w:right="140" w:firstLine="404"/>
        <w:spacing w:after="0" w:line="233" w:lineRule="auto"/>
        <w:tabs>
          <w:tab w:leader="none" w:pos="82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60" w:lineRule="exact"/>
        <w:rPr>
          <w:rFonts w:ascii="Times New Roman" w:cs="Times New Roman" w:eastAsia="Times New Roman" w:hAnsi="Times New Roman"/>
          <w:sz w:val="20"/>
          <w:szCs w:val="20"/>
          <w:color w:val="auto"/>
        </w:rPr>
      </w:pPr>
    </w:p>
    <w:p>
      <w:pPr>
        <w:ind w:right="720" w:firstLine="404"/>
        <w:spacing w:after="0"/>
        <w:tabs>
          <w:tab w:leader="none" w:pos="82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48" w:lineRule="exact"/>
        <w:rPr>
          <w:sz w:val="20"/>
          <w:szCs w:val="20"/>
          <w:color w:val="auto"/>
        </w:rPr>
      </w:pPr>
    </w:p>
    <w:p>
      <w:pPr>
        <w:ind w:left="400"/>
        <w:spacing w:after="0"/>
        <w:tabs>
          <w:tab w:leader="none" w:pos="82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color w:val="auto"/>
        </w:rPr>
        <w:t>any and all claims for attorneys’ fees and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matters released. This release does not release claims that cannot be released as a matter of law, including, but not limited to, Executive’s right to report possible violations of federal law or regulation to any governmental agency or entity in accordance with the provisions of and</w:t>
      </w:r>
    </w:p>
    <w:p>
      <w:pPr>
        <w:spacing w:after="0" w:line="222" w:lineRule="auto"/>
        <w:rPr>
          <w:sz w:val="20"/>
          <w:szCs w:val="20"/>
          <w:color w:val="auto"/>
        </w:rPr>
      </w:pPr>
      <w:r>
        <w:rPr>
          <w:rFonts w:ascii="Times New Roman" w:cs="Times New Roman" w:eastAsia="Times New Roman" w:hAnsi="Times New Roman"/>
          <w:sz w:val="19"/>
          <w:szCs w:val="19"/>
          <w:color w:val="auto"/>
        </w:rPr>
        <w:t>rules promulgated under Section 21F of the Securities Exchange Act of 1934 or Section 806 of the Sarbanes-Oxley Act of 2002, or any other</w:t>
      </w:r>
    </w:p>
    <w:p>
      <w:pPr>
        <w:ind w:right="220"/>
        <w:spacing w:after="0" w:line="215" w:lineRule="auto"/>
        <w:rPr>
          <w:sz w:val="20"/>
          <w:szCs w:val="20"/>
          <w:color w:val="auto"/>
        </w:rPr>
      </w:pPr>
      <w:r>
        <w:rPr>
          <w:rFonts w:ascii="Times New Roman" w:cs="Times New Roman" w:eastAsia="Times New Roman" w:hAnsi="Times New Roman"/>
          <w:sz w:val="19"/>
          <w:szCs w:val="19"/>
          <w:color w:val="auto"/>
        </w:rPr>
        <w:t>whistleblower protection provisions of state or federal law or regulation, Executive’s right to file a charge with or participate in a charge, investigation or proceeding by the Equal Employment Opportunity Commission, or any other local, state, or federal administrative body or</w:t>
      </w:r>
    </w:p>
    <w:p>
      <w:pPr>
        <w:spacing w:after="0" w:line="222" w:lineRule="auto"/>
        <w:rPr>
          <w:sz w:val="20"/>
          <w:szCs w:val="20"/>
          <w:color w:val="auto"/>
        </w:rPr>
      </w:pPr>
      <w:r>
        <w:rPr>
          <w:rFonts w:ascii="Times New Roman" w:cs="Times New Roman" w:eastAsia="Times New Roman" w:hAnsi="Times New Roman"/>
          <w:sz w:val="19"/>
          <w:szCs w:val="19"/>
          <w:color w:val="auto"/>
        </w:rPr>
        <w:t>government agency that is authorized to enforce or administer laws related to employment, against the Company (with the understanding that</w:t>
      </w:r>
    </w:p>
    <w:p>
      <w:pPr>
        <w:spacing w:after="0" w:line="202" w:lineRule="auto"/>
        <w:rPr>
          <w:sz w:val="20"/>
          <w:szCs w:val="20"/>
          <w:color w:val="auto"/>
        </w:rPr>
      </w:pPr>
      <w:r>
        <w:rPr>
          <w:rFonts w:ascii="Times New Roman" w:cs="Times New Roman" w:eastAsia="Times New Roman" w:hAnsi="Times New Roman"/>
          <w:sz w:val="20"/>
          <w:szCs w:val="20"/>
          <w:color w:val="auto"/>
        </w:rPr>
        <w:t>Executive’s release of claims herein bars Executive from recovering monetary or other individual relief from the Company or any Releasee in connection with any charge, investigation or proceeding, or any related complaint or lawsuit, filed by Executive or by anyone else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Executive’s behalf before the f</w:t>
      </w:r>
      <w:r>
        <w:rPr>
          <w:rFonts w:ascii="Times New Roman" w:cs="Times New Roman" w:eastAsia="Times New Roman" w:hAnsi="Times New Roman"/>
          <w:sz w:val="21"/>
          <w:szCs w:val="21"/>
          <w:color w:val="auto"/>
        </w:rPr>
        <w:t>ederal Equal Employment Opportunity Commission or a</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1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comparable state or local agency</w:t>
      </w:r>
      <w:r>
        <w:rPr>
          <w:rFonts w:ascii="Times New Roman" w:cs="Times New Roman" w:eastAsia="Times New Roman" w:hAnsi="Times New Roman"/>
          <w:sz w:val="19"/>
          <w:szCs w:val="19"/>
          <w:color w:val="auto"/>
        </w:rPr>
        <w:t>), claims for unemployment compensation or any state disability insurance benefits pursuant to the terms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applicable state law, claims to continued participation in certain of the Company’s group benefit plans pursuant to the terms and conditions of COBRA, claims to any benefit entitlements vested as the date of separation of Executive’s employment, pursuant to written terms of any</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employee benefit plan of the Company or its affiliates and Executive’s right under applicable law and any Retained Claims. This release further does not release claims for breach of this Agreement by Company or Section 3(c), Section 4(b) or Section 4(c) of the Employment</w:t>
      </w:r>
    </w:p>
    <w:p>
      <w:pPr>
        <w:spacing w:after="0"/>
        <w:rPr>
          <w:sz w:val="20"/>
          <w:szCs w:val="20"/>
          <w:color w:val="auto"/>
        </w:rPr>
      </w:pPr>
      <w:r>
        <w:rPr>
          <w:rFonts w:ascii="Times New Roman" w:cs="Times New Roman" w:eastAsia="Times New Roman" w:hAnsi="Times New Roman"/>
          <w:sz w:val="20"/>
          <w:szCs w:val="20"/>
          <w:color w:val="auto"/>
        </w:rPr>
        <w:t>Agreement arising after the Effective Date.</w:t>
      </w:r>
    </w:p>
    <w:p>
      <w:pPr>
        <w:spacing w:after="0" w:line="167" w:lineRule="exact"/>
        <w:rPr>
          <w:sz w:val="20"/>
          <w:szCs w:val="20"/>
          <w:color w:val="auto"/>
        </w:rPr>
      </w:pPr>
    </w:p>
    <w:p>
      <w:pPr>
        <w:ind w:right="20" w:firstLine="206"/>
        <w:spacing w:after="0" w:line="211" w:lineRule="auto"/>
        <w:tabs>
          <w:tab w:leader="none" w:pos="54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2" w:lineRule="exact"/>
        <w:rPr>
          <w:rFonts w:ascii="Times New Roman" w:cs="Times New Roman" w:eastAsia="Times New Roman" w:hAnsi="Times New Roman"/>
          <w:sz w:val="20"/>
          <w:szCs w:val="20"/>
          <w:color w:val="auto"/>
        </w:rPr>
      </w:pPr>
    </w:p>
    <w:p>
      <w:pPr>
        <w:ind w:firstLine="206"/>
        <w:spacing w:after="0" w:line="226" w:lineRule="auto"/>
        <w:tabs>
          <w:tab w:leader="none" w:pos="54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0" w:lineRule="exact"/>
        <w:rPr>
          <w:rFonts w:ascii="Times New Roman" w:cs="Times New Roman" w:eastAsia="Times New Roman" w:hAnsi="Times New Roman"/>
          <w:sz w:val="20"/>
          <w:szCs w:val="20"/>
          <w:color w:val="auto"/>
        </w:rPr>
      </w:pPr>
    </w:p>
    <w:p>
      <w:pPr>
        <w:ind w:right="340" w:firstLine="206"/>
        <w:spacing w:after="0"/>
        <w:tabs>
          <w:tab w:leader="none" w:pos="54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47"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subject to the provisions of Sections 9(a) and 9(c) of the Employment Agreement.</w:t>
      </w:r>
    </w:p>
    <w:p>
      <w:pPr>
        <w:spacing w:after="0" w:line="188" w:lineRule="exact"/>
        <w:rPr>
          <w:rFonts w:ascii="Times New Roman" w:cs="Times New Roman" w:eastAsia="Times New Roman" w:hAnsi="Times New Roman"/>
          <w:sz w:val="20"/>
          <w:szCs w:val="20"/>
          <w:color w:val="auto"/>
        </w:rPr>
      </w:pPr>
    </w:p>
    <w:p>
      <w:pPr>
        <w:ind w:right="220" w:firstLine="206"/>
        <w:spacing w:after="0" w:line="220" w:lineRule="auto"/>
        <w:tabs>
          <w:tab w:leader="none" w:pos="54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47" w:lineRule="exact"/>
        <w:rPr>
          <w:rFonts w:ascii="Times New Roman" w:cs="Times New Roman" w:eastAsia="Times New Roman" w:hAnsi="Times New Roman"/>
          <w:sz w:val="20"/>
          <w:szCs w:val="20"/>
          <w:color w:val="auto"/>
        </w:rPr>
      </w:pPr>
    </w:p>
    <w:p>
      <w:pPr>
        <w:ind w:right="240" w:firstLine="206"/>
        <w:spacing w:after="0" w:line="224" w:lineRule="auto"/>
        <w:tabs>
          <w:tab w:leader="none" w:pos="544"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2" w:lineRule="exact"/>
        <w:rPr>
          <w:rFonts w:ascii="Times New Roman" w:cs="Times New Roman" w:eastAsia="Times New Roman" w:hAnsi="Times New Roman"/>
          <w:sz w:val="19"/>
          <w:szCs w:val="19"/>
          <w:color w:val="auto"/>
        </w:rPr>
      </w:pPr>
    </w:p>
    <w:p>
      <w:pPr>
        <w:ind w:right="440" w:firstLine="8"/>
        <w:spacing w:after="0" w:line="228" w:lineRule="auto"/>
        <w:tabs>
          <w:tab w:leader="none" w:pos="26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represented in the preparation, negotiation, and execution of this Agreement by legal counsel of Executive’s own choice or has elected not to retain legal counsel; (d) Executive understands the terms and consequences of this Agreement and</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releases it contains; and (e) Executive is fully aware of the legal and binding effect of this Agreement.</w:t>
      </w:r>
    </w:p>
    <w:p>
      <w:pPr>
        <w:spacing w:after="0" w:line="189" w:lineRule="exact"/>
        <w:rPr>
          <w:sz w:val="20"/>
          <w:szCs w:val="20"/>
          <w:color w:val="auto"/>
        </w:rPr>
      </w:pPr>
    </w:p>
    <w:p>
      <w:pPr>
        <w:ind w:firstLine="206"/>
        <w:spacing w:after="0" w:line="215" w:lineRule="auto"/>
        <w:tabs>
          <w:tab w:leader="none" w:pos="5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Non-Disparagement</w:t>
      </w:r>
      <w:r>
        <w:rPr>
          <w:rFonts w:ascii="Times New Roman" w:cs="Times New Roman" w:eastAsia="Times New Roman" w:hAnsi="Times New Roman"/>
          <w:sz w:val="20"/>
          <w:szCs w:val="20"/>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the members of the Board and senior management of the Company shall refrain from making any negative, critical, or disparaging statements, implied or express, concerning Executive; provided, however, that senior management’s disclosures to the Board regarding the circumstances surrounding Executive’s separation of employment shall not be considered a breach of this Section 9. However, nothing in this Section 9 prohibits either Party’s disclosure of information that is required to be disclosed to enforce this Agreement or to comply with applicable law or order of a court or other regulatory body of competent jurisdiction.</w:t>
      </w:r>
    </w:p>
    <w:p>
      <w:pPr>
        <w:sectPr>
          <w:pgSz w:w="11900" w:h="16838" w:orient="portrait"/>
          <w:cols w:equalWidth="0" w:num="1">
            <w:col w:w="11140"/>
          </w:cols>
          <w:pgMar w:left="320" w:top="1440" w:right="439" w:bottom="1440" w:gutter="0" w:footer="0" w:header="0"/>
        </w:sectPr>
      </w:pPr>
    </w:p>
    <w:bookmarkStart w:id="157" w:name="page158"/>
    <w:bookmarkEnd w:id="157"/>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EXECUTIVE</w:t>
            </w:r>
          </w:p>
        </w:tc>
        <w:tc>
          <w:tcPr>
            <w:tcW w:w="0" w:type="dxa"/>
            <w:vAlign w:val="bottom"/>
          </w:tcPr>
          <w:p>
            <w:pPr>
              <w:spacing w:after="0"/>
              <w:rPr>
                <w:sz w:val="1"/>
                <w:szCs w:val="1"/>
                <w:color w:val="auto"/>
              </w:rPr>
            </w:pPr>
          </w:p>
        </w:tc>
      </w:tr>
      <w:tr>
        <w:trPr>
          <w:trHeight w:val="212"/>
        </w:trPr>
        <w:tc>
          <w:tcPr>
            <w:tcW w:w="16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Dated: 11/23/2022</w:t>
            </w:r>
          </w:p>
        </w:tc>
        <w:tc>
          <w:tcPr>
            <w:tcW w:w="3920" w:type="dxa"/>
            <w:vAlign w:val="bottom"/>
          </w:tcPr>
          <w:p>
            <w:pPr>
              <w:spacing w:after="0"/>
              <w:rPr>
                <w:sz w:val="18"/>
                <w:szCs w:val="18"/>
                <w:color w:val="auto"/>
              </w:rPr>
            </w:pPr>
          </w:p>
        </w:tc>
        <w:tc>
          <w:tcPr>
            <w:tcW w:w="348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20"/>
                <w:szCs w:val="20"/>
                <w:color w:val="auto"/>
              </w:rPr>
              <w:t>/s/ Kevin Tan</w:t>
            </w:r>
          </w:p>
        </w:tc>
        <w:tc>
          <w:tcPr>
            <w:tcW w:w="0" w:type="dxa"/>
            <w:vAlign w:val="bottom"/>
          </w:tcPr>
          <w:p>
            <w:pPr>
              <w:spacing w:after="0"/>
              <w:rPr>
                <w:sz w:val="1"/>
                <w:szCs w:val="1"/>
                <w:color w:val="auto"/>
              </w:rPr>
            </w:pPr>
          </w:p>
        </w:tc>
      </w:tr>
      <w:tr>
        <w:trPr>
          <w:trHeight w:val="276"/>
        </w:trPr>
        <w:tc>
          <w:tcPr>
            <w:tcW w:w="58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3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Kevin Tan</w:t>
            </w: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5"/>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Dated: 11/23/2022</w:t>
            </w: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SELECTA BIOSCIENCES, INC.</w:t>
            </w:r>
          </w:p>
        </w:tc>
        <w:tc>
          <w:tcPr>
            <w:tcW w:w="0" w:type="dxa"/>
            <w:vAlign w:val="bottom"/>
          </w:tcPr>
          <w:p>
            <w:pPr>
              <w:spacing w:after="0"/>
              <w:rPr>
                <w:sz w:val="1"/>
                <w:szCs w:val="1"/>
                <w:color w:val="auto"/>
              </w:rPr>
            </w:pPr>
          </w:p>
        </w:tc>
      </w:tr>
      <w:tr>
        <w:trPr>
          <w:trHeight w:val="210"/>
        </w:trPr>
        <w:tc>
          <w:tcPr>
            <w:tcW w:w="1660" w:type="dxa"/>
            <w:vAlign w:val="bottom"/>
            <w:gridSpan w:val="2"/>
            <w:vMerge w:val="continue"/>
          </w:tcPr>
          <w:p>
            <w:pPr>
              <w:spacing w:after="0"/>
              <w:rPr>
                <w:sz w:val="18"/>
                <w:szCs w:val="18"/>
                <w:color w:val="auto"/>
              </w:rPr>
            </w:pPr>
          </w:p>
        </w:tc>
        <w:tc>
          <w:tcPr>
            <w:tcW w:w="7400" w:type="dxa"/>
            <w:vAlign w:val="bottom"/>
            <w:gridSpan w:val="5"/>
            <w:vMerge w:val="restart"/>
          </w:tcPr>
          <w:p>
            <w:pPr>
              <w:ind w:left="3600"/>
              <w:spacing w:after="0"/>
              <w:rPr>
                <w:sz w:val="20"/>
                <w:szCs w:val="20"/>
                <w:color w:val="auto"/>
              </w:rPr>
            </w:pPr>
            <w:r>
              <w:rPr>
                <w:rFonts w:ascii="Times New Roman" w:cs="Times New Roman" w:eastAsia="Times New Roman" w:hAnsi="Times New Roman"/>
                <w:sz w:val="20"/>
                <w:szCs w:val="20"/>
                <w:color w:val="auto"/>
              </w:rPr>
              <w:t>By: /s/ Carsten Brunn, Ph.D.</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7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9"/>
                <w:szCs w:val="19"/>
                <w:color w:val="auto"/>
              </w:rPr>
              <w:t>Name: Carsten Brunn, Ph.D.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0" w:type="dxa"/>
            <w:vAlign w:val="bottom"/>
            <w:gridSpan w:val="5"/>
          </w:tcPr>
          <w:p>
            <w:pPr>
              <w:ind w:left="3900"/>
              <w:spacing w:after="0"/>
              <w:rPr>
                <w:sz w:val="20"/>
                <w:szCs w:val="20"/>
                <w:color w:val="auto"/>
              </w:rPr>
            </w:pPr>
            <w:r>
              <w:rPr>
                <w:rFonts w:ascii="Times New Roman" w:cs="Times New Roman" w:eastAsia="Times New Roman" w:hAnsi="Times New Roman"/>
                <w:sz w:val="20"/>
                <w:szCs w:val="20"/>
                <w:color w:val="auto"/>
                <w:w w:val="98"/>
              </w:rPr>
              <w:t>Title: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112" w:lineRule="exact"/>
        <w:rPr>
          <w:sz w:val="20"/>
          <w:szCs w:val="20"/>
          <w:color w:val="auto"/>
        </w:rPr>
      </w:pPr>
    </w:p>
    <w:p>
      <w:pPr>
        <w:ind w:left="660" w:right="38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333-212215) pertaining to the 2008 Stock Incentive Plan, as amended, the 2016 Incentive Award Plan and the 2016 Employee Stock Purchase Plan of Selecta Biosciences, Inc.,</w:t>
      </w:r>
    </w:p>
    <w:p>
      <w:pPr>
        <w:spacing w:after="0" w:line="49" w:lineRule="exact"/>
        <w:rPr>
          <w:rFonts w:ascii="Times New Roman" w:cs="Times New Roman" w:eastAsia="Times New Roman" w:hAnsi="Times New Roman"/>
          <w:sz w:val="22"/>
          <w:szCs w:val="22"/>
          <w:color w:val="auto"/>
        </w:rPr>
      </w:pPr>
    </w:p>
    <w:p>
      <w:pPr>
        <w:ind w:left="660" w:right="560" w:hanging="328"/>
        <w:spacing w:after="0" w:line="284"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333-224109) pertaining to the 2016 Incentive Awards Plan and the 2016 Employee Stock Purchase Plan of Selecta Biosciences, Inc.,</w:t>
      </w:r>
    </w:p>
    <w:p>
      <w:pPr>
        <w:spacing w:after="0" w:line="35" w:lineRule="exact"/>
        <w:rPr>
          <w:rFonts w:ascii="Times New Roman" w:cs="Times New Roman" w:eastAsia="Times New Roman" w:hAnsi="Times New Roman"/>
          <w:sz w:val="22"/>
          <w:szCs w:val="22"/>
          <w:color w:val="auto"/>
        </w:rPr>
      </w:pPr>
    </w:p>
    <w:p>
      <w:pPr>
        <w:ind w:left="660" w:right="62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333-228264) pertaining to the 2018 Employment Inducement Incentive Award Plan of Selecta Biosciences, Inc.,</w:t>
      </w:r>
    </w:p>
    <w:p>
      <w:pPr>
        <w:spacing w:after="0" w:line="49" w:lineRule="exact"/>
        <w:rPr>
          <w:rFonts w:ascii="Times New Roman" w:cs="Times New Roman" w:eastAsia="Times New Roman" w:hAnsi="Times New Roman"/>
          <w:sz w:val="22"/>
          <w:szCs w:val="22"/>
          <w:color w:val="auto"/>
        </w:rPr>
      </w:pPr>
    </w:p>
    <w:p>
      <w:pPr>
        <w:ind w:left="660" w:right="62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333-230501) pertaining to the 2018 Employment Inducement Incentive Award Plan of Selecta Biosciences, Inc.,</w:t>
      </w:r>
    </w:p>
    <w:p>
      <w:pPr>
        <w:spacing w:after="0" w:line="63" w:lineRule="exact"/>
        <w:rPr>
          <w:rFonts w:ascii="Times New Roman" w:cs="Times New Roman" w:eastAsia="Times New Roman" w:hAnsi="Times New Roman"/>
          <w:sz w:val="22"/>
          <w:szCs w:val="22"/>
          <w:color w:val="auto"/>
        </w:rPr>
      </w:pPr>
    </w:p>
    <w:p>
      <w:pPr>
        <w:ind w:left="660" w:right="64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333-239075) pertaining to the 2016 Incentive Award Plan and the 2016 Employee Stock Purchase Plan of Selecta Biosciences, Inc.,</w:t>
      </w:r>
    </w:p>
    <w:p>
      <w:pPr>
        <w:spacing w:after="0" w:line="49" w:lineRule="exact"/>
        <w:rPr>
          <w:rFonts w:ascii="Times New Roman" w:cs="Times New Roman" w:eastAsia="Times New Roman" w:hAnsi="Times New Roman"/>
          <w:sz w:val="22"/>
          <w:szCs w:val="22"/>
          <w:color w:val="auto"/>
        </w:rPr>
      </w:pPr>
    </w:p>
    <w:p>
      <w:pPr>
        <w:ind w:left="660" w:right="64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333-256061) pertaining to the 2016 Incentive Award Plan and the 2016 Employee Stock Purchase Plan of Selecta Biosciences, Inc.,</w:t>
      </w:r>
    </w:p>
    <w:p>
      <w:pPr>
        <w:spacing w:after="0" w:line="49" w:lineRule="exact"/>
        <w:rPr>
          <w:rFonts w:ascii="Times New Roman" w:cs="Times New Roman" w:eastAsia="Times New Roman" w:hAnsi="Times New Roman"/>
          <w:sz w:val="22"/>
          <w:szCs w:val="22"/>
          <w:color w:val="auto"/>
        </w:rPr>
      </w:pPr>
    </w:p>
    <w:p>
      <w:pPr>
        <w:ind w:left="660" w:right="640" w:hanging="328"/>
        <w:spacing w:after="0" w:line="271" w:lineRule="auto"/>
        <w:tabs>
          <w:tab w:leader="none" w:pos="6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File No. 333-264691) pertaining to the 2016 Incentive Award Plan and the 2016 Employee Stock Purchase Plan of Selecta Biosciences, Inc., and</w:t>
      </w:r>
    </w:p>
    <w:p>
      <w:pPr>
        <w:spacing w:after="0" w:line="6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File No. 333-241692) of Selecta Biosciences, Inc.;</w:t>
      </w:r>
    </w:p>
    <w:p>
      <w:pPr>
        <w:spacing w:after="0" w:line="200" w:lineRule="exact"/>
        <w:rPr>
          <w:sz w:val="20"/>
          <w:szCs w:val="20"/>
          <w:color w:val="auto"/>
        </w:rPr>
      </w:pPr>
    </w:p>
    <w:p>
      <w:pPr>
        <w:spacing w:after="0" w:line="26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of our report dated March 2, 2023 with respect to the consolidated financial statements of Selecta Biosciences, Inc. included in this Annual Report (Form 10-K) of Selecta Biosciences, Inc. for the year ended December 31,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 2023</w:t>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Selecta Biosciences,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2, 2023</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bl>
    <w:p>
      <w:pPr>
        <w:sectPr>
          <w:pgSz w:w="11900" w:h="16838" w:orient="portrait"/>
          <w:cols w:equalWidth="0" w:num="1">
            <w:col w:w="11240"/>
          </w:cols>
          <w:pgMar w:left="320" w:top="76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Blaine Davis, certify that:</w:t>
      </w:r>
    </w:p>
    <w:p>
      <w:pPr>
        <w:spacing w:after="0" w:line="229" w:lineRule="exact"/>
        <w:rPr>
          <w:sz w:val="20"/>
          <w:szCs w:val="20"/>
          <w:color w:val="auto"/>
        </w:rPr>
      </w:pPr>
    </w:p>
    <w:p>
      <w:pPr>
        <w:ind w:left="680" w:hanging="348"/>
        <w:spacing w:after="0"/>
        <w:tabs>
          <w:tab w:leader="none" w:pos="6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Selecta Biosciences,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C2C2C"/>
              </w:rPr>
              <w:t>March 2, 2023</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r>
      <w:tr>
        <w:trPr>
          <w:trHeight w:val="256"/>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ectPr>
          <w:pgSz w:w="11900" w:h="16838" w:orient="portrait"/>
          <w:cols w:equalWidth="0" w:num="1">
            <w:col w:w="11240"/>
          </w:cols>
          <w:pgMar w:left="320" w:top="76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28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Annual Report on Form 10-K of Selecta Biosciences, Inc. (the “Company”) for the period ended December 31, 2022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right="220" w:hanging="328"/>
        <w:spacing w:after="0" w:line="283" w:lineRule="auto"/>
        <w:tabs>
          <w:tab w:leader="none" w:pos="67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period ended December 31, 2022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2, 2023</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2, 2023</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c>
          <w:tcPr>
            <w:tcW w:w="20" w:type="dxa"/>
            <w:vAlign w:val="bottom"/>
          </w:tcPr>
          <w:p>
            <w:pPr>
              <w:spacing w:after="0"/>
              <w:rPr>
                <w:sz w:val="20"/>
                <w:szCs w:val="20"/>
                <w:color w:val="auto"/>
              </w:rPr>
            </w:pPr>
          </w:p>
        </w:tc>
      </w:tr>
      <w:tr>
        <w:trPr>
          <w:trHeight w:val="256"/>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lvl w:ilvl="1">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lowerRoman"/>
      <w:start w:val="3"/>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2"/>
    </w:lvl>
  </w:abstractNum>
  <w:abstractNum w:abstractNumId="33">
    <w:nsid w:val="4AD084E9"/>
    <w:multiLevelType w:val="hybridMultilevel"/>
    <w:lvl w:ilvl="0">
      <w:lvlJc w:val="left"/>
      <w:lvlText w:val="(%1)"/>
      <w:numFmt w:val="lowerRoman"/>
      <w:start w:val="1"/>
    </w:lvl>
  </w:abstractNum>
  <w:abstractNum w:abstractNumId="34">
    <w:nsid w:val="1F48EAA1"/>
    <w:multiLevelType w:val="hybridMultilevel"/>
    <w:lvl w:ilvl="0">
      <w:lvlJc w:val="left"/>
      <w:lvlText w:val="%1."/>
      <w:numFmt w:val="decimal"/>
      <w:start w:val="12"/>
    </w:lvl>
  </w:abstractNum>
  <w:abstractNum w:abstractNumId="35">
    <w:nsid w:val="1381823A"/>
    <w:multiLevelType w:val="hybridMultilevel"/>
    <w:lvl w:ilvl="0">
      <w:lvlJc w:val="left"/>
      <w:lvlText w:val="%1."/>
      <w:numFmt w:val="decimal"/>
      <w:start w:val="13"/>
    </w:lvl>
  </w:abstractNum>
  <w:abstractNum w:abstractNumId="36">
    <w:nsid w:val="5DB70AE5"/>
    <w:multiLevelType w:val="hybridMultilevel"/>
    <w:lvl w:ilvl="0">
      <w:lvlJc w:val="left"/>
      <w:lvlText w:val="%1."/>
      <w:numFmt w:val="decimal"/>
      <w:start w:val="14"/>
    </w:lvl>
  </w:abstractNum>
  <w:abstractNum w:abstractNumId="37">
    <w:nsid w:val="100F8FCA"/>
    <w:multiLevelType w:val="hybridMultilevel"/>
    <w:lvl w:ilvl="0">
      <w:lvlJc w:val="left"/>
      <w:lvlText w:val="%1."/>
      <w:numFmt w:val="decimal"/>
      <w:start w:val="1"/>
    </w:lvl>
    <w:lvl w:ilvl="1">
      <w:lvlJc w:val="left"/>
      <w:lvlText w:val="(%2)"/>
      <w:numFmt w:val="lowerLetter"/>
      <w:start w:val="1"/>
    </w:lvl>
  </w:abstractNum>
  <w:abstractNum w:abstractNumId="38">
    <w:nsid w:val="6590700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9">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40">
    <w:nsid w:val="5F5E7FD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
      <w:numFmt w:val="bullet"/>
      <w:start w:val="1"/>
    </w:lvl>
  </w:abstractNum>
  <w:abstractNum w:abstractNumId="41">
    <w:nsid w:val="98A3148"/>
    <w:multiLevelType w:val="hybridMultilevel"/>
    <w:lvl w:ilvl="0">
      <w:lvlJc w:val="left"/>
      <w:lvlText w:val="%1"/>
      <w:numFmt w:val="decimal"/>
      <w:start w:val="1"/>
    </w:lvl>
    <w:lvl w:ilvl="1">
      <w:lvlJc w:val="left"/>
      <w:lvlText w:val="(%2)"/>
      <w:numFmt w:val="lowerLetter"/>
      <w:start w:val="6"/>
    </w:lvl>
  </w:abstractNum>
  <w:abstractNum w:abstractNumId="42">
    <w:nsid w:val="799D0247"/>
    <w:multiLevelType w:val="hybridMultilevel"/>
    <w:lvl w:ilvl="0">
      <w:lvlJc w:val="left"/>
      <w:lvlText w:val="%1."/>
      <w:numFmt w:val="decimal"/>
      <w:start w:val="2"/>
    </w:lvl>
    <w:lvl w:ilvl="1">
      <w:lvlJc w:val="left"/>
      <w:lvlText w:val="(%2)"/>
      <w:numFmt w:val="lowerLetter"/>
      <w:start w:val="1"/>
    </w:lvl>
  </w:abstractNum>
  <w:abstractNum w:abstractNumId="43">
    <w:nsid w:val="6B94764"/>
    <w:multiLevelType w:val="hybridMultilevel"/>
    <w:lvl w:ilvl="0">
      <w:lvlJc w:val="left"/>
      <w:lvlText w:val="2"/>
      <w:numFmt w:val="bullet"/>
      <w:start w:val="1"/>
    </w:lvl>
    <w:lvl w:ilvl="1">
      <w:lvlJc w:val="left"/>
      <w:lvlText w:val="-"/>
      <w:numFmt w:val="bullet"/>
      <w:start w:val="1"/>
    </w:lvl>
  </w:abstractNum>
  <w:abstractNum w:abstractNumId="44">
    <w:nsid w:val="42C296BD"/>
    <w:multiLevelType w:val="hybridMultilevel"/>
    <w:lvl w:ilvl="0">
      <w:lvlJc w:val="left"/>
      <w:lvlText w:val="(%1)"/>
      <w:numFmt w:val="lowerLetter"/>
      <w:start w:val="2"/>
    </w:lvl>
    <w:lvl w:ilvl="1">
      <w:lvlJc w:val="left"/>
      <w:lvlText w:val="(%2)"/>
      <w:numFmt w:val="decimal"/>
      <w:start w:val="1"/>
    </w:lvl>
  </w:abstractNum>
  <w:abstractNum w:abstractNumId="45">
    <w:nsid w:val="168E121F"/>
    <w:multiLevelType w:val="hybridMultilevel"/>
    <w:lvl w:ilvl="0">
      <w:lvlJc w:val="left"/>
      <w:lvlText w:val="(%1)"/>
      <w:numFmt w:val="lowerLetter"/>
      <w:start w:val="3"/>
    </w:lvl>
    <w:lvl w:ilvl="1">
      <w:lvlJc w:val="left"/>
      <w:lvlText w:val="-"/>
      <w:numFmt w:val="bullet"/>
      <w:start w:val="1"/>
    </w:lvl>
  </w:abstractNum>
  <w:abstractNum w:abstractNumId="46">
    <w:nsid w:val="1EBA5D23"/>
    <w:multiLevelType w:val="hybridMultilevel"/>
    <w:lvl w:ilvl="0">
      <w:lvlJc w:val="left"/>
      <w:lvlText w:val="(%1)"/>
      <w:numFmt w:val="lowerLetter"/>
      <w:start w:val="6"/>
    </w:lvl>
  </w:abstractNum>
  <w:abstractNum w:abstractNumId="47">
    <w:nsid w:val="661E3F1E"/>
    <w:multiLevelType w:val="hybridMultilevel"/>
    <w:lvl w:ilvl="0">
      <w:lvlJc w:val="left"/>
      <w:lvlText w:val="(%1)"/>
      <w:numFmt w:val="lowerRoman"/>
      <w:start w:val="1"/>
    </w:lvl>
    <w:lvl w:ilvl="1">
      <w:lvlJc w:val="left"/>
      <w:lvlText w:val="-"/>
      <w:numFmt w:val="bullet"/>
      <w:start w:val="1"/>
    </w:lvl>
  </w:abstractNum>
  <w:abstractNum w:abstractNumId="48">
    <w:nsid w:val="5DC79EA8"/>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49">
    <w:nsid w:val="540A471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0">
    <w:nsid w:val="7BD3EE7B"/>
    <w:multiLevelType w:val="hybridMultilevel"/>
    <w:lvl w:ilvl="0">
      <w:lvlJc w:val="left"/>
      <w:lvlText w:val="%1"/>
      <w:numFmt w:val="decimal"/>
      <w:start w:val="1"/>
    </w:lvl>
    <w:lvl w:ilvl="1">
      <w:lvlJc w:val="left"/>
      <w:lvlText w:val="(%2)"/>
      <w:numFmt w:val="lowerLetter"/>
      <w:start w:val="2"/>
    </w:lvl>
  </w:abstractNum>
  <w:abstractNum w:abstractNumId="51">
    <w:nsid w:val="51D9C564"/>
    <w:multiLevelType w:val="hybridMultilevel"/>
    <w:lvl w:ilvl="0">
      <w:lvlJc w:val="left"/>
      <w:lvlText w:val="%1."/>
      <w:numFmt w:val="decimal"/>
      <w:start w:val="6"/>
    </w:lvl>
    <w:lvl w:ilvl="1">
      <w:lvlJc w:val="left"/>
      <w:lvlText w:val="(%2)"/>
      <w:numFmt w:val="lowerLetter"/>
      <w:start w:val="1"/>
    </w:lvl>
  </w:abstractNum>
  <w:abstractNum w:abstractNumId="52">
    <w:nsid w:val="613EFDC5"/>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3">
    <w:nsid w:val="BF72B14"/>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4">
    <w:nsid w:val="11447B73"/>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58">
    <w:nsid w:val="1A32234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59">
    <w:nsid w:val="3B0FD379"/>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60">
    <w:nsid w:val="68EB2F6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1">
    <w:nsid w:val="4962813B"/>
    <w:multiLevelType w:val="hybridMultilevel"/>
    <w:lvl w:ilvl="0">
      <w:lvlJc w:val="left"/>
      <w:lvlText w:val="%1."/>
      <w:numFmt w:val="upperLetter"/>
      <w:start w:val="1"/>
    </w:lvl>
  </w:abstractNum>
  <w:abstractNum w:abstractNumId="62">
    <w:nsid w:val="60B6DF70"/>
    <w:multiLevelType w:val="hybridMultilevel"/>
    <w:lvl w:ilvl="0">
      <w:lvlJc w:val="left"/>
      <w:lvlText w:val="%1."/>
      <w:numFmt w:val="upperLetter"/>
      <w:start w:val="2"/>
    </w:lvl>
    <w:lvl w:ilvl="1">
      <w:lvlJc w:val="left"/>
      <w:lvlText w:val="%2."/>
      <w:numFmt w:val="decimal"/>
      <w:start w:val="1"/>
    </w:lvl>
  </w:abstractNum>
  <w:abstractNum w:abstractNumId="63">
    <w:nsid w:val="6A5EE64"/>
    <w:multiLevelType w:val="hybridMultilevel"/>
    <w:lvl w:ilvl="0">
      <w:lvlJc w:val="left"/>
      <w:lvlText w:val="%1"/>
      <w:numFmt w:val="upperLetter"/>
      <w:start w:val="1"/>
    </w:lvl>
    <w:lvl w:ilvl="1">
      <w:lvlJc w:val="left"/>
      <w:lvlText w:val="%2."/>
      <w:numFmt w:val="decimal"/>
      <w:start w:val="3"/>
    </w:lvl>
  </w:abstractNum>
  <w:abstractNum w:abstractNumId="64">
    <w:nsid w:val="14330624"/>
    <w:multiLevelType w:val="hybridMultilevel"/>
    <w:lvl w:ilvl="0">
      <w:lvlJc w:val="left"/>
      <w:lvlText w:val="%1."/>
      <w:numFmt w:val="upperLetter"/>
      <w:start w:val="61"/>
    </w:lvl>
    <w:lvl w:ilvl="1">
      <w:lvlJc w:val="left"/>
      <w:lvlText w:val="%2"/>
      <w:numFmt w:val="decimal"/>
      <w:start w:val="1"/>
    </w:lvl>
  </w:abstractNum>
  <w:abstractNum w:abstractNumId="65">
    <w:nsid w:val="7FFFCA11"/>
    <w:multiLevelType w:val="hybridMultilevel"/>
    <w:lvl w:ilvl="0">
      <w:lvlJc w:val="left"/>
      <w:lvlText w:val="%1."/>
      <w:numFmt w:val="upperLetter"/>
      <w:start w:val="1"/>
    </w:lvl>
  </w:abstractNum>
  <w:abstractNum w:abstractNumId="66">
    <w:nsid w:val="1A27709E"/>
    <w:multiLevelType w:val="hybridMultilevel"/>
    <w:lvl w:ilvl="0">
      <w:lvlJc w:val="left"/>
      <w:lvlText w:val="%1."/>
      <w:numFmt w:val="decimal"/>
      <w:start w:val="1"/>
    </w:lvl>
    <w:lvl w:ilvl="1">
      <w:lvlJc w:val="left"/>
      <w:lvlText w:val="(%2)"/>
      <w:numFmt w:val="lowerLetter"/>
      <w:start w:val="1"/>
    </w:lvl>
  </w:abstractNum>
  <w:abstractNum w:abstractNumId="67">
    <w:nsid w:val="71EA1109"/>
    <w:multiLevelType w:val="hybridMultilevel"/>
    <w:lvl w:ilvl="0">
      <w:lvlJc w:val="left"/>
      <w:lvlText w:val="(%1)"/>
      <w:numFmt w:val="lowerLetter"/>
      <w:start w:val="2"/>
    </w:lvl>
  </w:abstractNum>
  <w:abstractNum w:abstractNumId="68">
    <w:nsid w:val="100F59DC"/>
    <w:multiLevelType w:val="hybridMultilevel"/>
    <w:lvl w:ilvl="0">
      <w:lvlJc w:val="left"/>
      <w:lvlText w:val="%1."/>
      <w:numFmt w:val="decimal"/>
      <w:start w:val="3"/>
    </w:lvl>
  </w:abstractNum>
  <w:abstractNum w:abstractNumId="69">
    <w:nsid w:val="7FB7E0AA"/>
    <w:multiLevelType w:val="hybridMultilevel"/>
    <w:lvl w:ilvl="0">
      <w:lvlJc w:val="left"/>
      <w:lvlText w:val="(%1)"/>
      <w:numFmt w:val="lowerLetter"/>
      <w:start w:val="1"/>
    </w:lvl>
    <w:lvl w:ilvl="1">
      <w:lvlJc w:val="left"/>
      <w:lvlText w:val="(%2)"/>
      <w:numFmt w:val="lowerRoman"/>
      <w:start w:val="1"/>
    </w:lvl>
  </w:abstractNum>
  <w:abstractNum w:abstractNumId="70">
    <w:nsid w:val="6EB5B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1">
    <w:nsid w:val="6F6DD9A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3">
    <w:nsid w:val="885E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4">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5">
    <w:nsid w:val="4C04A8AF"/>
    <w:multiLevelType w:val="hybridMultilevel"/>
    <w:lvl w:ilvl="0">
      <w:lvlJc w:val="left"/>
      <w:lvlText w:val="%1."/>
      <w:numFmt w:val="decimal"/>
      <w:start w:val="7"/>
    </w:lvl>
  </w:abstractNum>
  <w:abstractNum w:abstractNumId="76">
    <w:nsid w:val="1716703B"/>
    <w:multiLevelType w:val="hybridMultilevel"/>
    <w:lvl w:ilvl="0">
      <w:lvlJc w:val="left"/>
      <w:lvlText w:val="(%1)"/>
      <w:numFmt w:val="lowerLetter"/>
      <w:start w:val="1"/>
    </w:lvl>
    <w:lvl w:ilvl="1">
      <w:lvlJc w:val="left"/>
      <w:lvlText w:val="(%2)"/>
      <w:numFmt w:val="lowerRoman"/>
      <w:start w:val="1"/>
    </w:lvl>
  </w:abstractNum>
  <w:abstractNum w:abstractNumId="77">
    <w:nsid w:val="14E17E33"/>
    <w:multiLevelType w:val="hybridMultilevel"/>
    <w:lvl w:ilvl="0">
      <w:lvlJc w:val="left"/>
      <w:lvlText w:val="%1."/>
      <w:numFmt w:val="decimal"/>
      <w:start w:val="8"/>
    </w:lvl>
    <w:lvl w:ilvl="1">
      <w:lvlJc w:val="left"/>
      <w:lvlText w:val="(%2)"/>
      <w:numFmt w:val="lowerLetter"/>
      <w:start w:val="1"/>
    </w:lvl>
  </w:abstractNum>
  <w:abstractNum w:abstractNumId="78">
    <w:nsid w:val="3222E7C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9">
    <w:nsid w:val="74DE0EE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0">
    <w:nsid w:val="68EBC550"/>
    <w:multiLevelType w:val="hybridMultilevel"/>
    <w:lvl w:ilvl="0">
      <w:lvlJc w:val="left"/>
      <w:lvlText w:val="(%1)"/>
      <w:numFmt w:val="lowerLetter"/>
      <w:start w:val="7"/>
    </w:lvl>
    <w:lvl w:ilvl="1">
      <w:lvlJc w:val="left"/>
      <w:lvlText w:val="(%2)"/>
      <w:numFmt w:val="lowerRoman"/>
      <w:start w:val="1"/>
    </w:lvl>
  </w:abstractNum>
  <w:abstractNum w:abstractNumId="81">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2">
    <w:nsid w:val="46B7D447"/>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83">
    <w:nsid w:val="4A2AC31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4">
    <w:nsid w:val="39EE015C"/>
    <w:multiLevelType w:val="hybridMultilevel"/>
    <w:lvl w:ilvl="0">
      <w:lvlJc w:val="left"/>
      <w:lvlText w:val="%1."/>
      <w:numFmt w:val="decimal"/>
      <w:start w:val="1"/>
    </w:lvl>
    <w:lvl w:ilvl="1">
      <w:lvlJc w:val="left"/>
      <w:lvlText w:val="(%2)"/>
      <w:numFmt w:val="lowerLetter"/>
      <w:start w:val="1"/>
    </w:lvl>
  </w:abstractNum>
  <w:abstractNum w:abstractNumId="85">
    <w:nsid w:val="57FC4FBB"/>
    <w:multiLevelType w:val="hybridMultilevel"/>
    <w:lvl w:ilvl="0">
      <w:lvlJc w:val="left"/>
      <w:lvlText w:val="(%1)"/>
      <w:numFmt w:val="lowerLetter"/>
      <w:start w:val="3"/>
    </w:lvl>
  </w:abstractNum>
  <w:abstractNum w:abstractNumId="86">
    <w:nsid w:val="CC1016F"/>
    <w:multiLevelType w:val="hybridMultilevel"/>
    <w:lvl w:ilvl="0">
      <w:lvlJc w:val="left"/>
      <w:lvlText w:val="%1."/>
      <w:numFmt w:val="decimal"/>
      <w:start w:val="3"/>
    </w:lvl>
  </w:abstractNum>
  <w:abstractNum w:abstractNumId="87">
    <w:nsid w:val="43F18422"/>
    <w:multiLevelType w:val="hybridMultilevel"/>
    <w:lvl w:ilvl="0">
      <w:lvlJc w:val="left"/>
      <w:lvlText w:val="%1"/>
      <w:numFmt w:val="lowerLetter"/>
      <w:start w:val="1"/>
    </w:lvl>
    <w:lvl w:ilvl="1">
      <w:lvlJc w:val="left"/>
      <w:lvlText w:val="%2."/>
      <w:numFmt w:val="decimal"/>
      <w:start w:val="4"/>
    </w:lvl>
  </w:abstractNum>
  <w:abstractNum w:abstractNumId="88">
    <w:nsid w:val="60EF0119"/>
    <w:multiLevelType w:val="hybridMultilevel"/>
    <w:lvl w:ilvl="0">
      <w:lvlJc w:val="left"/>
      <w:lvlText w:val="(%1)"/>
      <w:numFmt w:val="lowerLetter"/>
      <w:start w:val="3"/>
    </w:lvl>
    <w:lvl w:ilvl="1">
      <w:lvlJc w:val="left"/>
      <w:lvlText w:val="%2"/>
      <w:numFmt w:val="decimal"/>
      <w:start w:val="1"/>
    </w:lvl>
  </w:abstractNum>
  <w:abstractNum w:abstractNumId="89">
    <w:nsid w:val="26F324BA"/>
    <w:multiLevelType w:val="hybridMultilevel"/>
    <w:lvl w:ilvl="0">
      <w:lvlJc w:val="left"/>
      <w:lvlText w:val="1"/>
      <w:numFmt w:val="bullet"/>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Letter"/>
      <w:start w:val="1"/>
    </w:lvl>
    <w:lvl w:ilvl="1">
      <w:lvlJc w:val="left"/>
      <w:lvlText w:val="%2."/>
      <w:numFmt w:val="decimal"/>
      <w:start w:val="3"/>
    </w:lvl>
  </w:abstractNum>
  <w:abstractNum w:abstractNumId="93">
    <w:nsid w:val="5FB8370B"/>
    <w:multiLevelType w:val="hybridMultilevel"/>
    <w:lvl w:ilvl="0">
      <w:lvlJc w:val="left"/>
      <w:lvlText w:val="(%1)"/>
      <w:numFmt w:val="lowerLetter"/>
      <w:start w:val="3"/>
    </w:lvl>
    <w:lvl w:ilvl="1">
      <w:lvlJc w:val="left"/>
      <w:lvlText w:val="%2"/>
      <w:numFmt w:val="decimal"/>
      <w:start w:val="1"/>
    </w:lvl>
  </w:abstractNum>
  <w:abstractNum w:abstractNumId="94">
    <w:nsid w:val="50801EE1"/>
    <w:multiLevelType w:val="hybridMultilevel"/>
    <w:lvl w:ilvl="0">
      <w:lvlJc w:val="left"/>
      <w:lvlText w:val="%1."/>
      <w:numFmt w:val="decimal"/>
      <w:start w:val="9"/>
    </w:lvl>
  </w:abstractNum>
  <w:abstractNum w:abstractNumId="95">
    <w:nsid w:val="488AC1A"/>
    <w:multiLevelType w:val="hybridMultilevel"/>
    <w:lvl w:ilvl="0">
      <w:lvlJc w:val="left"/>
      <w:lvlText w:val="(%1)"/>
      <w:numFmt w:val="decimal"/>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35"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104" Type="http://schemas.openxmlformats.org/officeDocument/2006/relationships/hyperlink" Target="https://www.sec.gov/Archives/edgar/data/1453687/000110465916129891/a16-14002_1ex3d1.htm" TargetMode="External"/><Relationship Id="rId105" Type="http://schemas.openxmlformats.org/officeDocument/2006/relationships/hyperlink" Target="http://www.sec.gov/Archives/edgar/data/1453687/000110465916129891/a16-14002_1ex3d1.htm" TargetMode="External"/><Relationship Id="rId106" Type="http://schemas.openxmlformats.org/officeDocument/2006/relationships/hyperlink" Target="https://www.sec.gov/Archives/edgar/data/0001453687/000145368722000109/exhibit31_charteramendment.htm" TargetMode="External"/><Relationship Id="rId107" Type="http://schemas.openxmlformats.org/officeDocument/2006/relationships/hyperlink" Target="https://www.sec.gov/Archives/edgar/data/1453687/000145368722000127/exhibit32_amendedandrestat.htm" TargetMode="External"/><Relationship Id="rId108" Type="http://schemas.openxmlformats.org/officeDocument/2006/relationships/hyperlink" Target="http://www.sec.gov/Archives/edgar/data/1453687/000104746916013398/a2228672zex-4_2.htm" TargetMode="External"/><Relationship Id="rId109" Type="http://schemas.openxmlformats.org/officeDocument/2006/relationships/hyperlink" Target="http://www.sec.gov/Archives/edgar/data/1453687/000104746916013398/a2228672zex-4_5.htm" TargetMode="External"/><Relationship Id="rId110" Type="http://schemas.openxmlformats.org/officeDocument/2006/relationships/hyperlink" Target="http://www.sec.gov/Archives/edgar/data/1453687/000104746916013398/a2228672zex-4_6.htm" TargetMode="External"/><Relationship Id="rId111" Type="http://schemas.openxmlformats.org/officeDocument/2006/relationships/hyperlink" Target="http://www.sec.gov/Archives/edgar/data/1453687/000145368717000048/exhibit41_selectabioscienc.htm" TargetMode="External"/><Relationship Id="rId112" Type="http://schemas.openxmlformats.org/officeDocument/2006/relationships/hyperlink" Target="http://www.sec.gov/Archives/edgar/data/1453687/000110465919075844/tm1926772d1_ex10-2.htm" TargetMode="External"/><Relationship Id="rId113" Type="http://schemas.openxmlformats.org/officeDocument/2006/relationships/hyperlink" Target="http://www.sec.gov/Archives/edgar/data/1453687/000145368720000096/exhibit41sobiregistrat.htm" TargetMode="External"/><Relationship Id="rId114" Type="http://schemas.openxmlformats.org/officeDocument/2006/relationships/hyperlink" Target="http://www.sec.gov/Archives/edgar/data/1453687/000145368720000129/exhibit42sobirraandame.htm" TargetMode="External"/><Relationship Id="rId115" Type="http://schemas.openxmlformats.org/officeDocument/2006/relationships/hyperlink" Target="http://www.sec.gov/Archives/edgar/data/1453687/000110465919075844/tm1926772d1_ex4-1.htm" TargetMode="External"/><Relationship Id="rId118" Type="http://schemas.openxmlformats.org/officeDocument/2006/relationships/hyperlink" Target="http://www.sec.gov/Archives/edgar/data/1453687/000145368720000104/exhibit41formofwarrant.htm" TargetMode="External"/><Relationship Id="rId119" Type="http://schemas.openxmlformats.org/officeDocument/2006/relationships/hyperlink" Target="https://www.sec.gov/Archives/edgar/data/1453687/000119312522098074/d535347dex41.htm" TargetMode="External"/><Relationship Id="rId120" Type="http://schemas.openxmlformats.org/officeDocument/2006/relationships/hyperlink" Target="http://www.sec.gov/Archives/edgar/data/1453687/000104746916013718/a2228810zex-10_2.htm" TargetMode="External"/><Relationship Id="rId121" Type="http://schemas.openxmlformats.org/officeDocument/2006/relationships/hyperlink" Target="http://www.sec.gov/Archives/edgar/data/1453687/000104746916013718/a2228810zex-10_3.htm" TargetMode="External"/><Relationship Id="rId122" Type="http://schemas.openxmlformats.org/officeDocument/2006/relationships/hyperlink" Target="http://www.sec.gov/Archives/edgar/data/1453687/000145368718000061/exhibit101_2018employmenti.htm" TargetMode="External"/><Relationship Id="rId123" Type="http://schemas.openxmlformats.org/officeDocument/2006/relationships/hyperlink" Target="http://www.sec.gov/Archives/edgar/data/1453687/000104746916013886/a2228960zex-10_1.htm" TargetMode="External"/><Relationship Id="rId124" Type="http://schemas.openxmlformats.org/officeDocument/2006/relationships/hyperlink" Target="http://www.sec.gov/Archives/edgar/data/1453687/000104746916013398/a2228672zex-10_5.htm" TargetMode="External"/><Relationship Id="rId125" Type="http://schemas.openxmlformats.org/officeDocument/2006/relationships/hyperlink" Target="http://www.sec.gov/Archives/edgar/data/1453687/000104746916013398/a2228672zex-10_7a.htm" TargetMode="External"/><Relationship Id="rId126" Type="http://schemas.openxmlformats.org/officeDocument/2006/relationships/hyperlink" Target="http://www.sec.gov/Archives/edgar/data/1453687/000104746916013398/a2228672zex-10_7b.htm" TargetMode="External"/><Relationship Id="rId127" Type="http://schemas.openxmlformats.org/officeDocument/2006/relationships/hyperlink" Target="http://www.sec.gov/Archives/edgar/data/1453687/000104746916013398/a2228672zex-10_7c.htm" TargetMode="External"/><Relationship Id="rId128" Type="http://schemas.openxmlformats.org/officeDocument/2006/relationships/hyperlink" Target="http://www.sec.gov/Archives/edgar/data/1453687/000104746916013398/a2228672zex-10_7d.htm" TargetMode="External"/><Relationship Id="rId129" Type="http://schemas.openxmlformats.org/officeDocument/2006/relationships/hyperlink" Target="http://www.sec.gov/Archives/edgar/data/1453687/000104746916013398/a2228672zex-10_7e.htm" TargetMode="External"/><Relationship Id="rId130" Type="http://schemas.openxmlformats.org/officeDocument/2006/relationships/hyperlink" Target="http://www.sec.gov/Archives/edgar/data/1453687/000145368716000020/exhibit103a-3rdamendmentto.htm" TargetMode="External"/><Relationship Id="rId131" Type="http://schemas.openxmlformats.org/officeDocument/2006/relationships/hyperlink" Target="http://www.sec.gov/Archives/edgar/data/1453687/000145368716000020/exhibit103b-selectamit2xwa.htm" TargetMode="External"/><Relationship Id="rId132" Type="http://schemas.openxmlformats.org/officeDocument/2006/relationships/hyperlink" Target="http://www.sec.gov/Archives/edgar/data/1453687/000145368716000020/exhibit103c-sparkxselectam.htm" TargetMode="External"/><Relationship Id="rId133" Type="http://schemas.openxmlformats.org/officeDocument/2006/relationships/hyperlink" Target="http://www.sec.gov/Archives/edgar/data/1453687/000145368720000028/exhibit107imassachuset.htm" TargetMode="External"/><Relationship Id="rId134" Type="http://schemas.openxmlformats.org/officeDocument/2006/relationships/hyperlink" Target="http://www.sec.gov/Archives/edgar/data/1453687/000145368720000096/exhibit101mitfifthamen.htm" TargetMode="External"/><Relationship Id="rId136" Type="http://schemas.openxmlformats.org/officeDocument/2006/relationships/hyperlink" Target="http://www.sec.gov/Archives/edgar/data/1453687/000145368717000053/exhibit106_63017.htm" TargetMode="External"/><Relationship Id="rId137" Type="http://schemas.openxmlformats.org/officeDocument/2006/relationships/hyperlink" Target="http://www.sec.gov/Archives/edgar/data/1453687/000104746916013398/a2228672zex-10_10.htm" TargetMode="External"/><Relationship Id="rId138" Type="http://schemas.openxmlformats.org/officeDocument/2006/relationships/hyperlink" Target="http://www.sec.gov/Archives/edgar/data/1453687/000145368719000157/exhibit103leaseagreeme.htm" TargetMode="External"/><Relationship Id="rId139" Type="http://schemas.openxmlformats.org/officeDocument/2006/relationships/hyperlink" Target="https://www.sec.gov/Archives/edgar/data/1453687/000145368722000137/exhibit101_firstamendmentt.htm" TargetMode="External"/><Relationship Id="rId140" Type="http://schemas.openxmlformats.org/officeDocument/2006/relationships/hyperlink" Target="http://www.sec.gov/Archives/edgar/data/1453687/000145368718000061/exhibit102_brunnemployment.htm" TargetMode="External"/><Relationship Id="rId141" Type="http://schemas.openxmlformats.org/officeDocument/2006/relationships/hyperlink" Target="http://www.sec.gov/Archives/edgar/data/1453687/000104746916013718/a2228810zex-10_18.htm" TargetMode="External"/><Relationship Id="rId142" Type="http://schemas.openxmlformats.org/officeDocument/2006/relationships/hyperlink" Target="http://www.sec.gov/Archives/edgar/data/1453687/000104746916013718/a2228810zex-10_21.htm" TargetMode="External"/><Relationship Id="rId143" Type="http://schemas.openxmlformats.org/officeDocument/2006/relationships/hyperlink" Target="http://www.sec.gov/Archives/edgar/data/1453687/000145368720000129/exhibit101ptraberemplo.htm" TargetMode="External"/><Relationship Id="rId144" Type="http://schemas.openxmlformats.org/officeDocument/2006/relationships/hyperlink" Target="http://www.sec.gov/Archives/edgar/data/1453687/000145368720000096/exhibit102sobilicensea.htm" TargetMode="External"/><Relationship Id="rId145" Type="http://schemas.openxmlformats.org/officeDocument/2006/relationships/hyperlink" Target="http://www.sec.gov/Archives/edgar/data/1453687/000145368717000048/exhibit102_selectabioscien.htm" TargetMode="External"/><Relationship Id="rId146" Type="http://schemas.openxmlformats.org/officeDocument/2006/relationships/hyperlink" Target="http://www.sec.gov/Archives/edgar/data/1453687/000141057819000832/tv527995_ex10-1.htm" TargetMode="External"/><Relationship Id="rId147" Type="http://schemas.openxmlformats.org/officeDocument/2006/relationships/hyperlink" Target="http://www.sec.gov/Archives/edgar/data/1453687/000145368720000104/exhibit1011loanandsecu.htm" TargetMode="External"/><Relationship Id="rId148" Type="http://schemas.openxmlformats.org/officeDocument/2006/relationships/hyperlink" Target="http://www.sec.gov/Archives/edgar/data/1453687/000145368721000156/exhibit103_firstamendmentt.htm" TargetMode="External"/><Relationship Id="rId149" Type="http://schemas.openxmlformats.org/officeDocument/2006/relationships/hyperlink" Target="https://www.sec.gov/Archives/edgar/data/1453687/000145368722000053/exhibit101_secondamendment.htm" TargetMode="External"/><Relationship Id="rId150" Type="http://schemas.openxmlformats.org/officeDocument/2006/relationships/hyperlink" Target="https://www.sec.gov/Archives/edgar/data/1453687/000145368722000137/exhibit102thirdamendmentto.htm" TargetMode="External"/><Relationship Id="rId151" Type="http://schemas.openxmlformats.org/officeDocument/2006/relationships/hyperlink" Target="http://www.sec.gov/Archives/edgar/data/1453687/000104746916013398/a222867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2023-03-02T06:42:59Z</dcterms:created>
  <dcterms:modified xsi:type="dcterms:W3CDTF">2023-03-02T06:42:59Z</dcterms:modified>
</cp:coreProperties>
</file>