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if no longer subject to Section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-12700</wp:posOffset>
            </wp:positionV>
            <wp:extent cx="105410" cy="105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" cy="105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00" w:right="160" w:hanging="7"/>
        <w:spacing w:after="0" w:line="265" w:lineRule="auto"/>
        <w:tabs>
          <w:tab w:leader="none" w:pos="456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9"/>
          <w:szCs w:val="9"/>
          <w:color w:val="auto"/>
        </w:rPr>
        <w:t>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40" w:type="dxa"/>
            <w:vAlign w:val="bottom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4936490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3627120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-2004060</wp:posOffset>
            </wp:positionH>
            <wp:positionV relativeFrom="paragraph">
              <wp:posOffset>19685</wp:posOffset>
            </wp:positionV>
            <wp:extent cx="7019290" cy="3387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38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20" w:space="720"/>
            <w:col w:w="7880"/>
          </w:cols>
          <w:pgMar w:left="440" w:top="202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Miljkovic Milos</w:t>
        </w:r>
      </w:hyperlink>
    </w:p>
    <w:p>
      <w:pPr>
        <w:spacing w:after="0" w:line="23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C/O CARTESIAN THERAPEUTICS, INC.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704 QUINCE ORCHARD ROAD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08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GAITHERSBURG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MD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20878</w:t>
            </w: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14" w:lineRule="exact"/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3"/>
                  <w:szCs w:val="13"/>
                  <w:color w:val="0000EE"/>
                </w:rPr>
                <w:t xml:space="preserve">Cartesian Therapeutics, Inc. </w:t>
              </w:r>
            </w:hyperlink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RNAC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]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1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01/02/2024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Chief Medical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Rule 10b5-1(c) Transaction Indication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ind w:left="260" w:right="62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80" w:space="80"/>
            <w:col w:w="7160"/>
          </w:cols>
          <w:pgMar w:left="440" w:top="202" w:right="4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01/02/2024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548,200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548,200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4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Employee Stock 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0.6552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01/02/2024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703,000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01/01/2034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703,000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703,000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 buy)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 w:right="20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Each Restricted Stock Unit represents a contingent right to receive one share of common stock, which will vest as to 25% on January 2, 2025. The remainder of the underlying shares will vest in three equal annual installments thereafter so that the underlying shares will be fully vested on January 2, 2028.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This option vests as to 25% on January 2, 2025. The remainder of the underlying shares will vest in three equal annual installments thereafter.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Exhibit 24 - Power of Attorney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620"/>
        <w:spacing w:after="0"/>
        <w:tabs>
          <w:tab w:leader="none" w:pos="88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Matthew Bartholomae,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0"/>
          <w:szCs w:val="20"/>
          <w:color w:val="0000FF"/>
          <w:vertAlign w:val="subscript"/>
        </w:rPr>
        <w:t>01/04/2024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-21590</wp:posOffset>
            </wp:positionV>
            <wp:extent cx="1339850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Fact for Milos Miljkovic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-11430</wp:posOffset>
            </wp:positionV>
            <wp:extent cx="848360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836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5600700</wp:posOffset>
            </wp:positionH>
            <wp:positionV relativeFrom="paragraph">
              <wp:posOffset>-64135</wp:posOffset>
            </wp:positionV>
            <wp:extent cx="389890" cy="63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620"/>
        <w:spacing w:after="0"/>
        <w:tabs>
          <w:tab w:leader="none" w:pos="8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6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2" Type="http://schemas.openxmlformats.org/officeDocument/2006/relationships/hyperlink" Target="http://www.sec.gov/cgi-bin/browse-edgar?action=getcompany&amp;CIK=0002000282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2024-01-04T16:14:09Z</dcterms:created>
  <dcterms:modified xsi:type="dcterms:W3CDTF">2024-01-04T16:14:09Z</dcterms:modified>
</cp:coreProperties>
</file>