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6, 2019</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jc w:val="center"/>
        <w:ind w:right="106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34"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79" w:right="299" w:bottom="1440" w:gutter="0" w:footer="0" w:header="0"/>
          <w:type w:val="continuous"/>
        </w:sectPr>
      </w:pPr>
    </w:p>
    <w:bookmarkStart w:id="1" w:name="page2"/>
    <w:bookmarkEnd w:id="1"/>
    <w:p>
      <w:pPr>
        <w:ind w:right="80"/>
        <w:spacing w:after="0" w:line="329"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March 6, 2019, John Leaman, M.D. notified Selecta Biosciences, Inc. (the “Company”) of his intention to resign as the Company’s Chief Financial Officer and Head of Corporate Strategy, effective March 31, 2019 (the “Effective Date”).</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his resignation, the Company entered into a transition agreement and release with Dr. Leaman (the “Transition Agreement”) under which if Dr. Leaman remains continuously employed by the Company through the Effective Date or the Company terminates Dr. Leaman’s employment on or prior to the Effective Date without “cause” (as defined in Dr. Leaman’s employment agreement with the Company), then, subject to Dr. Leaman’s continued compliance with certain restrictive covenants and execution of a general release of claims, Dr. Leaman will be entitled to receive (i) continued payment of his annual base salary through December 31, 2019, (ii) a lump sum payment of a portion of his annual bonus for 2019 in the amount of $97,500, (iii) direct payment of continued medical, dental or vision coverage pursuant to COBRA for up to 9 months, and (iv) immediate vesting of his outstanding unvested stock options that would have vested based solely on his continued service if he had continued providing services to the Company until December 31, 2019 and extension of the right to exercise any vested stock options (after giving effect to the foregoing accelerated vesting) until March 31, 2020.</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description of the Transition Agreement is qualified in its entirety by reference to the full text of the Transition Agreement, a copy of which is filed as Exhibit 10.1 to this report and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3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140"/>
        <w:spacing w:after="0"/>
        <w:tabs>
          <w:tab w:leader="none" w:pos="21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1177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154" w:lineRule="exact"/>
        <w:rPr>
          <w:sz w:val="20"/>
          <w:szCs w:val="20"/>
          <w:color w:val="auto"/>
        </w:rPr>
      </w:pPr>
    </w:p>
    <w:p>
      <w:pPr>
        <w:ind w:left="140"/>
        <w:spacing w:after="0"/>
        <w:tabs>
          <w:tab w:leader="none" w:pos="192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Transition Agreement and Release, dated March 6, 2019, between Selecta Biosciences, Inc. and John Leaman, M.D.</w:t>
        </w:r>
      </w:hyperlink>
    </w:p>
    <w:p>
      <w:pPr>
        <w:sectPr>
          <w:pgSz w:w="11900" w:h="16838" w:orient="portrait"/>
          <w:cols w:equalWidth="0" w:num="1">
            <w:col w:w="11360"/>
          </w:cols>
          <w:pgMar w:left="240" w:top="580"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March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796" w:right="4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b w:val="1"/>
          <w:bCs w:val="1"/>
          <w:color w:val="auto"/>
        </w:rPr>
        <w:t>Transition Agreement and Release</w:t>
      </w:r>
    </w:p>
    <w:p>
      <w:pPr>
        <w:spacing w:after="0" w:line="222" w:lineRule="exact"/>
        <w:rPr>
          <w:sz w:val="20"/>
          <w:szCs w:val="20"/>
          <w:color w:val="auto"/>
        </w:rPr>
      </w:pPr>
    </w:p>
    <w:p>
      <w:pPr>
        <w:ind w:right="220" w:firstLine="648"/>
        <w:spacing w:after="0" w:line="246" w:lineRule="auto"/>
        <w:rPr>
          <w:sz w:val="20"/>
          <w:szCs w:val="20"/>
          <w:color w:val="auto"/>
        </w:rPr>
      </w:pPr>
      <w:r>
        <w:rPr>
          <w:rFonts w:ascii="Arial" w:cs="Arial" w:eastAsia="Arial" w:hAnsi="Arial"/>
          <w:sz w:val="20"/>
          <w:szCs w:val="20"/>
          <w:color w:val="auto"/>
        </w:rPr>
        <w:t>This Transition Agreement and Release (“Agreement”) is made by and between John Leaman, M.D. (“Executive”) and Selecta Biosciences, Inc. (the “Company”) (collectively referred to as the “Parties” or individually referred to as a “Party”) as of March 6, 2019 (the “Effective Date”). Capitalized terms used but not defined in this Agreement shall have the meanings set forth in the Employment Agreement (as defined below).</w:t>
      </w:r>
    </w:p>
    <w:p>
      <w:pPr>
        <w:spacing w:after="0" w:line="192" w:lineRule="exact"/>
        <w:rPr>
          <w:sz w:val="20"/>
          <w:szCs w:val="20"/>
          <w:color w:val="auto"/>
        </w:rPr>
      </w:pPr>
    </w:p>
    <w:p>
      <w:pPr>
        <w:ind w:right="860" w:firstLine="648"/>
        <w:spacing w:after="0" w:line="260" w:lineRule="auto"/>
        <w:rPr>
          <w:sz w:val="20"/>
          <w:szCs w:val="20"/>
          <w:color w:val="auto"/>
        </w:rPr>
      </w:pPr>
      <w:r>
        <w:rPr>
          <w:rFonts w:ascii="Arial" w:cs="Arial" w:eastAsia="Arial" w:hAnsi="Arial"/>
          <w:sz w:val="20"/>
          <w:szCs w:val="20"/>
          <w:color w:val="auto"/>
        </w:rPr>
        <w:t>WHEREAS, the Parties have previously entered into that certain Employment Agreement, dated as of October 26, 2017 (the “Employment Agreement”); and</w:t>
      </w:r>
    </w:p>
    <w:p>
      <w:pPr>
        <w:spacing w:after="0" w:line="177" w:lineRule="exact"/>
        <w:rPr>
          <w:sz w:val="20"/>
          <w:szCs w:val="20"/>
          <w:color w:val="auto"/>
        </w:rPr>
      </w:pPr>
    </w:p>
    <w:p>
      <w:pPr>
        <w:ind w:right="20" w:firstLine="648"/>
        <w:spacing w:after="0" w:line="256" w:lineRule="auto"/>
        <w:rPr>
          <w:sz w:val="20"/>
          <w:szCs w:val="20"/>
          <w:color w:val="auto"/>
        </w:rPr>
      </w:pPr>
      <w:r>
        <w:rPr>
          <w:rFonts w:ascii="Arial" w:cs="Arial" w:eastAsia="Arial" w:hAnsi="Arial"/>
          <w:sz w:val="19"/>
          <w:szCs w:val="19"/>
          <w:color w:val="auto"/>
        </w:rPr>
        <w:t>WHEREAS, in connection with Executive’s termination of employment with the Company,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promises made herein, the Company and Executive hereby agree as follows:</w:t>
      </w:r>
    </w:p>
    <w:p>
      <w:pPr>
        <w:spacing w:after="0" w:line="23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Termination; Services; Compensation</w:t>
      </w:r>
      <w:r>
        <w:rPr>
          <w:rFonts w:ascii="Arial" w:cs="Arial" w:eastAsia="Arial" w:hAnsi="Arial"/>
          <w:sz w:val="20"/>
          <w:szCs w:val="20"/>
          <w:color w:val="auto"/>
        </w:rPr>
        <w:t>.</w:t>
      </w:r>
    </w:p>
    <w:p>
      <w:pPr>
        <w:spacing w:after="0" w:line="216" w:lineRule="exact"/>
        <w:rPr>
          <w:sz w:val="20"/>
          <w:szCs w:val="20"/>
          <w:color w:val="auto"/>
        </w:rPr>
      </w:pPr>
    </w:p>
    <w:p>
      <w:pPr>
        <w:ind w:right="100" w:firstLine="656"/>
        <w:spacing w:after="0" w:line="272" w:lineRule="auto"/>
        <w:tabs>
          <w:tab w:leader="none" w:pos="1048"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Executive’s employment with the Company and its subsidiaries will terminate on (i) March 31, 2019 or (ii) such earlier date as Executive’s employment is terminated in accordance with the terms of this Agreement (the actual date of Executive’s termination of employment, the “Separation Date”). As of the Separation Date, Executive will cease to serve as an employee, director, officer or in any other position with the Company and its subsidiaries and will cease to exercise or convey any authority (actual, apparent or otherwise) on behalf of the Company and its subsidiaries. During the period commencing on the Effective Date and ending on the Separation Date (the “Transition Period”), Executive will continue performing substantially the same duties and responsibilities as Executive has historically provided to the Company or as are otherwise reasonably requested by the Company from time to time. Executive will perform Executive’s duties during the Transition Period in substantially the same manner and with substantially the same effort, time commitment and level of care as Executive has historically performed duties for the Company prior to the Effective Date.</w:t>
      </w:r>
    </w:p>
    <w:p>
      <w:pPr>
        <w:spacing w:after="0" w:line="171" w:lineRule="exact"/>
        <w:rPr>
          <w:rFonts w:ascii="Arial" w:cs="Arial" w:eastAsia="Arial" w:hAnsi="Arial"/>
          <w:sz w:val="18"/>
          <w:szCs w:val="18"/>
          <w:color w:val="auto"/>
        </w:rPr>
      </w:pPr>
    </w:p>
    <w:p>
      <w:pPr>
        <w:ind w:firstLine="656"/>
        <w:spacing w:after="0" w:line="291" w:lineRule="auto"/>
        <w:tabs>
          <w:tab w:leader="none" w:pos="1059"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Transition Period, Executive will continue receiving Executive’s Annual Base Salary at the same rate that applies on the Effective Date and will remain eligible to participate in the Company’s employee benefit plans to the same extent as Executive is eligible as of the Effective Date, subject to the terms and conditions of such employee benefit plans as in effect from time to time.</w:t>
      </w:r>
    </w:p>
    <w:p>
      <w:pPr>
        <w:spacing w:after="0" w:line="151" w:lineRule="exact"/>
        <w:rPr>
          <w:rFonts w:ascii="Arial" w:cs="Arial" w:eastAsia="Arial" w:hAnsi="Arial"/>
          <w:sz w:val="18"/>
          <w:szCs w:val="18"/>
          <w:color w:val="auto"/>
        </w:rPr>
      </w:pPr>
    </w:p>
    <w:p>
      <w:pPr>
        <w:jc w:val="both"/>
        <w:ind w:right="140" w:firstLine="656"/>
        <w:spacing w:after="0" w:line="246" w:lineRule="auto"/>
        <w:tabs>
          <w:tab w:leader="none" w:pos="1097"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Executive’s employment with the Company will at all times remain terminable by either Executive or the Company at will and nothing in this Agreement confers upon Executive any right to continue to serve as an employee or other service provider of the Company or interferes with or restricts the rights of the Company to discharge or terminate the services of Executive at any time for any or no reason, with or without Cause, subject to the provisions of Section 2.</w:t>
      </w:r>
    </w:p>
    <w:p>
      <w:pPr>
        <w:spacing w:after="0" w:line="19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Severance Payments; Salary and Benefits</w:t>
      </w:r>
      <w:r>
        <w:rPr>
          <w:rFonts w:ascii="Arial" w:cs="Arial" w:eastAsia="Arial" w:hAnsi="Arial"/>
          <w:sz w:val="20"/>
          <w:szCs w:val="20"/>
          <w:color w:val="auto"/>
        </w:rPr>
        <w:t>.</w:t>
      </w:r>
    </w:p>
    <w:p>
      <w:pPr>
        <w:spacing w:after="0" w:line="216" w:lineRule="exact"/>
        <w:rPr>
          <w:sz w:val="20"/>
          <w:szCs w:val="20"/>
          <w:color w:val="auto"/>
        </w:rPr>
      </w:pPr>
    </w:p>
    <w:p>
      <w:pPr>
        <w:ind w:right="100" w:firstLine="656"/>
        <w:spacing w:after="0" w:line="260" w:lineRule="auto"/>
        <w:tabs>
          <w:tab w:leader="none" w:pos="1097"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 agrees to provide Executive with the severance payments and benefits described in Section 2(b) below, payable at the times set forth in, and subject to the terms and conditions of, such Section. In</w:t>
      </w:r>
    </w:p>
    <w:p>
      <w:pPr>
        <w:sectPr>
          <w:pgSz w:w="11900" w:h="16838" w:orient="portrait"/>
          <w:cols w:equalWidth="0" w:num="1">
            <w:col w:w="11380"/>
          </w:cols>
          <w:pgMar w:left="240" w:top="792" w:right="279" w:bottom="1440" w:gutter="0" w:footer="0" w:header="0"/>
        </w:sectPr>
      </w:pPr>
    </w:p>
    <w:bookmarkStart w:id="4" w:name="page5"/>
    <w:bookmarkEnd w:id="4"/>
    <w:p>
      <w:pPr>
        <w:ind w:right="60"/>
        <w:spacing w:after="0" w:line="250" w:lineRule="auto"/>
        <w:rPr>
          <w:sz w:val="20"/>
          <w:szCs w:val="20"/>
          <w:color w:val="auto"/>
        </w:rPr>
      </w:pPr>
      <w:r>
        <w:rPr>
          <w:rFonts w:ascii="Arial" w:cs="Arial" w:eastAsia="Arial" w:hAnsi="Arial"/>
          <w:sz w:val="20"/>
          <w:szCs w:val="20"/>
          <w:color w:val="auto"/>
        </w:rPr>
        <w:t>addition, upon termination of Executive’s employment for any reason,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6" w:lineRule="exact"/>
        <w:rPr>
          <w:sz w:val="20"/>
          <w:szCs w:val="20"/>
          <w:color w:val="auto"/>
        </w:rPr>
      </w:pPr>
    </w:p>
    <w:p>
      <w:pPr>
        <w:ind w:right="80" w:firstLine="656"/>
        <w:spacing w:after="0" w:line="278" w:lineRule="auto"/>
        <w:tabs>
          <w:tab w:leader="none" w:pos="1059"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Executive remains continuously employed by the Company through March 31, 2019 or if the Company terminates Executive’s employment on or prior to March 31, 2019 for reasons other than Cause or Executive’s death, Disability or material breach of this Agreement, then subject to Executive’s continued compliance with the Restrictive Covenant Agreement and Executive’s execution and delivery to the Company of the release of claims attached hereto as Addendum 1 (the “Bring-Down Release”) within 30 days following the Separation Date (and the Bring-Down Release becoming effective and irrevocable), Executive will be entitled to the following payments and benefits:</w:t>
      </w:r>
    </w:p>
    <w:p>
      <w:pPr>
        <w:spacing w:after="0" w:line="165" w:lineRule="exact"/>
        <w:rPr>
          <w:rFonts w:ascii="Arial" w:cs="Arial" w:eastAsia="Arial" w:hAnsi="Arial"/>
          <w:sz w:val="18"/>
          <w:szCs w:val="18"/>
          <w:color w:val="auto"/>
        </w:rPr>
      </w:pPr>
    </w:p>
    <w:p>
      <w:pPr>
        <w:ind w:right="20" w:firstLine="1305"/>
        <w:spacing w:after="0" w:line="282" w:lineRule="auto"/>
        <w:tabs>
          <w:tab w:leader="none" w:pos="1713"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continued payment of Executive’s Annual Base Salary during the period commencing the day after the Separation Date and ending December 31, 2019 (the “Severance Period”) in accordance with the Company’s normal payroll practices, provided that payment of such amounts will commence on the Company’s next regular payday (the date of such payday, the “First Payment Date”) following the effective date of the Bring-Down Release (with the first payment including all amounts that would otherwise have been earlier paid);</w:t>
      </w:r>
    </w:p>
    <w:p>
      <w:pPr>
        <w:spacing w:after="0" w:line="161" w:lineRule="exact"/>
        <w:rPr>
          <w:rFonts w:ascii="Arial" w:cs="Arial" w:eastAsia="Arial" w:hAnsi="Arial"/>
          <w:sz w:val="18"/>
          <w:szCs w:val="18"/>
          <w:color w:val="auto"/>
        </w:rPr>
      </w:pPr>
    </w:p>
    <w:p>
      <w:pPr>
        <w:ind w:left="1780" w:hanging="475"/>
        <w:spacing w:after="0"/>
        <w:tabs>
          <w:tab w:leader="none" w:pos="1780" w:val="left"/>
        </w:tabs>
        <w:numPr>
          <w:ilvl w:val="1"/>
          <w:numId w:val="6"/>
        </w:numPr>
        <w:rPr>
          <w:rFonts w:ascii="Arial" w:cs="Arial" w:eastAsia="Arial" w:hAnsi="Arial"/>
          <w:sz w:val="20"/>
          <w:szCs w:val="20"/>
          <w:color w:val="auto"/>
        </w:rPr>
      </w:pPr>
      <w:r>
        <w:rPr>
          <w:rFonts w:ascii="Arial" w:cs="Arial" w:eastAsia="Arial" w:hAnsi="Arial"/>
          <w:sz w:val="20"/>
          <w:szCs w:val="20"/>
          <w:color w:val="auto"/>
        </w:rPr>
        <w:t>$97,500 payable in the form of a lump sum payment on the First Payment Date;</w:t>
      </w:r>
    </w:p>
    <w:p>
      <w:pPr>
        <w:spacing w:after="0" w:line="215" w:lineRule="exact"/>
        <w:rPr>
          <w:rFonts w:ascii="Arial" w:cs="Arial" w:eastAsia="Arial" w:hAnsi="Arial"/>
          <w:sz w:val="20"/>
          <w:szCs w:val="20"/>
          <w:color w:val="auto"/>
        </w:rPr>
      </w:pPr>
    </w:p>
    <w:p>
      <w:pPr>
        <w:ind w:firstLine="1305"/>
        <w:spacing w:after="0" w:line="272" w:lineRule="auto"/>
        <w:tabs>
          <w:tab w:leader="none" w:pos="1773"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Executive elects to receive continued medical, dental and/or vision coverage under one or more of the Company’s group healthcare plans pursuant to COBRA, the Company shall directly pay the COBRA premiums for Executive and Executive’s covered dependents under such plans during the period commencing on the Separation Date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Separation Date so long as such alteration does not increase the after-tax cost to Executive of such benefits; and</w:t>
      </w:r>
    </w:p>
    <w:p>
      <w:pPr>
        <w:spacing w:after="0" w:line="171" w:lineRule="exact"/>
        <w:rPr>
          <w:rFonts w:ascii="Arial" w:cs="Arial" w:eastAsia="Arial" w:hAnsi="Arial"/>
          <w:sz w:val="18"/>
          <w:szCs w:val="18"/>
          <w:color w:val="auto"/>
        </w:rPr>
      </w:pPr>
    </w:p>
    <w:p>
      <w:pPr>
        <w:ind w:right="120" w:firstLine="1305"/>
        <w:spacing w:after="0" w:line="244" w:lineRule="auto"/>
        <w:tabs>
          <w:tab w:leader="none" w:pos="1762" w:val="left"/>
        </w:tabs>
        <w:numPr>
          <w:ilvl w:val="1"/>
          <w:numId w:val="6"/>
        </w:numPr>
        <w:rPr>
          <w:rFonts w:ascii="Arial" w:cs="Arial" w:eastAsia="Arial" w:hAnsi="Arial"/>
          <w:sz w:val="20"/>
          <w:szCs w:val="20"/>
          <w:color w:val="auto"/>
        </w:rPr>
      </w:pPr>
      <w:r>
        <w:rPr>
          <w:rFonts w:ascii="Arial" w:cs="Arial" w:eastAsia="Arial" w:hAnsi="Arial"/>
          <w:sz w:val="20"/>
          <w:szCs w:val="20"/>
          <w:color w:val="auto"/>
        </w:rPr>
        <w:t>immediate vesting of any outstanding unvested stock options held by Executive as of the Separation Date that would have vested based solely on Executive’s continued service if Executive had continued providing services over the Severance Period and the right to exercise any vested stock options (after giving effect to the foregoing accelerated vesting) held by Executive as of the Separation Date shall be extended until March 31, 2020, subject in all events to earlier termination in connection with a corporate transaction or event in accordance with the terms of such stock options.</w:t>
      </w:r>
    </w:p>
    <w:p>
      <w:pPr>
        <w:spacing w:after="0" w:line="195" w:lineRule="exact"/>
        <w:rPr>
          <w:sz w:val="20"/>
          <w:szCs w:val="20"/>
          <w:color w:val="auto"/>
        </w:rPr>
      </w:pPr>
    </w:p>
    <w:p>
      <w:pPr>
        <w:ind w:right="140" w:firstLine="656"/>
        <w:spacing w:after="0" w:line="309" w:lineRule="auto"/>
        <w:tabs>
          <w:tab w:leader="none" w:pos="977"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(collectively, the “Employee Parties”),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including, without limitation:</w:t>
      </w:r>
    </w:p>
    <w:p>
      <w:pPr>
        <w:sectPr>
          <w:pgSz w:w="11900" w:h="16838" w:orient="portrait"/>
          <w:cols w:equalWidth="0" w:num="1">
            <w:col w:w="11380"/>
          </w:cols>
          <w:pgMar w:left="240" w:top="798" w:right="279" w:bottom="1440" w:gutter="0" w:footer="0" w:header="0"/>
        </w:sectPr>
      </w:pPr>
    </w:p>
    <w:bookmarkStart w:id="5" w:name="page6"/>
    <w:bookmarkEnd w:id="5"/>
    <w:p>
      <w:pPr>
        <w:ind w:right="80" w:firstLine="1305"/>
        <w:spacing w:after="0" w:line="260" w:lineRule="auto"/>
        <w:tabs>
          <w:tab w:leader="none" w:pos="1696"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76" w:lineRule="exact"/>
        <w:rPr>
          <w:rFonts w:ascii="Arial" w:cs="Arial" w:eastAsia="Arial" w:hAnsi="Arial"/>
          <w:sz w:val="20"/>
          <w:szCs w:val="20"/>
          <w:color w:val="auto"/>
        </w:rPr>
      </w:pPr>
    </w:p>
    <w:p>
      <w:pPr>
        <w:ind w:right="180" w:firstLine="1305"/>
        <w:spacing w:after="0" w:line="291" w:lineRule="auto"/>
        <w:tabs>
          <w:tab w:leader="none" w:pos="1707"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1" w:lineRule="exact"/>
        <w:rPr>
          <w:rFonts w:ascii="Arial" w:cs="Arial" w:eastAsia="Arial" w:hAnsi="Arial"/>
          <w:sz w:val="18"/>
          <w:szCs w:val="18"/>
          <w:color w:val="auto"/>
        </w:rPr>
      </w:pPr>
    </w:p>
    <w:p>
      <w:pPr>
        <w:ind w:right="380" w:firstLine="1305"/>
        <w:spacing w:after="0" w:line="278" w:lineRule="auto"/>
        <w:tabs>
          <w:tab w:leader="none" w:pos="1696"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5" w:lineRule="exact"/>
        <w:rPr>
          <w:rFonts w:ascii="Arial" w:cs="Arial" w:eastAsia="Arial" w:hAnsi="Arial"/>
          <w:sz w:val="18"/>
          <w:szCs w:val="18"/>
          <w:color w:val="auto"/>
        </w:rPr>
      </w:pPr>
    </w:p>
    <w:p>
      <w:pPr>
        <w:ind w:right="120" w:firstLine="1305"/>
        <w:spacing w:after="0" w:line="244" w:lineRule="auto"/>
        <w:tabs>
          <w:tab w:leader="none" w:pos="1707"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94" w:lineRule="exact"/>
        <w:rPr>
          <w:rFonts w:ascii="Arial" w:cs="Arial" w:eastAsia="Arial" w:hAnsi="Arial"/>
          <w:sz w:val="20"/>
          <w:szCs w:val="20"/>
          <w:color w:val="auto"/>
        </w:rPr>
      </w:pPr>
    </w:p>
    <w:p>
      <w:pPr>
        <w:ind w:left="1700" w:hanging="395"/>
        <w:spacing w:after="0"/>
        <w:tabs>
          <w:tab w:leader="none" w:pos="1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38" w:lineRule="exact"/>
        <w:rPr>
          <w:rFonts w:ascii="Arial" w:cs="Arial" w:eastAsia="Arial" w:hAnsi="Arial"/>
          <w:sz w:val="18"/>
          <w:szCs w:val="18"/>
          <w:color w:val="auto"/>
        </w:rPr>
      </w:pPr>
    </w:p>
    <w:p>
      <w:pPr>
        <w:ind w:right="760" w:firstLine="1305"/>
        <w:spacing w:after="0" w:line="260" w:lineRule="auto"/>
        <w:tabs>
          <w:tab w:leader="none" w:pos="1707"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6" w:lineRule="exact"/>
        <w:rPr>
          <w:rFonts w:ascii="Arial" w:cs="Arial" w:eastAsia="Arial" w:hAnsi="Arial"/>
          <w:sz w:val="20"/>
          <w:szCs w:val="20"/>
          <w:color w:val="auto"/>
        </w:rPr>
      </w:pPr>
    </w:p>
    <w:p>
      <w:pPr>
        <w:ind w:firstLine="1305"/>
        <w:spacing w:after="0" w:line="250" w:lineRule="auto"/>
        <w:tabs>
          <w:tab w:leader="none" w:pos="1707"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and all claims arising out of the wage and hour and wage payment laws and regulations of the state or states in which Executive has provided service to the Company or any of its affiliates (including without limitation the Massachusetts Payment of Wages Law); and</w:t>
      </w:r>
    </w:p>
    <w:p>
      <w:pPr>
        <w:spacing w:after="0" w:line="186" w:lineRule="exact"/>
        <w:rPr>
          <w:rFonts w:ascii="Arial" w:cs="Arial" w:eastAsia="Arial" w:hAnsi="Arial"/>
          <w:sz w:val="20"/>
          <w:szCs w:val="20"/>
          <w:color w:val="auto"/>
        </w:rPr>
      </w:pPr>
    </w:p>
    <w:p>
      <w:pPr>
        <w:ind w:left="1680" w:hanging="375"/>
        <w:spacing w:after="0"/>
        <w:tabs>
          <w:tab w:leader="none" w:pos="1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16" w:lineRule="exact"/>
        <w:rPr>
          <w:sz w:val="20"/>
          <w:szCs w:val="20"/>
          <w:color w:val="auto"/>
        </w:rPr>
      </w:pPr>
    </w:p>
    <w:p>
      <w:pPr>
        <w:ind w:right="120"/>
        <w:spacing w:after="0" w:line="255"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such governmental agency or entity),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other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rights under applicable law, and any Retained Claims.</w:t>
      </w:r>
    </w:p>
    <w:p>
      <w:pPr>
        <w:sectPr>
          <w:pgSz w:w="11900" w:h="16838" w:orient="portrait"/>
          <w:cols w:equalWidth="0" w:num="1">
            <w:col w:w="11400"/>
          </w:cols>
          <w:pgMar w:left="240" w:top="798" w:right="259" w:bottom="1440" w:gutter="0" w:footer="0" w:header="0"/>
        </w:sectPr>
      </w:pPr>
    </w:p>
    <w:bookmarkStart w:id="6" w:name="page7"/>
    <w:bookmarkEnd w:id="6"/>
    <w:p>
      <w:pPr>
        <w:ind w:right="40" w:firstLine="656"/>
        <w:spacing w:after="0" w:line="268" w:lineRule="auto"/>
        <w:tabs>
          <w:tab w:leader="none" w:pos="977"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Whistleblower Protections; Trade Secrets</w:t>
      </w:r>
      <w:r>
        <w:rPr>
          <w:rFonts w:ascii="Arial" w:cs="Arial" w:eastAsia="Arial" w:hAnsi="Arial"/>
          <w:sz w:val="18"/>
          <w:szCs w:val="18"/>
          <w:color w:val="auto"/>
        </w:rPr>
        <w:t>. Nothing in this Agreement, the Restrictive Covenant Agreement or any other prior agreement between Executive and the Company (together, the “Subject Documents”) prevents Executive from reporting possible violations of law or regulation to any governmental agency or entity in accordance with Section 21F of the Securities Exchange Act of 1934,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any Subject Document: (a) Executive shall not be in breach of any Subject Document,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w:t>
      </w:r>
    </w:p>
    <w:p>
      <w:pPr>
        <w:spacing w:after="0" w:line="3" w:lineRule="exact"/>
        <w:rPr>
          <w:rFonts w:ascii="Arial" w:cs="Arial" w:eastAsia="Arial" w:hAnsi="Arial"/>
          <w:sz w:val="18"/>
          <w:szCs w:val="18"/>
          <w:color w:val="auto"/>
        </w:rPr>
      </w:pPr>
    </w:p>
    <w:p>
      <w:pPr>
        <w:jc w:val="both"/>
        <w:ind w:firstLine="8"/>
        <w:spacing w:after="0" w:line="276" w:lineRule="auto"/>
        <w:tabs>
          <w:tab w:leader="none" w:pos="2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66" w:lineRule="exact"/>
        <w:rPr>
          <w:rFonts w:ascii="Arial" w:cs="Arial" w:eastAsia="Arial" w:hAnsi="Arial"/>
          <w:sz w:val="18"/>
          <w:szCs w:val="18"/>
          <w:color w:val="auto"/>
        </w:rPr>
      </w:pPr>
    </w:p>
    <w:p>
      <w:pPr>
        <w:jc w:val="both"/>
        <w:ind w:right="140" w:firstLine="656"/>
        <w:spacing w:after="0" w:line="250" w:lineRule="auto"/>
        <w:tabs>
          <w:tab w:leader="none" w:pos="977" w:val="left"/>
        </w:tabs>
        <w:numPr>
          <w:ilvl w:val="1"/>
          <w:numId w:val="1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6" w:lineRule="exact"/>
        <w:rPr>
          <w:rFonts w:ascii="Arial" w:cs="Arial" w:eastAsia="Arial" w:hAnsi="Arial"/>
          <w:sz w:val="20"/>
          <w:szCs w:val="20"/>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a writing signed by Executive and a duly authorized officer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199" w:lineRule="exact"/>
        <w:rPr>
          <w:rFonts w:ascii="Arial" w:cs="Arial" w:eastAsia="Arial" w:hAnsi="Arial"/>
          <w:sz w:val="18"/>
          <w:szCs w:val="18"/>
          <w:color w:val="auto"/>
        </w:rPr>
      </w:pPr>
    </w:p>
    <w:p>
      <w:pPr>
        <w:ind w:right="80" w:firstLine="656"/>
        <w:spacing w:after="0" w:line="263" w:lineRule="auto"/>
        <w:tabs>
          <w:tab w:leader="none" w:pos="977"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76" w:lineRule="exact"/>
        <w:rPr>
          <w:rFonts w:ascii="Arial" w:cs="Arial" w:eastAsia="Arial" w:hAnsi="Arial"/>
          <w:sz w:val="19"/>
          <w:szCs w:val="19"/>
          <w:color w:val="auto"/>
        </w:rPr>
      </w:pPr>
    </w:p>
    <w:p>
      <w:pPr>
        <w:ind w:right="280" w:firstLine="656"/>
        <w:spacing w:after="0" w:line="250" w:lineRule="auto"/>
        <w:tabs>
          <w:tab w:leader="none" w:pos="977" w:val="left"/>
        </w:tabs>
        <w:numPr>
          <w:ilvl w:val="1"/>
          <w:numId w:val="1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86" w:lineRule="exact"/>
        <w:rPr>
          <w:sz w:val="20"/>
          <w:szCs w:val="20"/>
          <w:color w:val="auto"/>
        </w:rPr>
      </w:pPr>
    </w:p>
    <w:p>
      <w:pPr>
        <w:ind w:right="320" w:firstLine="656"/>
        <w:spacing w:after="0" w:line="260" w:lineRule="auto"/>
        <w:tabs>
          <w:tab w:leader="none" w:pos="1066" w:val="left"/>
        </w:tabs>
        <w:numPr>
          <w:ilvl w:val="0"/>
          <w:numId w:val="11"/>
        </w:numPr>
        <w:rPr>
          <w:rFonts w:ascii="Arial" w:cs="Arial" w:eastAsia="Arial" w:hAnsi="Arial"/>
          <w:sz w:val="20"/>
          <w:szCs w:val="20"/>
          <w:color w:val="auto"/>
        </w:rPr>
      </w:pPr>
      <w:r>
        <w:rPr>
          <w:rFonts w:ascii="Arial" w:cs="Arial" w:eastAsia="Arial" w:hAnsi="Arial"/>
          <w:sz w:val="20"/>
          <w:szCs w:val="20"/>
          <w:color w:val="auto"/>
        </w:rPr>
        <w:t>If to the Company, to the General Counsel of the Company at the Company’s headquarters, or, if the Company does not have a General Counsel, to the Legal Department of the Company,</w:t>
      </w:r>
    </w:p>
    <w:p>
      <w:pPr>
        <w:spacing w:after="0" w:line="176" w:lineRule="exact"/>
        <w:rPr>
          <w:rFonts w:ascii="Arial" w:cs="Arial" w:eastAsia="Arial" w:hAnsi="Arial"/>
          <w:sz w:val="20"/>
          <w:szCs w:val="20"/>
          <w:color w:val="auto"/>
        </w:rPr>
      </w:pPr>
    </w:p>
    <w:p>
      <w:pPr>
        <w:ind w:left="1080" w:hanging="424"/>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If to Executive, to the last address that the Company has in its personnel records for Executive, or</w:t>
      </w:r>
    </w:p>
    <w:p>
      <w:pPr>
        <w:spacing w:after="0" w:line="215" w:lineRule="exact"/>
        <w:rPr>
          <w:rFonts w:ascii="Arial" w:cs="Arial" w:eastAsia="Arial" w:hAnsi="Arial"/>
          <w:sz w:val="20"/>
          <w:szCs w:val="20"/>
          <w:color w:val="auto"/>
        </w:rPr>
      </w:pPr>
    </w:p>
    <w:p>
      <w:pPr>
        <w:ind w:left="1080" w:hanging="424"/>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at any other address as any Party shall have specified by notice in writing to the other Party.</w:t>
      </w:r>
    </w:p>
    <w:p>
      <w:pPr>
        <w:spacing w:after="0" w:line="216" w:lineRule="exact"/>
        <w:rPr>
          <w:sz w:val="20"/>
          <w:szCs w:val="20"/>
          <w:color w:val="auto"/>
        </w:rPr>
      </w:pPr>
    </w:p>
    <w:p>
      <w:pPr>
        <w:ind w:right="40" w:firstLine="656"/>
        <w:spacing w:after="0" w:line="258" w:lineRule="auto"/>
        <w:tabs>
          <w:tab w:leader="none" w:pos="977"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79" w:lineRule="exact"/>
        <w:rPr>
          <w:rFonts w:ascii="Arial" w:cs="Arial" w:eastAsia="Arial" w:hAnsi="Arial"/>
          <w:sz w:val="19"/>
          <w:szCs w:val="19"/>
          <w:color w:val="auto"/>
        </w:rPr>
      </w:pPr>
    </w:p>
    <w:p>
      <w:pPr>
        <w:ind w:right="460" w:firstLine="656"/>
        <w:spacing w:after="0" w:line="260" w:lineRule="auto"/>
        <w:tabs>
          <w:tab w:leader="none" w:pos="1076"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Restrictive Covenant Agreement</w:t>
      </w:r>
      <w:r>
        <w:rPr>
          <w:rFonts w:ascii="Arial" w:cs="Arial" w:eastAsia="Arial" w:hAnsi="Arial"/>
          <w:sz w:val="20"/>
          <w:szCs w:val="20"/>
          <w:color w:val="auto"/>
        </w:rPr>
        <w:t>. Executive agrees to continue to abide by the terms of the Restrictive Covenant Agreement, which are hereby incorporated by reference into this Agreement. Executive</w:t>
      </w:r>
    </w:p>
    <w:p>
      <w:pPr>
        <w:sectPr>
          <w:pgSz w:w="11900" w:h="16838" w:orient="portrait"/>
          <w:cols w:equalWidth="0" w:num="1">
            <w:col w:w="11420"/>
          </w:cols>
          <w:pgMar w:left="240" w:top="798" w:right="239" w:bottom="1440" w:gutter="0" w:footer="0" w:header="0"/>
        </w:sectPr>
      </w:pPr>
    </w:p>
    <w:bookmarkStart w:id="7" w:name="page8"/>
    <w:bookmarkEnd w:id="7"/>
    <w:p>
      <w:pPr>
        <w:ind w:right="140"/>
        <w:spacing w:after="0" w:line="260" w:lineRule="auto"/>
        <w:rPr>
          <w:sz w:val="20"/>
          <w:szCs w:val="20"/>
          <w:color w:val="auto"/>
        </w:rPr>
      </w:pPr>
      <w:r>
        <w:rPr>
          <w:rFonts w:ascii="Arial" w:cs="Arial" w:eastAsia="Arial" w:hAnsi="Arial"/>
          <w:sz w:val="20"/>
          <w:szCs w:val="20"/>
          <w:color w:val="auto"/>
        </w:rPr>
        <w:t>acknowledges that Executive’s obligations under the Restrictive Covenant Agreement will survive the termination of Executive’s employment for the periods set forth in the Restrictive Covenant Agreement.</w:t>
      </w:r>
    </w:p>
    <w:p>
      <w:pPr>
        <w:spacing w:after="0" w:line="177" w:lineRule="exact"/>
        <w:rPr>
          <w:sz w:val="20"/>
          <w:szCs w:val="20"/>
          <w:color w:val="auto"/>
        </w:rPr>
      </w:pPr>
    </w:p>
    <w:p>
      <w:pPr>
        <w:ind w:right="120" w:firstLine="656"/>
        <w:spacing w:after="0" w:line="316" w:lineRule="auto"/>
        <w:tabs>
          <w:tab w:leader="none" w:pos="106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withhold from any amounts payable to Executive hereunder all federal, state, city or other taxes or deductions that the Company reasonably determines are required to be withheld pursuant to any applicable law or regulation.</w:t>
      </w:r>
    </w:p>
    <w:p>
      <w:pPr>
        <w:spacing w:after="0" w:line="130" w:lineRule="exact"/>
        <w:rPr>
          <w:rFonts w:ascii="Arial" w:cs="Arial" w:eastAsia="Arial" w:hAnsi="Arial"/>
          <w:sz w:val="18"/>
          <w:szCs w:val="18"/>
          <w:color w:val="auto"/>
        </w:rPr>
      </w:pPr>
    </w:p>
    <w:p>
      <w:pPr>
        <w:ind w:right="20" w:firstLine="656"/>
        <w:spacing w:after="0" w:line="243" w:lineRule="auto"/>
        <w:tabs>
          <w:tab w:leader="none" w:pos="1076"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Notwithstanding anything in this Agreement to the contrary, any compensation payable under this Agreement that is designated as payable upon Executive’s termination of employment will be payable only upon Executive’s “separation from service” with the Company within the meaning of Section 409A of the Internal Revenue Code of 1986, as amended, and the regulations and guidance promulgated thereunder (“Section 409A”). Executive’s right to receive any installment payments under this Agreement will be treated as a right to receive a series of separate payments and each such installment payment will at all times be considered a separate and distinct payment as permitted under Section 409A.</w:t>
      </w:r>
    </w:p>
    <w:p>
      <w:pPr>
        <w:spacing w:after="0" w:line="205" w:lineRule="exact"/>
        <w:rPr>
          <w:rFonts w:ascii="Arial" w:cs="Arial" w:eastAsia="Arial" w:hAnsi="Arial"/>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280G</w:t>
      </w:r>
      <w:r>
        <w:rPr>
          <w:rFonts w:ascii="Arial" w:cs="Arial" w:eastAsia="Arial" w:hAnsi="Arial"/>
          <w:sz w:val="18"/>
          <w:szCs w:val="18"/>
          <w:color w:val="auto"/>
        </w:rPr>
        <w:t xml:space="preserve">. This Agreement shall be subject to the provisions of Section 8 of the Employment Agreement,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366" w:lineRule="exact"/>
        <w:rPr>
          <w:rFonts w:ascii="Arial" w:cs="Arial" w:eastAsia="Arial" w:hAnsi="Arial"/>
          <w:sz w:val="18"/>
          <w:szCs w:val="18"/>
          <w:color w:val="auto"/>
        </w:rPr>
      </w:pPr>
    </w:p>
    <w:p>
      <w:pPr>
        <w:ind w:firstLine="656"/>
        <w:spacing w:after="0" w:line="273" w:lineRule="auto"/>
        <w:tabs>
          <w:tab w:leader="none" w:pos="107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Entire Agreement; Counterparts</w:t>
      </w:r>
      <w:r>
        <w:rPr>
          <w:rFonts w:ascii="Arial" w:cs="Arial" w:eastAsia="Arial" w:hAnsi="Arial"/>
          <w:sz w:val="18"/>
          <w:szCs w:val="18"/>
          <w:color w:val="auto"/>
        </w:rPr>
        <w:t>. This Agreement, together with the Restrictive Covenant Agreement, sets forth the entire agreement between the Parties hereto and supersedes any prior agreements or understandings between the Parties pertaining to the subject matter hereof, including without limitation the Employment Agreement. The failure of any Party at any time to require the performance by any other Party of any provision hereof will in no way affect the full right to require such performance at any time thereafter, nor will the waiver by any Party of a breach of any provision of this Agreement be taken or held to be a waiver of any succeeding breach of such provision or a waiver of the provision itself or a waiver of any other provision of this Agreement. This Agreement may be executed in counterparts, each of which will be deemed an original but together will constitute one document. Delivery of an executed counterpart of a signature page to this Agreement by facsimile or email transmission will be effective for all purposes.</w:t>
      </w:r>
    </w:p>
    <w:p>
      <w:pPr>
        <w:sectPr>
          <w:pgSz w:w="11900" w:h="16838" w:orient="portrait"/>
          <w:cols w:equalWidth="0" w:num="1">
            <w:col w:w="11420"/>
          </w:cols>
          <w:pgMar w:left="240" w:top="798" w:right="239" w:bottom="1440" w:gutter="0" w:footer="0" w:header="0"/>
        </w:sectPr>
      </w:pPr>
    </w:p>
    <w:bookmarkStart w:id="8" w:name="page9"/>
    <w:bookmarkEnd w:id="8"/>
    <w:p>
      <w:pPr>
        <w:ind w:left="100"/>
        <w:spacing w:after="0"/>
        <w:rPr>
          <w:sz w:val="20"/>
          <w:szCs w:val="20"/>
          <w:color w:val="auto"/>
        </w:rPr>
      </w:pPr>
      <w:r>
        <w:rPr>
          <w:rFonts w:ascii="Arial" w:cs="Arial" w:eastAsia="Arial" w:hAnsi="Arial"/>
          <w:sz w:val="20"/>
          <w:szCs w:val="20"/>
          <w:color w:val="auto"/>
        </w:rPr>
        <w:t>IN WITNESS WHEREOF, the Parties have executed this Agreement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27305</wp:posOffset>
            </wp:positionV>
            <wp:extent cx="3610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7"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John Leaman, M.D.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560"/>
        <w:spacing w:after="0"/>
        <w:tabs>
          <w:tab w:leader="none" w:pos="49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27305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7"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Name: Carsten Brunn, Ph.D.</w:t>
      </w:r>
    </w:p>
    <w:p>
      <w:pPr>
        <w:spacing w:after="0" w:line="54" w:lineRule="exact"/>
        <w:rPr>
          <w:sz w:val="20"/>
          <w:szCs w:val="20"/>
          <w:color w:val="auto"/>
        </w:rPr>
      </w:pPr>
    </w:p>
    <w:p>
      <w:pPr>
        <w:jc w:val="right"/>
        <w:ind w:right="519"/>
        <w:spacing w:after="0"/>
        <w:rPr>
          <w:sz w:val="20"/>
          <w:szCs w:val="20"/>
          <w:color w:val="auto"/>
        </w:rPr>
      </w:pPr>
      <w:r>
        <w:rPr>
          <w:rFonts w:ascii="Arial" w:cs="Arial" w:eastAsia="Arial" w:hAnsi="Arial"/>
          <w:sz w:val="20"/>
          <w:szCs w:val="20"/>
          <w:color w:val="auto"/>
        </w:rPr>
        <w:t>Title: President and Chief Executive Officer</w:t>
      </w:r>
    </w:p>
    <w:p>
      <w:pPr>
        <w:sectPr>
          <w:pgSz w:w="11900" w:h="16838" w:orient="portrait"/>
          <w:cols w:equalWidth="0" w:num="1">
            <w:col w:w="9019"/>
          </w:cols>
          <w:pgMar w:left="1440" w:top="798"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u w:val="single" w:color="auto"/>
          <w:color w:val="auto"/>
        </w:rPr>
        <w:t>Addendum 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of Claims</w:t>
      </w:r>
    </w:p>
    <w:p>
      <w:pPr>
        <w:spacing w:after="0" w:line="22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Reference is made to the Transition Agreement and Release, dated as of March 6, 2019, to which this Release of Claims is attached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but not defined in this Release of Claims will have the meanings given to them in the Agreement.</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For and in consideration of the payment to me of the benefits described in Section 2(b) of the Agreement, I, on my own behalf and on behalf of the Employee Parties, hereby and forever release the Releasees from, and agree not to sue concerning, or in any manner to institute, prosecute, or pursue, any claim, complaint, charge, duty, obligation, or cause of action relating to any matters of any kind, whether presently known or unknown, suspected or unsuspected, that I may possess against any of the Releasees arising from any omissions, acts, facts, or damages that have occurred up until and including the date I execute this Release of Claims, provided that this Release of Claims does not release claims that cannot be released as a matter of law, including, but not limited to, my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such governmental agency or entity), my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my release of claims herein bars me from recovering monetary or other individual relief from the Company or any other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of the Separation Date, pursuant to written terms of any employee benefit plan of the Company or its affiliates and my rights under applicable law, and any Retained Claims (collectively, the “</w:t>
      </w:r>
      <w:r>
        <w:rPr>
          <w:rFonts w:ascii="Arial" w:cs="Arial" w:eastAsia="Arial" w:hAnsi="Arial"/>
          <w:sz w:val="18"/>
          <w:szCs w:val="18"/>
          <w:u w:val="single" w:color="auto"/>
          <w:color w:val="auto"/>
        </w:rPr>
        <w:t>Executive’s Retained Claims</w:t>
      </w:r>
      <w:r>
        <w:rPr>
          <w:rFonts w:ascii="Arial" w:cs="Arial" w:eastAsia="Arial" w:hAnsi="Arial"/>
          <w:sz w:val="18"/>
          <w:szCs w:val="18"/>
          <w:color w:val="auto"/>
        </w:rPr>
        <w:t>”).</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I have read this Release of Claims carefully and have been advised to consult with any attorney and any other advisors of my choice prior to executing this Release of Claims, and I fully understand that by signing below I am voluntarily giving up any right which I may have to sue or bring any claims against the Releasees other than the Executive’s Retained Claims. I understand and acknowledge that I am waiving and releasing any rights that I may have under the Age Discrimination in Employment Act of 1967 (the “</w:t>
      </w:r>
      <w:r>
        <w:rPr>
          <w:rFonts w:ascii="Arial" w:cs="Arial" w:eastAsia="Arial" w:hAnsi="Arial"/>
          <w:sz w:val="19"/>
          <w:szCs w:val="19"/>
          <w:u w:val="single" w:color="auto"/>
          <w:color w:val="auto"/>
        </w:rPr>
        <w:t>ADEA</w:t>
      </w:r>
      <w:r>
        <w:rPr>
          <w:rFonts w:ascii="Arial" w:cs="Arial" w:eastAsia="Arial" w:hAnsi="Arial"/>
          <w:sz w:val="19"/>
          <w:szCs w:val="19"/>
          <w:color w:val="auto"/>
        </w:rPr>
        <w:t>”), and that this waiver and release is knowing and voluntary. I understand and agree that this Release of Claims does not apply to any rights or claims that may arise under the ADEA after the date I sign this Release of Claims. I understand and acknowledge that the consideration given for this Release of Claims is in addition to anything of value to which I was already entitled. I further understand and acknowledge that I have been advised by this writing that: (a) I have 21 days within which to consider this Release of Claims; (b) I have 7 days following my execution of this Release of Claims to revoke this Release of Claims by delivering written notice to the Company; (c) this Release of Claims will not be effective until after the foregoing revocation period has expired; and (d) nothing in this Release of Claims prevents or precludes me from challenging or seeking a determination in good faith of the validity of this waiver under the ADEA, nor does it impose any condition precedent, penalties, or costs for doing so, unless specifically authorized by federal law. In the event that I sign this Release of Claims and return it to the Company in less than the 21 day period identified above, I hereby acknowledge that I have freely and voluntarily chosen to waive the time period allotted for considering this Release of Claims. I have not been forced or pressured in any manner to sign this Release of Claims, and I agree to all of its terms voluntarily.</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This Release of Claims is final and binding and may only be amended in a writing signed by me and a duly authorized officer of the Company. Sections 7, 8 and 9 of the Agreement will apply to this Release of Claims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ectPr>
          <w:pgSz w:w="11900" w:h="16838" w:orient="portrait"/>
          <w:cols w:equalWidth="0" w:num="1">
            <w:col w:w="11420"/>
          </w:cols>
          <w:pgMar w:left="240" w:top="792" w:right="239" w:bottom="1440" w:gutter="0" w:footer="0" w:header="0"/>
        </w:sectPr>
      </w:pPr>
    </w:p>
    <w:bookmarkStart w:id="10" w:name="page11"/>
    <w:bookmarkEnd w:id="10"/>
    <w:p>
      <w:pPr>
        <w:ind w:firstLine="648"/>
        <w:spacing w:after="0" w:line="260" w:lineRule="auto"/>
        <w:rPr>
          <w:sz w:val="20"/>
          <w:szCs w:val="20"/>
          <w:color w:val="auto"/>
        </w:rPr>
      </w:pPr>
      <w:r>
        <w:rPr>
          <w:rFonts w:ascii="Arial" w:cs="Arial" w:eastAsia="Arial" w:hAnsi="Arial"/>
          <w:sz w:val="20"/>
          <w:szCs w:val="20"/>
          <w:color w:val="auto"/>
        </w:rPr>
        <w:t>For the avoidance of doubt, this Release of Claims does not replace or in any way limit the general release and waiver in Section 3 of the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Executed: March 6, 2019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John Leaman, M.D.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John Leaman, M.D.</w:t>
      </w:r>
    </w:p>
    <w:sectPr>
      <w:pgSz w:w="11900" w:h="16838" w:orient="portrait"/>
      <w:cols w:equalWidth="0" w:num="1">
        <w:col w:w="11420"/>
      </w:cols>
      <w:pgMar w:left="240" w:top="7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2"/>
    </w:lvl>
    <w:lvl w:ilvl="1">
      <w:lvlJc w:val="left"/>
      <w:lvlText w:val="(%2)"/>
      <w:numFmt w:val="lowerRoman"/>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lvl w:ilvl="1">
      <w:lvlJc w:val="left"/>
      <w:lvlText w:val="%2."/>
      <w:numFmt w:val="decimal"/>
      <w:start w:val="4"/>
    </w:lvl>
  </w:abstractNum>
  <w:abstractNum w:abstractNumId="9">
    <w:nsid w:val="1190CDE7"/>
    <w:multiLevelType w:val="hybridMultilevel"/>
    <w:lvl w:ilvl="0">
      <w:lvlJc w:val="left"/>
      <w:lvlText w:val="(%1)"/>
      <w:numFmt w:val="lowerRoman"/>
      <w:start w:val="2"/>
    </w:lvl>
    <w:lvl w:ilvl="1">
      <w:lvlJc w:val="left"/>
      <w:lvlText w:val="%2."/>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2019-12-28T14:28:32Z</dcterms:created>
  <dcterms:modified xsi:type="dcterms:W3CDTF">2019-12-28T14:28:32Z</dcterms:modified>
</cp:coreProperties>
</file>