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April 30, 2026</w:t>
      </w:r>
    </w:p>
    <w:p>
      <w:pPr>
        <w:spacing w:after="0" w:line="25" w:lineRule="exact"/>
        <w:rPr>
          <w:sz w:val="24"/>
          <w:szCs w:val="24"/>
          <w:color w:val="auto"/>
        </w:rPr>
      </w:pPr>
    </w:p>
    <w:p>
      <w:pPr>
        <w:ind w:left="9360"/>
        <w:spacing w:after="0"/>
        <w:rPr>
          <w:sz w:val="20"/>
          <w:szCs w:val="20"/>
          <w:color w:val="auto"/>
        </w:rPr>
      </w:pPr>
      <w:r>
        <w:rPr>
          <w:rFonts w:ascii="Times New Roman" w:cs="Times New Roman" w:eastAsia="Times New Roman" w:hAnsi="Times New Roman"/>
          <w:sz w:val="16"/>
          <w:szCs w:val="16"/>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111760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77470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CARTESIAN THERAPEUTICS,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79"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42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26-1622110</w:t>
            </w:r>
          </w:p>
        </w:tc>
      </w:tr>
      <w:tr>
        <w:trPr>
          <w:trHeight w:val="168"/>
        </w:trPr>
        <w:tc>
          <w:tcPr>
            <w:tcW w:w="4420" w:type="dxa"/>
            <w:vAlign w:val="bottom"/>
          </w:tcPr>
          <w:p>
            <w:pPr>
              <w:jc w:val="center"/>
              <w:ind w:right="1799"/>
              <w:spacing w:after="0" w:line="168" w:lineRule="exact"/>
              <w:rPr>
                <w:sz w:val="20"/>
                <w:szCs w:val="20"/>
                <w:color w:val="auto"/>
              </w:rPr>
            </w:pPr>
            <w:r>
              <w:rPr>
                <w:rFonts w:ascii="Times New Roman" w:cs="Times New Roman" w:eastAsia="Times New Roman" w:hAnsi="Times New Roman"/>
                <w:sz w:val="16"/>
                <w:szCs w:val="16"/>
                <w:color w:val="auto"/>
              </w:rPr>
              <w:t>(State or other jurisdiction</w:t>
            </w:r>
          </w:p>
        </w:tc>
        <w:tc>
          <w:tcPr>
            <w:tcW w:w="3080" w:type="dxa"/>
            <w:vAlign w:val="bottom"/>
          </w:tcPr>
          <w:p>
            <w:pPr>
              <w:jc w:val="center"/>
              <w:ind w:left="177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70"/>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6"/>
                <w:szCs w:val="16"/>
                <w:b w:val="1"/>
                <w:bCs w:val="1"/>
                <w:color w:val="auto"/>
              </w:rPr>
              <w:t>7495 New Horizon Way</w:t>
            </w:r>
          </w:p>
        </w:tc>
        <w:tc>
          <w:tcPr>
            <w:tcW w:w="3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21703</w:t>
            </w:r>
          </w:p>
        </w:tc>
      </w:tr>
      <w:tr>
        <w:trPr>
          <w:trHeight w:val="212"/>
        </w:trPr>
        <w:tc>
          <w:tcPr>
            <w:tcW w:w="442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Frederick, Maryland</w:t>
            </w:r>
          </w:p>
        </w:tc>
        <w:tc>
          <w:tcPr>
            <w:tcW w:w="3080" w:type="dxa"/>
            <w:vAlign w:val="bottom"/>
          </w:tcPr>
          <w:p>
            <w:pPr>
              <w:spacing w:after="0"/>
              <w:rPr>
                <w:sz w:val="18"/>
                <w:szCs w:val="18"/>
                <w:color w:val="auto"/>
              </w:rPr>
            </w:pPr>
          </w:p>
        </w:tc>
      </w:tr>
      <w:tr>
        <w:trPr>
          <w:trHeight w:val="214"/>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080" w:type="dxa"/>
            <w:vAlign w:val="bottom"/>
          </w:tcPr>
          <w:p>
            <w:pPr>
              <w:jc w:val="center"/>
              <w:ind w:left="179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(301) 348-8698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(Telephone number, including area code, of registrant's principal executive offices)</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Amended and Restated 2016 Incentive Award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Carsten Brunn, Ph.D.</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7495 New Horizon Way</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Frederick, Maryland 21703</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223"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Brian K. Rosenzweig</w:t>
      </w:r>
    </w:p>
    <w:p>
      <w:pPr>
        <w:spacing w:after="0" w:line="2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Sarah C. Griffiths</w:t>
      </w:r>
    </w:p>
    <w:p>
      <w:pPr>
        <w:spacing w:after="0" w:line="1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Covington &amp; Burling LLP</w:t>
      </w:r>
    </w:p>
    <w:p>
      <w:pPr>
        <w:spacing w:after="0" w:line="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One International Place, Suite 1020</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Boston, Massachusetts 02110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(617) 603-8805</w:t>
      </w:r>
    </w:p>
    <w:p>
      <w:pPr>
        <w:spacing w:after="0" w:line="217" w:lineRule="exact"/>
        <w:rPr>
          <w:sz w:val="24"/>
          <w:szCs w:val="24"/>
          <w:color w:val="auto"/>
        </w:rPr>
      </w:pPr>
    </w:p>
    <w:p>
      <w:pPr>
        <w:ind w:right="8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w:t>
      </w:r>
    </w:p>
    <w:p>
      <w:pPr>
        <w:sectPr>
          <w:pgSz w:w="11900" w:h="16838" w:orient="portrait"/>
          <w:cols w:equalWidth="0" w:num="1">
            <w:col w:w="11240"/>
          </w:cols>
          <w:pgMar w:left="320" w:top="880" w:right="339" w:bottom="1440" w:gutter="0" w:footer="0" w:header="0"/>
        </w:sectPr>
      </w:pPr>
    </w:p>
    <w:p>
      <w:pPr>
        <w:spacing w:after="0" w:line="11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1" w:lineRule="exact"/>
        <w:rPr>
          <w:sz w:val="24"/>
          <w:szCs w:val="24"/>
          <w:color w:val="auto"/>
        </w:rPr>
      </w:pPr>
    </w:p>
    <w:p>
      <w:pPr>
        <w:sectPr>
          <w:pgSz w:w="11900" w:h="16838" w:orient="portrait"/>
          <w:cols w:equalWidth="0" w:num="4">
            <w:col w:w="3280" w:space="80"/>
            <w:col w:w="3000" w:space="720"/>
            <w:col w:w="1080" w:space="80"/>
            <w:col w:w="3000"/>
          </w:cols>
          <w:pgMar w:left="320" w:top="880"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w:t>
      </w:r>
    </w:p>
    <w:p>
      <w:pPr>
        <w:spacing w:after="0" w:line="51" w:lineRule="exact"/>
        <w:rPr>
          <w:sz w:val="24"/>
          <w:szCs w:val="24"/>
          <w:color w:val="auto"/>
        </w:rPr>
      </w:pPr>
    </w:p>
    <w:p>
      <w:pPr>
        <w:sectPr>
          <w:pgSz w:w="11900" w:h="16838" w:orient="portrait"/>
          <w:cols w:equalWidth="0" w:num="4">
            <w:col w:w="3280" w:space="100"/>
            <w:col w:w="2280" w:space="720"/>
            <w:col w:w="1780" w:space="80"/>
            <w:col w:w="3000"/>
          </w:cols>
          <w:pgMar w:left="320" w:top="880" w:right="339" w:bottom="1440" w:gutter="0" w:footer="0" w:header="0"/>
          <w:type w:val="continuous"/>
        </w:sectPr>
      </w:pPr>
    </w:p>
    <w:p>
      <w:pPr>
        <w:spacing w:after="0" w:line="6" w:lineRule="exact"/>
        <w:rPr>
          <w:sz w:val="24"/>
          <w:szCs w:val="24"/>
          <w:color w:val="auto"/>
        </w:rPr>
      </w:pPr>
    </w:p>
    <w:p>
      <w:pPr>
        <w:ind w:left="638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9" w:lineRule="exact"/>
        <w:rPr>
          <w:sz w:val="24"/>
          <w:szCs w:val="24"/>
          <w:color w:val="auto"/>
        </w:rPr>
      </w:pPr>
    </w:p>
    <w:p>
      <w:pPr>
        <w:sectPr>
          <w:pgSz w:w="11900" w:h="16838" w:orient="portrait"/>
          <w:cols w:equalWidth="0" w:num="2">
            <w:col w:w="8160" w:space="80"/>
            <w:col w:w="3000"/>
          </w:cols>
          <w:pgMar w:left="320" w:top="880" w:right="339" w:bottom="1440" w:gutter="0" w:footer="0" w:header="0"/>
          <w:type w:val="continuous"/>
        </w:sectPr>
      </w:pPr>
    </w:p>
    <w:p>
      <w:pPr>
        <w:ind w:right="260" w:firstLine="324"/>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type w:val="continuous"/>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08"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being filed for the purpose of registering an additional 1,040,444 shares of common stock, par value $0.0001 per share (the “Common Stock”), of Cartesian Therapeutics, Inc. (the “Registrant”) to be issued pursuant to the Registrant’s Amended and Restated 2016 Incentive Award Plan (the “Incentive Plan”).</w:t>
      </w:r>
    </w:p>
    <w:p>
      <w:pPr>
        <w:spacing w:after="0" w:line="200" w:lineRule="exact"/>
        <w:rPr>
          <w:sz w:val="20"/>
          <w:szCs w:val="20"/>
          <w:color w:val="auto"/>
        </w:rPr>
      </w:pPr>
    </w:p>
    <w:p>
      <w:pPr>
        <w:spacing w:after="0" w:line="3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320" w:top="873" w:right="57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documents filed with the Securities and Exchange Commission (the “Commission”) pursuant to the Securities Exchange Act of 1934, as amended (the “Exchange Act”), are hereby incorporated by reference into this registration statement:</w:t>
      </w:r>
    </w:p>
    <w:p>
      <w:pPr>
        <w:spacing w:after="0" w:line="176" w:lineRule="exact"/>
        <w:rPr>
          <w:sz w:val="20"/>
          <w:szCs w:val="20"/>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auto"/>
          </w:rPr>
          <w:t xml:space="preserve">The Registrant’s definitive proxy statement on Schedule 14A for the 2026 annual meeting of stockholders, filed with the Commission on </w:t>
        </w:r>
        <w:r>
          <w:rPr>
            <w:rFonts w:ascii="Times New Roman" w:cs="Times New Roman" w:eastAsia="Times New Roman" w:hAnsi="Times New Roman"/>
            <w:sz w:val="18"/>
            <w:szCs w:val="18"/>
            <w:u w:val="single" w:color="auto"/>
            <w:color w:val="0000FF"/>
          </w:rPr>
          <w:t>April 28,</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FF"/>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December 31, 2025, filed with the Commission on </w:t>
      </w:r>
      <w:hyperlink r:id="rId13">
        <w:r>
          <w:rPr>
            <w:rFonts w:ascii="Times New Roman" w:cs="Times New Roman" w:eastAsia="Times New Roman" w:hAnsi="Times New Roman"/>
            <w:sz w:val="18"/>
            <w:szCs w:val="18"/>
            <w:u w:val="single" w:color="auto"/>
            <w:color w:val="0000FF"/>
          </w:rPr>
          <w:t>March 9,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 ended March 31, 2025, filed with the Commission on </w:t>
      </w:r>
      <w:hyperlink r:id="rId14">
        <w:r>
          <w:rPr>
            <w:rFonts w:ascii="Times New Roman" w:cs="Times New Roman" w:eastAsia="Times New Roman" w:hAnsi="Times New Roman"/>
            <w:sz w:val="18"/>
            <w:szCs w:val="18"/>
            <w:u w:val="single" w:color="auto"/>
            <w:color w:val="0000FF"/>
          </w:rPr>
          <w:t>April 30, 2026</w:t>
        </w:r>
      </w:hyperlink>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 on Form 8-K filed with the Commission on </w:t>
      </w:r>
      <w:hyperlink r:id="rId15">
        <w:r>
          <w:rPr>
            <w:rFonts w:ascii="Times New Roman" w:cs="Times New Roman" w:eastAsia="Times New Roman" w:hAnsi="Times New Roman"/>
            <w:sz w:val="18"/>
            <w:szCs w:val="18"/>
            <w:u w:val="single" w:color="auto"/>
            <w:color w:val="0000FF"/>
          </w:rPr>
          <w:t>March 30, 202</w:t>
        </w:r>
        <w:r>
          <w:rPr>
            <w:rFonts w:ascii="Times New Roman" w:cs="Times New Roman" w:eastAsia="Times New Roman" w:hAnsi="Times New Roman"/>
            <w:sz w:val="18"/>
            <w:szCs w:val="18"/>
            <w:u w:val="single" w:color="auto"/>
            <w:color w:val="0000FF"/>
            <w:highlight w:val="white"/>
          </w:rPr>
          <w:t>6</w:t>
        </w:r>
      </w:hyperlink>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an</w:t>
      </w:r>
      <w:r>
        <w:rPr>
          <w:rFonts w:ascii="Times New Roman" w:cs="Times New Roman" w:eastAsia="Times New Roman" w:hAnsi="Times New Roman"/>
          <w:sz w:val="18"/>
          <w:szCs w:val="18"/>
          <w:color w:val="auto"/>
        </w:rPr>
        <w:t>d</w:t>
      </w:r>
    </w:p>
    <w:p>
      <w:pPr>
        <w:spacing w:after="0" w:line="225" w:lineRule="exact"/>
        <w:rPr>
          <w:rFonts w:ascii="Times New Roman" w:cs="Times New Roman" w:eastAsia="Times New Roman" w:hAnsi="Times New Roman"/>
          <w:sz w:val="18"/>
          <w:szCs w:val="18"/>
          <w:color w:val="auto"/>
        </w:rPr>
      </w:pPr>
    </w:p>
    <w:p>
      <w:pPr>
        <w:ind w:left="660" w:right="460" w:hanging="328"/>
        <w:spacing w:after="0" w:line="312" w:lineRule="auto"/>
        <w:tabs>
          <w:tab w:leader="none" w:pos="6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contained in Exhibit 4.12 to the Registrant’s Annual Report on Form 10-K, filed with the Commission on </w:t>
      </w:r>
      <w:hyperlink r:id="rId16">
        <w:r>
          <w:rPr>
            <w:rFonts w:ascii="Times New Roman" w:cs="Times New Roman" w:eastAsia="Times New Roman" w:hAnsi="Times New Roman"/>
            <w:sz w:val="17"/>
            <w:szCs w:val="17"/>
            <w:u w:val="single" w:color="auto"/>
            <w:color w:val="0000FF"/>
          </w:rPr>
          <w:t>March 9, 2026</w:t>
        </w:r>
      </w:hyperlink>
      <w:r>
        <w:rPr>
          <w:rFonts w:ascii="Times New Roman" w:cs="Times New Roman" w:eastAsia="Times New Roman" w:hAnsi="Times New Roman"/>
          <w:sz w:val="17"/>
          <w:szCs w:val="17"/>
          <w:color w:val="auto"/>
        </w:rPr>
        <w:t>, and any amendment or report filed with the Commission for the purpose of updating such description; and</w:t>
      </w:r>
    </w:p>
    <w:p>
      <w:pPr>
        <w:spacing w:after="0" w:line="139" w:lineRule="exact"/>
        <w:rPr>
          <w:rFonts w:ascii="Times New Roman" w:cs="Times New Roman" w:eastAsia="Times New Roman" w:hAnsi="Times New Roman"/>
          <w:sz w:val="17"/>
          <w:szCs w:val="17"/>
          <w:color w:val="auto"/>
        </w:rPr>
      </w:pPr>
    </w:p>
    <w:p>
      <w:pPr>
        <w:ind w:left="660" w:right="140" w:hanging="328"/>
        <w:spacing w:after="0" w:line="282" w:lineRule="auto"/>
        <w:tabs>
          <w:tab w:leader="none" w:pos="655"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Registrant’s Registration Statements on Form S-8 (File Nos. </w:t>
      </w:r>
      <w:hyperlink r:id="rId17">
        <w:r>
          <w:rPr>
            <w:rFonts w:ascii="Times New Roman" w:cs="Times New Roman" w:eastAsia="Times New Roman" w:hAnsi="Times New Roman"/>
            <w:sz w:val="18"/>
            <w:szCs w:val="18"/>
            <w:u w:val="single" w:color="auto"/>
            <w:color w:val="0000FF"/>
          </w:rPr>
          <w:t>333-212215</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FF"/>
          </w:rPr>
          <w:t>333-224109</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FF"/>
          </w:rPr>
          <w:t>333-239075</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333-256061</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333-264691</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FF"/>
          </w:rPr>
          <w:t>333-274036</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FF"/>
          </w:rPr>
          <w:t>333-283049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24">
        <w:r>
          <w:rPr>
            <w:rFonts w:ascii="Times New Roman" w:cs="Times New Roman" w:eastAsia="Times New Roman" w:hAnsi="Times New Roman"/>
            <w:sz w:val="18"/>
            <w:szCs w:val="18"/>
            <w:u w:val="single" w:color="auto"/>
            <w:color w:val="0000FF"/>
          </w:rPr>
          <w:t>333-287062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with the Securities and Exchange Commission, relating to the Incentive Plan.</w:t>
      </w:r>
    </w:p>
    <w:p>
      <w:pPr>
        <w:spacing w:after="0" w:line="162" w:lineRule="exact"/>
        <w:rPr>
          <w:rFonts w:ascii="Times New Roman" w:cs="Times New Roman" w:eastAsia="Times New Roman" w:hAnsi="Times New Roman"/>
          <w:sz w:val="18"/>
          <w:szCs w:val="18"/>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incorporated herein by reference shall be deemed to be modified or superseded for the purpose of this Registration Statement to the extent that a statement contained herein or in any subsequently filed document which also is, or is deemed to be, incorporated herein by reference modifies or supersedes such statement. Any such statement so modified or superseded shall not be deemed, except as so modified or superseded, to constitute a part of this Registration Statement.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77"/>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2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Restated Certificate of Incorporation of the Registrant (incorporated herein by reference to Exhibit 3.1 of the Registrant’s</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Current Report on Form 8-K (File No. 001-37798) filed on June 29, 2016).</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2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Certificate of Incorporation (incorporated herein by reference to Exhibit 3.1 of</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the Registrant’s Current Report on Form 8-K (File No. 001-37798) filed on June 21, 2022).</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2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Certificate of Incorporation (incorporated herein by reference to Exhibit 3.3 of</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the Registrant’s Current Report on Form 8-K (File No. 001-37798) filed on November 13, 2023).</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2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4</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Certificate of Incorporation (incorporated herein by reference to Exhibit 3.2 of</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the Registrant’s Current Report on Form 8-K (File No. 001-37798) filed on March 28, 2024).</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2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5</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herein by reference to Exhibit 3.2 of the Registrant’s</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Current Report on Form 8-K (File No. 001-37798) filed on October 30, 2025).</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3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Specimen Stock Certificate evidencing the shares of common stock (incorporated herein by reference to Exhibit 4.1 to the</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Registrant’s Annual Report on Form 10-K (File No. 001-37798) filed on March 13, 2025.</w:t>
            </w:r>
          </w:p>
        </w:tc>
      </w:tr>
      <w:tr>
        <w:trPr>
          <w:trHeight w:val="194"/>
        </w:trPr>
        <w:tc>
          <w:tcPr>
            <w:tcW w:w="20" w:type="dxa"/>
            <w:vAlign w:val="bottom"/>
          </w:tcPr>
          <w:p>
            <w:pPr>
              <w:spacing w:after="0"/>
              <w:rPr>
                <w:sz w:val="16"/>
                <w:szCs w:val="16"/>
                <w:color w:val="auto"/>
              </w:rPr>
            </w:pPr>
          </w:p>
        </w:tc>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5.</w:t>
            </w:r>
            <w:r>
              <w:rPr>
                <w:rFonts w:ascii="Times New Roman" w:cs="Times New Roman" w:eastAsia="Times New Roman" w:hAnsi="Times New Roman"/>
                <w:sz w:val="18"/>
                <w:szCs w:val="18"/>
                <w:u w:val="single" w:color="auto"/>
                <w:color w:val="0000FF"/>
                <w:w w:val="95"/>
              </w:rPr>
              <w:t>1</w:t>
            </w:r>
            <w:r>
              <w:rPr>
                <w:rFonts w:ascii="Times New Roman" w:cs="Times New Roman" w:eastAsia="Times New Roman" w:hAnsi="Times New Roman"/>
                <w:sz w:val="18"/>
                <w:szCs w:val="18"/>
                <w:color w:val="000000"/>
                <w:w w:val="95"/>
              </w:rPr>
              <w:t>*</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Opinion of Covington &amp; Burling LLP.</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00"/>
                <w:w w:val="98"/>
              </w:rPr>
              <w:t>*</w:t>
            </w: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Consent of Ernst &amp; Young LLP, the Registrant's independent registered public accounting firm.</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2</w:t>
            </w:r>
            <w:r>
              <w:rPr>
                <w:rFonts w:ascii="Times New Roman" w:cs="Times New Roman" w:eastAsia="Times New Roman" w:hAnsi="Times New Roman"/>
                <w:sz w:val="18"/>
                <w:szCs w:val="18"/>
                <w:color w:val="000000"/>
                <w:w w:val="98"/>
              </w:rPr>
              <w:t>*</w:t>
            </w: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Consent of Covington &amp; Burling LLP (included in Exhibit 5.1).</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24.1*</w:t>
            </w: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pages of this Registration Statement).</w:t>
            </w: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w w:val="95"/>
              </w:rPr>
            </w:pPr>
            <w:hyperlink r:id="rId31">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Cartesian Therapeutics, Inc. Amended and Restated 2016 Incentive Award Plan, and forms of award agreements</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thereunder (incorporated herein by reference to Exhibit 10.1 of the Registrant’s Registration Statement on Form S-1 (File</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No. 333-281204) filed on August 2, 2024).</w:t>
            </w:r>
          </w:p>
        </w:tc>
      </w:tr>
      <w:tr>
        <w:trPr>
          <w:trHeight w:val="194"/>
        </w:trPr>
        <w:tc>
          <w:tcPr>
            <w:tcW w:w="20" w:type="dxa"/>
            <w:vAlign w:val="bottom"/>
          </w:tcPr>
          <w:p>
            <w:pPr>
              <w:spacing w:after="0"/>
              <w:rPr>
                <w:sz w:val="16"/>
                <w:szCs w:val="16"/>
                <w:color w:val="auto"/>
              </w:rPr>
            </w:pPr>
          </w:p>
        </w:tc>
        <w:tc>
          <w:tcPr>
            <w:tcW w:w="18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rPr>
              <w:t>107.</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Filing fee table.</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06"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the requirements for filing on Form S-8 and has duly caused this registration statement to be signed on its behalf by the undersigned, thereunto duly authorized, in the City of Frederick, State of Maryland, as of April 30, 2026.</w:t>
      </w:r>
    </w:p>
    <w:p>
      <w:pPr>
        <w:spacing w:after="0" w:line="26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297" w:lineRule="exact"/>
        <w:rPr>
          <w:sz w:val="20"/>
          <w:szCs w:val="20"/>
          <w:color w:val="auto"/>
        </w:rPr>
      </w:pPr>
    </w:p>
    <w:p>
      <w:pPr>
        <w:ind w:left="6460"/>
        <w:spacing w:after="0"/>
        <w:tabs>
          <w:tab w:leader="none" w:pos="6940" w:val="left"/>
        </w:tabs>
        <w:rPr>
          <w:sz w:val="20"/>
          <w:szCs w:val="20"/>
          <w:color w:val="auto"/>
        </w:rPr>
      </w:pPr>
      <w:r>
        <w:rPr>
          <w:rFonts w:ascii="Times New Roman" w:cs="Times New Roman" w:eastAsia="Times New Roman" w:hAnsi="Times New Roman"/>
          <w:sz w:val="18"/>
          <w:szCs w:val="18"/>
          <w:color w:val="auto"/>
        </w:rPr>
        <w:t>By:</w:t>
        <w:tab/>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726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1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President and Chief Executive Officer, and Chairman of</w:t>
      </w:r>
    </w:p>
    <w:p>
      <w:pPr>
        <w:ind w:left="6960"/>
        <w:spacing w:after="0"/>
        <w:rPr>
          <w:sz w:val="20"/>
          <w:szCs w:val="20"/>
          <w:color w:val="auto"/>
        </w:rPr>
      </w:pPr>
      <w:r>
        <w:rPr>
          <w:rFonts w:ascii="Times New Roman" w:cs="Times New Roman" w:eastAsia="Times New Roman" w:hAnsi="Times New Roman"/>
          <w:sz w:val="18"/>
          <w:szCs w:val="18"/>
          <w:color w:val="auto"/>
        </w:rPr>
        <w:t>the Board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65"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Each of the undersigned officers and directors of the registrant hereby severally constitutes and appoints Carsten Brunn, Ph.D. and Blaine Davis,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329" w:lineRule="exact"/>
        <w:rPr>
          <w:sz w:val="20"/>
          <w:szCs w:val="20"/>
          <w:color w:val="auto"/>
        </w:rPr>
      </w:pPr>
    </w:p>
    <w:p>
      <w:pPr>
        <w:jc w:val="both"/>
        <w:ind w:firstLine="83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620" w:type="dxa"/>
            <w:vAlign w:val="bottom"/>
          </w:tcPr>
          <w:p>
            <w:pPr>
              <w:spacing w:after="0"/>
              <w:rPr>
                <w:sz w:val="17"/>
                <w:szCs w:val="17"/>
                <w:color w:val="auto"/>
              </w:rPr>
            </w:pPr>
          </w:p>
        </w:tc>
        <w:tc>
          <w:tcPr>
            <w:tcW w:w="5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680" w:type="dxa"/>
            <w:vAlign w:val="bottom"/>
          </w:tcPr>
          <w:p>
            <w:pPr>
              <w:spacing w:after="0"/>
              <w:rPr>
                <w:sz w:val="17"/>
                <w:szCs w:val="17"/>
                <w:color w:val="auto"/>
              </w:rPr>
            </w:pPr>
          </w:p>
        </w:tc>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20"/>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c>
          <w:tcPr>
            <w:tcW w:w="5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President and Chief Executive Officer, and Chairman of the Board</w:t>
            </w:r>
          </w:p>
        </w:tc>
        <w:tc>
          <w:tcPr>
            <w:tcW w:w="14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c>
          <w:tcPr>
            <w:tcW w:w="5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Blaine Davis</w:t>
            </w:r>
          </w:p>
        </w:tc>
        <w:tc>
          <w:tcPr>
            <w:tcW w:w="5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4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c>
          <w:tcPr>
            <w:tcW w:w="5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Timothy C. Barabe</w:t>
            </w:r>
          </w:p>
        </w:tc>
        <w:tc>
          <w:tcPr>
            <w:tcW w:w="5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Timothy C. Barabe</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Adrian Bot, M.D., Ph.D.</w:t>
            </w:r>
          </w:p>
        </w:tc>
        <w:tc>
          <w:tcPr>
            <w:tcW w:w="5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Adrian Bot, M.D., Ph.D.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Nishan de Silva, M.D.</w:t>
            </w:r>
          </w:p>
        </w:tc>
        <w:tc>
          <w:tcPr>
            <w:tcW w:w="5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Nishan de Silva, M.D.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Kemal Malik, MBBS</w:t>
            </w:r>
          </w:p>
        </w:tc>
        <w:tc>
          <w:tcPr>
            <w:tcW w:w="5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Kemal Malik, MBBS</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Singer, M.D. Ph.D.</w:t>
            </w:r>
          </w:p>
        </w:tc>
        <w:tc>
          <w:tcPr>
            <w:tcW w:w="5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Singer, M.D. Ph.D.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Timothy Springer, Ph.D.</w:t>
            </w:r>
          </w:p>
        </w:tc>
        <w:tc>
          <w:tcPr>
            <w:tcW w:w="5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Timothy Springer, Ph.D.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Patrick Zenner</w:t>
            </w:r>
          </w:p>
        </w:tc>
        <w:tc>
          <w:tcPr>
            <w:tcW w:w="5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Patrick Zenner</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65" w:right="339" w:bottom="1440" w:gutter="0" w:footer="0" w:header="0"/>
        </w:sectPr>
      </w:pPr>
    </w:p>
    <w:bookmarkStart w:id="6" w:name="page7"/>
    <w:bookmarkEnd w:id="6"/>
    <w:p>
      <w:pPr>
        <w:ind w:left="10220"/>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60" w:type="dxa"/>
            <w:vAlign w:val="bottom"/>
            <w:tcBorders>
              <w:top w:val="single" w:sz="8" w:color="auto"/>
              <w:left w:val="single" w:sz="8" w:color="auto"/>
              <w:right w:val="single" w:sz="8" w:color="auto"/>
            </w:tcBorders>
          </w:tcPr>
          <w:p>
            <w:pPr>
              <w:spacing w:after="0"/>
              <w:rPr>
                <w:sz w:val="16"/>
                <w:szCs w:val="16"/>
                <w:color w:val="auto"/>
              </w:rPr>
            </w:pPr>
          </w:p>
        </w:tc>
        <w:tc>
          <w:tcPr>
            <w:tcW w:w="2060" w:type="dxa"/>
            <w:vAlign w:val="bottom"/>
            <w:tcBorders>
              <w:top w:val="single" w:sz="8" w:color="auto"/>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spacing w:after="0"/>
              <w:rPr>
                <w:sz w:val="16"/>
                <w:szCs w:val="16"/>
                <w:color w:val="auto"/>
              </w:rPr>
            </w:pP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4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48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Proposed</w:t>
            </w:r>
          </w:p>
        </w:tc>
        <w:tc>
          <w:tcPr>
            <w:tcW w:w="1260" w:type="dxa"/>
            <w:vAlign w:val="bottom"/>
            <w:tcBorders>
              <w:top w:val="single" w:sz="8" w:color="auto"/>
              <w:right w:val="single" w:sz="8" w:color="auto"/>
            </w:tcBorders>
          </w:tcPr>
          <w:p>
            <w:pPr>
              <w:spacing w:after="0"/>
              <w:rPr>
                <w:sz w:val="16"/>
                <w:szCs w:val="16"/>
                <w:color w:val="auto"/>
              </w:rPr>
            </w:pPr>
          </w:p>
        </w:tc>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81"/>
        </w:trPr>
        <w:tc>
          <w:tcPr>
            <w:tcW w:w="1260" w:type="dxa"/>
            <w:vAlign w:val="bottom"/>
            <w:tcBorders>
              <w:left w:val="single" w:sz="8" w:color="auto"/>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30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48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26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260" w:type="dxa"/>
            <w:vAlign w:val="bottom"/>
            <w:tcBorders>
              <w:left w:val="single" w:sz="8" w:color="auto"/>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0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26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to be</w:t>
            </w:r>
          </w:p>
        </w:tc>
        <w:tc>
          <w:tcPr>
            <w:tcW w:w="124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Fee Rate</w:t>
            </w:r>
          </w:p>
        </w:tc>
        <w:tc>
          <w:tcPr>
            <w:tcW w:w="14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94"/>
        </w:trPr>
        <w:tc>
          <w:tcPr>
            <w:tcW w:w="1260" w:type="dxa"/>
            <w:vAlign w:val="bottom"/>
            <w:tcBorders>
              <w:left w:val="single" w:sz="8" w:color="auto"/>
              <w:right w:val="single" w:sz="8" w:color="auto"/>
            </w:tcBorders>
            <w:vMerge w:val="continue"/>
          </w:tcPr>
          <w:p>
            <w:pPr>
              <w:spacing w:after="0"/>
              <w:rPr>
                <w:sz w:val="8"/>
                <w:szCs w:val="8"/>
                <w:color w:val="auto"/>
              </w:rPr>
            </w:pPr>
          </w:p>
        </w:tc>
        <w:tc>
          <w:tcPr>
            <w:tcW w:w="206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30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6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Registered </w:t>
            </w:r>
            <w:r>
              <w:rPr>
                <w:rFonts w:ascii="Times New Roman" w:cs="Times New Roman" w:eastAsia="Times New Roman" w:hAnsi="Times New Roman"/>
                <w:sz w:val="18"/>
                <w:szCs w:val="18"/>
                <w:b w:val="1"/>
                <w:bCs w:val="1"/>
                <w:color w:val="auto"/>
                <w:vertAlign w:val="superscript"/>
              </w:rPr>
              <w:t>(1)</w:t>
            </w:r>
          </w:p>
        </w:tc>
        <w:tc>
          <w:tcPr>
            <w:tcW w:w="1240" w:type="dxa"/>
            <w:vAlign w:val="bottom"/>
            <w:tcBorders>
              <w:right w:val="single" w:sz="8" w:color="auto"/>
            </w:tcBorders>
            <w:vMerge w:val="continue"/>
          </w:tcPr>
          <w:p>
            <w:pPr>
              <w:spacing w:after="0"/>
              <w:rPr>
                <w:sz w:val="14"/>
                <w:szCs w:val="14"/>
                <w:color w:val="auto"/>
              </w:rPr>
            </w:pPr>
          </w:p>
        </w:tc>
        <w:tc>
          <w:tcPr>
            <w:tcW w:w="148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9"/>
              </w:rPr>
              <w:t>Per Share</w:t>
            </w:r>
          </w:p>
        </w:tc>
        <w:tc>
          <w:tcPr>
            <w:tcW w:w="148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6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2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Rules 457(c)</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 xml:space="preserve">1,040,444 </w:t>
            </w:r>
            <w:r>
              <w:rPr>
                <w:rFonts w:ascii="Times New Roman" w:cs="Times New Roman" w:eastAsia="Times New Roman" w:hAnsi="Times New Roman"/>
                <w:sz w:val="22"/>
                <w:szCs w:val="22"/>
                <w:color w:val="auto"/>
                <w:vertAlign w:val="superscript"/>
              </w:rPr>
              <w:t>(2)</w:t>
            </w:r>
          </w:p>
        </w:tc>
        <w:tc>
          <w:tcPr>
            <w:tcW w:w="12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w w:val="96"/>
              </w:rPr>
              <w:t xml:space="preserve">$6.915 </w:t>
            </w:r>
            <w:r>
              <w:rPr>
                <w:rFonts w:ascii="Times New Roman" w:cs="Times New Roman" w:eastAsia="Times New Roman" w:hAnsi="Times New Roman"/>
                <w:sz w:val="22"/>
                <w:szCs w:val="22"/>
                <w:color w:val="auto"/>
                <w:w w:val="96"/>
                <w:vertAlign w:val="superscript"/>
              </w:rPr>
              <w:t>(3)</w:t>
            </w:r>
          </w:p>
        </w:tc>
        <w:tc>
          <w:tcPr>
            <w:tcW w:w="14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$7,194,670.26</w:t>
            </w:r>
          </w:p>
        </w:tc>
        <w:tc>
          <w:tcPr>
            <w:tcW w:w="1260" w:type="dxa"/>
            <w:vAlign w:val="bottom"/>
            <w:tcBorders>
              <w:right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0.00013810</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$993.58</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$0.0001 per share, to be</w:t>
            </w:r>
          </w:p>
        </w:tc>
        <w:tc>
          <w:tcPr>
            <w:tcW w:w="1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and 457(h)</w:t>
            </w: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issued under the</w:t>
            </w: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Registrant’s Amended and</w:t>
            </w: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Restated 2016 Incentive</w:t>
            </w: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Award Plan</w:t>
            </w:r>
          </w:p>
        </w:tc>
        <w:tc>
          <w:tcPr>
            <w:tcW w:w="12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3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$7,194,670.26</w:t>
            </w:r>
          </w:p>
        </w:tc>
        <w:tc>
          <w:tcPr>
            <w:tcW w:w="12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$993.58</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 xml:space="preserve">Total Fee Offsets </w:t>
            </w:r>
            <w:r>
              <w:rPr>
                <w:rFonts w:ascii="Times New Roman" w:cs="Times New Roman" w:eastAsia="Times New Roman" w:hAnsi="Times New Roman"/>
                <w:sz w:val="23"/>
                <w:szCs w:val="23"/>
                <w:color w:val="auto"/>
                <w:w w:val="94"/>
                <w:vertAlign w:val="superscript"/>
              </w:rPr>
              <w:t>(4)</w:t>
            </w:r>
          </w:p>
        </w:tc>
        <w:tc>
          <w:tcPr>
            <w:tcW w:w="13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Net Fee Due</w:t>
            </w:r>
          </w:p>
        </w:tc>
        <w:tc>
          <w:tcPr>
            <w:tcW w:w="13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$993.58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660" w:right="200" w:hanging="328"/>
        <w:spacing w:after="0" w:line="245"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(the “Securities Act”), this registration statement (this “Registration Statement”) shall be deemed to cover any additional securities that may from time to time be offered or issued under the Cartesian Therapeutics, Inc. Amended and Restated 2016 Incentive Award Plan (the “Incentive Plan”) to prevent dilution resulting from stock splits, stock dividends or similar transactions.</w:t>
      </w:r>
    </w:p>
    <w:p>
      <w:pPr>
        <w:spacing w:after="0" w:line="86"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1,040,444 shares of the Registrant’s common stock, par value $0.0001 per share (the “Common Stock”) that may become issuable under the Incentive Plan pursuant to its terms.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and based upon the average of the high and low prices of the Registrant’s Common Stock as reported on the Nasdaq Global Market on April 24, 2026.</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ectPr>
          <w:pgSz w:w="11900" w:h="16838" w:orient="portrait"/>
          <w:cols w:equalWidth="0" w:num="1">
            <w:col w:w="11260"/>
          </w:cols>
          <w:pgMar w:left="320" w:top="765"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831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extLst>
                    </a:blip>
                    <a:srcRect/>
                    <a:stretch>
                      <a:fillRect/>
                    </a:stretch>
                  </pic:blipFill>
                  <pic:spPr bwMode="auto">
                    <a:xfrm>
                      <a:off x="0" y="0"/>
                      <a:ext cx="519493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April 30, 2026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Cartesian Therapeutics, Inc.</w:t>
      </w:r>
    </w:p>
    <w:p>
      <w:pPr>
        <w:spacing w:after="0" w:line="225" w:lineRule="auto"/>
        <w:rPr>
          <w:sz w:val="20"/>
          <w:szCs w:val="20"/>
          <w:color w:val="auto"/>
        </w:rPr>
      </w:pPr>
      <w:r>
        <w:rPr>
          <w:rFonts w:ascii="Times New Roman" w:cs="Times New Roman" w:eastAsia="Times New Roman" w:hAnsi="Times New Roman"/>
          <w:sz w:val="20"/>
          <w:szCs w:val="20"/>
          <w:color w:val="auto"/>
        </w:rPr>
        <w:t>7495 New Horizon Way</w:t>
      </w:r>
    </w:p>
    <w:p>
      <w:pPr>
        <w:spacing w:after="0"/>
        <w:rPr>
          <w:sz w:val="20"/>
          <w:szCs w:val="20"/>
          <w:color w:val="auto"/>
        </w:rPr>
      </w:pPr>
      <w:r>
        <w:rPr>
          <w:rFonts w:ascii="Times New Roman" w:cs="Times New Roman" w:eastAsia="Times New Roman" w:hAnsi="Times New Roman"/>
          <w:sz w:val="20"/>
          <w:szCs w:val="20"/>
          <w:color w:val="auto"/>
        </w:rPr>
        <w:t>Frederick, MD 21703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4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We have acted as counsel to Cartesian Therapeutics, Inc., a Delaware corporation (the “Company”), and are rendering this opinion in connection with the registration by the Company under the Securities Act of 1933 (the “Securities Act”) of 1,040,444 shares of the Company’s common stock, par value $0.0001 per share (the “Shares”), issuable under the Company’s Amended and Restated 2016 Incentive Award Plan (the “Incentive Plan”), pursuant to the registration statement on Form S-8 being filed with the Securities and Exchange Commission on the date hereof (the “Registration Statement”).</w:t>
      </w:r>
    </w:p>
    <w:p>
      <w:pPr>
        <w:spacing w:after="0" w:line="2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208" w:lineRule="exact"/>
        <w:rPr>
          <w:sz w:val="20"/>
          <w:szCs w:val="20"/>
          <w:color w:val="auto"/>
        </w:rPr>
      </w:pPr>
    </w:p>
    <w:p>
      <w:pPr>
        <w:ind w:right="680" w:firstLine="648"/>
        <w:spacing w:after="0" w:line="269" w:lineRule="auto"/>
        <w:rPr>
          <w:sz w:val="20"/>
          <w:szCs w:val="20"/>
          <w:color w:val="auto"/>
        </w:rPr>
      </w:pPr>
      <w:r>
        <w:rPr>
          <w:rFonts w:ascii="Times New Roman" w:cs="Times New Roman" w:eastAsia="Times New Roman" w:hAnsi="Times New Roman"/>
          <w:sz w:val="20"/>
          <w:szCs w:val="20"/>
          <w:color w:val="auto"/>
        </w:rPr>
        <w:t>We have relied as to certain matters on information obtained from public officials, officers of the Company and other sources believed by us to be responsible.</w:t>
      </w:r>
    </w:p>
    <w:p>
      <w:pPr>
        <w:spacing w:after="0" w:line="200"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20"/>
          <w:szCs w:val="20"/>
          <w:color w:val="auto"/>
        </w:rPr>
        <w:t>Based upon the foregoing, we are of the opinion that the Shares have been duly authorized and, when issued in accordance with the terms of the Company’s Restated Certificate of Incorporation, as amended, the Incentive Plan, and any awards duly adopted thereunder and in accordance therewith, will be validly issued, fully paid and nonassessable.</w:t>
      </w:r>
    </w:p>
    <w:p>
      <w:pPr>
        <w:spacing w:after="0" w:line="208" w:lineRule="exact"/>
        <w:rPr>
          <w:sz w:val="20"/>
          <w:szCs w:val="20"/>
          <w:color w:val="auto"/>
        </w:rPr>
      </w:pPr>
    </w:p>
    <w:p>
      <w:pPr>
        <w:ind w:right="540" w:firstLine="648"/>
        <w:spacing w:after="0" w:line="269" w:lineRule="auto"/>
        <w:rPr>
          <w:sz w:val="20"/>
          <w:szCs w:val="20"/>
          <w:color w:val="auto"/>
        </w:rPr>
      </w:pPr>
      <w:r>
        <w:rPr>
          <w:rFonts w:ascii="Times New Roman" w:cs="Times New Roman" w:eastAsia="Times New Roman" w:hAnsi="Times New Roman"/>
          <w:sz w:val="20"/>
          <w:szCs w:val="20"/>
          <w:color w:val="auto"/>
        </w:rPr>
        <w:t>We are members of the bar of the State of New York. We do not express any opinion herein on any laws other than the General Corporation Law of the State of Delaware and reported judicial decisions interpreting such law.</w:t>
      </w:r>
    </w:p>
    <w:p>
      <w:pPr>
        <w:spacing w:after="0" w:line="20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We hereby consent to the filing of this opinion as Exhibit 5.1 to the Registration Statement. In giving such consent, we do not thereby admit that we are in the category of persons whose consent is required under Section 7 of the Securities Act.</w:t>
      </w:r>
    </w:p>
    <w:p>
      <w:pPr>
        <w:spacing w:after="0" w:line="3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8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/s/ Covington &amp; Burling LLP</w:t>
      </w:r>
    </w:p>
    <w:p>
      <w:pPr>
        <w:sectPr>
          <w:pgSz w:w="11900" w:h="16838" w:orient="portrait"/>
          <w:cols w:equalWidth="0" w:num="1">
            <w:col w:w="11240"/>
          </w:cols>
          <w:pgMar w:left="320" w:top="76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(Form S-8) pertaining to the Cartesian Therapeutics, Inc. Amended and Restated 2016 Incentive Award Plan of our report dated March 9, 2026, with respect to the consolidated financial statements of Cartesian Therapeutics, Inc., included in its Annual Report (Form 10-K) for the year ended December 31, 2025, filed with the Securities and Exchange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30,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32" Type="http://schemas.openxmlformats.org/officeDocument/2006/relationships/image" Target="media/image5.png"/><Relationship Id="rId33" Type="http://schemas.openxmlformats.org/officeDocument/2006/relationships/image" Target="media/image6.jpeg"/><Relationship Id="rId12" Type="http://schemas.openxmlformats.org/officeDocument/2006/relationships/hyperlink" Target="https://www.sec.gov/ix?doc=/Archives/edgar/data/0001453687/000145368726000072/rnac-20260428.htm" TargetMode="External"/><Relationship Id="rId13" Type="http://schemas.openxmlformats.org/officeDocument/2006/relationships/hyperlink" Target="https://www.sec.gov/ix?doc=/Archives/edgar/data/0001453687/000145368726000064/rnac-20251231.htm" TargetMode="External"/><Relationship Id="rId14" Type="http://schemas.openxmlformats.org/officeDocument/2006/relationships/hyperlink" Target="https://www.sec.gov/ix?doc=/Archives/edgar/data/0001453687/000145368726000082/rnac-20260331.htm" TargetMode="External"/><Relationship Id="rId15" Type="http://schemas.openxmlformats.org/officeDocument/2006/relationships/hyperlink" Target="https://www.sec.gov/ix?doc=/Archives/edgar/data/0001453687/000145368726000068/rnac-20260326.htm" TargetMode="External"/><Relationship Id="rId16" Type="http://schemas.openxmlformats.org/officeDocument/2006/relationships/hyperlink" Target="https://www.sec.gov/Archives/edgar/data/0001453687/000145368726000064/exhibit412descriptionofsec.htm" TargetMode="External"/><Relationship Id="rId17" Type="http://schemas.openxmlformats.org/officeDocument/2006/relationships/hyperlink" Target="https://www.sec.gov/Archives/edgar/data/1453687/000110465916129190/a15-22910_14s8.htm" TargetMode="External"/><Relationship Id="rId18" Type="http://schemas.openxmlformats.org/officeDocument/2006/relationships/hyperlink" Target="https://www.sec.gov/Archives/edgar/data/1453687/000145368718000018/selectabiosciencess-8_apri.htm" TargetMode="External"/><Relationship Id="rId19" Type="http://schemas.openxmlformats.org/officeDocument/2006/relationships/hyperlink" Target="https://www.sec.gov/Archives/edgar/data/1453687/000145368720000058/selectabiosciencess-8_june.htm" TargetMode="External"/><Relationship Id="rId20" Type="http://schemas.openxmlformats.org/officeDocument/2006/relationships/hyperlink" Target="https://www.sec.gov/Archives/edgar/data/1453687/000145368721000070/selectabiosciences_s8-2021.htm" TargetMode="External"/><Relationship Id="rId21" Type="http://schemas.openxmlformats.org/officeDocument/2006/relationships/hyperlink" Target="https://www.sec.gov/Archives/edgar/data/1453687/000145368722000088/selectabiosciences_s8-2022.htm" TargetMode="External"/><Relationship Id="rId22" Type="http://schemas.openxmlformats.org/officeDocument/2006/relationships/hyperlink" Target="https://www.sec.gov/Archives/edgar/data/1453687/000119312523214712/d642337ds8.htm" TargetMode="External"/><Relationship Id="rId23" Type="http://schemas.openxmlformats.org/officeDocument/2006/relationships/hyperlink" Target="https://www.sec.gov/Archives/edgar/data/0001453687/000145368724000126/rnacs-8november72024.htm" TargetMode="External"/><Relationship Id="rId24" Type="http://schemas.openxmlformats.org/officeDocument/2006/relationships/hyperlink" Target="https://www.sec.gov/Archives/edgar/data/0001453687/000145368725000087/rnacs-8may82025.htm" TargetMode="External"/><Relationship Id="rId25" Type="http://schemas.openxmlformats.org/officeDocument/2006/relationships/hyperlink" Target="https://www.sec.gov/Archives/edgar/data/1453687/000110465916129891/a16-14002_1ex3d1.htm" TargetMode="External"/><Relationship Id="rId26" Type="http://schemas.openxmlformats.org/officeDocument/2006/relationships/hyperlink" Target="https://www.sec.gov/Archives/edgar/data/0001453687/000145368722000109/exhibit31_charteramendment.htm" TargetMode="External"/><Relationship Id="rId27" Type="http://schemas.openxmlformats.org/officeDocument/2006/relationships/hyperlink" Target="https://www.sec.gov/Archives/edgar/data/1453687/000119312523275461/d869185dex33.htm" TargetMode="External"/><Relationship Id="rId28" Type="http://schemas.openxmlformats.org/officeDocument/2006/relationships/hyperlink" Target="https://www.sec.gov/Archives/edgar/data/0001453687/000145368724000048/exhibit32certificateofamen.htm" TargetMode="External"/><Relationship Id="rId29" Type="http://schemas.openxmlformats.org/officeDocument/2006/relationships/hyperlink" Target="https://www.sec.gov/Archives/edgar/data/1453687/000114036125039793/ef20057980_ex3-2.htm" TargetMode="External"/><Relationship Id="rId30" Type="http://schemas.openxmlformats.org/officeDocument/2006/relationships/hyperlink" Target="https://www.sec.gov/Archives/edgar/data/0001453687/000145368725000060/exhibit41rnacspecimensto.htm" TargetMode="External"/><Relationship Id="rId31" Type="http://schemas.openxmlformats.org/officeDocument/2006/relationships/hyperlink" Target="https://www.sec.gov/Archives/edgar/data/0001453687/000114036124035433/ny20033174x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2026-04-30T06:12:33Z</dcterms:created>
  <dcterms:modified xsi:type="dcterms:W3CDTF">2026-04-30T06:12:33Z</dcterms:modified>
</cp:coreProperties>
</file>