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3"/>
          <w:szCs w:val="23"/>
          <w:color w:val="auto"/>
        </w:rPr>
        <w:t>Use these links to rapidly review the document</w:t>
      </w:r>
    </w:p>
    <w:p>
      <w:pPr>
        <w:spacing w:after="0" w:line="4" w:lineRule="exact"/>
        <w:rPr>
          <w:sz w:val="24"/>
          <w:szCs w:val="24"/>
          <w:color w:val="auto"/>
        </w:rPr>
      </w:pPr>
    </w:p>
    <w:p>
      <w:pPr>
        <w:spacing w:after="0"/>
        <w:rPr>
          <w:rFonts w:ascii="Arial" w:cs="Arial" w:eastAsia="Arial" w:hAnsi="Arial"/>
          <w:sz w:val="23"/>
          <w:szCs w:val="23"/>
          <w:u w:val="single" w:color="auto"/>
          <w:color w:val="0000EE"/>
        </w:rPr>
      </w:pPr>
      <w:hyperlink w:anchor="page3">
        <w:r>
          <w:rPr>
            <w:rFonts w:ascii="Arial" w:cs="Arial" w:eastAsia="Arial" w:hAnsi="Arial"/>
            <w:sz w:val="23"/>
            <w:szCs w:val="23"/>
            <w:u w:val="single" w:color="auto"/>
            <w:color w:val="0000EE"/>
          </w:rPr>
          <w:t>TABLE OF CONTENTS PROSPECTUS SUPPLEMENT</w:t>
        </w:r>
      </w:hyperlink>
    </w:p>
    <w:p>
      <w:pPr>
        <w:spacing w:after="0"/>
        <w:rPr>
          <w:rFonts w:ascii="Arial" w:cs="Arial" w:eastAsia="Arial" w:hAnsi="Arial"/>
          <w:sz w:val="23"/>
          <w:szCs w:val="23"/>
          <w:u w:val="single" w:color="auto"/>
          <w:color w:val="0000EE"/>
        </w:rPr>
      </w:pPr>
      <w:hyperlink w:anchor="page34">
        <w:r>
          <w:rPr>
            <w:rFonts w:ascii="Arial" w:cs="Arial" w:eastAsia="Arial" w:hAnsi="Arial"/>
            <w:sz w:val="23"/>
            <w:szCs w:val="23"/>
            <w:u w:val="single" w:color="auto"/>
            <w:color w:val="0000EE"/>
          </w:rPr>
          <w:t>TABLE OF CONTENTS</w:t>
        </w:r>
      </w:hyperlink>
    </w:p>
    <w:p>
      <w:pPr>
        <w:spacing w:after="0" w:line="214" w:lineRule="exact"/>
        <w:rPr>
          <w:sz w:val="24"/>
          <w:szCs w:val="24"/>
          <w:color w:val="auto"/>
        </w:rPr>
      </w:pPr>
    </w:p>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4"/>
          <w:szCs w:val="24"/>
          <w:color w:val="auto"/>
        </w:rPr>
      </w:pPr>
    </w:p>
    <w:p>
      <w:pPr>
        <w:spacing w:after="0" w:line="262"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Filed Pursuant to Rule 424(b)(5)</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9"/>
          <w:szCs w:val="19"/>
          <w:b w:val="1"/>
          <w:bCs w:val="1"/>
          <w:color w:val="auto"/>
        </w:rPr>
        <w:t>Registration No. 333-219900</w:t>
      </w:r>
    </w:p>
    <w:p>
      <w:pPr>
        <w:spacing w:after="0" w:line="231" w:lineRule="exact"/>
        <w:rPr>
          <w:sz w:val="24"/>
          <w:szCs w:val="24"/>
          <w:color w:val="auto"/>
        </w:rPr>
      </w:pPr>
    </w:p>
    <w:p>
      <w:pPr>
        <w:jc w:val="both"/>
        <w:spacing w:after="0" w:line="331" w:lineRule="auto"/>
        <w:rPr>
          <w:sz w:val="20"/>
          <w:szCs w:val="20"/>
          <w:color w:val="auto"/>
        </w:rPr>
      </w:pPr>
      <w:r>
        <w:rPr>
          <w:rFonts w:ascii="Arial" w:cs="Arial" w:eastAsia="Arial" w:hAnsi="Arial"/>
          <w:sz w:val="16"/>
          <w:szCs w:val="16"/>
          <w:color w:val="EF505F"/>
        </w:rPr>
        <w:t>The information in this preliminary prospectus supplement and the accompanying prospectus, relating to an effective registration statement under the Securities Act of 1933, as amended,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47" w:lineRule="exact"/>
        <w:rPr>
          <w:sz w:val="24"/>
          <w:szCs w:val="24"/>
          <w:color w:val="auto"/>
        </w:rPr>
      </w:pPr>
    </w:p>
    <w:p>
      <w:pPr>
        <w:ind w:left="3580"/>
        <w:spacing w:after="0"/>
        <w:rPr>
          <w:sz w:val="20"/>
          <w:szCs w:val="20"/>
          <w:color w:val="auto"/>
        </w:rPr>
      </w:pPr>
      <w:r>
        <w:rPr>
          <w:rFonts w:ascii="Arial" w:cs="Arial" w:eastAsia="Arial" w:hAnsi="Arial"/>
          <w:sz w:val="19"/>
          <w:szCs w:val="19"/>
          <w:b w:val="1"/>
          <w:bCs w:val="1"/>
          <w:color w:val="EF505F"/>
        </w:rPr>
        <w:t>SUBJECT TO COMPLETION, DATED JANUARY 22, 2019</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August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1861820</wp:posOffset>
            </wp:positionH>
            <wp:positionV relativeFrom="paragraph">
              <wp:posOffset>153035</wp:posOffset>
            </wp:positionV>
            <wp:extent cx="3893820" cy="1005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93820" cy="1005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6240"/>
        <w:spacing w:after="0"/>
        <w:rPr>
          <w:sz w:val="20"/>
          <w:szCs w:val="20"/>
          <w:color w:val="auto"/>
        </w:rPr>
      </w:pPr>
      <w:r>
        <w:rPr>
          <w:rFonts w:ascii="Arial" w:cs="Arial" w:eastAsia="Arial" w:hAnsi="Arial"/>
          <w:sz w:val="23"/>
          <w:szCs w:val="23"/>
          <w:b w:val="1"/>
          <w:bCs w:val="1"/>
          <w:color w:val="auto"/>
        </w:rPr>
        <w:t>Shares</w:t>
      </w:r>
    </w:p>
    <w:p>
      <w:pPr>
        <w:spacing w:after="0" w:line="220" w:lineRule="exact"/>
        <w:rPr>
          <w:sz w:val="24"/>
          <w:szCs w:val="24"/>
          <w:color w:val="auto"/>
        </w:rPr>
      </w:pPr>
    </w:p>
    <w:p>
      <w:pPr>
        <w:ind w:left="5240"/>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642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4286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tabs>
          <w:tab w:leader="none" w:pos="1680" w:val="left"/>
        </w:tabs>
        <w:rPr>
          <w:sz w:val="20"/>
          <w:szCs w:val="20"/>
          <w:color w:val="auto"/>
        </w:rPr>
      </w:pPr>
      <w:r>
        <w:rPr>
          <w:rFonts w:ascii="Arial" w:cs="Arial" w:eastAsia="Arial" w:hAnsi="Arial"/>
          <w:sz w:val="19"/>
          <w:szCs w:val="19"/>
          <w:color w:val="auto"/>
        </w:rPr>
        <w:t>We are offering</w:t>
      </w:r>
      <w:r>
        <w:rPr>
          <w:sz w:val="20"/>
          <w:szCs w:val="20"/>
          <w:color w:val="auto"/>
        </w:rPr>
        <w:tab/>
      </w:r>
      <w:r>
        <w:rPr>
          <w:rFonts w:ascii="Arial" w:cs="Arial" w:eastAsia="Arial" w:hAnsi="Arial"/>
          <w:sz w:val="16"/>
          <w:szCs w:val="16"/>
          <w:color w:val="auto"/>
        </w:rPr>
        <w:t>shares of our common stock.</w:t>
      </w: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9"/>
          <w:szCs w:val="19"/>
          <w:color w:val="auto"/>
        </w:rPr>
        <w:t>Our common stock is listed on The Nasdaq Global Market under the symbol "SELB." On January 18, 2019, the last reported sale price of our common stock on the Nasdaq Global Market was $2.04 per share.</w:t>
      </w:r>
    </w:p>
    <w:p>
      <w:pPr>
        <w:spacing w:after="0" w:line="197" w:lineRule="exact"/>
        <w:rPr>
          <w:sz w:val="24"/>
          <w:szCs w:val="24"/>
          <w:color w:val="auto"/>
        </w:rPr>
      </w:pPr>
    </w:p>
    <w:p>
      <w:pPr>
        <w:spacing w:after="0" w:line="297" w:lineRule="auto"/>
        <w:rPr>
          <w:sz w:val="20"/>
          <w:szCs w:val="20"/>
          <w:color w:val="auto"/>
        </w:rPr>
      </w:pPr>
      <w:r>
        <w:rPr>
          <w:rFonts w:ascii="Arial" w:cs="Arial" w:eastAsia="Arial" w:hAnsi="Arial"/>
          <w:sz w:val="18"/>
          <w:szCs w:val="18"/>
          <w:color w:val="auto"/>
        </w:rPr>
        <w:t>We are an "emerging growth company" as defined by the Jumpstart Our Business Startups Act of 2012 and, as such, we have elected to comply with certain reduced public company reporting requirements for this prospectus supplement, the accompanying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642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2860" cy="8890"/>
                    </a:xfrm>
                    <a:prstGeom prst="rect">
                      <a:avLst/>
                    </a:prstGeom>
                    <a:noFill/>
                  </pic:spPr>
                </pic:pic>
              </a:graphicData>
            </a:graphic>
          </wp:anchor>
        </w:drawing>
      </w:r>
    </w:p>
    <w:p>
      <w:pPr>
        <w:spacing w:after="0" w:line="391" w:lineRule="exact"/>
        <w:rPr>
          <w:sz w:val="24"/>
          <w:szCs w:val="24"/>
          <w:color w:val="auto"/>
        </w:rPr>
      </w:pPr>
    </w:p>
    <w:p>
      <w:pPr>
        <w:ind w:right="20"/>
        <w:spacing w:after="0" w:line="273" w:lineRule="auto"/>
        <w:rPr>
          <w:sz w:val="20"/>
          <w:szCs w:val="20"/>
          <w:color w:val="auto"/>
        </w:rPr>
      </w:pPr>
      <w:r>
        <w:rPr>
          <w:rFonts w:ascii="Arial" w:cs="Arial" w:eastAsia="Arial" w:hAnsi="Arial"/>
          <w:sz w:val="19"/>
          <w:szCs w:val="19"/>
          <w:b w:val="1"/>
          <w:bCs w:val="1"/>
          <w:color w:val="auto"/>
        </w:rPr>
        <w:t>Investing in our common stock involves a high degree of risk. Please read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beginning on page S-4 of this prospectus supplement and in the documents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642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4286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spacing w:after="0" w:line="364" w:lineRule="auto"/>
        <w:rPr>
          <w:sz w:val="20"/>
          <w:szCs w:val="20"/>
          <w:color w:val="auto"/>
        </w:rPr>
      </w:pPr>
      <w:r>
        <w:rPr>
          <w:rFonts w:ascii="Arial" w:cs="Arial" w:eastAsia="Arial" w:hAnsi="Arial"/>
          <w:sz w:val="16"/>
          <w:szCs w:val="16"/>
          <w:b w:val="1"/>
          <w:bCs w:val="1"/>
          <w:i w:val="1"/>
          <w:i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122" w:lineRule="exact"/>
        <w:rPr>
          <w:sz w:val="24"/>
          <w:szCs w:val="24"/>
          <w:color w:val="auto"/>
        </w:rPr>
      </w:pPr>
    </w:p>
    <w:tbl>
      <w:tblPr>
        <w:tblLayout w:type="fixed"/>
        <w:tblInd w:w="1200" w:type="dxa"/>
        <w:tblCellMar>
          <w:top w:w="0" w:type="dxa"/>
          <w:left w:w="0" w:type="dxa"/>
          <w:bottom w:w="0" w:type="dxa"/>
          <w:right w:w="0" w:type="dxa"/>
        </w:tblCellMar>
      </w:tblPr>
      <w:tr>
        <w:trPr>
          <w:trHeight w:val="232"/>
        </w:trPr>
        <w:tc>
          <w:tcPr>
            <w:tcW w:w="2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20" w:type="dxa"/>
            <w:vAlign w:val="bottom"/>
          </w:tcPr>
          <w:p>
            <w:pPr>
              <w:jc w:val="right"/>
              <w:ind w:right="67"/>
              <w:spacing w:after="0"/>
              <w:rPr>
                <w:sz w:val="20"/>
                <w:szCs w:val="20"/>
                <w:color w:val="auto"/>
              </w:rPr>
            </w:pPr>
            <w:r>
              <w:rPr>
                <w:rFonts w:ascii="Arial" w:cs="Arial" w:eastAsia="Arial" w:hAnsi="Arial"/>
                <w:sz w:val="19"/>
                <w:szCs w:val="19"/>
                <w:b w:val="1"/>
                <w:bCs w:val="1"/>
                <w:color w:val="auto"/>
              </w:rPr>
              <w:t>PER SHARE</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TOTAL</w:t>
            </w:r>
          </w:p>
        </w:tc>
      </w:tr>
      <w:tr>
        <w:trPr>
          <w:trHeight w:val="228"/>
        </w:trPr>
        <w:tc>
          <w:tcPr>
            <w:tcW w:w="5140" w:type="dxa"/>
            <w:vAlign w:val="bottom"/>
            <w:gridSpan w:val="2"/>
          </w:tcPr>
          <w:p>
            <w:pPr>
              <w:spacing w:after="0"/>
              <w:rPr>
                <w:sz w:val="20"/>
                <w:szCs w:val="20"/>
                <w:color w:val="auto"/>
              </w:rPr>
            </w:pPr>
            <w:r>
              <w:rPr>
                <w:rFonts w:ascii="Arial" w:cs="Arial" w:eastAsia="Arial" w:hAnsi="Arial"/>
                <w:sz w:val="19"/>
                <w:szCs w:val="19"/>
                <w:color w:val="auto"/>
              </w:rPr>
              <w:t>Public offering price</w:t>
            </w:r>
          </w:p>
        </w:tc>
        <w:tc>
          <w:tcPr>
            <w:tcW w:w="3220" w:type="dxa"/>
            <w:vAlign w:val="bottom"/>
          </w:tcPr>
          <w:p>
            <w:pPr>
              <w:jc w:val="right"/>
              <w:ind w:right="1167"/>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587"/>
              <w:spacing w:after="0"/>
              <w:rPr>
                <w:sz w:val="20"/>
                <w:szCs w:val="20"/>
                <w:color w:val="auto"/>
              </w:rPr>
            </w:pPr>
            <w:r>
              <w:rPr>
                <w:rFonts w:ascii="Arial" w:cs="Arial" w:eastAsia="Arial" w:hAnsi="Arial"/>
                <w:sz w:val="19"/>
                <w:szCs w:val="19"/>
                <w:color w:val="auto"/>
              </w:rPr>
              <w:t>$</w:t>
            </w:r>
          </w:p>
        </w:tc>
      </w:tr>
      <w:tr>
        <w:trPr>
          <w:trHeight w:val="228"/>
        </w:trPr>
        <w:tc>
          <w:tcPr>
            <w:tcW w:w="5140" w:type="dxa"/>
            <w:vAlign w:val="bottom"/>
            <w:gridSpan w:val="2"/>
          </w:tcPr>
          <w:p>
            <w:pPr>
              <w:spacing w:after="0"/>
              <w:rPr>
                <w:sz w:val="20"/>
                <w:szCs w:val="20"/>
                <w:color w:val="auto"/>
              </w:rPr>
            </w:pPr>
            <w:r>
              <w:rPr>
                <w:rFonts w:ascii="Arial" w:cs="Arial" w:eastAsia="Arial" w:hAnsi="Arial"/>
                <w:sz w:val="19"/>
                <w:szCs w:val="19"/>
                <w:color w:val="auto"/>
              </w:rPr>
              <w:t>Underwriting discounts and commissions(1)</w:t>
            </w:r>
          </w:p>
        </w:tc>
        <w:tc>
          <w:tcPr>
            <w:tcW w:w="3220" w:type="dxa"/>
            <w:vAlign w:val="bottom"/>
          </w:tcPr>
          <w:p>
            <w:pPr>
              <w:jc w:val="right"/>
              <w:ind w:right="1167"/>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587"/>
              <w:spacing w:after="0"/>
              <w:rPr>
                <w:sz w:val="20"/>
                <w:szCs w:val="20"/>
                <w:color w:val="auto"/>
              </w:rPr>
            </w:pPr>
            <w:r>
              <w:rPr>
                <w:rFonts w:ascii="Arial" w:cs="Arial" w:eastAsia="Arial" w:hAnsi="Arial"/>
                <w:sz w:val="19"/>
                <w:szCs w:val="19"/>
                <w:color w:val="auto"/>
              </w:rPr>
              <w:t>$</w:t>
            </w:r>
          </w:p>
        </w:tc>
      </w:tr>
      <w:tr>
        <w:trPr>
          <w:trHeight w:val="235"/>
        </w:trPr>
        <w:tc>
          <w:tcPr>
            <w:tcW w:w="5140" w:type="dxa"/>
            <w:vAlign w:val="bottom"/>
            <w:gridSpan w:val="2"/>
          </w:tcPr>
          <w:p>
            <w:pPr>
              <w:spacing w:after="0"/>
              <w:rPr>
                <w:sz w:val="20"/>
                <w:szCs w:val="20"/>
                <w:color w:val="auto"/>
              </w:rPr>
            </w:pPr>
            <w:r>
              <w:rPr>
                <w:rFonts w:ascii="Arial" w:cs="Arial" w:eastAsia="Arial" w:hAnsi="Arial"/>
                <w:sz w:val="19"/>
                <w:szCs w:val="19"/>
                <w:color w:val="auto"/>
              </w:rPr>
              <w:t>Proceeds, before expenses, to us</w:t>
            </w:r>
          </w:p>
        </w:tc>
        <w:tc>
          <w:tcPr>
            <w:tcW w:w="3220" w:type="dxa"/>
            <w:vAlign w:val="bottom"/>
          </w:tcPr>
          <w:p>
            <w:pPr>
              <w:jc w:val="right"/>
              <w:ind w:right="1167"/>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587"/>
              <w:spacing w:after="0"/>
              <w:rPr>
                <w:sz w:val="20"/>
                <w:szCs w:val="20"/>
                <w:color w:val="auto"/>
              </w:rPr>
            </w:pPr>
            <w:r>
              <w:rPr>
                <w:rFonts w:ascii="Arial" w:cs="Arial" w:eastAsia="Arial" w:hAnsi="Arial"/>
                <w:sz w:val="19"/>
                <w:szCs w:val="19"/>
                <w:color w:val="auto"/>
              </w:rPr>
              <w:t>$</w:t>
            </w:r>
          </w:p>
        </w:tc>
      </w:tr>
      <w:tr>
        <w:trPr>
          <w:trHeight w:val="117"/>
        </w:trPr>
        <w:tc>
          <w:tcPr>
            <w:tcW w:w="252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940" w:type="dxa"/>
            <w:vAlign w:val="bottom"/>
          </w:tcPr>
          <w:p>
            <w:pPr>
              <w:spacing w:after="0"/>
              <w:rPr>
                <w:sz w:val="10"/>
                <w:szCs w:val="10"/>
                <w:color w:val="auto"/>
              </w:rPr>
            </w:pPr>
          </w:p>
        </w:tc>
      </w:tr>
    </w:tbl>
    <w:p>
      <w:pPr>
        <w:spacing w:after="0" w:line="232" w:lineRule="exact"/>
        <w:rPr>
          <w:sz w:val="24"/>
          <w:szCs w:val="24"/>
          <w:color w:val="auto"/>
        </w:rPr>
      </w:pPr>
    </w:p>
    <w:p>
      <w:pPr>
        <w:ind w:left="1760" w:hanging="565"/>
        <w:spacing w:after="0"/>
        <w:tabs>
          <w:tab w:leader="none" w:pos="17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We have agreed to reimburse the underwriters for certain expenses.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642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286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tabs>
          <w:tab w:leader="none" w:pos="6400" w:val="left"/>
        </w:tabs>
        <w:rPr>
          <w:sz w:val="20"/>
          <w:szCs w:val="20"/>
          <w:color w:val="auto"/>
        </w:rPr>
      </w:pPr>
      <w:r>
        <w:rPr>
          <w:rFonts w:ascii="Arial" w:cs="Arial" w:eastAsia="Arial" w:hAnsi="Arial"/>
          <w:sz w:val="19"/>
          <w:szCs w:val="19"/>
          <w:color w:val="auto"/>
        </w:rPr>
        <w:t>Delivery of the shares of common stock is expected to be made on or about</w:t>
      </w:r>
      <w:r>
        <w:rPr>
          <w:sz w:val="20"/>
          <w:szCs w:val="20"/>
          <w:color w:val="auto"/>
        </w:rPr>
        <w:tab/>
      </w:r>
      <w:r>
        <w:rPr>
          <w:rFonts w:ascii="Arial" w:cs="Arial" w:eastAsia="Arial" w:hAnsi="Arial"/>
          <w:sz w:val="16"/>
          <w:szCs w:val="16"/>
          <w:color w:val="auto"/>
        </w:rPr>
        <w:t>, 2019. We have granted the underwriters an option for a period of 30 days</w:t>
      </w:r>
    </w:p>
    <w:p>
      <w:pPr>
        <w:spacing w:after="0" w:line="17" w:lineRule="exact"/>
        <w:rPr>
          <w:sz w:val="24"/>
          <w:szCs w:val="24"/>
          <w:color w:val="auto"/>
        </w:rPr>
      </w:pPr>
    </w:p>
    <w:p>
      <w:pPr>
        <w:spacing w:after="0"/>
        <w:tabs>
          <w:tab w:leader="none" w:pos="2820" w:val="left"/>
        </w:tabs>
        <w:rPr>
          <w:sz w:val="20"/>
          <w:szCs w:val="20"/>
          <w:color w:val="auto"/>
        </w:rPr>
      </w:pPr>
      <w:r>
        <w:rPr>
          <w:rFonts w:ascii="Arial" w:cs="Arial" w:eastAsia="Arial" w:hAnsi="Arial"/>
          <w:sz w:val="19"/>
          <w:szCs w:val="19"/>
          <w:color w:val="auto"/>
        </w:rPr>
        <w:t>to purchase up to an additional</w:t>
      </w:r>
      <w:r>
        <w:rPr>
          <w:sz w:val="20"/>
          <w:szCs w:val="20"/>
          <w:color w:val="auto"/>
        </w:rPr>
        <w:tab/>
      </w:r>
      <w:r>
        <w:rPr>
          <w:rFonts w:ascii="Arial" w:cs="Arial" w:eastAsia="Arial" w:hAnsi="Arial"/>
          <w:sz w:val="16"/>
          <w:szCs w:val="16"/>
          <w:color w:val="auto"/>
        </w:rPr>
        <w:t>shares of our common stock at the public offering price less underwriting discounts and commissions.</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Stifel</w:t>
      </w:r>
    </w:p>
    <w:p>
      <w:pPr>
        <w:sectPr>
          <w:pgSz w:w="12240" w:h="15840" w:orient="portrait"/>
          <w:cols w:equalWidth="0" w:num="1">
            <w:col w:w="12000"/>
          </w:cols>
          <w:pgMar w:left="120" w:top="575" w:right="120" w:bottom="4" w:gutter="0" w:footer="0" w:header="0"/>
        </w:sectPr>
      </w:pPr>
    </w:p>
    <w:p>
      <w:pPr>
        <w:spacing w:after="0" w:line="237" w:lineRule="exact"/>
        <w:rPr>
          <w:sz w:val="24"/>
          <w:szCs w:val="24"/>
          <w:color w:val="auto"/>
        </w:rPr>
      </w:pPr>
    </w:p>
    <w:p>
      <w:pPr>
        <w:ind w:left="1200"/>
        <w:spacing w:after="0"/>
        <w:tabs>
          <w:tab w:leader="none" w:pos="8320" w:val="left"/>
        </w:tabs>
        <w:rPr>
          <w:sz w:val="20"/>
          <w:szCs w:val="20"/>
          <w:color w:val="auto"/>
        </w:rPr>
      </w:pPr>
      <w:r>
        <w:rPr>
          <w:rFonts w:ascii="Arial" w:cs="Arial" w:eastAsia="Arial" w:hAnsi="Arial"/>
          <w:sz w:val="26"/>
          <w:szCs w:val="26"/>
          <w:b w:val="1"/>
          <w:bCs w:val="1"/>
          <w:color w:val="auto"/>
        </w:rPr>
        <w:t>Canaccord Genuity</w:t>
      </w:r>
      <w:r>
        <w:rPr>
          <w:sz w:val="20"/>
          <w:szCs w:val="20"/>
          <w:color w:val="auto"/>
        </w:rPr>
        <w:tab/>
      </w:r>
      <w:r>
        <w:rPr>
          <w:rFonts w:ascii="Arial" w:cs="Arial" w:eastAsia="Arial" w:hAnsi="Arial"/>
          <w:sz w:val="22"/>
          <w:szCs w:val="22"/>
          <w:b w:val="1"/>
          <w:bCs w:val="1"/>
          <w:color w:val="auto"/>
        </w:rPr>
        <w:t>Needham &amp; Company</w:t>
      </w:r>
    </w:p>
    <w:p>
      <w:pPr>
        <w:sectPr>
          <w:pgSz w:w="12240" w:h="15840" w:orient="portrait"/>
          <w:cols w:equalWidth="0" w:num="1">
            <w:col w:w="12000"/>
          </w:cols>
          <w:pgMar w:left="120" w:top="575" w:right="120" w:bottom="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6"/>
          <w:szCs w:val="26"/>
          <w:b w:val="1"/>
          <w:bCs w:val="1"/>
          <w:color w:val="auto"/>
        </w:rPr>
        <w:t>Janney Montgomery Scott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40" w:type="dxa"/>
            <w:vAlign w:val="bottom"/>
          </w:tcPr>
          <w:p>
            <w:pPr>
              <w:spacing w:after="0"/>
              <w:rPr>
                <w:sz w:val="20"/>
                <w:szCs w:val="20"/>
                <w:color w:val="auto"/>
              </w:rPr>
            </w:pPr>
            <w:r>
              <w:rPr>
                <w:rFonts w:ascii="Arial" w:cs="Arial" w:eastAsia="Arial" w:hAnsi="Arial"/>
                <w:sz w:val="19"/>
                <w:szCs w:val="19"/>
                <w:color w:val="auto"/>
                <w:w w:val="98"/>
              </w:rPr>
              <w:t>Prospectus Supplement dated</w:t>
            </w:r>
          </w:p>
        </w:tc>
        <w:tc>
          <w:tcPr>
            <w:tcW w:w="9460" w:type="dxa"/>
            <w:vAlign w:val="bottom"/>
          </w:tcPr>
          <w:p>
            <w:pPr>
              <w:jc w:val="right"/>
              <w:ind w:right="8527"/>
              <w:spacing w:after="0"/>
              <w:rPr>
                <w:sz w:val="20"/>
                <w:szCs w:val="20"/>
                <w:color w:val="auto"/>
              </w:rPr>
            </w:pPr>
            <w:r>
              <w:rPr>
                <w:rFonts w:ascii="Arial" w:cs="Arial" w:eastAsia="Arial" w:hAnsi="Arial"/>
                <w:sz w:val="19"/>
                <w:szCs w:val="19"/>
                <w:color w:val="auto"/>
              </w:rPr>
              <w:t>, 2019</w:t>
            </w:r>
          </w:p>
        </w:tc>
      </w:tr>
      <w:tr>
        <w:trPr>
          <w:trHeight w:val="243"/>
        </w:trPr>
        <w:tc>
          <w:tcPr>
            <w:tcW w:w="2540" w:type="dxa"/>
            <w:vAlign w:val="bottom"/>
            <w:tcBorders>
              <w:bottom w:val="single" w:sz="8" w:color="808080"/>
            </w:tcBorders>
          </w:tcPr>
          <w:p>
            <w:pPr>
              <w:spacing w:after="0"/>
              <w:rPr>
                <w:sz w:val="21"/>
                <w:szCs w:val="21"/>
                <w:color w:val="auto"/>
              </w:rPr>
            </w:pPr>
          </w:p>
        </w:tc>
        <w:tc>
          <w:tcPr>
            <w:tcW w:w="94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7610475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 w:name="page3"/>
    <w:bookmarkEnd w:id="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PROSPECTUS SUPPLEMENT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2560" w:type="dxa"/>
            <w:vAlign w:val="bottom"/>
            <w:gridSpan w:val="17"/>
            <w:vMerge w:val="restart"/>
          </w:tcPr>
          <w:p>
            <w:pPr>
              <w:spacing w:after="0"/>
              <w:rPr>
                <w:rFonts w:ascii="Arial" w:cs="Arial" w:eastAsia="Arial" w:hAnsi="Arial"/>
                <w:sz w:val="19"/>
                <w:szCs w:val="19"/>
                <w:color w:val="0000EE"/>
                <w:w w:val="87"/>
              </w:rPr>
            </w:pPr>
            <w:hyperlink w:anchor="page4">
              <w:r>
                <w:rPr>
                  <w:rFonts w:ascii="Arial" w:cs="Arial" w:eastAsia="Arial" w:hAnsi="Arial"/>
                  <w:sz w:val="19"/>
                  <w:szCs w:val="19"/>
                  <w:color w:val="0000EE"/>
                  <w:w w:val="87"/>
                </w:rPr>
                <w:t>About this Prospectus Supplement</w:t>
              </w:r>
            </w:hyperlink>
          </w:p>
        </w:tc>
        <w:tc>
          <w:tcPr>
            <w:tcW w:w="6640" w:type="dxa"/>
            <w:vAlign w:val="bottom"/>
            <w:gridSpan w:val="8"/>
            <w:vMerge w:val="restart"/>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7"/>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2560" w:type="dxa"/>
            <w:vAlign w:val="bottom"/>
            <w:tcBorders>
              <w:bottom w:val="single" w:sz="8" w:color="0000EE"/>
            </w:tcBorders>
            <w:gridSpan w:val="17"/>
            <w:vMerge w:val="continue"/>
          </w:tcPr>
          <w:p>
            <w:pPr>
              <w:spacing w:after="0"/>
              <w:rPr>
                <w:sz w:val="15"/>
                <w:szCs w:val="15"/>
                <w:color w:val="auto"/>
              </w:rPr>
            </w:pPr>
          </w:p>
        </w:tc>
        <w:tc>
          <w:tcPr>
            <w:tcW w:w="6640" w:type="dxa"/>
            <w:vAlign w:val="bottom"/>
            <w:gridSpan w:val="8"/>
            <w:vMerge w:val="continue"/>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0000EE"/>
            </w:tcBorders>
            <w:gridSpan w:val="3"/>
          </w:tcPr>
          <w:p>
            <w:pPr>
              <w:jc w:val="right"/>
              <w:spacing w:after="0" w:line="180" w:lineRule="exact"/>
              <w:rPr>
                <w:rFonts w:ascii="Arial" w:cs="Arial" w:eastAsia="Arial" w:hAnsi="Arial"/>
                <w:sz w:val="19"/>
                <w:szCs w:val="19"/>
                <w:color w:val="0000EE"/>
                <w:w w:val="77"/>
              </w:rPr>
            </w:pPr>
            <w:hyperlink w:anchor="page4">
              <w:r>
                <w:rPr>
                  <w:rFonts w:ascii="Arial" w:cs="Arial" w:eastAsia="Arial" w:hAnsi="Arial"/>
                  <w:sz w:val="19"/>
                  <w:szCs w:val="19"/>
                  <w:color w:val="0000EE"/>
                  <w:w w:val="77"/>
                </w:rPr>
                <w:t>S-i</w:t>
              </w:r>
            </w:hyperlink>
          </w:p>
        </w:tc>
        <w:tc>
          <w:tcPr>
            <w:tcW w:w="20" w:type="dxa"/>
            <w:vAlign w:val="bottom"/>
            <w:tcBorders>
              <w:bottom w:val="single" w:sz="8" w:color="0000EE"/>
            </w:tcBorders>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5">
              <w:r>
                <w:rPr>
                  <w:rFonts w:ascii="Arial" w:cs="Arial" w:eastAsia="Arial" w:hAnsi="Arial"/>
                  <w:sz w:val="19"/>
                  <w:szCs w:val="19"/>
                  <w:color w:val="0000EE"/>
                </w:rPr>
                <w:t>Prospectus Supplement Summary</w:t>
              </w:r>
            </w:hyperlink>
          </w:p>
        </w:tc>
        <w:tc>
          <w:tcPr>
            <w:tcW w:w="40" w:type="dxa"/>
            <w:vAlign w:val="bottom"/>
          </w:tcPr>
          <w:p>
            <w:pPr>
              <w:spacing w:after="0"/>
              <w:rPr>
                <w:sz w:val="24"/>
                <w:szCs w:val="24"/>
                <w:color w:val="auto"/>
              </w:rPr>
            </w:pPr>
          </w:p>
        </w:tc>
        <w:tc>
          <w:tcPr>
            <w:tcW w:w="1560" w:type="dxa"/>
            <w:vAlign w:val="bottom"/>
            <w:gridSpan w:val="7"/>
          </w:tcPr>
          <w:p>
            <w:pPr>
              <w:jc w:val="right"/>
              <w:ind w:right="1200"/>
              <w:spacing w:after="0"/>
              <w:rPr>
                <w:rFonts w:ascii="Arial" w:cs="Arial" w:eastAsia="Arial" w:hAnsi="Arial"/>
                <w:sz w:val="19"/>
                <w:szCs w:val="19"/>
                <w:color w:val="0000EE"/>
              </w:rPr>
            </w:pPr>
            <w:hyperlink w:anchor="page5">
              <w:r>
                <w:rPr>
                  <w:rFonts w:ascii="Arial" w:cs="Arial" w:eastAsia="Arial" w:hAnsi="Arial"/>
                  <w:sz w:val="19"/>
                  <w:szCs w:val="19"/>
                  <w:color w:val="0000EE"/>
                </w:rPr>
                <w:t>S-1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940" w:type="dxa"/>
            <w:vAlign w:val="bottom"/>
            <w:gridSpan w:val="3"/>
          </w:tcPr>
          <w:p>
            <w:pPr>
              <w:spacing w:after="0"/>
              <w:rPr>
                <w:rFonts w:ascii="Arial" w:cs="Arial" w:eastAsia="Arial" w:hAnsi="Arial"/>
                <w:sz w:val="19"/>
                <w:szCs w:val="19"/>
                <w:color w:val="0000EE"/>
                <w:w w:val="87"/>
              </w:rPr>
            </w:pPr>
            <w:hyperlink w:anchor="page8">
              <w:r>
                <w:rPr>
                  <w:rFonts w:ascii="Arial" w:cs="Arial" w:eastAsia="Arial" w:hAnsi="Arial"/>
                  <w:sz w:val="19"/>
                  <w:szCs w:val="19"/>
                  <w:color w:val="0000EE"/>
                  <w:w w:val="87"/>
                </w:rPr>
                <w:t>Risk Factors</w:t>
              </w:r>
            </w:hyperlink>
          </w:p>
        </w:tc>
        <w:tc>
          <w:tcPr>
            <w:tcW w:w="1560" w:type="dxa"/>
            <w:vAlign w:val="bottom"/>
            <w:gridSpan w:val="13"/>
          </w:tcPr>
          <w:p>
            <w:pPr>
              <w:spacing w:after="0"/>
              <w:rPr>
                <w:sz w:val="24"/>
                <w:szCs w:val="24"/>
                <w:color w:val="auto"/>
              </w:rPr>
            </w:pPr>
          </w:p>
        </w:tc>
        <w:tc>
          <w:tcPr>
            <w:tcW w:w="670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7"/>
          </w:tcPr>
          <w:p>
            <w:pPr>
              <w:jc w:val="right"/>
              <w:ind w:right="1200"/>
              <w:spacing w:after="0"/>
              <w:rPr>
                <w:rFonts w:ascii="Arial" w:cs="Arial" w:eastAsia="Arial" w:hAnsi="Arial"/>
                <w:sz w:val="19"/>
                <w:szCs w:val="19"/>
                <w:color w:val="0000EE"/>
              </w:rPr>
            </w:pPr>
            <w:hyperlink w:anchor="page8">
              <w:r>
                <w:rPr>
                  <w:rFonts w:ascii="Arial" w:cs="Arial" w:eastAsia="Arial" w:hAnsi="Arial"/>
                  <w:sz w:val="19"/>
                  <w:szCs w:val="19"/>
                  <w:color w:val="0000EE"/>
                </w:rPr>
                <w:t>S-4</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4000" w:type="dxa"/>
            <w:vAlign w:val="bottom"/>
            <w:gridSpan w:val="19"/>
          </w:tcPr>
          <w:p>
            <w:pPr>
              <w:spacing w:after="0"/>
              <w:rPr>
                <w:rFonts w:ascii="Arial" w:cs="Arial" w:eastAsia="Arial" w:hAnsi="Arial"/>
                <w:sz w:val="19"/>
                <w:szCs w:val="19"/>
                <w:color w:val="0000EE"/>
                <w:w w:val="88"/>
              </w:rPr>
            </w:pPr>
            <w:hyperlink w:anchor="page10">
              <w:r>
                <w:rPr>
                  <w:rFonts w:ascii="Arial" w:cs="Arial" w:eastAsia="Arial" w:hAnsi="Arial"/>
                  <w:sz w:val="19"/>
                  <w:szCs w:val="19"/>
                  <w:color w:val="0000EE"/>
                  <w:w w:val="88"/>
                </w:rPr>
                <w:t>Special Note Regarding Forward-Looking Statements</w:t>
              </w:r>
            </w:hyperlink>
          </w:p>
        </w:tc>
        <w:tc>
          <w:tcPr>
            <w:tcW w:w="52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7"/>
          </w:tcPr>
          <w:p>
            <w:pPr>
              <w:jc w:val="right"/>
              <w:ind w:right="1200"/>
              <w:spacing w:after="0"/>
              <w:rPr>
                <w:rFonts w:ascii="Arial" w:cs="Arial" w:eastAsia="Arial" w:hAnsi="Arial"/>
                <w:sz w:val="19"/>
                <w:szCs w:val="19"/>
                <w:color w:val="0000EE"/>
              </w:rPr>
            </w:pPr>
            <w:hyperlink w:anchor="page10">
              <w:r>
                <w:rPr>
                  <w:rFonts w:ascii="Arial" w:cs="Arial" w:eastAsia="Arial" w:hAnsi="Arial"/>
                  <w:sz w:val="19"/>
                  <w:szCs w:val="19"/>
                  <w:color w:val="0000EE"/>
                </w:rPr>
                <w:t>S-6</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4000" w:type="dxa"/>
            <w:vAlign w:val="bottom"/>
            <w:gridSpan w:val="19"/>
          </w:tcPr>
          <w:p>
            <w:pPr>
              <w:spacing w:after="0"/>
              <w:rPr>
                <w:rFonts w:ascii="Arial" w:cs="Arial" w:eastAsia="Arial" w:hAnsi="Arial"/>
                <w:sz w:val="19"/>
                <w:szCs w:val="19"/>
                <w:color w:val="0000EE"/>
              </w:rPr>
            </w:pPr>
            <w:hyperlink w:anchor="page11">
              <w:r>
                <w:rPr>
                  <w:rFonts w:ascii="Arial" w:cs="Arial" w:eastAsia="Arial" w:hAnsi="Arial"/>
                  <w:sz w:val="19"/>
                  <w:szCs w:val="19"/>
                  <w:color w:val="0000EE"/>
                </w:rPr>
                <w:t>Use of Proceeds</w:t>
              </w:r>
            </w:hyperlink>
          </w:p>
        </w:tc>
        <w:tc>
          <w:tcPr>
            <w:tcW w:w="52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7"/>
          </w:tcPr>
          <w:p>
            <w:pPr>
              <w:jc w:val="right"/>
              <w:ind w:right="1200"/>
              <w:spacing w:after="0"/>
              <w:rPr>
                <w:rFonts w:ascii="Arial" w:cs="Arial" w:eastAsia="Arial" w:hAnsi="Arial"/>
                <w:sz w:val="19"/>
                <w:szCs w:val="19"/>
                <w:color w:val="0000EE"/>
              </w:rPr>
            </w:pPr>
            <w:hyperlink w:anchor="page11">
              <w:r>
                <w:rPr>
                  <w:rFonts w:ascii="Arial" w:cs="Arial" w:eastAsia="Arial" w:hAnsi="Arial"/>
                  <w:sz w:val="19"/>
                  <w:szCs w:val="19"/>
                  <w:color w:val="0000EE"/>
                </w:rPr>
                <w:t>S-7</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Market for Common Stock</w:t>
              </w:r>
            </w:hyperlink>
          </w:p>
        </w:tc>
        <w:tc>
          <w:tcPr>
            <w:tcW w:w="40" w:type="dxa"/>
            <w:vAlign w:val="bottom"/>
          </w:tcPr>
          <w:p>
            <w:pPr>
              <w:spacing w:after="0"/>
              <w:rPr>
                <w:sz w:val="24"/>
                <w:szCs w:val="24"/>
                <w:color w:val="auto"/>
              </w:rPr>
            </w:pPr>
          </w:p>
        </w:tc>
        <w:tc>
          <w:tcPr>
            <w:tcW w:w="1560" w:type="dxa"/>
            <w:vAlign w:val="bottom"/>
            <w:gridSpan w:val="7"/>
          </w:tcPr>
          <w:p>
            <w:pPr>
              <w:jc w:val="right"/>
              <w:ind w:right="1200"/>
              <w:spacing w:after="0"/>
              <w:rPr>
                <w:rFonts w:ascii="Arial" w:cs="Arial" w:eastAsia="Arial" w:hAnsi="Arial"/>
                <w:sz w:val="19"/>
                <w:szCs w:val="19"/>
                <w:color w:val="0000EE"/>
              </w:rPr>
            </w:pPr>
            <w:hyperlink w:anchor="page12">
              <w:r>
                <w:rPr>
                  <w:rFonts w:ascii="Arial" w:cs="Arial" w:eastAsia="Arial" w:hAnsi="Arial"/>
                  <w:sz w:val="19"/>
                  <w:szCs w:val="19"/>
                  <w:color w:val="0000EE"/>
                </w:rPr>
                <w:t>S-8</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220" w:type="dxa"/>
            <w:vAlign w:val="bottom"/>
            <w:gridSpan w:val="8"/>
          </w:tcPr>
          <w:p>
            <w:pPr>
              <w:spacing w:after="0"/>
              <w:rPr>
                <w:rFonts w:ascii="Arial" w:cs="Arial" w:eastAsia="Arial" w:hAnsi="Arial"/>
                <w:sz w:val="19"/>
                <w:szCs w:val="19"/>
                <w:color w:val="0000EE"/>
                <w:w w:val="92"/>
              </w:rPr>
            </w:pPr>
            <w:hyperlink w:anchor="page13">
              <w:r>
                <w:rPr>
                  <w:rFonts w:ascii="Arial" w:cs="Arial" w:eastAsia="Arial" w:hAnsi="Arial"/>
                  <w:sz w:val="19"/>
                  <w:szCs w:val="19"/>
                  <w:color w:val="0000EE"/>
                  <w:w w:val="92"/>
                </w:rPr>
                <w:t>Dividend Policy</w:t>
              </w:r>
            </w:hyperlink>
          </w:p>
        </w:tc>
        <w:tc>
          <w:tcPr>
            <w:tcW w:w="780" w:type="dxa"/>
            <w:vAlign w:val="bottom"/>
            <w:gridSpan w:val="5"/>
          </w:tcPr>
          <w:p>
            <w:pPr>
              <w:spacing w:after="0"/>
              <w:rPr>
                <w:sz w:val="24"/>
                <w:szCs w:val="24"/>
                <w:color w:val="auto"/>
              </w:rPr>
            </w:pPr>
          </w:p>
        </w:tc>
        <w:tc>
          <w:tcPr>
            <w:tcW w:w="720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7"/>
          </w:tcPr>
          <w:p>
            <w:pPr>
              <w:jc w:val="right"/>
              <w:ind w:right="1200"/>
              <w:spacing w:after="0"/>
              <w:rPr>
                <w:rFonts w:ascii="Arial" w:cs="Arial" w:eastAsia="Arial" w:hAnsi="Arial"/>
                <w:sz w:val="19"/>
                <w:szCs w:val="19"/>
                <w:color w:val="0000EE"/>
              </w:rPr>
            </w:pPr>
            <w:hyperlink w:anchor="page13">
              <w:r>
                <w:rPr>
                  <w:rFonts w:ascii="Arial" w:cs="Arial" w:eastAsia="Arial" w:hAnsi="Arial"/>
                  <w:sz w:val="19"/>
                  <w:szCs w:val="19"/>
                  <w:color w:val="0000EE"/>
                </w:rPr>
                <w:t>S-9</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19"/>
                <w:szCs w:val="19"/>
                <w:color w:val="0000EE"/>
                <w:w w:val="94"/>
              </w:rPr>
            </w:pPr>
            <w:hyperlink w:anchor="page14">
              <w:r>
                <w:rPr>
                  <w:rFonts w:ascii="Arial" w:cs="Arial" w:eastAsia="Arial" w:hAnsi="Arial"/>
                  <w:sz w:val="19"/>
                  <w:szCs w:val="19"/>
                  <w:color w:val="0000EE"/>
                  <w:w w:val="94"/>
                </w:rPr>
                <w:t>Dilution</w:t>
              </w:r>
            </w:hyperlink>
          </w:p>
        </w:tc>
        <w:tc>
          <w:tcPr>
            <w:tcW w:w="600" w:type="dxa"/>
            <w:vAlign w:val="bottom"/>
            <w:gridSpan w:val="6"/>
          </w:tcPr>
          <w:p>
            <w:pPr>
              <w:spacing w:after="0"/>
              <w:rPr>
                <w:sz w:val="24"/>
                <w:szCs w:val="24"/>
                <w:color w:val="auto"/>
              </w:rPr>
            </w:pPr>
          </w:p>
        </w:tc>
        <w:tc>
          <w:tcPr>
            <w:tcW w:w="7980" w:type="dxa"/>
            <w:vAlign w:val="bottom"/>
            <w:gridSpan w:val="17"/>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6"/>
          </w:tcPr>
          <w:p>
            <w:pPr>
              <w:jc w:val="right"/>
              <w:spacing w:after="0"/>
              <w:rPr>
                <w:rFonts w:ascii="Arial" w:cs="Arial" w:eastAsia="Arial" w:hAnsi="Arial"/>
                <w:sz w:val="19"/>
                <w:szCs w:val="19"/>
                <w:color w:val="0000EE"/>
                <w:w w:val="84"/>
              </w:rPr>
            </w:pPr>
            <w:hyperlink w:anchor="page14">
              <w:r>
                <w:rPr>
                  <w:rFonts w:ascii="Arial" w:cs="Arial" w:eastAsia="Arial" w:hAnsi="Arial"/>
                  <w:sz w:val="19"/>
                  <w:szCs w:val="19"/>
                  <w:color w:val="0000EE"/>
                  <w:w w:val="84"/>
                </w:rPr>
                <w:t>S-10</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Certain Material U.S. Federal Income Tax Consequences to Non-U.S. Holders of our Common Stock</w:t>
              </w:r>
            </w:hyperlink>
          </w:p>
        </w:tc>
        <w:tc>
          <w:tcPr>
            <w:tcW w:w="40" w:type="dxa"/>
            <w:vAlign w:val="bottom"/>
          </w:tcPr>
          <w:p>
            <w:pPr>
              <w:spacing w:after="0"/>
              <w:rPr>
                <w:sz w:val="24"/>
                <w:szCs w:val="24"/>
                <w:color w:val="auto"/>
              </w:rPr>
            </w:pPr>
          </w:p>
        </w:tc>
        <w:tc>
          <w:tcPr>
            <w:tcW w:w="1560" w:type="dxa"/>
            <w:vAlign w:val="bottom"/>
            <w:gridSpan w:val="7"/>
          </w:tcPr>
          <w:p>
            <w:pPr>
              <w:jc w:val="right"/>
              <w:ind w:right="1200"/>
              <w:spacing w:after="0"/>
              <w:rPr>
                <w:rFonts w:ascii="Arial" w:cs="Arial" w:eastAsia="Arial" w:hAnsi="Arial"/>
                <w:sz w:val="19"/>
                <w:szCs w:val="19"/>
                <w:color w:val="0000EE"/>
                <w:w w:val="84"/>
              </w:rPr>
            </w:pPr>
            <w:hyperlink w:anchor="page16">
              <w:r>
                <w:rPr>
                  <w:rFonts w:ascii="Arial" w:cs="Arial" w:eastAsia="Arial" w:hAnsi="Arial"/>
                  <w:sz w:val="19"/>
                  <w:szCs w:val="19"/>
                  <w:color w:val="0000EE"/>
                  <w:w w:val="84"/>
                </w:rPr>
                <w:t>S-12</w:t>
              </w:r>
            </w:hyperlink>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1"/>
              </w:rPr>
            </w:pPr>
            <w:hyperlink w:anchor="page21">
              <w:r>
                <w:rPr>
                  <w:rFonts w:ascii="Arial" w:cs="Arial" w:eastAsia="Arial" w:hAnsi="Arial"/>
                  <w:sz w:val="19"/>
                  <w:szCs w:val="19"/>
                  <w:color w:val="0000EE"/>
                  <w:w w:val="91"/>
                </w:rPr>
                <w:t>Underwriting</w:t>
              </w:r>
            </w:hyperlink>
          </w:p>
        </w:tc>
        <w:tc>
          <w:tcPr>
            <w:tcW w:w="6500" w:type="dxa"/>
            <w:vAlign w:val="bottom"/>
            <w:tcBorders>
              <w:top w:val="single" w:sz="8" w:color="0000EE"/>
            </w:tcBorders>
            <w:gridSpan w:val="19"/>
          </w:tcPr>
          <w:p>
            <w:pPr>
              <w:spacing w:after="0"/>
              <w:rPr>
                <w:sz w:val="24"/>
                <w:szCs w:val="24"/>
                <w:color w:val="auto"/>
              </w:rPr>
            </w:pPr>
          </w:p>
        </w:tc>
        <w:tc>
          <w:tcPr>
            <w:tcW w:w="17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top w:val="single" w:sz="8" w:color="0000EE"/>
              <w:bottom w:val="single" w:sz="8" w:color="0000EE"/>
            </w:tcBorders>
            <w:gridSpan w:val="6"/>
          </w:tcPr>
          <w:p>
            <w:pPr>
              <w:jc w:val="right"/>
              <w:spacing w:after="0"/>
              <w:rPr>
                <w:rFonts w:ascii="Arial" w:cs="Arial" w:eastAsia="Arial" w:hAnsi="Arial"/>
                <w:sz w:val="19"/>
                <w:szCs w:val="19"/>
                <w:color w:val="0000EE"/>
                <w:w w:val="84"/>
              </w:rPr>
            </w:pPr>
            <w:hyperlink w:anchor="page21">
              <w:r>
                <w:rPr>
                  <w:rFonts w:ascii="Arial" w:cs="Arial" w:eastAsia="Arial" w:hAnsi="Arial"/>
                  <w:sz w:val="19"/>
                  <w:szCs w:val="19"/>
                  <w:color w:val="0000EE"/>
                  <w:w w:val="84"/>
                </w:rPr>
                <w:t>S-17</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1040" w:type="dxa"/>
            <w:vAlign w:val="bottom"/>
            <w:tcBorders>
              <w:bottom w:val="single" w:sz="8" w:color="0000EE"/>
            </w:tcBorders>
            <w:gridSpan w:val="5"/>
          </w:tcPr>
          <w:p>
            <w:pPr>
              <w:spacing w:after="0"/>
              <w:rPr>
                <w:rFonts w:ascii="Arial" w:cs="Arial" w:eastAsia="Arial" w:hAnsi="Arial"/>
                <w:sz w:val="19"/>
                <w:szCs w:val="19"/>
                <w:color w:val="0000EE"/>
                <w:w w:val="88"/>
              </w:rPr>
            </w:pPr>
            <w:hyperlink w:anchor="page30">
              <w:r>
                <w:rPr>
                  <w:rFonts w:ascii="Arial" w:cs="Arial" w:eastAsia="Arial" w:hAnsi="Arial"/>
                  <w:sz w:val="19"/>
                  <w:szCs w:val="19"/>
                  <w:color w:val="0000EE"/>
                  <w:w w:val="88"/>
                </w:rPr>
                <w:t>Legal Matters</w:t>
              </w:r>
            </w:hyperlink>
          </w:p>
        </w:tc>
        <w:tc>
          <w:tcPr>
            <w:tcW w:w="8160" w:type="dxa"/>
            <w:vAlign w:val="bottom"/>
            <w:gridSpan w:val="20"/>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6"/>
          </w:tcPr>
          <w:p>
            <w:pPr>
              <w:jc w:val="right"/>
              <w:spacing w:after="0"/>
              <w:rPr>
                <w:rFonts w:ascii="Arial" w:cs="Arial" w:eastAsia="Arial" w:hAnsi="Arial"/>
                <w:sz w:val="19"/>
                <w:szCs w:val="19"/>
                <w:color w:val="0000EE"/>
                <w:w w:val="84"/>
              </w:rPr>
            </w:pPr>
            <w:hyperlink w:anchor="page30">
              <w:r>
                <w:rPr>
                  <w:rFonts w:ascii="Arial" w:cs="Arial" w:eastAsia="Arial" w:hAnsi="Arial"/>
                  <w:sz w:val="19"/>
                  <w:szCs w:val="19"/>
                  <w:color w:val="0000EE"/>
                  <w:w w:val="84"/>
                </w:rPr>
                <w:t>S-26</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30">
              <w:r>
                <w:rPr>
                  <w:rFonts w:ascii="Arial" w:cs="Arial" w:eastAsia="Arial" w:hAnsi="Arial"/>
                  <w:sz w:val="19"/>
                  <w:szCs w:val="19"/>
                  <w:color w:val="0000EE"/>
                </w:rPr>
                <w:t>Experts</w:t>
              </w:r>
            </w:hyperlink>
          </w:p>
        </w:tc>
        <w:tc>
          <w:tcPr>
            <w:tcW w:w="40" w:type="dxa"/>
            <w:vAlign w:val="bottom"/>
          </w:tcPr>
          <w:p>
            <w:pPr>
              <w:spacing w:after="0"/>
              <w:rPr>
                <w:sz w:val="24"/>
                <w:szCs w:val="24"/>
                <w:color w:val="auto"/>
              </w:rPr>
            </w:pPr>
          </w:p>
        </w:tc>
        <w:tc>
          <w:tcPr>
            <w:tcW w:w="1560" w:type="dxa"/>
            <w:vAlign w:val="bottom"/>
            <w:gridSpan w:val="7"/>
          </w:tcPr>
          <w:p>
            <w:pPr>
              <w:jc w:val="right"/>
              <w:ind w:right="1200"/>
              <w:spacing w:after="0"/>
              <w:rPr>
                <w:rFonts w:ascii="Arial" w:cs="Arial" w:eastAsia="Arial" w:hAnsi="Arial"/>
                <w:sz w:val="19"/>
                <w:szCs w:val="19"/>
                <w:color w:val="0000EE"/>
                <w:w w:val="84"/>
              </w:rPr>
            </w:pPr>
            <w:hyperlink w:anchor="page30">
              <w:r>
                <w:rPr>
                  <w:rFonts w:ascii="Arial" w:cs="Arial" w:eastAsia="Arial" w:hAnsi="Arial"/>
                  <w:sz w:val="19"/>
                  <w:szCs w:val="19"/>
                  <w:color w:val="0000EE"/>
                  <w:w w:val="84"/>
                </w:rPr>
                <w:t>S-26</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5100" w:type="dxa"/>
            <w:vAlign w:val="bottom"/>
            <w:tcBorders>
              <w:bottom w:val="single" w:sz="8" w:color="0000EE"/>
            </w:tcBorders>
            <w:gridSpan w:val="21"/>
          </w:tcPr>
          <w:p>
            <w:pPr>
              <w:spacing w:after="0"/>
              <w:rPr>
                <w:rFonts w:ascii="Arial" w:cs="Arial" w:eastAsia="Arial" w:hAnsi="Arial"/>
                <w:sz w:val="19"/>
                <w:szCs w:val="19"/>
                <w:color w:val="0000EE"/>
                <w:w w:val="89"/>
              </w:rPr>
            </w:pPr>
            <w:hyperlink w:anchor="page31">
              <w:r>
                <w:rPr>
                  <w:rFonts w:ascii="Arial" w:cs="Arial" w:eastAsia="Arial" w:hAnsi="Arial"/>
                  <w:sz w:val="19"/>
                  <w:szCs w:val="19"/>
                  <w:color w:val="0000EE"/>
                  <w:w w:val="89"/>
                </w:rPr>
                <w:t>Where You Can Find More Information; Incorporation by Reference</w:t>
              </w:r>
            </w:hyperlink>
          </w:p>
        </w:tc>
        <w:tc>
          <w:tcPr>
            <w:tcW w:w="41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0000EE"/>
            </w:tcBorders>
            <w:gridSpan w:val="6"/>
          </w:tcPr>
          <w:p>
            <w:pPr>
              <w:jc w:val="right"/>
              <w:spacing w:after="0"/>
              <w:rPr>
                <w:rFonts w:ascii="Arial" w:cs="Arial" w:eastAsia="Arial" w:hAnsi="Arial"/>
                <w:sz w:val="19"/>
                <w:szCs w:val="19"/>
                <w:color w:val="0000EE"/>
                <w:w w:val="84"/>
              </w:rPr>
            </w:pPr>
            <w:hyperlink w:anchor="page31">
              <w:r>
                <w:rPr>
                  <w:rFonts w:ascii="Arial" w:cs="Arial" w:eastAsia="Arial" w:hAnsi="Arial"/>
                  <w:sz w:val="19"/>
                  <w:szCs w:val="19"/>
                  <w:color w:val="0000EE"/>
                  <w:w w:val="84"/>
                </w:rPr>
                <w:t>S-27</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4"/>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gridSpan w:val="6"/>
          </w:tcPr>
          <w:p>
            <w:pPr>
              <w:ind w:left="160"/>
              <w:spacing w:after="0"/>
              <w:rPr>
                <w:sz w:val="20"/>
                <w:szCs w:val="20"/>
                <w:color w:val="auto"/>
              </w:rPr>
            </w:pPr>
            <w:r>
              <w:rPr>
                <w:rFonts w:ascii="Arial" w:cs="Arial" w:eastAsia="Arial" w:hAnsi="Arial"/>
                <w:sz w:val="19"/>
                <w:szCs w:val="19"/>
                <w:b w:val="1"/>
                <w:bCs w:val="1"/>
                <w:color w:val="auto"/>
              </w:rPr>
              <w:t>PROSPECTUS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35">
              <w:r>
                <w:rPr>
                  <w:rFonts w:ascii="Arial" w:cs="Arial" w:eastAsia="Arial" w:hAnsi="Arial"/>
                  <w:sz w:val="19"/>
                  <w:szCs w:val="19"/>
                  <w:color w:val="0000EE"/>
                </w:rPr>
                <w:t>About this Prospectus</w:t>
              </w:r>
            </w:hyperlink>
          </w:p>
        </w:tc>
        <w:tc>
          <w:tcPr>
            <w:tcW w:w="400" w:type="dxa"/>
            <w:vAlign w:val="bottom"/>
            <w:gridSpan w:val="7"/>
          </w:tcPr>
          <w:p>
            <w:pPr>
              <w:jc w:val="right"/>
              <w:spacing w:after="0"/>
              <w:rPr>
                <w:rFonts w:ascii="Arial" w:cs="Arial" w:eastAsia="Arial" w:hAnsi="Arial"/>
                <w:sz w:val="19"/>
                <w:szCs w:val="19"/>
                <w:color w:val="0000EE"/>
              </w:rPr>
            </w:pPr>
            <w:hyperlink w:anchor="page35">
              <w:r>
                <w:rPr>
                  <w:rFonts w:ascii="Arial" w:cs="Arial" w:eastAsia="Arial" w:hAnsi="Arial"/>
                  <w:sz w:val="19"/>
                  <w:szCs w:val="19"/>
                  <w:color w:val="0000EE"/>
                </w:rPr>
                <w:t>1</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36">
              <w:r>
                <w:rPr>
                  <w:rFonts w:ascii="Arial" w:cs="Arial" w:eastAsia="Arial" w:hAnsi="Arial"/>
                  <w:sz w:val="19"/>
                  <w:szCs w:val="19"/>
                  <w:color w:val="0000EE"/>
                </w:rPr>
                <w:t>Where You Can Find More Information; Incorporation by Reference</w:t>
              </w:r>
            </w:hyperlink>
          </w:p>
        </w:tc>
        <w:tc>
          <w:tcPr>
            <w:tcW w:w="400" w:type="dxa"/>
            <w:vAlign w:val="bottom"/>
            <w:gridSpan w:val="7"/>
          </w:tcPr>
          <w:p>
            <w:pPr>
              <w:jc w:val="right"/>
              <w:spacing w:after="0"/>
              <w:rPr>
                <w:rFonts w:ascii="Arial" w:cs="Arial" w:eastAsia="Arial" w:hAnsi="Arial"/>
                <w:sz w:val="19"/>
                <w:szCs w:val="19"/>
                <w:color w:val="0000EE"/>
              </w:rPr>
            </w:pPr>
            <w:hyperlink w:anchor="page36">
              <w:r>
                <w:rPr>
                  <w:rFonts w:ascii="Arial" w:cs="Arial" w:eastAsia="Arial" w:hAnsi="Arial"/>
                  <w:sz w:val="19"/>
                  <w:szCs w:val="19"/>
                  <w:color w:val="0000EE"/>
                </w:rPr>
                <w:t>2</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6"/>
          </w:tcPr>
          <w:p>
            <w:pPr>
              <w:spacing w:after="0"/>
              <w:rPr>
                <w:rFonts w:ascii="Arial" w:cs="Arial" w:eastAsia="Arial" w:hAnsi="Arial"/>
                <w:sz w:val="19"/>
                <w:szCs w:val="19"/>
                <w:color w:val="0000EE"/>
                <w:w w:val="87"/>
              </w:rPr>
            </w:pPr>
            <w:hyperlink w:anchor="page38">
              <w:r>
                <w:rPr>
                  <w:rFonts w:ascii="Arial" w:cs="Arial" w:eastAsia="Arial" w:hAnsi="Arial"/>
                  <w:sz w:val="19"/>
                  <w:szCs w:val="19"/>
                  <w:color w:val="0000EE"/>
                  <w:w w:val="87"/>
                </w:rPr>
                <w:t>The Company</w:t>
              </w:r>
            </w:hyperlink>
          </w:p>
        </w:tc>
        <w:tc>
          <w:tcPr>
            <w:tcW w:w="4020" w:type="dxa"/>
            <w:vAlign w:val="bottom"/>
            <w:tcBorders>
              <w:top w:val="single" w:sz="8" w:color="0000EE"/>
            </w:tcBorders>
            <w:gridSpan w:val="14"/>
          </w:tcPr>
          <w:p>
            <w:pPr>
              <w:spacing w:after="0"/>
              <w:rPr>
                <w:sz w:val="24"/>
                <w:szCs w:val="24"/>
                <w:color w:val="auto"/>
              </w:rPr>
            </w:pPr>
          </w:p>
        </w:tc>
        <w:tc>
          <w:tcPr>
            <w:tcW w:w="4120" w:type="dxa"/>
            <w:vAlign w:val="bottom"/>
            <w:gridSpan w:val="5"/>
          </w:tcPr>
          <w:p>
            <w:pPr>
              <w:spacing w:after="0"/>
              <w:rPr>
                <w:sz w:val="24"/>
                <w:szCs w:val="24"/>
                <w:color w:val="auto"/>
              </w:rPr>
            </w:pPr>
          </w:p>
        </w:tc>
        <w:tc>
          <w:tcPr>
            <w:tcW w:w="300" w:type="dxa"/>
            <w:vAlign w:val="bottom"/>
            <w:gridSpan w:val="5"/>
          </w:tcPr>
          <w:p>
            <w:pPr>
              <w:spacing w:after="0"/>
              <w:rPr>
                <w:sz w:val="24"/>
                <w:szCs w:val="24"/>
                <w:color w:val="auto"/>
              </w:rPr>
            </w:pPr>
          </w:p>
        </w:tc>
        <w:tc>
          <w:tcPr>
            <w:tcW w:w="100" w:type="dxa"/>
            <w:vAlign w:val="bottom"/>
            <w:tcBorders>
              <w:top w:val="single" w:sz="8" w:color="0000EE"/>
              <w:bottom w:val="single" w:sz="8" w:color="0000EE"/>
            </w:tcBorders>
            <w:gridSpan w:val="2"/>
          </w:tcPr>
          <w:p>
            <w:pPr>
              <w:jc w:val="right"/>
              <w:spacing w:after="0"/>
              <w:rPr>
                <w:rFonts w:ascii="Arial" w:cs="Arial" w:eastAsia="Arial" w:hAnsi="Arial"/>
                <w:sz w:val="19"/>
                <w:szCs w:val="19"/>
                <w:color w:val="0000EE"/>
                <w:w w:val="75"/>
              </w:rPr>
            </w:pPr>
            <w:hyperlink w:anchor="page38">
              <w:r>
                <w:rPr>
                  <w:rFonts w:ascii="Arial" w:cs="Arial" w:eastAsia="Arial" w:hAnsi="Arial"/>
                  <w:sz w:val="19"/>
                  <w:szCs w:val="19"/>
                  <w:color w:val="0000EE"/>
                  <w:w w:val="75"/>
                </w:rPr>
                <w:t>4</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40" w:type="dxa"/>
            <w:vAlign w:val="bottom"/>
            <w:tcBorders>
              <w:bottom w:val="single" w:sz="8" w:color="0000EE"/>
            </w:tcBorders>
            <w:gridSpan w:val="3"/>
          </w:tcPr>
          <w:p>
            <w:pPr>
              <w:spacing w:after="0"/>
              <w:rPr>
                <w:rFonts w:ascii="Arial" w:cs="Arial" w:eastAsia="Arial" w:hAnsi="Arial"/>
                <w:sz w:val="19"/>
                <w:szCs w:val="19"/>
                <w:color w:val="0000EE"/>
                <w:w w:val="87"/>
              </w:rPr>
            </w:pPr>
            <w:hyperlink w:anchor="page39">
              <w:r>
                <w:rPr>
                  <w:rFonts w:ascii="Arial" w:cs="Arial" w:eastAsia="Arial" w:hAnsi="Arial"/>
                  <w:sz w:val="19"/>
                  <w:szCs w:val="19"/>
                  <w:color w:val="0000EE"/>
                  <w:w w:val="87"/>
                </w:rPr>
                <w:t>Risk Factors</w:t>
              </w:r>
            </w:hyperlink>
          </w:p>
        </w:tc>
        <w:tc>
          <w:tcPr>
            <w:tcW w:w="8260" w:type="dxa"/>
            <w:vAlign w:val="bottom"/>
            <w:gridSpan w:val="22"/>
          </w:tcPr>
          <w:p>
            <w:pPr>
              <w:spacing w:after="0"/>
              <w:rPr>
                <w:sz w:val="24"/>
                <w:szCs w:val="24"/>
                <w:color w:val="auto"/>
              </w:rPr>
            </w:pPr>
          </w:p>
        </w:tc>
        <w:tc>
          <w:tcPr>
            <w:tcW w:w="300" w:type="dxa"/>
            <w:vAlign w:val="bottom"/>
            <w:gridSpan w:val="5"/>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9"/>
                <w:szCs w:val="19"/>
                <w:color w:val="0000EE"/>
                <w:w w:val="75"/>
              </w:rPr>
            </w:pPr>
            <w:hyperlink w:anchor="page39">
              <w:r>
                <w:rPr>
                  <w:rFonts w:ascii="Arial" w:cs="Arial" w:eastAsia="Arial" w:hAnsi="Arial"/>
                  <w:sz w:val="19"/>
                  <w:szCs w:val="19"/>
                  <w:color w:val="0000EE"/>
                  <w:w w:val="75"/>
                </w:rPr>
                <w:t>5</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40">
              <w:r>
                <w:rPr>
                  <w:rFonts w:ascii="Arial" w:cs="Arial" w:eastAsia="Arial" w:hAnsi="Arial"/>
                  <w:sz w:val="19"/>
                  <w:szCs w:val="19"/>
                  <w:color w:val="0000EE"/>
                </w:rPr>
                <w:t>Use of Proceeds</w:t>
              </w:r>
            </w:hyperlink>
          </w:p>
        </w:tc>
        <w:tc>
          <w:tcPr>
            <w:tcW w:w="400" w:type="dxa"/>
            <w:vAlign w:val="bottom"/>
            <w:gridSpan w:val="7"/>
          </w:tcPr>
          <w:p>
            <w:pPr>
              <w:jc w:val="right"/>
              <w:spacing w:after="0"/>
              <w:rPr>
                <w:rFonts w:ascii="Arial" w:cs="Arial" w:eastAsia="Arial" w:hAnsi="Arial"/>
                <w:sz w:val="19"/>
                <w:szCs w:val="19"/>
                <w:color w:val="0000EE"/>
              </w:rPr>
            </w:pPr>
            <w:hyperlink w:anchor="page40">
              <w:r>
                <w:rPr>
                  <w:rFonts w:ascii="Arial" w:cs="Arial" w:eastAsia="Arial" w:hAnsi="Arial"/>
                  <w:sz w:val="19"/>
                  <w:szCs w:val="19"/>
                  <w:color w:val="0000EE"/>
                </w:rPr>
                <w:t>6</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8820" w:type="dxa"/>
            <w:vAlign w:val="bottom"/>
            <w:tcBorders>
              <w:bottom w:val="single" w:sz="8" w:color="0000EE"/>
            </w:tcBorders>
            <w:gridSpan w:val="24"/>
          </w:tcPr>
          <w:p>
            <w:pPr>
              <w:spacing w:after="0"/>
              <w:rPr>
                <w:rFonts w:ascii="Arial" w:cs="Arial" w:eastAsia="Arial" w:hAnsi="Arial"/>
                <w:sz w:val="19"/>
                <w:szCs w:val="19"/>
                <w:color w:val="0000EE"/>
                <w:w w:val="88"/>
              </w:rPr>
            </w:pPr>
            <w:hyperlink w:anchor="page41">
              <w:r>
                <w:rPr>
                  <w:rFonts w:ascii="Arial" w:cs="Arial" w:eastAsia="Arial" w:hAnsi="Arial"/>
                  <w:sz w:val="19"/>
                  <w:szCs w:val="19"/>
                  <w:color w:val="0000EE"/>
                  <w:w w:val="88"/>
                </w:rPr>
                <w:t>Ratio of Earnings to Fixed Charges and Ratios of Earnings to Combined Fixed Charges and Preferred Stock Dividends</w:t>
              </w:r>
            </w:hyperlink>
          </w:p>
        </w:tc>
        <w:tc>
          <w:tcPr>
            <w:tcW w:w="380" w:type="dxa"/>
            <w:vAlign w:val="bottom"/>
          </w:tcPr>
          <w:p>
            <w:pPr>
              <w:spacing w:after="0"/>
              <w:rPr>
                <w:sz w:val="24"/>
                <w:szCs w:val="24"/>
                <w:color w:val="auto"/>
              </w:rPr>
            </w:pPr>
          </w:p>
        </w:tc>
        <w:tc>
          <w:tcPr>
            <w:tcW w:w="300" w:type="dxa"/>
            <w:vAlign w:val="bottom"/>
            <w:gridSpan w:val="5"/>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9"/>
                <w:szCs w:val="19"/>
                <w:color w:val="0000EE"/>
                <w:w w:val="75"/>
              </w:rPr>
            </w:pPr>
            <w:hyperlink w:anchor="page41">
              <w:r>
                <w:rPr>
                  <w:rFonts w:ascii="Arial" w:cs="Arial" w:eastAsia="Arial" w:hAnsi="Arial"/>
                  <w:sz w:val="19"/>
                  <w:szCs w:val="19"/>
                  <w:color w:val="0000EE"/>
                  <w:w w:val="75"/>
                </w:rPr>
                <w:t>7</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2120" w:type="dxa"/>
            <w:vAlign w:val="bottom"/>
            <w:tcBorders>
              <w:bottom w:val="single" w:sz="8" w:color="0000EE"/>
            </w:tcBorders>
            <w:gridSpan w:val="14"/>
          </w:tcPr>
          <w:p>
            <w:pPr>
              <w:spacing w:after="0"/>
              <w:rPr>
                <w:rFonts w:ascii="Arial" w:cs="Arial" w:eastAsia="Arial" w:hAnsi="Arial"/>
                <w:sz w:val="19"/>
                <w:szCs w:val="19"/>
                <w:color w:val="0000EE"/>
                <w:w w:val="89"/>
              </w:rPr>
            </w:pPr>
            <w:hyperlink w:anchor="page42">
              <w:r>
                <w:rPr>
                  <w:rFonts w:ascii="Arial" w:cs="Arial" w:eastAsia="Arial" w:hAnsi="Arial"/>
                  <w:sz w:val="19"/>
                  <w:szCs w:val="19"/>
                  <w:color w:val="0000EE"/>
                  <w:w w:val="89"/>
                </w:rPr>
                <w:t>Description of Capital Stock</w:t>
              </w:r>
            </w:hyperlink>
          </w:p>
        </w:tc>
        <w:tc>
          <w:tcPr>
            <w:tcW w:w="7080" w:type="dxa"/>
            <w:vAlign w:val="bottom"/>
            <w:gridSpan w:val="11"/>
          </w:tcPr>
          <w:p>
            <w:pPr>
              <w:spacing w:after="0"/>
              <w:rPr>
                <w:sz w:val="24"/>
                <w:szCs w:val="24"/>
                <w:color w:val="auto"/>
              </w:rPr>
            </w:pPr>
          </w:p>
        </w:tc>
        <w:tc>
          <w:tcPr>
            <w:tcW w:w="300" w:type="dxa"/>
            <w:vAlign w:val="bottom"/>
            <w:gridSpan w:val="5"/>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9"/>
                <w:szCs w:val="19"/>
                <w:color w:val="0000EE"/>
                <w:w w:val="75"/>
              </w:rPr>
            </w:pPr>
            <w:hyperlink w:anchor="page42">
              <w:r>
                <w:rPr>
                  <w:rFonts w:ascii="Arial" w:cs="Arial" w:eastAsia="Arial" w:hAnsi="Arial"/>
                  <w:sz w:val="19"/>
                  <w:szCs w:val="19"/>
                  <w:color w:val="0000EE"/>
                  <w:w w:val="75"/>
                </w:rPr>
                <w:t>8</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9200" w:type="dxa"/>
            <w:vAlign w:val="bottom"/>
            <w:gridSpan w:val="25"/>
          </w:tcPr>
          <w:p>
            <w:pPr>
              <w:spacing w:after="0"/>
              <w:rPr>
                <w:rFonts w:ascii="Arial" w:cs="Arial" w:eastAsia="Arial" w:hAnsi="Arial"/>
                <w:sz w:val="19"/>
                <w:szCs w:val="19"/>
                <w:color w:val="0000EE"/>
              </w:rPr>
            </w:pPr>
            <w:hyperlink w:anchor="page47">
              <w:r>
                <w:rPr>
                  <w:rFonts w:ascii="Arial" w:cs="Arial" w:eastAsia="Arial" w:hAnsi="Arial"/>
                  <w:sz w:val="19"/>
                  <w:szCs w:val="19"/>
                  <w:color w:val="0000EE"/>
                </w:rPr>
                <w:t>Description of Debt Securities</w:t>
              </w:r>
            </w:hyperlink>
          </w:p>
        </w:tc>
        <w:tc>
          <w:tcPr>
            <w:tcW w:w="400" w:type="dxa"/>
            <w:vAlign w:val="bottom"/>
            <w:gridSpan w:val="7"/>
          </w:tcPr>
          <w:p>
            <w:pPr>
              <w:jc w:val="right"/>
              <w:spacing w:after="0"/>
              <w:rPr>
                <w:rFonts w:ascii="Arial" w:cs="Arial" w:eastAsia="Arial" w:hAnsi="Arial"/>
                <w:sz w:val="19"/>
                <w:szCs w:val="19"/>
                <w:color w:val="0000EE"/>
              </w:rPr>
            </w:pPr>
            <w:hyperlink w:anchor="page47">
              <w:r>
                <w:rPr>
                  <w:rFonts w:ascii="Arial" w:cs="Arial" w:eastAsia="Arial" w:hAnsi="Arial"/>
                  <w:sz w:val="19"/>
                  <w:szCs w:val="19"/>
                  <w:color w:val="0000EE"/>
                </w:rPr>
                <w:t>13</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780" w:type="dxa"/>
            <w:vAlign w:val="bottom"/>
            <w:gridSpan w:val="12"/>
          </w:tcPr>
          <w:p>
            <w:pPr>
              <w:spacing w:after="0"/>
              <w:rPr>
                <w:rFonts w:ascii="Arial" w:cs="Arial" w:eastAsia="Arial" w:hAnsi="Arial"/>
                <w:sz w:val="19"/>
                <w:szCs w:val="19"/>
                <w:color w:val="0000EE"/>
                <w:w w:val="88"/>
              </w:rPr>
            </w:pPr>
            <w:hyperlink w:anchor="page55">
              <w:r>
                <w:rPr>
                  <w:rFonts w:ascii="Arial" w:cs="Arial" w:eastAsia="Arial" w:hAnsi="Arial"/>
                  <w:sz w:val="19"/>
                  <w:szCs w:val="19"/>
                  <w:color w:val="0000EE"/>
                  <w:w w:val="88"/>
                </w:rPr>
                <w:t>Description of Warrants</w:t>
              </w:r>
            </w:hyperlink>
          </w:p>
        </w:tc>
        <w:tc>
          <w:tcPr>
            <w:tcW w:w="460" w:type="dxa"/>
            <w:vAlign w:val="bottom"/>
            <w:gridSpan w:val="3"/>
          </w:tcPr>
          <w:p>
            <w:pPr>
              <w:spacing w:after="0"/>
              <w:rPr>
                <w:sz w:val="24"/>
                <w:szCs w:val="24"/>
                <w:color w:val="auto"/>
              </w:rPr>
            </w:pPr>
          </w:p>
        </w:tc>
        <w:tc>
          <w:tcPr>
            <w:tcW w:w="6960" w:type="dxa"/>
            <w:vAlign w:val="bottom"/>
            <w:gridSpan w:val="10"/>
          </w:tcPr>
          <w:p>
            <w:pPr>
              <w:spacing w:after="0"/>
              <w:rPr>
                <w:sz w:val="24"/>
                <w:szCs w:val="24"/>
                <w:color w:val="auto"/>
              </w:rPr>
            </w:pPr>
          </w:p>
        </w:tc>
        <w:tc>
          <w:tcPr>
            <w:tcW w:w="400" w:type="dxa"/>
            <w:vAlign w:val="bottom"/>
            <w:gridSpan w:val="7"/>
          </w:tcPr>
          <w:p>
            <w:pPr>
              <w:jc w:val="right"/>
              <w:spacing w:after="0"/>
              <w:rPr>
                <w:rFonts w:ascii="Arial" w:cs="Arial" w:eastAsia="Arial" w:hAnsi="Arial"/>
                <w:sz w:val="19"/>
                <w:szCs w:val="19"/>
                <w:color w:val="0000EE"/>
              </w:rPr>
            </w:pPr>
            <w:hyperlink w:anchor="page55">
              <w:r>
                <w:rPr>
                  <w:rFonts w:ascii="Arial" w:cs="Arial" w:eastAsia="Arial" w:hAnsi="Arial"/>
                  <w:sz w:val="19"/>
                  <w:szCs w:val="19"/>
                  <w:color w:val="0000EE"/>
                </w:rPr>
                <w:t>21</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480" w:type="dxa"/>
            <w:vAlign w:val="bottom"/>
            <w:gridSpan w:val="10"/>
          </w:tcPr>
          <w:p>
            <w:pPr>
              <w:spacing w:after="0"/>
              <w:rPr>
                <w:rFonts w:ascii="Arial" w:cs="Arial" w:eastAsia="Arial" w:hAnsi="Arial"/>
                <w:sz w:val="19"/>
                <w:szCs w:val="19"/>
                <w:color w:val="0000EE"/>
                <w:w w:val="87"/>
              </w:rPr>
            </w:pPr>
            <w:hyperlink w:anchor="page57">
              <w:r>
                <w:rPr>
                  <w:rFonts w:ascii="Arial" w:cs="Arial" w:eastAsia="Arial" w:hAnsi="Arial"/>
                  <w:sz w:val="19"/>
                  <w:szCs w:val="19"/>
                  <w:color w:val="0000EE"/>
                  <w:w w:val="87"/>
                </w:rPr>
                <w:t>Description of Units</w:t>
              </w:r>
            </w:hyperlink>
          </w:p>
        </w:tc>
        <w:tc>
          <w:tcPr>
            <w:tcW w:w="300" w:type="dxa"/>
            <w:vAlign w:val="bottom"/>
            <w:gridSpan w:val="2"/>
          </w:tcPr>
          <w:p>
            <w:pPr>
              <w:spacing w:after="0"/>
              <w:rPr>
                <w:sz w:val="24"/>
                <w:szCs w:val="24"/>
                <w:color w:val="auto"/>
              </w:rPr>
            </w:pPr>
          </w:p>
        </w:tc>
        <w:tc>
          <w:tcPr>
            <w:tcW w:w="7420" w:type="dxa"/>
            <w:vAlign w:val="bottom"/>
            <w:gridSpan w:val="13"/>
          </w:tcPr>
          <w:p>
            <w:pPr>
              <w:spacing w:after="0"/>
              <w:rPr>
                <w:sz w:val="24"/>
                <w:szCs w:val="24"/>
                <w:color w:val="auto"/>
              </w:rPr>
            </w:pPr>
          </w:p>
        </w:tc>
        <w:tc>
          <w:tcPr>
            <w:tcW w:w="400" w:type="dxa"/>
            <w:vAlign w:val="bottom"/>
            <w:gridSpan w:val="7"/>
          </w:tcPr>
          <w:p>
            <w:pPr>
              <w:jc w:val="right"/>
              <w:spacing w:after="0"/>
              <w:rPr>
                <w:rFonts w:ascii="Arial" w:cs="Arial" w:eastAsia="Arial" w:hAnsi="Arial"/>
                <w:sz w:val="19"/>
                <w:szCs w:val="19"/>
                <w:color w:val="0000EE"/>
              </w:rPr>
            </w:pPr>
            <w:hyperlink w:anchor="page57">
              <w:r>
                <w:rPr>
                  <w:rFonts w:ascii="Arial" w:cs="Arial" w:eastAsia="Arial" w:hAnsi="Arial"/>
                  <w:sz w:val="19"/>
                  <w:szCs w:val="19"/>
                  <w:color w:val="0000EE"/>
                </w:rPr>
                <w:t>23</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720" w:type="dxa"/>
            <w:vAlign w:val="bottom"/>
            <w:tcBorders>
              <w:left w:val="single" w:sz="8" w:color="0000EE"/>
            </w:tcBorders>
            <w:gridSpan w:val="1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480" w:type="dxa"/>
            <w:vAlign w:val="bottom"/>
            <w:gridSpan w:val="10"/>
          </w:tcPr>
          <w:p>
            <w:pPr>
              <w:spacing w:after="0"/>
              <w:rPr>
                <w:rFonts w:ascii="Arial" w:cs="Arial" w:eastAsia="Arial" w:hAnsi="Arial"/>
                <w:sz w:val="19"/>
                <w:szCs w:val="19"/>
                <w:color w:val="0000EE"/>
              </w:rPr>
            </w:pPr>
            <w:hyperlink w:anchor="page58">
              <w:r>
                <w:rPr>
                  <w:rFonts w:ascii="Arial" w:cs="Arial" w:eastAsia="Arial" w:hAnsi="Arial"/>
                  <w:sz w:val="19"/>
                  <w:szCs w:val="19"/>
                  <w:color w:val="0000EE"/>
                </w:rPr>
                <w:t>Global Securities</w:t>
              </w:r>
            </w:hyperlink>
          </w:p>
        </w:tc>
        <w:tc>
          <w:tcPr>
            <w:tcW w:w="7720" w:type="dxa"/>
            <w:vAlign w:val="bottom"/>
            <w:gridSpan w:val="15"/>
          </w:tcPr>
          <w:p>
            <w:pPr>
              <w:spacing w:after="0"/>
              <w:rPr>
                <w:sz w:val="24"/>
                <w:szCs w:val="24"/>
                <w:color w:val="auto"/>
              </w:rPr>
            </w:pPr>
          </w:p>
        </w:tc>
        <w:tc>
          <w:tcPr>
            <w:tcW w:w="400" w:type="dxa"/>
            <w:vAlign w:val="bottom"/>
            <w:gridSpan w:val="7"/>
          </w:tcPr>
          <w:p>
            <w:pPr>
              <w:jc w:val="right"/>
              <w:spacing w:after="0"/>
              <w:rPr>
                <w:rFonts w:ascii="Arial" w:cs="Arial" w:eastAsia="Arial" w:hAnsi="Arial"/>
                <w:sz w:val="19"/>
                <w:szCs w:val="19"/>
                <w:color w:val="0000EE"/>
              </w:rPr>
            </w:pPr>
            <w:hyperlink w:anchor="page58">
              <w:r>
                <w:rPr>
                  <w:rFonts w:ascii="Arial" w:cs="Arial" w:eastAsia="Arial" w:hAnsi="Arial"/>
                  <w:sz w:val="19"/>
                  <w:szCs w:val="19"/>
                  <w:color w:val="0000EE"/>
                </w:rPr>
                <w:t>24</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720" w:type="dxa"/>
            <w:vAlign w:val="bottom"/>
            <w:gridSpan w:val="1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480" w:type="dxa"/>
            <w:vAlign w:val="bottom"/>
            <w:gridSpan w:val="10"/>
          </w:tcPr>
          <w:p>
            <w:pPr>
              <w:spacing w:after="0"/>
              <w:rPr>
                <w:rFonts w:ascii="Arial" w:cs="Arial" w:eastAsia="Arial" w:hAnsi="Arial"/>
                <w:sz w:val="19"/>
                <w:szCs w:val="19"/>
                <w:color w:val="0000EE"/>
                <w:w w:val="90"/>
              </w:rPr>
            </w:pPr>
            <w:hyperlink w:anchor="page61">
              <w:r>
                <w:rPr>
                  <w:rFonts w:ascii="Arial" w:cs="Arial" w:eastAsia="Arial" w:hAnsi="Arial"/>
                  <w:sz w:val="19"/>
                  <w:szCs w:val="19"/>
                  <w:color w:val="0000EE"/>
                  <w:w w:val="90"/>
                </w:rPr>
                <w:t>Plan of Distribution</w:t>
              </w:r>
            </w:hyperlink>
          </w:p>
        </w:tc>
        <w:tc>
          <w:tcPr>
            <w:tcW w:w="7720" w:type="dxa"/>
            <w:vAlign w:val="bottom"/>
            <w:gridSpan w:val="15"/>
          </w:tcPr>
          <w:p>
            <w:pPr>
              <w:spacing w:after="0"/>
              <w:rPr>
                <w:sz w:val="24"/>
                <w:szCs w:val="24"/>
                <w:color w:val="auto"/>
              </w:rPr>
            </w:pPr>
          </w:p>
        </w:tc>
        <w:tc>
          <w:tcPr>
            <w:tcW w:w="400" w:type="dxa"/>
            <w:vAlign w:val="bottom"/>
            <w:gridSpan w:val="7"/>
          </w:tcPr>
          <w:p>
            <w:pPr>
              <w:jc w:val="right"/>
              <w:spacing w:after="0"/>
              <w:rPr>
                <w:rFonts w:ascii="Arial" w:cs="Arial" w:eastAsia="Arial" w:hAnsi="Arial"/>
                <w:sz w:val="19"/>
                <w:szCs w:val="19"/>
                <w:color w:val="0000EE"/>
              </w:rPr>
            </w:pPr>
            <w:hyperlink w:anchor="page61">
              <w:r>
                <w:rPr>
                  <w:rFonts w:ascii="Arial" w:cs="Arial" w:eastAsia="Arial" w:hAnsi="Arial"/>
                  <w:sz w:val="19"/>
                  <w:szCs w:val="19"/>
                  <w:color w:val="0000EE"/>
                </w:rPr>
                <w:t>27</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gridSpan w:val="9"/>
            <w:shd w:val="clear" w:color="auto" w:fill="0000EE"/>
          </w:tcPr>
          <w:p>
            <w:pPr>
              <w:spacing w:after="0" w:line="20" w:lineRule="exact"/>
              <w:rPr>
                <w:sz w:val="1"/>
                <w:szCs w:val="1"/>
                <w:color w:val="auto"/>
              </w:rPr>
            </w:pPr>
          </w:p>
        </w:tc>
        <w:tc>
          <w:tcPr>
            <w:tcW w:w="7720" w:type="dxa"/>
            <w:vAlign w:val="bottom"/>
            <w:gridSpan w:val="1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040" w:type="dxa"/>
            <w:vAlign w:val="bottom"/>
            <w:gridSpan w:val="5"/>
          </w:tcPr>
          <w:p>
            <w:pPr>
              <w:spacing w:after="0"/>
              <w:rPr>
                <w:rFonts w:ascii="Arial" w:cs="Arial" w:eastAsia="Arial" w:hAnsi="Arial"/>
                <w:sz w:val="19"/>
                <w:szCs w:val="19"/>
                <w:color w:val="0000EE"/>
                <w:w w:val="88"/>
              </w:rPr>
            </w:pPr>
            <w:hyperlink w:anchor="page63">
              <w:r>
                <w:rPr>
                  <w:rFonts w:ascii="Arial" w:cs="Arial" w:eastAsia="Arial" w:hAnsi="Arial"/>
                  <w:sz w:val="19"/>
                  <w:szCs w:val="19"/>
                  <w:color w:val="0000EE"/>
                  <w:w w:val="88"/>
                </w:rPr>
                <w:t>Legal Matters</w:t>
              </w:r>
            </w:hyperlink>
          </w:p>
        </w:tc>
        <w:tc>
          <w:tcPr>
            <w:tcW w:w="440" w:type="dxa"/>
            <w:vAlign w:val="bottom"/>
            <w:gridSpan w:val="5"/>
          </w:tcPr>
          <w:p>
            <w:pPr>
              <w:spacing w:after="0"/>
              <w:rPr>
                <w:sz w:val="24"/>
                <w:szCs w:val="24"/>
                <w:color w:val="auto"/>
              </w:rPr>
            </w:pPr>
          </w:p>
        </w:tc>
        <w:tc>
          <w:tcPr>
            <w:tcW w:w="7720" w:type="dxa"/>
            <w:vAlign w:val="bottom"/>
            <w:gridSpan w:val="15"/>
          </w:tcPr>
          <w:p>
            <w:pPr>
              <w:spacing w:after="0"/>
              <w:rPr>
                <w:sz w:val="24"/>
                <w:szCs w:val="24"/>
                <w:color w:val="auto"/>
              </w:rPr>
            </w:pPr>
          </w:p>
        </w:tc>
        <w:tc>
          <w:tcPr>
            <w:tcW w:w="400" w:type="dxa"/>
            <w:vAlign w:val="bottom"/>
            <w:gridSpan w:val="7"/>
          </w:tcPr>
          <w:p>
            <w:pPr>
              <w:jc w:val="right"/>
              <w:spacing w:after="0"/>
              <w:rPr>
                <w:rFonts w:ascii="Arial" w:cs="Arial" w:eastAsia="Arial" w:hAnsi="Arial"/>
                <w:sz w:val="19"/>
                <w:szCs w:val="19"/>
                <w:color w:val="0000EE"/>
              </w:rPr>
            </w:pPr>
            <w:hyperlink w:anchor="page63">
              <w:r>
                <w:rPr>
                  <w:rFonts w:ascii="Arial" w:cs="Arial" w:eastAsia="Arial" w:hAnsi="Arial"/>
                  <w:sz w:val="19"/>
                  <w:szCs w:val="19"/>
                  <w:color w:val="0000EE"/>
                </w:rPr>
                <w:t>29</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040" w:type="dxa"/>
            <w:vAlign w:val="bottom"/>
            <w:gridSpan w:val="5"/>
          </w:tcPr>
          <w:p>
            <w:pPr>
              <w:spacing w:after="0"/>
              <w:rPr>
                <w:rFonts w:ascii="Arial" w:cs="Arial" w:eastAsia="Arial" w:hAnsi="Arial"/>
                <w:sz w:val="19"/>
                <w:szCs w:val="19"/>
                <w:color w:val="0000EE"/>
              </w:rPr>
            </w:pPr>
            <w:hyperlink w:anchor="page63">
              <w:r>
                <w:rPr>
                  <w:rFonts w:ascii="Arial" w:cs="Arial" w:eastAsia="Arial" w:hAnsi="Arial"/>
                  <w:sz w:val="19"/>
                  <w:szCs w:val="19"/>
                  <w:color w:val="0000EE"/>
                </w:rPr>
                <w:t>Experts</w:t>
              </w:r>
            </w:hyperlink>
          </w:p>
        </w:tc>
        <w:tc>
          <w:tcPr>
            <w:tcW w:w="8160" w:type="dxa"/>
            <w:vAlign w:val="bottom"/>
            <w:gridSpan w:val="20"/>
          </w:tcPr>
          <w:p>
            <w:pPr>
              <w:spacing w:after="0"/>
              <w:rPr>
                <w:sz w:val="24"/>
                <w:szCs w:val="24"/>
                <w:color w:val="auto"/>
              </w:rPr>
            </w:pPr>
          </w:p>
        </w:tc>
        <w:tc>
          <w:tcPr>
            <w:tcW w:w="400" w:type="dxa"/>
            <w:vAlign w:val="bottom"/>
            <w:gridSpan w:val="7"/>
          </w:tcPr>
          <w:p>
            <w:pPr>
              <w:jc w:val="right"/>
              <w:spacing w:after="0"/>
              <w:rPr>
                <w:rFonts w:ascii="Arial" w:cs="Arial" w:eastAsia="Arial" w:hAnsi="Arial"/>
                <w:sz w:val="19"/>
                <w:szCs w:val="19"/>
                <w:color w:val="0000EE"/>
              </w:rPr>
            </w:pPr>
            <w:hyperlink w:anchor="page63">
              <w:r>
                <w:rPr>
                  <w:rFonts w:ascii="Arial" w:cs="Arial" w:eastAsia="Arial" w:hAnsi="Arial"/>
                  <w:sz w:val="19"/>
                  <w:szCs w:val="19"/>
                  <w:color w:val="0000EE"/>
                </w:rPr>
                <w:t>29</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200" w:type="dxa"/>
            <w:vAlign w:val="bottom"/>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6"/>
        </w:trPr>
        <w:tc>
          <w:tcPr>
            <w:tcW w:w="1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7610475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2240" w:h="15840" w:orient="portrait"/>
          <w:cols w:equalWidth="0" w:num="1">
            <w:col w:w="12000"/>
          </w:cols>
          <w:pgMar w:left="120" w:top="0" w:right="120" w:bottom="0" w:gutter="0" w:footer="0" w:header="0"/>
        </w:sectPr>
      </w:pPr>
    </w:p>
    <w:bookmarkStart w:id="3" w:name="page4"/>
    <w:bookmarkEnd w:id="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ABOUT THIS PROSPECTUS SUPPLEMENT</w:t>
      </w:r>
    </w:p>
    <w:p>
      <w:pPr>
        <w:spacing w:after="0" w:line="242" w:lineRule="exact"/>
        <w:rPr>
          <w:sz w:val="20"/>
          <w:szCs w:val="20"/>
          <w:color w:val="auto"/>
        </w:rPr>
      </w:pPr>
    </w:p>
    <w:p>
      <w:pPr>
        <w:jc w:val="both"/>
        <w:ind w:firstLine="406"/>
        <w:spacing w:after="0" w:line="305" w:lineRule="auto"/>
        <w:rPr>
          <w:sz w:val="20"/>
          <w:szCs w:val="20"/>
          <w:color w:val="auto"/>
        </w:rPr>
      </w:pPr>
      <w:r>
        <w:rPr>
          <w:rFonts w:ascii="Arial" w:cs="Arial" w:eastAsia="Arial" w:hAnsi="Arial"/>
          <w:sz w:val="16"/>
          <w:szCs w:val="16"/>
          <w:color w:val="auto"/>
        </w:rPr>
        <w:t>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More Information; Incorporation by Reference" on page S-27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 statements made in this prospectus supplement will be deemed to modify or supersede those made in the accompanying prospectus and such documents incorporated by reference.</w:t>
      </w:r>
    </w:p>
    <w:p>
      <w:pPr>
        <w:spacing w:after="0" w:line="177" w:lineRule="exact"/>
        <w:rPr>
          <w:sz w:val="20"/>
          <w:szCs w:val="20"/>
          <w:color w:val="auto"/>
        </w:rPr>
      </w:pPr>
    </w:p>
    <w:p>
      <w:pPr>
        <w:jc w:val="both"/>
        <w:ind w:firstLine="379"/>
        <w:spacing w:after="0" w:line="268"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the accompanying prospectus and in any free writing prospectuses we may provide to you in connection with this offering. Neither we nor any of the underwriters have authorized any other person to provide you with any information that is different. If anyone provides you with different or inconsistent information, you should not rely on it. We are offering to sell, and seeking offers to buy, the securities offered hereby only in jurisdictions where offers and sales are permitted. The distribution of this prospectus supplement and the offering of the securities offered hereby in certain jurisdictions may be restricted by law. Persons outside the United States who come into possession of this prospectus supplement must inform themselves about, and observe any restrictions relating to, the offering of the securities offered hereby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202"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Unless otherwise indicated, information contained in this prospectus supplement, the accompanying prospectus or the documents incorporated by reference,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"Risk Factors" in this prospectus supplement, the accompanying prospectus and in our Quarterly Report on Form 10-Q for the quarterly period ended September 30, 2018, which are incorporated by reference into this prospectus supplement. These and other important factors could cause our future performance to differ materially from our assumptions and estimates. See "Special Note Regarding Forward-Looking Statements."</w:t>
      </w:r>
    </w:p>
    <w:p>
      <w:pPr>
        <w:spacing w:after="0" w:line="202"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9"/>
          <w:szCs w:val="19"/>
          <w:color w:val="auto"/>
        </w:rPr>
        <w:t>When we refer to "Selecta," "we," "our," "us," the "Company" and "our company" in this prospectus supplement, we mean Selecta Biosciences, Inc., unless otherwise specified.</w:t>
      </w:r>
    </w:p>
    <w:p>
      <w:pPr>
        <w:spacing w:after="0" w:line="197"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8"/>
          <w:szCs w:val="18"/>
          <w:color w:val="auto"/>
        </w:rPr>
        <w:t>We use our registered trademark, Selecta Biosciences, Inc., in this prospectus supplement. This prospectus supplement also includes trademarks, tradenames and service marks that are the property of other organizations. Solely for convenience, trademarks and tradenames referred to in this prospectus supplement appear without the Â® and â„¢ symbols, but those references are not intended to indicate, in any way, that we will not assert, to the fullest extent under applicable law, our rights or that the applicable owner will not assert its rights, to these trademarks and tradenames.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 w:name="page5"/>
    <w:bookmarkEnd w:id="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628890" cy="713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8890" cy="713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PROSPECTUS SUPPLEMENT SUMMARY</w:t>
      </w:r>
    </w:p>
    <w:p>
      <w:pPr>
        <w:spacing w:after="0" w:line="242" w:lineRule="exact"/>
        <w:rPr>
          <w:sz w:val="20"/>
          <w:szCs w:val="20"/>
          <w:color w:val="auto"/>
        </w:rPr>
      </w:pPr>
    </w:p>
    <w:p>
      <w:pPr>
        <w:jc w:val="both"/>
        <w:ind w:left="240" w:firstLine="513"/>
        <w:spacing w:after="0" w:line="270" w:lineRule="auto"/>
        <w:rPr>
          <w:sz w:val="20"/>
          <w:szCs w:val="20"/>
          <w:color w:val="auto"/>
        </w:rPr>
      </w:pPr>
      <w:r>
        <w:rPr>
          <w:rFonts w:ascii="Arial" w:cs="Arial" w:eastAsia="Arial" w:hAnsi="Arial"/>
          <w:sz w:val="18"/>
          <w:szCs w:val="18"/>
          <w:i w:val="1"/>
          <w:iCs w:val="1"/>
          <w:color w:val="auto"/>
        </w:rPr>
        <w:t>This summary highlights selected information about us, this offering and information appearing elsewhere in this prospectus supplement, in the accompanying prospectus and in the documents we incorporate by reference. This summary is not complete and does not contain all of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beginning on page S-4 of this prospectus supplement, the financial statements and related notes, and the other information that we incorporate by reference into this prospectus supplement, including the section titled "Risk Factors" in our Quarterly Report on Form 10-Q for the quarterly period ended September 30, 2018.</w:t>
      </w: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Our Company</w:t>
      </w:r>
    </w:p>
    <w:p>
      <w:pPr>
        <w:spacing w:after="0" w:line="242" w:lineRule="exact"/>
        <w:rPr>
          <w:sz w:val="20"/>
          <w:szCs w:val="20"/>
          <w:color w:val="auto"/>
        </w:rPr>
      </w:pPr>
    </w:p>
    <w:p>
      <w:pPr>
        <w:jc w:val="both"/>
        <w:ind w:left="240" w:firstLine="444"/>
        <w:spacing w:after="0" w:line="267" w:lineRule="auto"/>
        <w:rPr>
          <w:sz w:val="20"/>
          <w:szCs w:val="20"/>
          <w:color w:val="auto"/>
        </w:rPr>
      </w:pPr>
      <w:r>
        <w:rPr>
          <w:rFonts w:ascii="Arial" w:cs="Arial" w:eastAsia="Arial" w:hAnsi="Arial"/>
          <w:sz w:val="18"/>
          <w:szCs w:val="18"/>
          <w:color w:val="auto"/>
        </w:rPr>
        <w:t>We are a clinical-stage biopharmaceutical company using our proprietary ImmTORâ„¢ technology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 Of particular concern are anti-drug antibodies, or ADAs, which are often produced by the immune system in response to biologic therapy and can adversely affect the efficacy and safety of treatment. Our proprietary tolerogenic ImmTOR technology encapsulates an immunomodulator in biodegradable nanoparticles to mitigate the formation of ADAs by inducing antigen-specific immune tolerance to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ImmTOR has the potential to enhance the efficacy without compromising the safety of existing approved biologic drugs, improve product candidates under development and enable novel therapeutic modalities, such as re-administration of systemic gene therapy. Our lead product candidate, SEL-212, is a combination of a therapeutic uricase enzyme (pegadricase) and our ImmTOR technology designed to become the first monthly treatment for chronic severe gout which durably controls serum uric acid levels.</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Recent Developments</w:t>
      </w:r>
    </w:p>
    <w:p>
      <w:pPr>
        <w:spacing w:after="0" w:line="242" w:lineRule="exact"/>
        <w:rPr>
          <w:sz w:val="20"/>
          <w:szCs w:val="20"/>
          <w:color w:val="auto"/>
        </w:rPr>
      </w:pPr>
    </w:p>
    <w:p>
      <w:pPr>
        <w:jc w:val="both"/>
        <w:ind w:left="240" w:firstLine="406"/>
        <w:spacing w:after="0" w:line="319" w:lineRule="auto"/>
        <w:rPr>
          <w:sz w:val="20"/>
          <w:szCs w:val="20"/>
          <w:color w:val="auto"/>
        </w:rPr>
      </w:pPr>
      <w:r>
        <w:rPr>
          <w:rFonts w:ascii="Arial" w:cs="Arial" w:eastAsia="Arial" w:hAnsi="Arial"/>
          <w:sz w:val="16"/>
          <w:szCs w:val="16"/>
          <w:color w:val="auto"/>
        </w:rPr>
        <w:t>On January 3, 2019, we announced new interim data from five patients in our Phase 2 trial of SEL-212 receiving five monthly combination doses of SEL-212, consisting of up to 0.15 mg/kg of ImmTOR in combination with 0.2 or 0.4 mg/kg of pegadricase. In these cohorts, approximately 66% of the evaluable patients maintained serum uric acid level control below 6 mg/dL throughout five months of therapy. Furthermore, reduced total urate burden and lowered flare rates and severity were observed in the Phase 2 clinical trial, and SEL-212 continued to be generally well tolerated.</w:t>
      </w:r>
    </w:p>
    <w:p>
      <w:pPr>
        <w:spacing w:after="0" w:line="163" w:lineRule="exact"/>
        <w:rPr>
          <w:sz w:val="20"/>
          <w:szCs w:val="20"/>
          <w:color w:val="auto"/>
        </w:rPr>
      </w:pPr>
    </w:p>
    <w:p>
      <w:pPr>
        <w:jc w:val="both"/>
        <w:ind w:left="240" w:right="20" w:firstLine="371"/>
        <w:spacing w:after="0" w:line="331" w:lineRule="auto"/>
        <w:rPr>
          <w:sz w:val="20"/>
          <w:szCs w:val="20"/>
          <w:color w:val="auto"/>
        </w:rPr>
      </w:pPr>
      <w:r>
        <w:rPr>
          <w:rFonts w:ascii="Arial" w:cs="Arial" w:eastAsia="Arial" w:hAnsi="Arial"/>
          <w:sz w:val="16"/>
          <w:szCs w:val="16"/>
          <w:color w:val="auto"/>
        </w:rPr>
        <w:t>In addition, we announced plans to initiate a head-to-head superiority trial of SEL-212, utilizing revised stopping rules, compared to the current FDA-approved uricase therapy, Krystexxa, in the first quarter of 2019. An interim six-month data readout is projected for the fourth quarter of 2019 with a full statistical superiority data analysis expected in the first quarter of 2020. We plan to initiate a Phase 3 clinical trial of SEL-212 in the fourth quarter of 2019.</w:t>
      </w:r>
    </w:p>
    <w:p>
      <w:pPr>
        <w:spacing w:after="0" w:line="151" w:lineRule="exact"/>
        <w:rPr>
          <w:sz w:val="20"/>
          <w:szCs w:val="20"/>
          <w:color w:val="auto"/>
        </w:rPr>
      </w:pPr>
    </w:p>
    <w:p>
      <w:pPr>
        <w:jc w:val="both"/>
        <w:ind w:left="240" w:right="20" w:firstLine="388"/>
        <w:spacing w:after="0" w:line="259" w:lineRule="auto"/>
        <w:rPr>
          <w:sz w:val="20"/>
          <w:szCs w:val="20"/>
          <w:color w:val="auto"/>
        </w:rPr>
      </w:pPr>
      <w:r>
        <w:rPr>
          <w:rFonts w:ascii="Arial" w:cs="Arial" w:eastAsia="Arial" w:hAnsi="Arial"/>
          <w:sz w:val="19"/>
          <w:szCs w:val="19"/>
          <w:color w:val="auto"/>
        </w:rPr>
        <w:t>In September 2018, we announced a collaboration with the European consortium, CureCN, for an ImmTOR+AAV gene therapy combination product candidate in Crigler-Najjar Syndrome, or CN. We expect CureCN to initiate preclinical toxicology studies in the first half of 2019 and for the combination product candidate to enter the clinic in the second half of 2019.</w:t>
      </w:r>
    </w:p>
    <w:p>
      <w:pPr>
        <w:spacing w:after="0" w:line="205" w:lineRule="exact"/>
        <w:rPr>
          <w:sz w:val="20"/>
          <w:szCs w:val="20"/>
          <w:color w:val="auto"/>
        </w:rPr>
      </w:pPr>
    </w:p>
    <w:p>
      <w:pPr>
        <w:jc w:val="both"/>
        <w:ind w:left="240" w:firstLine="448"/>
        <w:spacing w:after="0" w:line="268" w:lineRule="auto"/>
        <w:rPr>
          <w:sz w:val="20"/>
          <w:szCs w:val="20"/>
          <w:color w:val="auto"/>
        </w:rPr>
      </w:pPr>
      <w:r>
        <w:rPr>
          <w:rFonts w:ascii="Arial" w:cs="Arial" w:eastAsia="Arial" w:hAnsi="Arial"/>
          <w:sz w:val="19"/>
          <w:szCs w:val="19"/>
          <w:color w:val="auto"/>
        </w:rPr>
        <w:t>In March 2018, we initiated a Phase 1 trial of SEL-403 in patients with malignant pleural or peritoneal mesothelioma who have undergone at least one regimen of chemotherapy under a Cooperative Research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760"/>
          </w:cols>
          <w:pgMar w:left="120" w:top="0" w:right="360" w:bottom="1440" w:gutter="0" w:footer="0" w:header="0"/>
        </w:sectPr>
      </w:pPr>
    </w:p>
    <w:bookmarkStart w:id="5" w:name="page6"/>
    <w:bookmarkEnd w:id="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628890" cy="3218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8890" cy="321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40"/>
        <w:spacing w:after="0" w:line="297" w:lineRule="auto"/>
        <w:rPr>
          <w:sz w:val="20"/>
          <w:szCs w:val="20"/>
          <w:color w:val="auto"/>
        </w:rPr>
      </w:pPr>
      <w:r>
        <w:rPr>
          <w:rFonts w:ascii="Arial" w:cs="Arial" w:eastAsia="Arial" w:hAnsi="Arial"/>
          <w:sz w:val="18"/>
          <w:szCs w:val="18"/>
          <w:color w:val="auto"/>
        </w:rPr>
        <w:t>and Development Agreement at the National Cancer Institute, part of the National Institutes of Health. On January 3, 2019, we announced that we plan to deprioritize the SEL-403 Phase 1 oncology development program, which was placed on clinical hold by the FDA.</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Financial Update</w:t>
      </w:r>
    </w:p>
    <w:p>
      <w:pPr>
        <w:spacing w:after="0" w:line="242" w:lineRule="exact"/>
        <w:rPr>
          <w:sz w:val="20"/>
          <w:szCs w:val="20"/>
          <w:color w:val="auto"/>
        </w:rPr>
      </w:pPr>
    </w:p>
    <w:p>
      <w:pPr>
        <w:jc w:val="both"/>
        <w:ind w:left="240" w:firstLine="434"/>
        <w:spacing w:after="0" w:line="272" w:lineRule="auto"/>
        <w:rPr>
          <w:sz w:val="20"/>
          <w:szCs w:val="20"/>
          <w:color w:val="auto"/>
        </w:rPr>
      </w:pPr>
      <w:r>
        <w:rPr>
          <w:rFonts w:ascii="Arial" w:cs="Arial" w:eastAsia="Arial" w:hAnsi="Arial"/>
          <w:sz w:val="18"/>
          <w:szCs w:val="18"/>
          <w:color w:val="auto"/>
        </w:rPr>
        <w:t>As of December 31, 2018, our cash and cash equivalents were $37.4 million, of which $0.4 million was held by our Russian subsidiary designated solely for use in its operations. This amount is unaudited and preliminary, and does not present all information necessary for an understanding of our financial condition as of December 31, 2018. The review of our financial statements for the year ended December 31, 2018 is ongoing and could result in changes to these amounts. Our financial statements for the year ended December 31, 2018 will not be available until after this offering is completed, and consequently will not be available to you prior to investing in this offering.</w:t>
      </w: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Corporate Information</w:t>
      </w:r>
    </w:p>
    <w:p>
      <w:pPr>
        <w:spacing w:after="0" w:line="242" w:lineRule="exact"/>
        <w:rPr>
          <w:sz w:val="20"/>
          <w:szCs w:val="20"/>
          <w:color w:val="auto"/>
        </w:rPr>
      </w:pPr>
    </w:p>
    <w:p>
      <w:pPr>
        <w:jc w:val="both"/>
        <w:ind w:left="240" w:firstLine="382"/>
        <w:spacing w:after="0" w:line="280" w:lineRule="auto"/>
        <w:rPr>
          <w:sz w:val="20"/>
          <w:szCs w:val="20"/>
          <w:color w:val="auto"/>
        </w:rPr>
      </w:pPr>
      <w:r>
        <w:rPr>
          <w:rFonts w:ascii="Arial" w:cs="Arial" w:eastAsia="Arial" w:hAnsi="Arial"/>
          <w:sz w:val="18"/>
          <w:szCs w:val="18"/>
          <w:color w:val="auto"/>
        </w:rPr>
        <w:t>We filed our certificate of incorporation with the Secretary of State of Delaware on December 10, 2007. Our principal executive offices are located at 480 Arsenal Way, Watertown, MA 02472, and our telephone number is (617) 923-1400. Our website address is www.selectabio.com. The information contained in, or accessible through, our website does not constitute a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760"/>
          </w:cols>
          <w:pgMar w:left="120" w:top="0" w:right="36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628890" cy="7366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8890" cy="7366000"/>
                    </a:xfrm>
                    <a:prstGeom prst="rect">
                      <a:avLst/>
                    </a:prstGeom>
                    <a:noFill/>
                  </pic:spPr>
                </pic:pic>
              </a:graphicData>
            </a:graphic>
          </wp:anchor>
        </w:drawing>
      </w:r>
    </w:p>
    <w:p>
      <w:pPr>
        <w:sectPr>
          <w:pgSz w:w="12240" w:h="15840" w:orient="portrait"/>
          <w:cols w:equalWidth="0" w:num="1">
            <w:col w:w="11760"/>
          </w:cols>
          <w:pgMar w:left="120" w:top="0" w:right="3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Common stock offered by us</w:t>
      </w:r>
    </w:p>
    <w:p>
      <w:pPr>
        <w:spacing w:after="0" w:line="238" w:lineRule="exact"/>
        <w:rPr>
          <w:sz w:val="20"/>
          <w:szCs w:val="20"/>
          <w:color w:val="auto"/>
        </w:rPr>
      </w:pPr>
    </w:p>
    <w:p>
      <w:pPr>
        <w:ind w:left="1580" w:hanging="189"/>
        <w:spacing w:after="0" w:line="364" w:lineRule="auto"/>
        <w:rPr>
          <w:sz w:val="20"/>
          <w:szCs w:val="20"/>
          <w:color w:val="auto"/>
        </w:rPr>
      </w:pPr>
      <w:r>
        <w:rPr>
          <w:rFonts w:ascii="Arial" w:cs="Arial" w:eastAsia="Arial" w:hAnsi="Arial"/>
          <w:sz w:val="16"/>
          <w:szCs w:val="16"/>
          <w:color w:val="auto"/>
        </w:rPr>
        <w:t>Underwriters' option to purchase additional shares of common stock</w:t>
      </w:r>
    </w:p>
    <w:p>
      <w:pPr>
        <w:spacing w:after="0" w:line="126" w:lineRule="exact"/>
        <w:rPr>
          <w:sz w:val="20"/>
          <w:szCs w:val="20"/>
          <w:color w:val="auto"/>
        </w:rPr>
      </w:pPr>
    </w:p>
    <w:p>
      <w:pPr>
        <w:jc w:val="right"/>
        <w:ind w:left="1400" w:right="320"/>
        <w:spacing w:after="0" w:line="364" w:lineRule="auto"/>
        <w:rPr>
          <w:sz w:val="20"/>
          <w:szCs w:val="20"/>
          <w:color w:val="auto"/>
        </w:rPr>
      </w:pPr>
      <w:r>
        <w:rPr>
          <w:rFonts w:ascii="Arial" w:cs="Arial" w:eastAsia="Arial" w:hAnsi="Arial"/>
          <w:sz w:val="16"/>
          <w:szCs w:val="16"/>
          <w:color w:val="auto"/>
        </w:rPr>
        <w:t>Common stock to be outstanding immediately after this offering</w:t>
      </w:r>
    </w:p>
    <w:p>
      <w:pPr>
        <w:spacing w:after="0" w:line="12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auto"/>
        </w:rPr>
        <w:t>THE OFFERING</w:t>
      </w:r>
    </w:p>
    <w:p>
      <w:pPr>
        <w:spacing w:after="0" w:line="242" w:lineRule="exact"/>
        <w:rPr>
          <w:sz w:val="20"/>
          <w:szCs w:val="20"/>
          <w:color w:val="auto"/>
        </w:rPr>
      </w:pPr>
    </w:p>
    <w:p>
      <w:pPr>
        <w:ind w:left="740"/>
        <w:spacing w:after="0"/>
        <w:rPr>
          <w:sz w:val="20"/>
          <w:szCs w:val="20"/>
          <w:color w:val="auto"/>
        </w:rPr>
      </w:pPr>
      <w:r>
        <w:rPr>
          <w:rFonts w:ascii="Arial" w:cs="Arial" w:eastAsia="Arial" w:hAnsi="Arial"/>
          <w:sz w:val="19"/>
          <w:szCs w:val="19"/>
          <w:color w:val="auto"/>
        </w:rPr>
        <w:t>shares</w:t>
      </w:r>
    </w:p>
    <w:p>
      <w:pPr>
        <w:spacing w:after="0" w:line="200" w:lineRule="exact"/>
        <w:rPr>
          <w:sz w:val="20"/>
          <w:szCs w:val="20"/>
          <w:color w:val="auto"/>
        </w:rPr>
      </w:pPr>
    </w:p>
    <w:p>
      <w:pPr>
        <w:spacing w:after="0" w:line="266" w:lineRule="exact"/>
        <w:rPr>
          <w:sz w:val="20"/>
          <w:szCs w:val="20"/>
          <w:color w:val="auto"/>
        </w:rPr>
      </w:pPr>
    </w:p>
    <w:p>
      <w:pPr>
        <w:ind w:left="740"/>
        <w:spacing w:after="0"/>
        <w:rPr>
          <w:sz w:val="20"/>
          <w:szCs w:val="20"/>
          <w:color w:val="auto"/>
        </w:rPr>
      </w:pPr>
      <w:r>
        <w:rPr>
          <w:rFonts w:ascii="Arial" w:cs="Arial" w:eastAsia="Arial" w:hAnsi="Arial"/>
          <w:sz w:val="19"/>
          <w:szCs w:val="19"/>
          <w:color w:val="auto"/>
        </w:rPr>
        <w:t>shares</w:t>
      </w:r>
    </w:p>
    <w:p>
      <w:pPr>
        <w:spacing w:after="0" w:line="238" w:lineRule="exact"/>
        <w:rPr>
          <w:sz w:val="20"/>
          <w:szCs w:val="20"/>
          <w:color w:val="auto"/>
        </w:rPr>
      </w:pPr>
    </w:p>
    <w:p>
      <w:pPr>
        <w:ind w:left="780"/>
        <w:spacing w:after="0"/>
        <w:tabs>
          <w:tab w:leader="none" w:pos="2260" w:val="left"/>
        </w:tabs>
        <w:rPr>
          <w:sz w:val="20"/>
          <w:szCs w:val="20"/>
          <w:color w:val="auto"/>
        </w:rPr>
      </w:pPr>
      <w:r>
        <w:rPr>
          <w:rFonts w:ascii="Arial" w:cs="Arial" w:eastAsia="Arial" w:hAnsi="Arial"/>
          <w:sz w:val="19"/>
          <w:szCs w:val="19"/>
          <w:color w:val="auto"/>
        </w:rPr>
        <w:t>shares (or</w:t>
      </w:r>
      <w:r>
        <w:rPr>
          <w:sz w:val="20"/>
          <w:szCs w:val="20"/>
          <w:color w:val="auto"/>
        </w:rPr>
        <w:tab/>
      </w:r>
      <w:r>
        <w:rPr>
          <w:rFonts w:ascii="Arial" w:cs="Arial" w:eastAsia="Arial" w:hAnsi="Arial"/>
          <w:sz w:val="16"/>
          <w:szCs w:val="16"/>
          <w:color w:val="auto"/>
        </w:rPr>
        <w:t>shares if the underwriters exercise in full their option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to purchase additional shares)</w:t>
      </w:r>
    </w:p>
    <w:p>
      <w:pPr>
        <w:spacing w:after="0" w:line="231" w:lineRule="exact"/>
        <w:rPr>
          <w:sz w:val="20"/>
          <w:szCs w:val="20"/>
          <w:color w:val="auto"/>
        </w:rPr>
      </w:pPr>
    </w:p>
    <w:p>
      <w:pPr>
        <w:jc w:val="both"/>
        <w:ind w:right="1160"/>
        <w:spacing w:after="0" w:line="253" w:lineRule="auto"/>
        <w:rPr>
          <w:sz w:val="20"/>
          <w:szCs w:val="20"/>
          <w:color w:val="auto"/>
        </w:rPr>
      </w:pPr>
      <w:r>
        <w:rPr>
          <w:rFonts w:ascii="Arial" w:cs="Arial" w:eastAsia="Arial" w:hAnsi="Arial"/>
          <w:sz w:val="19"/>
          <w:szCs w:val="19"/>
          <w:color w:val="auto"/>
        </w:rPr>
        <w:t>We intend to use the net proceeds of this offering to advance the clinical development of SEL-212, including the completion of a head-to-head superiority trial of SEL-212 compared to the current FDA-approved uricase therapy, completion of the Phase 2 clinical trial and preparations for a Phase 3 clinical trial, pursue other pre-clinical programs, including gene therapy development work, and for other operational activities and general corporate purposes. Please see "Use of Proceeds" on page S-7.</w:t>
      </w:r>
    </w:p>
    <w:p>
      <w:pPr>
        <w:spacing w:after="0" w:line="200" w:lineRule="exact"/>
        <w:rPr>
          <w:sz w:val="20"/>
          <w:szCs w:val="20"/>
          <w:color w:val="auto"/>
        </w:rPr>
      </w:pPr>
    </w:p>
    <w:p>
      <w:pPr>
        <w:sectPr>
          <w:pgSz w:w="12240" w:h="15840" w:orient="portrait"/>
          <w:cols w:equalWidth="0" w:num="2">
            <w:col w:w="4180" w:space="180"/>
            <w:col w:w="7400"/>
          </w:cols>
          <w:pgMar w:left="120" w:top="0" w:right="360" w:bottom="1440" w:gutter="0" w:footer="0" w:header="0"/>
          <w:type w:val="continuous"/>
        </w:sectPr>
      </w:pPr>
    </w:p>
    <w:p>
      <w:pPr>
        <w:spacing w:after="0" w:line="13" w:lineRule="exact"/>
        <w:rPr>
          <w:sz w:val="20"/>
          <w:szCs w:val="20"/>
          <w:color w:val="auto"/>
        </w:rPr>
      </w:pPr>
    </w:p>
    <w:p>
      <w:pPr>
        <w:ind w:left="1400"/>
        <w:spacing w:after="0"/>
        <w:tabs>
          <w:tab w:leader="none" w:pos="4340" w:val="left"/>
        </w:tabs>
        <w:rPr>
          <w:sz w:val="20"/>
          <w:szCs w:val="20"/>
          <w:color w:val="auto"/>
        </w:rPr>
      </w:pPr>
      <w:r>
        <w:rPr>
          <w:rFonts w:ascii="Arial" w:cs="Arial" w:eastAsia="Arial" w:hAnsi="Arial"/>
          <w:sz w:val="19"/>
          <w:szCs w:val="19"/>
          <w:color w:val="auto"/>
        </w:rPr>
        <w:t>Risk factors</w:t>
      </w:r>
      <w:r>
        <w:rPr>
          <w:sz w:val="20"/>
          <w:szCs w:val="20"/>
          <w:color w:val="auto"/>
        </w:rPr>
        <w:tab/>
      </w:r>
      <w:r>
        <w:rPr>
          <w:rFonts w:ascii="Arial" w:cs="Arial" w:eastAsia="Arial" w:hAnsi="Arial"/>
          <w:sz w:val="16"/>
          <w:szCs w:val="16"/>
          <w:color w:val="auto"/>
        </w:rPr>
        <w:t>See "Risk Factors" beginning on page S-4 of this prospectus supplement and the</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other information included in, or incorporated by reference into, this prospectus</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supplement for a discussion of certain factors you should carefully consider before</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deciding to invest in shares of our common stock.</w:t>
      </w:r>
    </w:p>
    <w:p>
      <w:pPr>
        <w:spacing w:after="0" w:line="231" w:lineRule="exact"/>
        <w:rPr>
          <w:sz w:val="20"/>
          <w:szCs w:val="20"/>
          <w:color w:val="auto"/>
        </w:rPr>
      </w:pPr>
    </w:p>
    <w:p>
      <w:pPr>
        <w:ind w:left="1400"/>
        <w:spacing w:after="0"/>
        <w:tabs>
          <w:tab w:leader="none" w:pos="4340" w:val="left"/>
        </w:tabs>
        <w:rPr>
          <w:sz w:val="20"/>
          <w:szCs w:val="20"/>
          <w:color w:val="auto"/>
        </w:rPr>
      </w:pPr>
      <w:r>
        <w:rPr>
          <w:rFonts w:ascii="Arial" w:cs="Arial" w:eastAsia="Arial" w:hAnsi="Arial"/>
          <w:sz w:val="19"/>
          <w:szCs w:val="19"/>
          <w:color w:val="auto"/>
        </w:rPr>
        <w:t>Nasdaq Global Market symbol</w:t>
      </w:r>
      <w:r>
        <w:rPr>
          <w:sz w:val="20"/>
          <w:szCs w:val="20"/>
          <w:color w:val="auto"/>
        </w:rPr>
        <w:tab/>
      </w:r>
      <w:r>
        <w:rPr>
          <w:rFonts w:ascii="Arial" w:cs="Arial" w:eastAsia="Arial" w:hAnsi="Arial"/>
          <w:sz w:val="18"/>
          <w:szCs w:val="18"/>
          <w:color w:val="auto"/>
        </w:rPr>
        <w:t>"SELB"</w:t>
      </w:r>
    </w:p>
    <w:p>
      <w:pPr>
        <w:spacing w:after="0" w:line="238" w:lineRule="exact"/>
        <w:rPr>
          <w:sz w:val="20"/>
          <w:szCs w:val="20"/>
          <w:color w:val="auto"/>
        </w:rPr>
      </w:pPr>
    </w:p>
    <w:p>
      <w:pPr>
        <w:ind w:left="240" w:right="20" w:firstLine="463"/>
        <w:spacing w:after="0" w:line="268" w:lineRule="auto"/>
        <w:rPr>
          <w:sz w:val="20"/>
          <w:szCs w:val="20"/>
          <w:color w:val="auto"/>
        </w:rPr>
      </w:pPr>
      <w:r>
        <w:rPr>
          <w:rFonts w:ascii="Arial" w:cs="Arial" w:eastAsia="Arial" w:hAnsi="Arial"/>
          <w:sz w:val="19"/>
          <w:szCs w:val="19"/>
          <w:color w:val="auto"/>
        </w:rPr>
        <w:t>The number of shares of our common stock to be outstanding immediately after this offering is based on 22,471,776 shares of our common stock outstanding as of December 31, 2018 and excludes:</w:t>
      </w:r>
    </w:p>
    <w:p>
      <w:pPr>
        <w:sectPr>
          <w:pgSz w:w="12240" w:h="15840" w:orient="portrait"/>
          <w:cols w:equalWidth="0" w:num="1">
            <w:col w:w="11760"/>
          </w:cols>
          <w:pgMar w:left="120" w:top="0" w:right="360" w:bottom="1440" w:gutter="0" w:footer="0" w:header="0"/>
          <w:type w:val="continuous"/>
        </w:sectPr>
      </w:pPr>
    </w:p>
    <w:p>
      <w:pPr>
        <w:spacing w:after="0" w:line="19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312"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298"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4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4,103,979 shares of our common stock issuable upon the exercise of stock options outstanding as of December 31, 2018 at a weighted average exercise price of $9.20 per share;</w:t>
      </w:r>
    </w:p>
    <w:p>
      <w:pPr>
        <w:spacing w:after="0" w:line="1"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176,432 shares of common stock issuable upon exercise of warrants outstanding as of December 31, 2018, at a weighted average exercise price of $17.32 per share;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175,000 shares of common stock issuable upon vesting of restricted stock units outstanding as of December 31, 2018;</w:t>
      </w:r>
    </w:p>
    <w:p>
      <w:pPr>
        <w:spacing w:after="0" w:line="38"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1,037,031 shares of common stock reserved for issuance under our 2016 Incentive Award Plan, or the 2016 Plan, as of December 31, 2018, as well as shares that become available pursuant to provisions in our 2016 Plan that automatically increase the share reserve under the 2016 Plan; and</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539,894 shares of common stock reserved for issuance under our 2016 Employee Stock Purchase Plan, or the 2016 ESPP, as of December 31, 2018, as well as shares that become available pursuant to provisions in our 2016 ESPP that automatically increase the share reserve under the 2016 ESPP.</w:t>
      </w:r>
    </w:p>
    <w:p>
      <w:pPr>
        <w:spacing w:after="0" w:line="200" w:lineRule="exact"/>
        <w:rPr>
          <w:sz w:val="20"/>
          <w:szCs w:val="20"/>
          <w:color w:val="auto"/>
        </w:rPr>
      </w:pPr>
    </w:p>
    <w:p>
      <w:pPr>
        <w:sectPr>
          <w:pgSz w:w="12240" w:h="15840" w:orient="portrait"/>
          <w:cols w:equalWidth="0" w:num="2">
            <w:col w:w="1080" w:space="300"/>
            <w:col w:w="10380"/>
          </w:cols>
          <w:pgMar w:left="120" w:top="0" w:right="360" w:bottom="1440" w:gutter="0" w:footer="0" w:header="0"/>
          <w:type w:val="continuous"/>
        </w:sectPr>
      </w:pPr>
    </w:p>
    <w:p>
      <w:pPr>
        <w:spacing w:after="0" w:line="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Unless otherwise indicated, this prospectus supplement reflects and assumes:</w:t>
      </w:r>
    </w:p>
    <w:p>
      <w:pPr>
        <w:sectPr>
          <w:pgSz w:w="12240" w:h="15840" w:orient="portrait"/>
          <w:cols w:equalWidth="0" w:num="1">
            <w:col w:w="11760"/>
          </w:cols>
          <w:pgMar w:left="120" w:top="0" w:right="360" w:bottom="1440" w:gutter="0" w:footer="0" w:header="0"/>
          <w:type w:val="continuous"/>
        </w:sectPr>
      </w:pPr>
    </w:p>
    <w:p>
      <w:pPr>
        <w:spacing w:after="0" w:line="272"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84"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2220"/>
        <w:spacing w:after="0" w:line="358" w:lineRule="auto"/>
        <w:rPr>
          <w:sz w:val="20"/>
          <w:szCs w:val="20"/>
          <w:color w:val="auto"/>
        </w:rPr>
      </w:pPr>
      <w:r>
        <w:rPr>
          <w:rFonts w:ascii="Arial" w:cs="Arial" w:eastAsia="Arial" w:hAnsi="Arial"/>
          <w:sz w:val="16"/>
          <w:szCs w:val="16"/>
          <w:color w:val="auto"/>
        </w:rPr>
        <w:t>no exercise by the underwriters of their option to purchase additional shares of common stock in this offering; no exercise of the outstanding options and warrants described above subsequent to December 31, 2018; and no vesting of the outstanding restricted stock units described above subsequent to December 31, 2018.</w:t>
      </w:r>
    </w:p>
    <w:p>
      <w:pPr>
        <w:spacing w:after="0" w:line="200" w:lineRule="exact"/>
        <w:rPr>
          <w:sz w:val="20"/>
          <w:szCs w:val="20"/>
          <w:color w:val="auto"/>
        </w:rPr>
      </w:pPr>
    </w:p>
    <w:p>
      <w:pPr>
        <w:sectPr>
          <w:pgSz w:w="12240" w:h="15840" w:orient="portrait"/>
          <w:cols w:equalWidth="0" w:num="2">
            <w:col w:w="1080" w:space="300"/>
            <w:col w:w="10380"/>
          </w:cols>
          <w:pgMar w:left="120" w:top="0" w:right="36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6288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760"/>
          </w:cols>
          <w:pgMar w:left="120" w:top="0" w:right="360" w:bottom="1440" w:gutter="0" w:footer="0" w:header="0"/>
          <w:type w:val="continuous"/>
        </w:sectPr>
      </w:pPr>
    </w:p>
    <w:bookmarkStart w:id="7" w:name="page8"/>
    <w:bookmarkEnd w:id="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RISK FACTORS</w:t>
      </w:r>
    </w:p>
    <w:p>
      <w:pPr>
        <w:spacing w:after="0" w:line="24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i w:val="1"/>
          <w:iCs w:val="1"/>
          <w:color w:val="auto"/>
        </w:rPr>
        <w:t>Investing in our common stock involves a high degree of risk. Before investing in our common stock, you should consider carefully the risks described below, together with the other information contained in this prospectus supplement, the accompanying prospectus or incorporated by reference herein or therein, including the risks and uncertainties discussed under "Risk Factors" in our Quarterly Report on Form 10-Q for the quarterly period ended September 30, 2018, which is incorporated by reference into this prospectus supplement. If any of the risks incorporated by reference or set forth below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Risks Relating to this Offering</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Purchasers in this offering will experience immediate and substantial dilution in the book value of their investment.</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public offering price of our common stock is substantially higher than the net tangible book value per share of our common stock before giving effect to</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this offering. Accordingly, if you purchase our common stock in this offering, you will incur immediate dilution of approximately $ per share, representing the difference between the assumed public offering price of $2.04, the last reported sale price of our common stock on The Nasdaq Global Market on January 18, 2019, and our as adjusted net tangible book value as of September 30, 2018. Furthermore, if outstanding options are exercised or restricted stock units vest, you could experience further dilution. For a further description of the dilution that you will experience immediately after this offering, see the section in this prospectus supplement entitled "Dilution."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i w:val="1"/>
          <w:iCs w:val="1"/>
          <w:color w:val="auto"/>
        </w:rPr>
        <w:t>A substantial number of shares of common stock may be sold in the market following this offering, which may depress the market price for our common stock.</w:t>
      </w:r>
    </w:p>
    <w:p>
      <w:pPr>
        <w:spacing w:after="0" w:line="197"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9"/>
          <w:szCs w:val="19"/>
          <w:color w:val="auto"/>
        </w:rPr>
        <w:t>Sales of a substantial number of shares of our common stock in the public market following this offering could cause the market price of our common stock to decline. A substantial majority of the outstanding shares of our common stock are, and the shares of common stock sold in this offering upon issuance will be, freely tradable without restriction or further registration under the Securities Act of 1933, as amended.</w:t>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97" w:lineRule="exact"/>
        <w:rPr>
          <w:sz w:val="20"/>
          <w:szCs w:val="20"/>
          <w:color w:val="auto"/>
        </w:rPr>
      </w:pPr>
    </w:p>
    <w:p>
      <w:pPr>
        <w:jc w:val="both"/>
        <w:ind w:firstLine="457"/>
        <w:spacing w:after="0" w:line="253" w:lineRule="auto"/>
        <w:rPr>
          <w:sz w:val="20"/>
          <w:szCs w:val="20"/>
          <w:color w:val="auto"/>
        </w:rPr>
      </w:pPr>
      <w:r>
        <w:rPr>
          <w:rFonts w:ascii="Arial" w:cs="Arial" w:eastAsia="Arial" w:hAnsi="Arial"/>
          <w:sz w:val="19"/>
          <w:szCs w:val="19"/>
          <w:color w:val="auto"/>
        </w:rPr>
        <w:t>Our management will have broad discretion over the use of proceeds from this offering, and we could spend the proceeds from this offering in ways our stockholders may not agree with or that do not yield a favorable return, if at all. We intend to use the net proceeds of this offering to advance the clinical development of SEL-212, including the completion of a head-to-head superiority trial of SEL-212 compared to the current FDA-approved uricase therapy, completion of the Phase 2 clinical trial and preparations for a Phase 3 clinical trial, pursue other pre-clinical programs, including gene therapy development work, and for other operational activities and general corporate purposes. Our use of these proceeds may differ substantially from our current plans. If we do not invest or apply the proceeds of this offering in ways that improve our operating results, we may fail to achieve expected financial results, which could cause our stock price to decline.</w:t>
      </w:r>
    </w:p>
    <w:p>
      <w:pPr>
        <w:spacing w:after="0" w:line="200" w:lineRule="exact"/>
        <w:rPr>
          <w:sz w:val="20"/>
          <w:szCs w:val="20"/>
          <w:color w:val="auto"/>
        </w:rPr>
      </w:pPr>
    </w:p>
    <w:p>
      <w:pPr>
        <w:spacing w:after="0" w:line="237" w:lineRule="exact"/>
        <w:rPr>
          <w:sz w:val="20"/>
          <w:szCs w:val="20"/>
          <w:color w:val="auto"/>
        </w:rPr>
      </w:pPr>
    </w:p>
    <w:p>
      <w:pPr>
        <w:ind w:left="4640"/>
        <w:spacing w:after="0"/>
        <w:rPr>
          <w:sz w:val="20"/>
          <w:szCs w:val="20"/>
          <w:color w:val="auto"/>
        </w:rPr>
      </w:pPr>
      <w:r>
        <w:rPr>
          <w:rFonts w:ascii="Arial" w:cs="Arial" w:eastAsia="Arial" w:hAnsi="Arial"/>
          <w:sz w:val="19"/>
          <w:szCs w:val="19"/>
          <w:b w:val="1"/>
          <w:bCs w:val="1"/>
          <w:color w:val="auto"/>
        </w:rPr>
        <w:t>Risks Relating to Our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new corporate strategy and restructuring may not be successful.</w:t>
      </w:r>
    </w:p>
    <w:p>
      <w:pPr>
        <w:spacing w:after="0" w:line="238" w:lineRule="exact"/>
        <w:rPr>
          <w:sz w:val="20"/>
          <w:szCs w:val="20"/>
          <w:color w:val="auto"/>
        </w:rPr>
      </w:pPr>
    </w:p>
    <w:p>
      <w:pPr>
        <w:jc w:val="both"/>
        <w:ind w:right="20" w:firstLine="460"/>
        <w:spacing w:after="0" w:line="268" w:lineRule="auto"/>
        <w:rPr>
          <w:sz w:val="20"/>
          <w:szCs w:val="20"/>
          <w:color w:val="auto"/>
        </w:rPr>
      </w:pPr>
      <w:r>
        <w:rPr>
          <w:rFonts w:ascii="Arial" w:cs="Arial" w:eastAsia="Arial" w:hAnsi="Arial"/>
          <w:sz w:val="19"/>
          <w:szCs w:val="19"/>
          <w:color w:val="auto"/>
        </w:rPr>
        <w:t>On January 3, 2019, following a strategic business review, we announced our new strategy to focus on the development of SEL-212 for the treatment of chronic refractory gout and advancement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8" w:name="page9"/>
    <w:bookmarkEnd w:id="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ImmTOR technology in the area of gene therapy, specifically ImmTOR in combination with AAV gene therapy for the treatment of CN,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173" w:lineRule="exact"/>
        <w:rPr>
          <w:sz w:val="20"/>
          <w:szCs w:val="20"/>
          <w:color w:val="auto"/>
        </w:rPr>
      </w:pPr>
    </w:p>
    <w:p>
      <w:pPr>
        <w:jc w:val="both"/>
        <w:ind w:firstLine="513"/>
        <w:spacing w:after="0" w:line="270" w:lineRule="auto"/>
        <w:rPr>
          <w:sz w:val="20"/>
          <w:szCs w:val="20"/>
          <w:color w:val="auto"/>
        </w:rPr>
      </w:pPr>
      <w:r>
        <w:rPr>
          <w:rFonts w:ascii="Arial" w:cs="Arial" w:eastAsia="Arial" w:hAnsi="Arial"/>
          <w:sz w:val="18"/>
          <w:szCs w:val="18"/>
          <w:color w:val="auto"/>
        </w:rPr>
        <w:t>Also on January 3, 2019, as a result of our strategic business review, we announced our plan to reduce headcount by approximately 36% to align our workforce with our newly announced strategy. While the reduction in workforce generally affects employees in all areas, those working in research and related general and accounting functions were most affected. The reduction in workforce resulted in the termination of approximately 17 employment positions effective January 3, 2019. Following the reduction in workforce, we expect to have approximately 45 full-time employment positions and to be appropriately resourced to continue executing on our current strategy. We expect to substantially complete the reduction in workforce during the first quarter of 2019. Our workforce after these actions may not be sufficient to fully execute our new strategy, and we may not be able to effectively attract or retain new management or qualified employees needed to implement this strategy.</w:t>
      </w:r>
    </w:p>
    <w:p>
      <w:pPr>
        <w:spacing w:after="0" w:line="195" w:lineRule="exact"/>
        <w:rPr>
          <w:sz w:val="20"/>
          <w:szCs w:val="20"/>
          <w:color w:val="auto"/>
        </w:rPr>
      </w:pPr>
    </w:p>
    <w:p>
      <w:pPr>
        <w:jc w:val="both"/>
        <w:ind w:firstLine="403"/>
        <w:spacing w:after="0" w:line="256" w:lineRule="auto"/>
        <w:rPr>
          <w:sz w:val="20"/>
          <w:szCs w:val="20"/>
          <w:color w:val="auto"/>
        </w:rPr>
      </w:pPr>
      <w:r>
        <w:rPr>
          <w:rFonts w:ascii="Arial" w:cs="Arial" w:eastAsia="Arial" w:hAnsi="Arial"/>
          <w:sz w:val="19"/>
          <w:szCs w:val="19"/>
          <w:color w:val="auto"/>
        </w:rPr>
        <w:t>We estimate that we will incur aggregate charges in connection with the reduction in workforce of approximately $0.5 million, all of which are expected to be cash expenditures. However, our restructuring activities may also result in unexpected risks or costs, such as employee claims and contractual disputes and the risk that the actual financial and other impacts of the reductions could vary materially from the outcomes anticipated, which may have a material adverse effect on our results of operations or financial condition.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9" w:name="page10"/>
    <w:bookmarkEnd w:id="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242" w:lineRule="exact"/>
        <w:rPr>
          <w:sz w:val="20"/>
          <w:szCs w:val="20"/>
          <w:color w:val="auto"/>
        </w:rPr>
      </w:pPr>
    </w:p>
    <w:p>
      <w:pPr>
        <w:jc w:val="both"/>
        <w:ind w:firstLine="429"/>
        <w:spacing w:after="0" w:line="308" w:lineRule="auto"/>
        <w:rPr>
          <w:sz w:val="20"/>
          <w:szCs w:val="20"/>
          <w:color w:val="auto"/>
        </w:rPr>
      </w:pPr>
      <w:r>
        <w:rPr>
          <w:rFonts w:ascii="Arial" w:cs="Arial" w:eastAsia="Arial" w:hAnsi="Arial"/>
          <w:sz w:val="16"/>
          <w:szCs w:val="16"/>
          <w:color w:val="auto"/>
        </w:rPr>
        <w:t>This prospectus supplement, the accompanying prospectus, and the SEC filings that are incorporated by reference into this prospectus supplement and the accompanying prospectus contain or incorporate by reference "forward-looking statements" within the meaning of the Private Securities Litigation Reform Act of 1995, Section 27A of the Securities Act of 1933, as amended, and Section 21E of the Securities Exchange Act of 1934, as amended. You can generally identify these forward-looking statements by forward-looking words such as "anticipates," "believes," "expects," "intends," "future," "could," "estimates," "plans," "would," "should," "potential," "continues" and similar words or expressions (as well as other words or expressions referencing future events, conditions or circumstances). The forward-looking statements contained in this prospectus supplement, the accompanying prospectus, and the SEC filings that are incorporated by reference into this prospectus supplement and the accompanying prospectus include, but are not limited to, statements related to:</w:t>
      </w:r>
    </w:p>
    <w:p>
      <w:pPr>
        <w:sectPr>
          <w:pgSz w:w="12240" w:h="15840" w:orient="portrait"/>
          <w:cols w:equalWidth="0" w:num="1">
            <w:col w:w="12000"/>
          </w:cols>
          <w:pgMar w:left="120" w:top="0" w:right="120" w:bottom="1440" w:gutter="0" w:footer="0" w:header="0"/>
        </w:sectPr>
      </w:pPr>
    </w:p>
    <w:p>
      <w:pPr>
        <w:spacing w:after="0" w:line="1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0"/>
        <w:spacing w:after="0" w:line="274" w:lineRule="auto"/>
        <w:rPr>
          <w:sz w:val="20"/>
          <w:szCs w:val="20"/>
          <w:color w:val="auto"/>
        </w:rPr>
      </w:pPr>
      <w:r>
        <w:rPr>
          <w:rFonts w:ascii="Arial" w:cs="Arial" w:eastAsia="Arial" w:hAnsi="Arial"/>
          <w:sz w:val="19"/>
          <w:szCs w:val="19"/>
          <w:color w:val="auto"/>
        </w:rPr>
        <w:t>anticipated milestones in our clinical trials, including the timing of initiation of specific clinical trials and the timing of data readouts therefrom; our status as a development-stage company and our expectation to incur losses in the future;</w:t>
      </w:r>
    </w:p>
    <w:p>
      <w:pPr>
        <w:spacing w:after="0"/>
        <w:rPr>
          <w:sz w:val="20"/>
          <w:szCs w:val="20"/>
          <w:color w:val="auto"/>
        </w:rPr>
      </w:pPr>
      <w:r>
        <w:rPr>
          <w:rFonts w:ascii="Arial" w:cs="Arial" w:eastAsia="Arial" w:hAnsi="Arial"/>
          <w:sz w:val="19"/>
          <w:szCs w:val="19"/>
          <w:color w:val="auto"/>
        </w:rPr>
        <w:t>our future capital needs and our need to raise additional funds;</w:t>
      </w:r>
    </w:p>
    <w:p>
      <w:pPr>
        <w:spacing w:after="0" w:line="24" w:lineRule="exact"/>
        <w:rPr>
          <w:sz w:val="20"/>
          <w:szCs w:val="20"/>
          <w:color w:val="auto"/>
        </w:rPr>
      </w:pPr>
    </w:p>
    <w:p>
      <w:pPr>
        <w:ind w:right="4160"/>
        <w:spacing w:after="0" w:line="274" w:lineRule="auto"/>
        <w:rPr>
          <w:sz w:val="20"/>
          <w:szCs w:val="20"/>
          <w:color w:val="auto"/>
        </w:rPr>
      </w:pPr>
      <w:r>
        <w:rPr>
          <w:rFonts w:ascii="Arial" w:cs="Arial" w:eastAsia="Arial" w:hAnsi="Arial"/>
          <w:sz w:val="19"/>
          <w:szCs w:val="19"/>
          <w:color w:val="auto"/>
        </w:rPr>
        <w:t>our ability to build a pipeline of product candidates and develop and commercialize drugs; our unproven approach to therapeutic intervention;</w:t>
      </w:r>
    </w:p>
    <w:p>
      <w:pPr>
        <w:jc w:val="both"/>
        <w:ind w:right="900"/>
        <w:spacing w:after="0" w:line="271" w:lineRule="auto"/>
        <w:rPr>
          <w:sz w:val="20"/>
          <w:szCs w:val="20"/>
          <w:color w:val="auto"/>
        </w:rPr>
      </w:pPr>
      <w:r>
        <w:rPr>
          <w:rFonts w:ascii="Arial" w:cs="Arial" w:eastAsia="Arial" w:hAnsi="Arial"/>
          <w:sz w:val="19"/>
          <w:szCs w:val="19"/>
          <w:color w:val="auto"/>
        </w:rPr>
        <w:t>our ability to enroll patients in clinical trials, timely and successfully complete those trials and receive necessary regulatory approvals; our ability to establish our own manufacturing facilities and to receive or manufacture sufficient quantities of our product candidates; our ability to maintain our existing or future collaborations or licenses;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our ability to protect and enforce our intellectual property rights;</w:t>
      </w:r>
    </w:p>
    <w:p>
      <w:pPr>
        <w:spacing w:after="0" w:line="24" w:lineRule="exact"/>
        <w:rPr>
          <w:sz w:val="20"/>
          <w:szCs w:val="20"/>
          <w:color w:val="auto"/>
        </w:rPr>
      </w:pPr>
    </w:p>
    <w:p>
      <w:pPr>
        <w:ind w:right="3160"/>
        <w:spacing w:after="0" w:line="325" w:lineRule="auto"/>
        <w:rPr>
          <w:sz w:val="20"/>
          <w:szCs w:val="20"/>
          <w:color w:val="auto"/>
        </w:rPr>
      </w:pPr>
      <w:r>
        <w:rPr>
          <w:rFonts w:ascii="Arial" w:cs="Arial" w:eastAsia="Arial" w:hAnsi="Arial"/>
          <w:sz w:val="16"/>
          <w:szCs w:val="16"/>
          <w:color w:val="auto"/>
        </w:rPr>
        <w:t>federal, state, and foreign regulatory requirements, including FDA regulation of our product candidates; our ability to obtain and retain key executives and attract and retain qualified personnel;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our ability to successfully manage our growth; and</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our intended use of proceeds from this offering.</w:t>
      </w:r>
    </w:p>
    <w:p>
      <w:pPr>
        <w:spacing w:after="0" w:line="200"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line="38" w:lineRule="exact"/>
        <w:rPr>
          <w:sz w:val="20"/>
          <w:szCs w:val="20"/>
          <w:color w:val="auto"/>
        </w:rPr>
      </w:pPr>
    </w:p>
    <w:p>
      <w:pPr>
        <w:jc w:val="both"/>
        <w:ind w:firstLine="389"/>
        <w:spacing w:after="0" w:line="305" w:lineRule="auto"/>
        <w:rPr>
          <w:sz w:val="20"/>
          <w:szCs w:val="20"/>
          <w:color w:val="auto"/>
        </w:rPr>
      </w:pPr>
      <w:r>
        <w:rPr>
          <w:rFonts w:ascii="Arial" w:cs="Arial" w:eastAsia="Arial" w:hAnsi="Arial"/>
          <w:sz w:val="16"/>
          <w:szCs w:val="16"/>
          <w:color w:val="auto"/>
        </w:rPr>
        <w:t>These forward-looking statements involve risks, uncertainties and other important factors that may cause our actual results, performance or achievements to be materially different from any future results, performance or achievements expressed or implied by the forward-looking statements. All forward-looking statements contained herein are expressly qualified in their entirety by this cautionary statement, the risk factors set forth under the heading "Risk Factors" in this prospectus supplement and elsewhere, the accompanying prospectus and incorporated by reference in this prospectus supplement and the accompanying prospectus. These forward-looking statements speak only as of the date of this prospectus supplement. Except to the extent required by applicable laws and regulations, we undertake no obligation to update these forward-looking statements to reflect new information, events or circumstances after the date of this prospectus supplement or to reflect the occurrence of unanticipated events. In light of these risks and uncertainties, the forward-looking events and circumstances described in this prospectus supplement may not occur and actual results could differ materially from those anticipated or implied in the forward-looking statements. Accordingly, you are cautioned not to place undue reliance on these forward-looking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0" w:name="page11"/>
    <w:bookmarkEnd w:id="1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USE OF PROCEEDS</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net proceeds from this offering, after deducting estimated underwriting discounts and commissions and estimated offering expenses</w:t>
      </w:r>
    </w:p>
    <w:p>
      <w:pPr>
        <w:spacing w:after="0" w:line="5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payable by us, will be approximately $ million or $ million if the underwriters exercise their option to purchase additional shares of common stock in full.</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we receive in this offering and, a portion of our existing cash and cash equivalents, for the following purposes:</w:t>
      </w:r>
    </w:p>
    <w:p>
      <w:pPr>
        <w:sectPr>
          <w:pgSz w:w="12240" w:h="15840" w:orient="portrait"/>
          <w:cols w:equalWidth="0" w:num="1">
            <w:col w:w="12000"/>
          </w:cols>
          <w:pgMar w:left="120" w:top="0" w:right="120" w:bottom="1440" w:gutter="0" w:footer="0" w:header="0"/>
        </w:sect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to advance the clinical development of SEL-212, including the completion of a head-to-head superiority trial of SEL-212 compared to the current FDA-approved uricase therapy, completion of the Phase 2 clinical trial and preparations for a Phase 3 clinical trial; and</w:t>
      </w:r>
    </w:p>
    <w:p>
      <w:pPr>
        <w:spacing w:after="0" w:line="268" w:lineRule="auto"/>
        <w:rPr>
          <w:sz w:val="20"/>
          <w:szCs w:val="20"/>
          <w:color w:val="auto"/>
        </w:rPr>
      </w:pPr>
      <w:r>
        <w:rPr>
          <w:rFonts w:ascii="Arial" w:cs="Arial" w:eastAsia="Arial" w:hAnsi="Arial"/>
          <w:sz w:val="19"/>
          <w:szCs w:val="19"/>
          <w:color w:val="auto"/>
        </w:rPr>
        <w:t>the remainder, if any, for other pre-clinical programs, including gene therapy development work, and for other operational activities and general corporate purposes.</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jc w:val="both"/>
        <w:ind w:firstLine="387"/>
        <w:spacing w:after="0" w:line="314" w:lineRule="auto"/>
        <w:rPr>
          <w:sz w:val="20"/>
          <w:szCs w:val="20"/>
          <w:color w:val="auto"/>
        </w:rPr>
      </w:pPr>
      <w:r>
        <w:rPr>
          <w:rFonts w:ascii="Arial" w:cs="Arial" w:eastAsia="Arial" w:hAnsi="Arial"/>
          <w:sz w:val="16"/>
          <w:szCs w:val="16"/>
          <w:color w:val="auto"/>
        </w:rPr>
        <w:t>We have not determined the amounts we plan to spend in any of the areas identified above or the timing of these expenditures. As a result, our management will have broad discretion to allocate the net proceeds to us from this offering, and investors will be relying on the judgment of our management regarding the application of the proceeds from this offering. We reserve the right to change the use of these proceeds as a result of certain contingencies such as competitive developments, the results of our commercialization efforts, acquisition and investment opportunities and other factors. Pending use of the proceeds as described above, we intend to invest the net proceeds of this offering in short-term, interest-bearing, investment-grade securities or certificates of deposit.</w:t>
      </w:r>
    </w:p>
    <w:p>
      <w:pPr>
        <w:spacing w:after="0" w:line="165" w:lineRule="exact"/>
        <w:rPr>
          <w:sz w:val="20"/>
          <w:szCs w:val="20"/>
          <w:color w:val="auto"/>
        </w:rPr>
      </w:pPr>
    </w:p>
    <w:p>
      <w:pPr>
        <w:jc w:val="both"/>
        <w:ind w:firstLine="368"/>
        <w:spacing w:after="0" w:line="268" w:lineRule="auto"/>
        <w:rPr>
          <w:sz w:val="20"/>
          <w:szCs w:val="20"/>
          <w:color w:val="auto"/>
        </w:rPr>
      </w:pPr>
      <w:r>
        <w:rPr>
          <w:rFonts w:ascii="Arial" w:cs="Arial" w:eastAsia="Arial" w:hAnsi="Arial"/>
          <w:sz w:val="19"/>
          <w:szCs w:val="19"/>
          <w:color w:val="auto"/>
        </w:rPr>
        <w:t>As of December 31, 2018, our cash and cash equivalents were $37.4 million, of which $0.4 million was held by our Russian subsidiary designated solely for use in its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1" w:name="page12"/>
    <w:bookmarkEnd w:id="1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MARKET FOR COMMON STOCK</w:t>
      </w:r>
    </w:p>
    <w:p>
      <w:pPr>
        <w:spacing w:after="0" w:line="242" w:lineRule="exact"/>
        <w:rPr>
          <w:sz w:val="20"/>
          <w:szCs w:val="20"/>
          <w:color w:val="auto"/>
        </w:rPr>
      </w:pPr>
    </w:p>
    <w:p>
      <w:pPr>
        <w:jc w:val="both"/>
        <w:ind w:firstLine="392"/>
        <w:spacing w:after="0" w:line="331" w:lineRule="auto"/>
        <w:rPr>
          <w:sz w:val="20"/>
          <w:szCs w:val="20"/>
          <w:color w:val="auto"/>
        </w:rPr>
      </w:pPr>
      <w:r>
        <w:rPr>
          <w:rFonts w:ascii="Arial" w:cs="Arial" w:eastAsia="Arial" w:hAnsi="Arial"/>
          <w:sz w:val="16"/>
          <w:szCs w:val="16"/>
          <w:color w:val="auto"/>
        </w:rPr>
        <w:t>The principal market on which our common stock is being traded is The Nasdaq Global Market under the symbol "SELB." As of December 31, 2018, there were 22,471,776 shares of our common stock outstanding, held of record by 43 stockholders, which excludes stockholders whose shares were held in nominee or street name by brokers. On January 18, 2019, the closing price for the common stock as reported on The Nasdaq Global Market was $2.04.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12" w:name="page13"/>
    <w:bookmarkEnd w:id="1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DIVIDEND POLICY</w:t>
      </w:r>
    </w:p>
    <w:p>
      <w:pPr>
        <w:spacing w:after="0" w:line="242" w:lineRule="exact"/>
        <w:rPr>
          <w:sz w:val="20"/>
          <w:szCs w:val="20"/>
          <w:color w:val="auto"/>
        </w:rPr>
      </w:pPr>
    </w:p>
    <w:p>
      <w:pPr>
        <w:jc w:val="both"/>
        <w:ind w:firstLine="368"/>
        <w:spacing w:after="0" w:line="314"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unless waived, our ability to pay cash dividends is currently prohibited by the terms of our term loan facility with Silicon Valley Bank.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13" w:name="page14"/>
    <w:bookmarkEnd w:id="1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DILUTION</w:t>
      </w:r>
    </w:p>
    <w:p>
      <w:pPr>
        <w:spacing w:after="0" w:line="242" w:lineRule="exact"/>
        <w:rPr>
          <w:sz w:val="20"/>
          <w:szCs w:val="20"/>
          <w:color w:val="auto"/>
        </w:rPr>
      </w:pPr>
    </w:p>
    <w:p>
      <w:pPr>
        <w:jc w:val="both"/>
        <w:ind w:right="20" w:firstLine="447"/>
        <w:spacing w:after="0" w:line="268" w:lineRule="auto"/>
        <w:rPr>
          <w:sz w:val="20"/>
          <w:szCs w:val="20"/>
          <w:color w:val="auto"/>
        </w:rPr>
      </w:pPr>
      <w:r>
        <w:rPr>
          <w:rFonts w:ascii="Arial" w:cs="Arial" w:eastAsia="Arial" w:hAnsi="Arial"/>
          <w:sz w:val="19"/>
          <w:szCs w:val="19"/>
          <w:color w:val="auto"/>
        </w:rPr>
        <w:t>If you invest in our common stock in this offering, your ownership interest will be immediately diluted to the extent of the difference between the public offering price per share and the as adjusted net tangible book value per share of our common stock after this offering.</w:t>
      </w:r>
    </w:p>
    <w:p>
      <w:pPr>
        <w:spacing w:after="0" w:line="197" w:lineRule="exact"/>
        <w:rPr>
          <w:sz w:val="20"/>
          <w:szCs w:val="20"/>
          <w:color w:val="auto"/>
        </w:rPr>
      </w:pPr>
    </w:p>
    <w:p>
      <w:pPr>
        <w:jc w:val="both"/>
        <w:ind w:firstLine="438"/>
        <w:spacing w:after="0" w:line="364" w:lineRule="auto"/>
        <w:rPr>
          <w:sz w:val="20"/>
          <w:szCs w:val="20"/>
          <w:color w:val="auto"/>
        </w:rPr>
      </w:pPr>
      <w:r>
        <w:rPr>
          <w:rFonts w:ascii="Arial" w:cs="Arial" w:eastAsia="Arial" w:hAnsi="Arial"/>
          <w:sz w:val="16"/>
          <w:szCs w:val="16"/>
          <w:color w:val="auto"/>
        </w:rPr>
        <w:t>As of September 30, 2018, we had a net tangible book value of approximately $10.0 million, or $0.45 per share of common stock. Our net tangible book value per share represents total tangible assets less total liabilities, divided by the number of shares of common stock outstanding at September 30, 2018.</w:t>
      </w:r>
    </w:p>
    <w:p>
      <w:pPr>
        <w:spacing w:after="0" w:line="126" w:lineRule="exact"/>
        <w:rPr>
          <w:sz w:val="20"/>
          <w:szCs w:val="20"/>
          <w:color w:val="auto"/>
        </w:rPr>
      </w:pPr>
    </w:p>
    <w:p>
      <w:pPr>
        <w:jc w:val="both"/>
        <w:ind w:firstLine="398"/>
        <w:spacing w:after="0" w:line="300" w:lineRule="auto"/>
        <w:rPr>
          <w:sz w:val="20"/>
          <w:szCs w:val="20"/>
          <w:color w:val="auto"/>
        </w:rPr>
      </w:pPr>
      <w:r>
        <w:rPr>
          <w:rFonts w:ascii="Arial" w:cs="Arial" w:eastAsia="Arial" w:hAnsi="Arial"/>
          <w:sz w:val="16"/>
          <w:szCs w:val="16"/>
          <w:color w:val="auto"/>
        </w:rPr>
        <w:t>After giving effect to the issuance and sale by us of shares of common stock in this offering at the assumed public offering price of $2.04 per share, the last reported sale price of our common stock on The Nasdaq Global Market on January 18, 2019, and after deducting estimated underwriting discounts and commissions and estimated offering expenses payable by us, our as adjusted net tangible book value as of September 30, 2018 would have been</w:t>
      </w:r>
    </w:p>
    <w:p>
      <w:pPr>
        <w:spacing w:after="0" w:line="2" w:lineRule="exact"/>
        <w:rPr>
          <w:sz w:val="20"/>
          <w:szCs w:val="20"/>
          <w:color w:val="auto"/>
        </w:rPr>
      </w:pPr>
    </w:p>
    <w:p>
      <w:pPr>
        <w:spacing w:after="0"/>
        <w:tabs>
          <w:tab w:leader="none" w:pos="1900" w:val="left"/>
          <w:tab w:leader="none" w:pos="4620" w:val="left"/>
        </w:tabs>
        <w:rPr>
          <w:sz w:val="20"/>
          <w:szCs w:val="20"/>
          <w:color w:val="auto"/>
        </w:rPr>
      </w:pPr>
      <w:r>
        <w:rPr>
          <w:rFonts w:ascii="Arial" w:cs="Arial" w:eastAsia="Arial" w:hAnsi="Arial"/>
          <w:sz w:val="19"/>
          <w:szCs w:val="19"/>
          <w:color w:val="auto"/>
        </w:rPr>
        <w:t>approximately $</w:t>
      </w:r>
      <w:r>
        <w:rPr>
          <w:sz w:val="20"/>
          <w:szCs w:val="20"/>
          <w:color w:val="auto"/>
        </w:rPr>
        <w:tab/>
      </w:r>
      <w:r>
        <w:rPr>
          <w:rFonts w:ascii="Arial" w:cs="Arial" w:eastAsia="Arial" w:hAnsi="Arial"/>
          <w:sz w:val="19"/>
          <w:szCs w:val="19"/>
          <w:color w:val="auto"/>
        </w:rPr>
        <w:t>million, or approximately $</w:t>
      </w:r>
      <w:r>
        <w:rPr>
          <w:sz w:val="20"/>
          <w:szCs w:val="20"/>
          <w:color w:val="auto"/>
        </w:rPr>
        <w:tab/>
      </w:r>
      <w:r>
        <w:rPr>
          <w:rFonts w:ascii="Arial" w:cs="Arial" w:eastAsia="Arial" w:hAnsi="Arial"/>
          <w:sz w:val="16"/>
          <w:szCs w:val="16"/>
          <w:color w:val="auto"/>
        </w:rPr>
        <w:t>per share. This amount represents an immediate increase in as adjusted net tangible book value of</w:t>
      </w:r>
    </w:p>
    <w:p>
      <w:pPr>
        <w:spacing w:after="0" w:line="10" w:lineRule="exact"/>
        <w:rPr>
          <w:sz w:val="20"/>
          <w:szCs w:val="20"/>
          <w:color w:val="auto"/>
        </w:rPr>
      </w:pPr>
    </w:p>
    <w:p>
      <w:pPr>
        <w:spacing w:after="0"/>
        <w:tabs>
          <w:tab w:leader="none" w:pos="760" w:val="left"/>
          <w:tab w:leader="none" w:pos="107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per share to our existing stockholders and an immediate dilution in as adjusted net tangible book value of approximately $</w:t>
      </w:r>
      <w:r>
        <w:rPr>
          <w:sz w:val="20"/>
          <w:szCs w:val="20"/>
          <w:color w:val="auto"/>
        </w:rPr>
        <w:tab/>
      </w:r>
      <w:r>
        <w:rPr>
          <w:rFonts w:ascii="Arial" w:cs="Arial" w:eastAsia="Arial" w:hAnsi="Arial"/>
          <w:sz w:val="16"/>
          <w:szCs w:val="16"/>
          <w:color w:val="auto"/>
        </w:rPr>
        <w:t>per share to new</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investors purchasing shares of common stock in this offering.</w:t>
      </w:r>
    </w:p>
    <w:p>
      <w:pPr>
        <w:spacing w:after="0" w:line="23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9"/>
          <w:szCs w:val="19"/>
          <w:color w:val="auto"/>
        </w:rPr>
        <w:t>Dilution per share to new investors is determined by subtracting as adjusted net tangible book value per share after this offering from the public offering price per share paid by new investors. The following table illustrates this dilution on a per share basis:</w:t>
      </w:r>
    </w:p>
    <w:p>
      <w:pPr>
        <w:spacing w:after="0" w:line="207" w:lineRule="exact"/>
        <w:rPr>
          <w:sz w:val="20"/>
          <w:szCs w:val="20"/>
          <w:color w:val="auto"/>
        </w:rPr>
      </w:pPr>
    </w:p>
    <w:tbl>
      <w:tblPr>
        <w:tblLayout w:type="fixed"/>
        <w:tblInd w:w="1200" w:type="dxa"/>
        <w:tblCellMar>
          <w:top w:w="0" w:type="dxa"/>
          <w:left w:w="0" w:type="dxa"/>
          <w:bottom w:w="0" w:type="dxa"/>
          <w:right w:w="0" w:type="dxa"/>
        </w:tblCellMar>
      </w:tblPr>
      <w:tr>
        <w:trPr>
          <w:trHeight w:val="228"/>
        </w:trPr>
        <w:tc>
          <w:tcPr>
            <w:tcW w:w="7160" w:type="dxa"/>
            <w:vAlign w:val="bottom"/>
            <w:shd w:val="clear" w:color="auto" w:fill="CCEEFF"/>
          </w:tcPr>
          <w:p>
            <w:pPr>
              <w:spacing w:after="0"/>
              <w:rPr>
                <w:sz w:val="20"/>
                <w:szCs w:val="20"/>
                <w:color w:val="auto"/>
              </w:rPr>
            </w:pPr>
            <w:r>
              <w:rPr>
                <w:rFonts w:ascii="Arial" w:cs="Arial" w:eastAsia="Arial" w:hAnsi="Arial"/>
                <w:sz w:val="19"/>
                <w:szCs w:val="19"/>
                <w:color w:val="auto"/>
              </w:rPr>
              <w:t>Assumed public offering price per share</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tcPr>
          <w:p>
            <w:pPr>
              <w:ind w:left="180"/>
              <w:spacing w:after="0" w:line="215" w:lineRule="exact"/>
              <w:rPr>
                <w:sz w:val="20"/>
                <w:szCs w:val="20"/>
                <w:color w:val="auto"/>
              </w:rPr>
            </w:pPr>
            <w:r>
              <w:rPr>
                <w:rFonts w:ascii="Arial" w:cs="Arial" w:eastAsia="Arial" w:hAnsi="Arial"/>
                <w:sz w:val="19"/>
                <w:szCs w:val="19"/>
                <w:color w:val="auto"/>
              </w:rPr>
              <w:t>Net tangible book value per share as of September 30, 2018</w:t>
            </w:r>
          </w:p>
        </w:tc>
        <w:tc>
          <w:tcPr>
            <w:tcW w:w="920" w:type="dxa"/>
            <w:vAlign w:val="bottom"/>
          </w:tcPr>
          <w:p>
            <w:pPr>
              <w:spacing w:after="0"/>
              <w:rPr>
                <w:sz w:val="18"/>
                <w:szCs w:val="18"/>
                <w:color w:val="auto"/>
              </w:rPr>
            </w:pPr>
          </w:p>
        </w:tc>
        <w:tc>
          <w:tcPr>
            <w:tcW w:w="160" w:type="dxa"/>
            <w:vAlign w:val="bottom"/>
          </w:tcPr>
          <w:p>
            <w:pPr>
              <w:spacing w:after="0" w:line="215" w:lineRule="exact"/>
              <w:rPr>
                <w:sz w:val="20"/>
                <w:szCs w:val="20"/>
                <w:color w:val="auto"/>
              </w:rPr>
            </w:pPr>
            <w:r>
              <w:rPr>
                <w:rFonts w:ascii="Arial" w:cs="Arial" w:eastAsia="Arial" w:hAnsi="Arial"/>
                <w:sz w:val="19"/>
                <w:szCs w:val="19"/>
                <w:u w:val="single" w:color="auto"/>
                <w:color w:val="auto"/>
              </w:rPr>
              <w:t>$</w:t>
            </w:r>
          </w:p>
        </w:tc>
        <w:tc>
          <w:tcPr>
            <w:tcW w:w="560" w:type="dxa"/>
            <w:vAlign w:val="bottom"/>
            <w:gridSpan w:val="2"/>
          </w:tcPr>
          <w:p>
            <w:pPr>
              <w:jc w:val="right"/>
              <w:ind w:right="153"/>
              <w:spacing w:after="0" w:line="215" w:lineRule="exact"/>
              <w:rPr>
                <w:sz w:val="20"/>
                <w:szCs w:val="20"/>
                <w:color w:val="auto"/>
              </w:rPr>
            </w:pPr>
            <w:r>
              <w:rPr>
                <w:rFonts w:ascii="Arial" w:cs="Arial" w:eastAsia="Arial" w:hAnsi="Arial"/>
                <w:sz w:val="19"/>
                <w:szCs w:val="19"/>
                <w:u w:val="single" w:color="auto"/>
                <w:color w:val="auto"/>
              </w:rPr>
              <w:t>0.45</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7160" w:type="dxa"/>
            <w:vAlign w:val="bottom"/>
            <w:vMerge w:val="restart"/>
          </w:tcPr>
          <w:p>
            <w:pPr>
              <w:spacing w:after="0"/>
              <w:rPr>
                <w:sz w:val="20"/>
                <w:szCs w:val="20"/>
                <w:color w:val="auto"/>
              </w:rPr>
            </w:pPr>
            <w:r>
              <w:rPr>
                <w:rFonts w:ascii="Arial" w:cs="Arial" w:eastAsia="Arial" w:hAnsi="Arial"/>
                <w:sz w:val="5"/>
                <w:szCs w:val="5"/>
                <w:color w:val="auto"/>
                <w:w w:val="92"/>
                <w:vertAlign w:val="superscript"/>
              </w:rPr>
              <w:t>â€‹</w:t>
            </w:r>
            <w:r>
              <w:rPr>
                <w:rFonts w:ascii="Arial" w:cs="Arial" w:eastAsia="Arial" w:hAnsi="Arial"/>
                <w:sz w:val="19"/>
                <w:szCs w:val="19"/>
                <w:color w:val="auto"/>
                <w:w w:val="92"/>
              </w:rPr>
              <w:t xml:space="preserve">            Increase in as adjusted net tangible book value per share attributable to this offering</w:t>
            </w:r>
          </w:p>
        </w:tc>
        <w:tc>
          <w:tcPr>
            <w:tcW w:w="920" w:type="dxa"/>
            <w:vAlign w:val="bottom"/>
            <w:vMerge w:val="restart"/>
          </w:tcPr>
          <w:p>
            <w:pPr>
              <w:ind w:left="760"/>
              <w:spacing w:after="0"/>
              <w:rPr>
                <w:sz w:val="20"/>
                <w:szCs w:val="20"/>
                <w:color w:val="auto"/>
              </w:rPr>
            </w:pPr>
            <w:r>
              <w:rPr>
                <w:rFonts w:ascii="Arial" w:cs="Arial" w:eastAsia="Arial" w:hAnsi="Arial"/>
                <w:sz w:val="3"/>
                <w:szCs w:val="3"/>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400" w:type="dxa"/>
            <w:vAlign w:val="bottom"/>
          </w:tcPr>
          <w:p>
            <w:pPr>
              <w:jc w:val="right"/>
              <w:spacing w:after="0"/>
              <w:rPr>
                <w:sz w:val="20"/>
                <w:szCs w:val="20"/>
                <w:color w:val="auto"/>
              </w:rPr>
            </w:pPr>
            <w:r>
              <w:rPr>
                <w:rFonts w:ascii="Arial" w:cs="Arial" w:eastAsia="Arial" w:hAnsi="Arial"/>
                <w:sz w:val="3"/>
                <w:szCs w:val="3"/>
                <w:color w:val="auto"/>
              </w:rPr>
              <w:t>â€</w:t>
            </w:r>
          </w:p>
        </w:tc>
        <w:tc>
          <w:tcPr>
            <w:tcW w:w="160" w:type="dxa"/>
            <w:vAlign w:val="bottom"/>
            <w:vMerge w:val="restart"/>
          </w:tcPr>
          <w:p>
            <w:pPr>
              <w:jc w:val="right"/>
              <w:ind w:right="113"/>
              <w:spacing w:after="0"/>
              <w:rPr>
                <w:sz w:val="20"/>
                <w:szCs w:val="20"/>
                <w:color w:val="auto"/>
              </w:rPr>
            </w:pPr>
            <w:r>
              <w:rPr>
                <w:rFonts w:ascii="Arial" w:cs="Arial" w:eastAsia="Arial" w:hAnsi="Arial"/>
                <w:sz w:val="2"/>
                <w:szCs w:val="2"/>
                <w:color w:val="auto"/>
                <w:vertAlign w:val="superscript"/>
              </w:rPr>
              <w:t>‹</w:t>
            </w:r>
            <w:r>
              <w:rPr>
                <w:rFonts w:ascii="Arial" w:cs="Arial" w:eastAsia="Arial" w:hAnsi="Arial"/>
                <w:sz w:val="1"/>
                <w:szCs w:val="1"/>
                <w:color w:val="auto"/>
              </w:rPr>
              <w:t>â€‹</w:t>
            </w:r>
          </w:p>
        </w:tc>
        <w:tc>
          <w:tcPr>
            <w:tcW w:w="340" w:type="dxa"/>
            <w:vAlign w:val="bottom"/>
            <w:vMerge w:val="restart"/>
          </w:tcPr>
          <w:p>
            <w:pPr>
              <w:ind w:left="20"/>
              <w:spacing w:after="0"/>
              <w:rPr>
                <w:sz w:val="20"/>
                <w:szCs w:val="20"/>
                <w:color w:val="auto"/>
              </w:rPr>
            </w:pPr>
            <w:r>
              <w:rPr>
                <w:rFonts w:ascii="Arial" w:cs="Arial" w:eastAsia="Arial" w:hAnsi="Arial"/>
                <w:sz w:val="3"/>
                <w:szCs w:val="3"/>
                <w:color w:val="auto"/>
              </w:rPr>
              <w:t>â€‹</w:t>
            </w:r>
          </w:p>
        </w:tc>
        <w:tc>
          <w:tcPr>
            <w:tcW w:w="440" w:type="dxa"/>
            <w:vAlign w:val="bottom"/>
            <w:vMerge w:val="restart"/>
          </w:tcPr>
          <w:p>
            <w:pPr>
              <w:ind w:left="240"/>
              <w:spacing w:after="0"/>
              <w:rPr>
                <w:sz w:val="20"/>
                <w:szCs w:val="20"/>
                <w:color w:val="auto"/>
              </w:rPr>
            </w:pPr>
            <w:r>
              <w:rPr>
                <w:rFonts w:ascii="Arial" w:cs="Arial" w:eastAsia="Arial" w:hAnsi="Arial"/>
                <w:sz w:val="3"/>
                <w:szCs w:val="3"/>
                <w:color w:val="auto"/>
              </w:rPr>
              <w:t>â€‹â€‹</w:t>
            </w:r>
          </w:p>
        </w:tc>
        <w:tc>
          <w:tcPr>
            <w:tcW w:w="0" w:type="dxa"/>
            <w:vAlign w:val="bottom"/>
          </w:tcPr>
          <w:p>
            <w:pPr>
              <w:spacing w:after="0" w:line="20" w:lineRule="exact"/>
              <w:rPr>
                <w:sz w:val="1"/>
                <w:szCs w:val="1"/>
                <w:color w:val="auto"/>
              </w:rPr>
            </w:pPr>
          </w:p>
        </w:tc>
      </w:tr>
      <w:tr>
        <w:trPr>
          <w:trHeight w:val="217"/>
        </w:trPr>
        <w:tc>
          <w:tcPr>
            <w:tcW w:w="7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160" w:type="dxa"/>
            <w:vAlign w:val="bottom"/>
          </w:tcPr>
          <w:p>
            <w:pPr>
              <w:spacing w:after="0"/>
              <w:rPr>
                <w:sz w:val="20"/>
                <w:szCs w:val="20"/>
                <w:color w:val="auto"/>
              </w:rPr>
            </w:pPr>
            <w:r>
              <w:rPr>
                <w:rFonts w:ascii="Arial" w:cs="Arial" w:eastAsia="Arial" w:hAnsi="Arial"/>
                <w:sz w:val="19"/>
                <w:szCs w:val="19"/>
                <w:color w:val="auto"/>
              </w:rPr>
              <w:t>As adjusted net tangible book value per share after this offering</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3"/>
                <w:szCs w:val="3"/>
                <w:color w:val="auto"/>
              </w:rPr>
              <w:t>â€‹</w:t>
            </w:r>
          </w:p>
        </w:tc>
        <w:tc>
          <w:tcPr>
            <w:tcW w:w="440" w:type="dxa"/>
            <w:vAlign w:val="bottom"/>
            <w:vMerge w:val="restart"/>
          </w:tcPr>
          <w:p>
            <w:pPr>
              <w:ind w:left="240"/>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3"/>
                <w:szCs w:val="3"/>
                <w:color w:val="auto"/>
              </w:rPr>
              <w:t>â€‹</w:t>
            </w:r>
          </w:p>
        </w:tc>
        <w:tc>
          <w:tcPr>
            <w:tcW w:w="0" w:type="dxa"/>
            <w:vAlign w:val="bottom"/>
          </w:tcPr>
          <w:p>
            <w:pPr>
              <w:spacing w:after="0"/>
              <w:rPr>
                <w:sz w:val="1"/>
                <w:szCs w:val="1"/>
                <w:color w:val="auto"/>
              </w:rPr>
            </w:pPr>
          </w:p>
        </w:tc>
      </w:tr>
      <w:tr>
        <w:trPr>
          <w:trHeight w:val="28"/>
        </w:trPr>
        <w:tc>
          <w:tcPr>
            <w:tcW w:w="7160" w:type="dxa"/>
            <w:vAlign w:val="bottom"/>
          </w:tcPr>
          <w:p>
            <w:pPr>
              <w:spacing w:after="0" w:line="28" w:lineRule="exact"/>
              <w:rPr>
                <w:sz w:val="20"/>
                <w:szCs w:val="20"/>
                <w:color w:val="auto"/>
              </w:rPr>
            </w:pPr>
            <w:r>
              <w:rPr>
                <w:rFonts w:ascii="Arial" w:cs="Arial" w:eastAsia="Arial" w:hAnsi="Arial"/>
                <w:sz w:val="3"/>
                <w:szCs w:val="3"/>
                <w:color w:val="auto"/>
              </w:rPr>
              <w:t>â€‹</w:t>
            </w:r>
          </w:p>
        </w:tc>
        <w:tc>
          <w:tcPr>
            <w:tcW w:w="920" w:type="dxa"/>
            <w:vAlign w:val="bottom"/>
          </w:tcPr>
          <w:p>
            <w:pPr>
              <w:ind w:left="760"/>
              <w:spacing w:after="0" w:line="28" w:lineRule="exact"/>
              <w:rPr>
                <w:sz w:val="20"/>
                <w:szCs w:val="20"/>
                <w:color w:val="auto"/>
              </w:rPr>
            </w:pPr>
            <w:r>
              <w:rPr>
                <w:rFonts w:ascii="Arial" w:cs="Arial" w:eastAsia="Arial" w:hAnsi="Arial"/>
                <w:sz w:val="3"/>
                <w:szCs w:val="3"/>
                <w:color w:val="auto"/>
              </w:rPr>
              <w:t>â€‹</w:t>
            </w:r>
          </w:p>
        </w:tc>
        <w:tc>
          <w:tcPr>
            <w:tcW w:w="160" w:type="dxa"/>
            <w:vAlign w:val="bottom"/>
          </w:tcPr>
          <w:p>
            <w:pPr>
              <w:spacing w:after="0" w:line="28" w:lineRule="exact"/>
              <w:rPr>
                <w:sz w:val="20"/>
                <w:szCs w:val="20"/>
                <w:color w:val="auto"/>
              </w:rPr>
            </w:pPr>
            <w:r>
              <w:rPr>
                <w:rFonts w:ascii="Arial" w:cs="Arial" w:eastAsia="Arial" w:hAnsi="Arial"/>
                <w:sz w:val="3"/>
                <w:szCs w:val="3"/>
                <w:color w:val="auto"/>
              </w:rPr>
              <w:t>â€‹</w:t>
            </w:r>
          </w:p>
        </w:tc>
        <w:tc>
          <w:tcPr>
            <w:tcW w:w="560" w:type="dxa"/>
            <w:vAlign w:val="bottom"/>
            <w:gridSpan w:val="2"/>
          </w:tcPr>
          <w:p>
            <w:pPr>
              <w:jc w:val="right"/>
              <w:ind w:right="113"/>
              <w:spacing w:after="0" w:line="28" w:lineRule="exact"/>
              <w:rPr>
                <w:sz w:val="20"/>
                <w:szCs w:val="20"/>
                <w:color w:val="auto"/>
              </w:rPr>
            </w:pPr>
            <w:r>
              <w:rPr>
                <w:rFonts w:ascii="Arial" w:cs="Arial" w:eastAsia="Arial" w:hAnsi="Arial"/>
                <w:sz w:val="3"/>
                <w:szCs w:val="3"/>
                <w:color w:val="auto"/>
              </w:rPr>
              <w:t>â€‹â€‹</w:t>
            </w:r>
          </w:p>
        </w:tc>
        <w:tc>
          <w:tcPr>
            <w:tcW w:w="340" w:type="dxa"/>
            <w:vAlign w:val="bottom"/>
          </w:tcPr>
          <w:p>
            <w:pPr>
              <w:ind w:left="20"/>
              <w:spacing w:after="0" w:line="28" w:lineRule="exact"/>
              <w:rPr>
                <w:sz w:val="20"/>
                <w:szCs w:val="20"/>
                <w:color w:val="auto"/>
              </w:rPr>
            </w:pPr>
            <w:r>
              <w:rPr>
                <w:rFonts w:ascii="Arial" w:cs="Arial" w:eastAsia="Arial" w:hAnsi="Arial"/>
                <w:sz w:val="3"/>
                <w:szCs w:val="3"/>
                <w:color w:val="auto"/>
              </w:rPr>
              <w:t>â€‹</w:t>
            </w: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160" w:type="dxa"/>
            <w:vAlign w:val="bottom"/>
          </w:tcPr>
          <w:p>
            <w:pPr>
              <w:spacing w:after="0"/>
              <w:rPr>
                <w:sz w:val="20"/>
                <w:szCs w:val="20"/>
                <w:color w:val="auto"/>
              </w:rPr>
            </w:pPr>
            <w:r>
              <w:rPr>
                <w:rFonts w:ascii="Arial" w:cs="Arial" w:eastAsia="Arial" w:hAnsi="Arial"/>
                <w:sz w:val="1"/>
                <w:szCs w:val="1"/>
                <w:color w:val="auto"/>
              </w:rPr>
              <w:t>â€‹</w:t>
            </w:r>
          </w:p>
        </w:tc>
        <w:tc>
          <w:tcPr>
            <w:tcW w:w="920" w:type="dxa"/>
            <w:vAlign w:val="bottom"/>
          </w:tcPr>
          <w:p>
            <w:pPr>
              <w:ind w:left="760"/>
              <w:spacing w:after="0"/>
              <w:rPr>
                <w:sz w:val="20"/>
                <w:szCs w:val="20"/>
                <w:color w:val="auto"/>
              </w:rPr>
            </w:pPr>
            <w:r>
              <w:rPr>
                <w:rFonts w:ascii="Arial" w:cs="Arial" w:eastAsia="Arial" w:hAnsi="Arial"/>
                <w:sz w:val="1"/>
                <w:szCs w:val="1"/>
                <w:color w:val="auto"/>
              </w:rPr>
              <w:t>â€‹</w:t>
            </w:r>
          </w:p>
        </w:tc>
        <w:tc>
          <w:tcPr>
            <w:tcW w:w="160" w:type="dxa"/>
            <w:vAlign w:val="bottom"/>
          </w:tcPr>
          <w:p>
            <w:pPr>
              <w:spacing w:after="0"/>
              <w:rPr>
                <w:sz w:val="20"/>
                <w:szCs w:val="20"/>
                <w:color w:val="auto"/>
              </w:rPr>
            </w:pPr>
            <w:r>
              <w:rPr>
                <w:rFonts w:ascii="Arial" w:cs="Arial" w:eastAsia="Arial" w:hAnsi="Arial"/>
                <w:sz w:val="1"/>
                <w:szCs w:val="1"/>
                <w:color w:val="auto"/>
              </w:rPr>
              <w:t>â€‹</w:t>
            </w:r>
          </w:p>
        </w:tc>
        <w:tc>
          <w:tcPr>
            <w:tcW w:w="560" w:type="dxa"/>
            <w:vAlign w:val="bottom"/>
            <w:gridSpan w:val="2"/>
          </w:tcPr>
          <w:p>
            <w:pPr>
              <w:jc w:val="right"/>
              <w:ind w:right="113"/>
              <w:spacing w:after="0"/>
              <w:rPr>
                <w:sz w:val="20"/>
                <w:szCs w:val="20"/>
                <w:color w:val="auto"/>
              </w:rPr>
            </w:pPr>
            <w:r>
              <w:rPr>
                <w:rFonts w:ascii="Arial" w:cs="Arial" w:eastAsia="Arial" w:hAnsi="Arial"/>
                <w:sz w:val="1"/>
                <w:szCs w:val="1"/>
                <w:color w:val="auto"/>
              </w:rPr>
              <w:t>â€‹â€‹</w:t>
            </w:r>
          </w:p>
        </w:tc>
        <w:tc>
          <w:tcPr>
            <w:tcW w:w="340" w:type="dxa"/>
            <w:vAlign w:val="bottom"/>
            <w:vMerge w:val="restart"/>
          </w:tcPr>
          <w:p>
            <w:pPr>
              <w:ind w:left="20"/>
              <w:spacing w:after="0"/>
              <w:rPr>
                <w:sz w:val="20"/>
                <w:szCs w:val="20"/>
                <w:color w:val="auto"/>
              </w:rPr>
            </w:pPr>
            <w:r>
              <w:rPr>
                <w:rFonts w:ascii="Arial" w:cs="Arial" w:eastAsia="Arial" w:hAnsi="Arial"/>
                <w:sz w:val="19"/>
                <w:szCs w:val="19"/>
                <w:color w:val="auto"/>
              </w:rPr>
              <w:t>$</w:t>
            </w:r>
          </w:p>
        </w:tc>
        <w:tc>
          <w:tcPr>
            <w:tcW w:w="440" w:type="dxa"/>
            <w:vAlign w:val="bottom"/>
          </w:tcPr>
          <w:p>
            <w:pPr>
              <w:ind w:left="240"/>
              <w:spacing w:after="0" w:line="22" w:lineRule="exact"/>
              <w:rPr>
                <w:sz w:val="20"/>
                <w:szCs w:val="20"/>
                <w:color w:val="auto"/>
              </w:rPr>
            </w:pPr>
            <w:r>
              <w:rPr>
                <w:rFonts w:ascii="Arial" w:cs="Arial" w:eastAsia="Arial" w:hAnsi="Arial"/>
                <w:sz w:val="1"/>
                <w:szCs w:val="1"/>
                <w:color w:val="auto"/>
              </w:rPr>
              <w:t>â€‹</w:t>
            </w:r>
            <w:r>
              <w:rPr>
                <w:rFonts w:ascii="Arial" w:cs="Arial" w:eastAsia="Arial" w:hAnsi="Arial"/>
                <w:sz w:val="2"/>
                <w:szCs w:val="2"/>
                <w:color w:val="auto"/>
                <w:vertAlign w:val="subscript"/>
              </w:rPr>
              <w:t>â€‹</w:t>
            </w:r>
          </w:p>
        </w:tc>
        <w:tc>
          <w:tcPr>
            <w:tcW w:w="0" w:type="dxa"/>
            <w:vAlign w:val="bottom"/>
          </w:tcPr>
          <w:p>
            <w:pPr>
              <w:spacing w:after="0" w:line="20" w:lineRule="exact"/>
              <w:rPr>
                <w:sz w:val="1"/>
                <w:szCs w:val="1"/>
                <w:color w:val="auto"/>
              </w:rPr>
            </w:pPr>
          </w:p>
        </w:tc>
      </w:tr>
      <w:tr>
        <w:trPr>
          <w:trHeight w:val="201"/>
        </w:trPr>
        <w:tc>
          <w:tcPr>
            <w:tcW w:w="7160" w:type="dxa"/>
            <w:vAlign w:val="bottom"/>
          </w:tcPr>
          <w:p>
            <w:pPr>
              <w:spacing w:after="0" w:line="201" w:lineRule="exact"/>
              <w:rPr>
                <w:sz w:val="20"/>
                <w:szCs w:val="20"/>
                <w:color w:val="auto"/>
              </w:rPr>
            </w:pPr>
            <w:r>
              <w:rPr>
                <w:rFonts w:ascii="Arial" w:cs="Arial" w:eastAsia="Arial" w:hAnsi="Arial"/>
                <w:sz w:val="19"/>
                <w:szCs w:val="19"/>
                <w:color w:val="auto"/>
              </w:rPr>
              <w:t>Dilution per share to new investors participating in this offering</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7160" w:type="dxa"/>
            <w:vAlign w:val="bottom"/>
          </w:tcPr>
          <w:p>
            <w:pPr>
              <w:spacing w:after="0"/>
              <w:rPr>
                <w:sz w:val="20"/>
                <w:szCs w:val="20"/>
                <w:color w:val="auto"/>
              </w:rPr>
            </w:pPr>
            <w:r>
              <w:rPr>
                <w:rFonts w:ascii="Arial" w:cs="Arial" w:eastAsia="Arial" w:hAnsi="Arial"/>
                <w:sz w:val="3"/>
                <w:szCs w:val="3"/>
                <w:color w:val="auto"/>
              </w:rPr>
              <w:t>â€‹</w:t>
            </w:r>
          </w:p>
        </w:tc>
        <w:tc>
          <w:tcPr>
            <w:tcW w:w="920" w:type="dxa"/>
            <w:vAlign w:val="bottom"/>
          </w:tcPr>
          <w:p>
            <w:pPr>
              <w:ind w:left="760"/>
              <w:spacing w:after="0"/>
              <w:rPr>
                <w:sz w:val="20"/>
                <w:szCs w:val="20"/>
                <w:color w:val="auto"/>
              </w:rPr>
            </w:pPr>
            <w:r>
              <w:rPr>
                <w:rFonts w:ascii="Arial" w:cs="Arial" w:eastAsia="Arial" w:hAnsi="Arial"/>
                <w:sz w:val="3"/>
                <w:szCs w:val="3"/>
                <w:color w:val="auto"/>
              </w:rPr>
              <w:t>â€‹</w:t>
            </w:r>
          </w:p>
        </w:tc>
        <w:tc>
          <w:tcPr>
            <w:tcW w:w="160" w:type="dxa"/>
            <w:vAlign w:val="bottom"/>
          </w:tcPr>
          <w:p>
            <w:pPr>
              <w:spacing w:after="0"/>
              <w:rPr>
                <w:sz w:val="20"/>
                <w:szCs w:val="20"/>
                <w:color w:val="auto"/>
              </w:rPr>
            </w:pPr>
            <w:r>
              <w:rPr>
                <w:rFonts w:ascii="Arial" w:cs="Arial" w:eastAsia="Arial" w:hAnsi="Arial"/>
                <w:sz w:val="3"/>
                <w:szCs w:val="3"/>
                <w:color w:val="auto"/>
              </w:rPr>
              <w:t>â€‹</w:t>
            </w:r>
          </w:p>
        </w:tc>
        <w:tc>
          <w:tcPr>
            <w:tcW w:w="560" w:type="dxa"/>
            <w:vAlign w:val="bottom"/>
            <w:gridSpan w:val="2"/>
          </w:tcPr>
          <w:p>
            <w:pPr>
              <w:jc w:val="right"/>
              <w:ind w:right="113"/>
              <w:spacing w:after="0"/>
              <w:rPr>
                <w:sz w:val="20"/>
                <w:szCs w:val="20"/>
                <w:color w:val="auto"/>
              </w:rPr>
            </w:pPr>
            <w:r>
              <w:rPr>
                <w:rFonts w:ascii="Arial" w:cs="Arial" w:eastAsia="Arial" w:hAnsi="Arial"/>
                <w:sz w:val="3"/>
                <w:szCs w:val="3"/>
                <w:color w:val="auto"/>
              </w:rPr>
              <w:t>â€‹â€‹</w:t>
            </w:r>
          </w:p>
        </w:tc>
        <w:tc>
          <w:tcPr>
            <w:tcW w:w="340" w:type="dxa"/>
            <w:vAlign w:val="bottom"/>
          </w:tcPr>
          <w:p>
            <w:pPr>
              <w:ind w:left="20"/>
              <w:spacing w:after="0" w:line="29" w:lineRule="exact"/>
              <w:rPr>
                <w:sz w:val="20"/>
                <w:szCs w:val="20"/>
                <w:color w:val="auto"/>
              </w:rPr>
            </w:pPr>
            <w:r>
              <w:rPr>
                <w:rFonts w:ascii="Arial" w:cs="Arial" w:eastAsia="Arial" w:hAnsi="Arial"/>
                <w:sz w:val="3"/>
                <w:szCs w:val="3"/>
                <w:color w:val="auto"/>
              </w:rPr>
              <w:t>â€‹</w:t>
            </w:r>
          </w:p>
        </w:tc>
        <w:tc>
          <w:tcPr>
            <w:tcW w:w="440" w:type="dxa"/>
            <w:vAlign w:val="bottom"/>
          </w:tcPr>
          <w:p>
            <w:pPr>
              <w:ind w:left="240"/>
              <w:spacing w:after="0" w:line="36"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29"/>
        </w:trPr>
        <w:tc>
          <w:tcPr>
            <w:tcW w:w="7160" w:type="dxa"/>
            <w:vAlign w:val="bottom"/>
            <w:vMerge w:val="restart"/>
          </w:tcPr>
          <w:p>
            <w:pPr>
              <w:spacing w:after="0"/>
              <w:rPr>
                <w:sz w:val="20"/>
                <w:szCs w:val="20"/>
                <w:color w:val="auto"/>
              </w:rPr>
            </w:pPr>
            <w:r>
              <w:rPr>
                <w:rFonts w:ascii="Arial" w:cs="Arial" w:eastAsia="Arial" w:hAnsi="Arial"/>
                <w:sz w:val="3"/>
                <w:szCs w:val="3"/>
                <w:color w:val="auto"/>
              </w:rPr>
              <w:t>â€‹</w:t>
            </w:r>
          </w:p>
        </w:tc>
        <w:tc>
          <w:tcPr>
            <w:tcW w:w="920" w:type="dxa"/>
            <w:vAlign w:val="bottom"/>
            <w:vMerge w:val="restart"/>
          </w:tcPr>
          <w:p>
            <w:pPr>
              <w:ind w:left="760"/>
              <w:spacing w:after="0"/>
              <w:rPr>
                <w:sz w:val="20"/>
                <w:szCs w:val="20"/>
                <w:color w:val="auto"/>
              </w:rPr>
            </w:pPr>
            <w:r>
              <w:rPr>
                <w:rFonts w:ascii="Arial" w:cs="Arial" w:eastAsia="Arial" w:hAnsi="Arial"/>
                <w:sz w:val="3"/>
                <w:szCs w:val="3"/>
                <w:color w:val="auto"/>
              </w:rPr>
              <w:t>â€‹</w:t>
            </w:r>
          </w:p>
        </w:tc>
        <w:tc>
          <w:tcPr>
            <w:tcW w:w="160" w:type="dxa"/>
            <w:vAlign w:val="bottom"/>
            <w:vMerge w:val="restart"/>
          </w:tcPr>
          <w:p>
            <w:pPr>
              <w:spacing w:after="0"/>
              <w:rPr>
                <w:sz w:val="20"/>
                <w:szCs w:val="20"/>
                <w:color w:val="auto"/>
              </w:rPr>
            </w:pPr>
            <w:r>
              <w:rPr>
                <w:rFonts w:ascii="Arial" w:cs="Arial" w:eastAsia="Arial" w:hAnsi="Arial"/>
                <w:sz w:val="3"/>
                <w:szCs w:val="3"/>
                <w:color w:val="auto"/>
              </w:rPr>
              <w:t>â€‹</w:t>
            </w:r>
          </w:p>
        </w:tc>
        <w:tc>
          <w:tcPr>
            <w:tcW w:w="560" w:type="dxa"/>
            <w:vAlign w:val="bottom"/>
            <w:gridSpan w:val="2"/>
            <w:vMerge w:val="restart"/>
          </w:tcPr>
          <w:p>
            <w:pPr>
              <w:jc w:val="right"/>
              <w:ind w:right="113"/>
              <w:spacing w:after="0"/>
              <w:rPr>
                <w:sz w:val="20"/>
                <w:szCs w:val="20"/>
                <w:color w:val="auto"/>
              </w:rPr>
            </w:pPr>
            <w:r>
              <w:rPr>
                <w:rFonts w:ascii="Arial" w:cs="Arial" w:eastAsia="Arial" w:hAnsi="Arial"/>
                <w:sz w:val="3"/>
                <w:szCs w:val="3"/>
                <w:color w:val="auto"/>
              </w:rPr>
              <w:t>â€‹â€‹</w:t>
            </w:r>
          </w:p>
        </w:tc>
        <w:tc>
          <w:tcPr>
            <w:tcW w:w="340" w:type="dxa"/>
            <w:vAlign w:val="bottom"/>
          </w:tcPr>
          <w:p>
            <w:pPr>
              <w:ind w:left="20"/>
              <w:spacing w:after="0" w:line="29" w:lineRule="exact"/>
              <w:rPr>
                <w:sz w:val="20"/>
                <w:szCs w:val="20"/>
                <w:color w:val="auto"/>
              </w:rPr>
            </w:pPr>
            <w:r>
              <w:rPr>
                <w:rFonts w:ascii="Arial" w:cs="Arial" w:eastAsia="Arial" w:hAnsi="Arial"/>
                <w:sz w:val="3"/>
                <w:szCs w:val="3"/>
                <w:color w:val="auto"/>
              </w:rPr>
              <w:t>â€‹</w:t>
            </w:r>
          </w:p>
        </w:tc>
        <w:tc>
          <w:tcPr>
            <w:tcW w:w="440" w:type="dxa"/>
            <w:vAlign w:val="bottom"/>
            <w:vMerge w:val="restart"/>
          </w:tcPr>
          <w:p>
            <w:pPr>
              <w:ind w:left="240"/>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3"/>
                <w:szCs w:val="3"/>
                <w:color w:val="auto"/>
              </w:rPr>
              <w:t>â€‹</w:t>
            </w:r>
          </w:p>
        </w:tc>
        <w:tc>
          <w:tcPr>
            <w:tcW w:w="0" w:type="dxa"/>
            <w:vAlign w:val="bottom"/>
          </w:tcPr>
          <w:p>
            <w:pPr>
              <w:spacing w:after="0" w:line="20" w:lineRule="exact"/>
              <w:rPr>
                <w:sz w:val="1"/>
                <w:szCs w:val="1"/>
                <w:color w:val="auto"/>
              </w:rPr>
            </w:pPr>
          </w:p>
        </w:tc>
      </w:tr>
      <w:tr>
        <w:trPr>
          <w:trHeight w:val="51"/>
        </w:trPr>
        <w:tc>
          <w:tcPr>
            <w:tcW w:w="71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-525780</wp:posOffset>
            </wp:positionV>
            <wp:extent cx="6094730" cy="144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4730" cy="14478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-236220</wp:posOffset>
            </wp:positionV>
            <wp:extent cx="6094730" cy="1993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4730" cy="199390"/>
                    </a:xfrm>
                    <a:prstGeom prst="rect">
                      <a:avLst/>
                    </a:prstGeom>
                    <a:noFill/>
                  </pic:spPr>
                </pic:pic>
              </a:graphicData>
            </a:graphic>
          </wp:anchor>
        </w:drawing>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above assumes that the underwriters do not exercise their option to purchase additional shares. If the underwriters exercise their option in</w:t>
      </w:r>
    </w:p>
    <w:p>
      <w:pPr>
        <w:spacing w:after="0" w:line="51" w:lineRule="exact"/>
        <w:rPr>
          <w:sz w:val="20"/>
          <w:szCs w:val="20"/>
          <w:color w:val="auto"/>
        </w:rPr>
      </w:pPr>
    </w:p>
    <w:p>
      <w:pPr>
        <w:spacing w:after="0"/>
        <w:tabs>
          <w:tab w:leader="none" w:pos="10620" w:val="left"/>
        </w:tabs>
        <w:rPr>
          <w:sz w:val="20"/>
          <w:szCs w:val="20"/>
          <w:color w:val="auto"/>
        </w:rPr>
      </w:pPr>
      <w:r>
        <w:rPr>
          <w:rFonts w:ascii="Arial" w:cs="Arial" w:eastAsia="Arial" w:hAnsi="Arial"/>
          <w:sz w:val="19"/>
          <w:szCs w:val="19"/>
          <w:color w:val="auto"/>
        </w:rPr>
        <w:t>full, our as adjusted net tangible book value per share at September 30, 2018 after giving effect to this offering would have been $</w:t>
      </w:r>
      <w:r>
        <w:rPr>
          <w:sz w:val="20"/>
          <w:szCs w:val="20"/>
          <w:color w:val="auto"/>
        </w:rPr>
        <w:tab/>
      </w:r>
      <w:r>
        <w:rPr>
          <w:rFonts w:ascii="Arial" w:cs="Arial" w:eastAsia="Arial" w:hAnsi="Arial"/>
          <w:sz w:val="16"/>
          <w:szCs w:val="16"/>
          <w:color w:val="auto"/>
        </w:rPr>
        <w:t>per share, and the</w:t>
      </w:r>
    </w:p>
    <w:p>
      <w:pPr>
        <w:spacing w:after="0" w:line="10" w:lineRule="exact"/>
        <w:rPr>
          <w:sz w:val="20"/>
          <w:szCs w:val="20"/>
          <w:color w:val="auto"/>
        </w:rPr>
      </w:pPr>
    </w:p>
    <w:p>
      <w:pPr>
        <w:spacing w:after="0"/>
        <w:tabs>
          <w:tab w:leader="none" w:pos="8160" w:val="left"/>
        </w:tabs>
        <w:rPr>
          <w:sz w:val="20"/>
          <w:szCs w:val="20"/>
          <w:color w:val="auto"/>
        </w:rPr>
      </w:pPr>
      <w:r>
        <w:rPr>
          <w:rFonts w:ascii="Arial" w:cs="Arial" w:eastAsia="Arial" w:hAnsi="Arial"/>
          <w:sz w:val="19"/>
          <w:szCs w:val="19"/>
          <w:color w:val="auto"/>
        </w:rPr>
        <w:t>dilution in as adjusted net tangible book value per share to investors in this offering would have been $</w:t>
      </w:r>
      <w:r>
        <w:rPr>
          <w:sz w:val="20"/>
          <w:szCs w:val="20"/>
          <w:color w:val="auto"/>
        </w:rPr>
        <w:tab/>
      </w:r>
      <w:r>
        <w:rPr>
          <w:rFonts w:ascii="Arial" w:cs="Arial" w:eastAsia="Arial" w:hAnsi="Arial"/>
          <w:sz w:val="15"/>
          <w:szCs w:val="15"/>
          <w:color w:val="auto"/>
        </w:rPr>
        <w:t>per share.</w:t>
      </w:r>
    </w:p>
    <w:p>
      <w:pPr>
        <w:spacing w:after="0" w:line="231" w:lineRule="exact"/>
        <w:rPr>
          <w:sz w:val="20"/>
          <w:szCs w:val="20"/>
          <w:color w:val="auto"/>
        </w:rPr>
      </w:pPr>
    </w:p>
    <w:p>
      <w:pPr>
        <w:ind w:firstLine="467"/>
        <w:spacing w:after="0" w:line="268" w:lineRule="auto"/>
        <w:rPr>
          <w:sz w:val="20"/>
          <w:szCs w:val="20"/>
          <w:color w:val="auto"/>
        </w:rPr>
      </w:pPr>
      <w:r>
        <w:rPr>
          <w:rFonts w:ascii="Arial" w:cs="Arial" w:eastAsia="Arial" w:hAnsi="Arial"/>
          <w:sz w:val="19"/>
          <w:szCs w:val="19"/>
          <w:color w:val="auto"/>
        </w:rPr>
        <w:t>The above discussion and table are based on 22,426,493 shares of our common stock outstanding as of September 30, 2018, which does not include the following:</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3,188,169 shares of our common stock issuable upon the exercise of stock options outstanding as of September 30, 2018 at a weighted average exercise price of $10.36 per share;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176,432 shares of common stock issuable upon exercise of warrants outstanding as of September 30, 2018, at a weighted average exercise price of $17.32 per share;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40,000 shares of common stock issuable upon vesting of restricted stock units outstanding as of September 30, 2018;</w:t>
      </w:r>
    </w:p>
    <w:p>
      <w:pPr>
        <w:spacing w:after="0" w:line="24"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950,405 shares of common stock reserved for issuance under our 2016 Incentive Award Plan, or the 2016 Plan, as of September 30, 2018, as well as shares that become available pursuant to provisions in our 2016 Plan that automatically increase the share reserve under the 2016 Plan;</w:t>
      </w:r>
    </w:p>
    <w:p>
      <w:pPr>
        <w:spacing w:after="0"/>
        <w:rPr>
          <w:sz w:val="20"/>
          <w:szCs w:val="20"/>
          <w:color w:val="auto"/>
        </w:rPr>
      </w:pPr>
      <w:r>
        <w:rPr>
          <w:rFonts w:ascii="Arial" w:cs="Arial" w:eastAsia="Arial" w:hAnsi="Arial"/>
          <w:sz w:val="16"/>
          <w:szCs w:val="16"/>
          <w:color w:val="auto"/>
        </w:rPr>
        <w:t>539,894 shares of common stock reserved for issuance under our 2016 Employee Stock Purchase Plan, or the 2016 ESPP, as of September 30,</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2018, as well as shares that become available pursuant to provisions in our 2016 ESPP that automatically increase the share reserve under the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2016 ESPP; and</w:t>
      </w:r>
    </w:p>
    <w:p>
      <w:pPr>
        <w:spacing w:after="0" w:line="231"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60"/>
          </w:cols>
          <w:pgMar w:left="120" w:top="0" w:right="120" w:bottom="1440" w:gutter="0" w:footer="0" w:header="0"/>
          <w:type w:val="continuous"/>
        </w:sectPr>
      </w:pPr>
    </w:p>
    <w:bookmarkStart w:id="14" w:name="page15"/>
    <w:bookmarkEnd w:id="1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1140" w:hanging="569"/>
        <w:spacing w:after="0" w:line="268"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1,175,000 shares of common stock reserved for issuance under our 2018 Employment Inducement Incentive Award Plan, or the 2018 Inducement Plan, as of September 30, 2018.</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To the extent any of these outstanding options or warrants are exercised or restricted stock units vest, there may be further dilution to new investors.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15" w:name="page16"/>
    <w:bookmarkEnd w:id="1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CERTAIN MATERIAL U.S. FEDERAL INCOME TAX CONSEQUENCES TO NON-U.S. HOLDERS OF OUR COMMON STOCK</w:t>
      </w:r>
    </w:p>
    <w:p>
      <w:pPr>
        <w:spacing w:after="0" w:line="242" w:lineRule="exact"/>
        <w:rPr>
          <w:sz w:val="20"/>
          <w:szCs w:val="20"/>
          <w:color w:val="auto"/>
        </w:rPr>
      </w:pPr>
    </w:p>
    <w:p>
      <w:pPr>
        <w:jc w:val="both"/>
        <w:ind w:firstLine="501"/>
        <w:spacing w:after="0" w:line="268"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the shares of common stock to be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or the Code, Treasury Regulations promulgated thereunder, judicial decisions, and published rulings and administrative pronouncements of the U.S. Internal Revenue Service, or IRS, in effect as of the date of this offering. These authorities may change or be subject to differing interpretations. Any such change or differing interpretation may be applied retroactively in a manner that could adversely affect a holder of our common stock. We have not sought and do not currently intend to seek any rulings from the IRS regarding the matters discussed below. There can be no assurance the IRS or a court will not take a contrary position regarding the tax consequences of the purchase, ownership and disposition of our common stock.</w:t>
      </w:r>
    </w:p>
    <w:p>
      <w:pPr>
        <w:spacing w:after="0" w:line="202"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9"/>
          <w:szCs w:val="19"/>
          <w:color w:val="auto"/>
        </w:rPr>
        <w:t>This discussion is limited to Non-U.S. Holders that hold our common stock as a "capital asset" within the meaning of Section 1221 of the Code (property held for investment). This discussion does not address all U.S. federal income tax consequences relevant to a Non-U.S. Holder's particular circumstances, including the impact of the alternative minimum tax or the unearned income Medicare contribution tax. In addition, it does not address consequences relevant to Non-U.S. Holders subject to particular rules, including, without limitation:</w:t>
      </w:r>
    </w:p>
    <w:p>
      <w:pPr>
        <w:sectPr>
          <w:pgSz w:w="12240" w:h="15840" w:orient="portrait"/>
          <w:cols w:equalWidth="0" w:num="1">
            <w:col w:w="12000"/>
          </w:cols>
          <w:pgMar w:left="120" w:top="0" w:right="120" w:bottom="1440" w:gutter="0" w:footer="0" w:header="0"/>
        </w:sect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U.S. expatriates and certain former citizens or long-term residents of the United States;</w:t>
      </w:r>
    </w:p>
    <w:p>
      <w:pPr>
        <w:spacing w:after="0" w:line="38"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persons holding our common stock as part of a hedge, straddle or other risk reduction strategy or as part of a conversion transaction or other integrated investment;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banks, insurance companies, and other financial institutions;</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brokers, dealers or traders in securities or currencies;</w:t>
      </w:r>
    </w:p>
    <w:p>
      <w:pPr>
        <w:spacing w:after="0" w:line="3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"controlled foreign corporations," "passive foreign investment companies," and corporations that accumulate earnings to avoid U.S. federal income tax;</w:t>
      </w:r>
    </w:p>
    <w:p>
      <w:pPr>
        <w:spacing w:after="0" w:line="1" w:lineRule="exact"/>
        <w:rPr>
          <w:sz w:val="20"/>
          <w:szCs w:val="20"/>
          <w:color w:val="auto"/>
        </w:rPr>
      </w:pPr>
    </w:p>
    <w:p>
      <w:pPr>
        <w:ind w:right="1260"/>
        <w:spacing w:after="0" w:line="274" w:lineRule="auto"/>
        <w:rPr>
          <w:sz w:val="20"/>
          <w:szCs w:val="20"/>
          <w:color w:val="auto"/>
        </w:rPr>
      </w:pPr>
      <w:r>
        <w:rPr>
          <w:rFonts w:ascii="Arial" w:cs="Arial" w:eastAsia="Arial" w:hAnsi="Arial"/>
          <w:sz w:val="19"/>
          <w:szCs w:val="19"/>
          <w:color w:val="auto"/>
        </w:rPr>
        <w:t>partnerships or other entities or arrangements treated as partnerships for U.S. federal income tax purposes (and investors therein); tax-exempt organizations or governmental organizations;</w:t>
      </w:r>
    </w:p>
    <w:p>
      <w:pPr>
        <w:spacing w:after="0"/>
        <w:rPr>
          <w:sz w:val="20"/>
          <w:szCs w:val="20"/>
          <w:color w:val="auto"/>
        </w:rPr>
      </w:pPr>
      <w:r>
        <w:rPr>
          <w:rFonts w:ascii="Arial" w:cs="Arial" w:eastAsia="Arial" w:hAnsi="Arial"/>
          <w:sz w:val="19"/>
          <w:szCs w:val="19"/>
          <w:color w:val="auto"/>
        </w:rPr>
        <w:t>persons deemed to sell our common stock under the constructive sale provisions of the Code;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persons for whom our common stock constitutes "qualified small business stock" within the meaning of Section 1202 of the Code;</w:t>
      </w:r>
    </w:p>
    <w:p>
      <w:pPr>
        <w:spacing w:after="0" w:line="35"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persons subject to special tax accounting rules as a result of any item of gross income with respect to our common stock being taken into account in an "applicable financial statement" (as defined in the Code);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persons who have elected to mark securities to market;</w:t>
      </w:r>
    </w:p>
    <w:p>
      <w:pPr>
        <w:spacing w:after="0" w:line="24" w:lineRule="exact"/>
        <w:rPr>
          <w:sz w:val="20"/>
          <w:szCs w:val="20"/>
          <w:color w:val="auto"/>
        </w:rPr>
      </w:pPr>
    </w:p>
    <w:p>
      <w:pPr>
        <w:ind w:right="700"/>
        <w:spacing w:after="0" w:line="284" w:lineRule="auto"/>
        <w:rPr>
          <w:sz w:val="20"/>
          <w:szCs w:val="20"/>
          <w:color w:val="auto"/>
        </w:rPr>
      </w:pPr>
      <w:r>
        <w:rPr>
          <w:rFonts w:ascii="Arial" w:cs="Arial" w:eastAsia="Arial" w:hAnsi="Arial"/>
          <w:sz w:val="19"/>
          <w:szCs w:val="19"/>
          <w:color w:val="auto"/>
        </w:rPr>
        <w:t>persons who hold or receive our common stock pursuant to the exercise of any employee stock option or otherwise as compensation; and tax-qualified retirement plans.</w:t>
      </w:r>
    </w:p>
    <w:p>
      <w:pPr>
        <w:spacing w:after="0" w:line="182"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jc w:val="both"/>
        <w:ind w:firstLine="410"/>
        <w:spacing w:after="0" w:line="256" w:lineRule="auto"/>
        <w:rPr>
          <w:sz w:val="20"/>
          <w:szCs w:val="20"/>
          <w:color w:val="auto"/>
        </w:rPr>
      </w:pPr>
      <w:r>
        <w:rPr>
          <w:rFonts w:ascii="Arial" w:cs="Arial" w:eastAsia="Arial" w:hAnsi="Arial"/>
          <w:sz w:val="19"/>
          <w:szCs w:val="19"/>
          <w:color w:val="auto"/>
        </w:rPr>
        <w:t>If a partnership (or other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205" w:lineRule="exact"/>
        <w:rPr>
          <w:sz w:val="20"/>
          <w:szCs w:val="20"/>
          <w:color w:val="auto"/>
        </w:rPr>
      </w:pPr>
    </w:p>
    <w:p>
      <w:pPr>
        <w:jc w:val="both"/>
        <w:ind w:right="20" w:firstLine="542"/>
        <w:spacing w:after="0" w:line="273" w:lineRule="auto"/>
        <w:rPr>
          <w:sz w:val="20"/>
          <w:szCs w:val="20"/>
          <w:color w:val="auto"/>
        </w:rPr>
      </w:pPr>
      <w:r>
        <w:rPr>
          <w:rFonts w:ascii="Arial" w:cs="Arial" w:eastAsia="Arial" w:hAnsi="Arial"/>
          <w:sz w:val="19"/>
          <w:szCs w:val="19"/>
          <w:b w:val="1"/>
          <w:bCs w:val="1"/>
          <w:color w:val="auto"/>
        </w:rPr>
        <w:t>THIS DISCUSSION IS FOR INFORMATION PURPOSES ONLY AND IS NOT INTENDED AS LEGAL OR TAX ADVICE. INVESTORS SHOULD CONSULT THEIR TAX ADVISORS WITH RESPECT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6" w:name="page17"/>
    <w:bookmarkEnd w:id="16"/>
    <w:p>
      <w:pPr>
        <w:ind w:left="6"/>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jc w:val="both"/>
        <w:ind w:left="6"/>
        <w:spacing w:after="0" w:line="258" w:lineRule="auto"/>
        <w:rPr>
          <w:sz w:val="20"/>
          <w:szCs w:val="20"/>
          <w:color w:val="auto"/>
        </w:rPr>
      </w:pPr>
      <w:r>
        <w:rPr>
          <w:rFonts w:ascii="Arial" w:cs="Arial" w:eastAsia="Arial" w:hAnsi="Arial"/>
          <w:sz w:val="19"/>
          <w:szCs w:val="19"/>
          <w:b w:val="1"/>
          <w:bCs w:val="1"/>
          <w:color w:val="auto"/>
        </w:rPr>
        <w:t>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01"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Definition of a Non-U.S. Holder</w:t>
      </w:r>
    </w:p>
    <w:p>
      <w:pPr>
        <w:spacing w:after="0" w:line="242" w:lineRule="exact"/>
        <w:rPr>
          <w:sz w:val="20"/>
          <w:szCs w:val="20"/>
          <w:color w:val="auto"/>
        </w:rPr>
      </w:pPr>
    </w:p>
    <w:p>
      <w:pPr>
        <w:jc w:val="both"/>
        <w:ind w:left="6" w:firstLine="452"/>
        <w:spacing w:after="0" w:line="268" w:lineRule="auto"/>
        <w:rPr>
          <w:sz w:val="20"/>
          <w:szCs w:val="20"/>
          <w:color w:val="auto"/>
        </w:rPr>
      </w:pPr>
      <w:r>
        <w:rPr>
          <w:rFonts w:ascii="Arial" w:cs="Arial" w:eastAsia="Arial" w:hAnsi="Arial"/>
          <w:sz w:val="19"/>
          <w:szCs w:val="19"/>
          <w:color w:val="auto"/>
        </w:rPr>
        <w:t>For purposes of this discussion, a "Non-U.S. Holder" is a beneficial owner of our common stock that is neither a "U.S. person" nor an entity treated as a partnership for U.S. federal income tax purposes. A U.S. person is any person that, for U.S. federal income tax purposes, is:</w:t>
      </w:r>
    </w:p>
    <w:p>
      <w:pPr>
        <w:sectPr>
          <w:pgSz w:w="12240" w:h="15840" w:orient="portrait"/>
          <w:cols w:equalWidth="0" w:num="1">
            <w:col w:w="12006"/>
          </w:cols>
          <w:pgMar w:left="114" w:top="0" w:right="120" w:bottom="1440" w:gutter="0" w:footer="0" w:header="0"/>
        </w:sectPr>
      </w:pPr>
    </w:p>
    <w:p>
      <w:pPr>
        <w:spacing w:after="0" w:line="197" w:lineRule="exact"/>
        <w:rPr>
          <w:sz w:val="20"/>
          <w:szCs w:val="20"/>
          <w:color w:val="auto"/>
        </w:rPr>
      </w:pPr>
    </w:p>
    <w:p>
      <w:pPr>
        <w:ind w:left="566"/>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6"/>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6"/>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6"/>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an individual who is a citizen or resident of the United States;</w:t>
      </w:r>
    </w:p>
    <w:p>
      <w:pPr>
        <w:spacing w:after="0" w:line="3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 corporation (or other entity treated as a corporation for U.S. federal income tax purposes) created or organized under the laws of the United States, any state thereof, or the District of Columbia;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an estate, the income of which is subject to U.S. federal income tax regardless of its source; or</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 trust that (1) is subject to the primary supervision of a U.S. court and the control of one or more United States persons (within the meaning of Section 7701(a)(30) of the Code), or (2) has made a valid election under applicable Treasury Regulations to continue to be treated as a United States person.</w:t>
      </w:r>
    </w:p>
    <w:p>
      <w:pPr>
        <w:spacing w:after="0" w:line="200" w:lineRule="exact"/>
        <w:rPr>
          <w:sz w:val="20"/>
          <w:szCs w:val="20"/>
          <w:color w:val="auto"/>
        </w:rPr>
      </w:pPr>
    </w:p>
    <w:p>
      <w:pPr>
        <w:sectPr>
          <w:pgSz w:w="12240" w:h="15840" w:orient="portrait"/>
          <w:cols w:equalWidth="0" w:num="2">
            <w:col w:w="846" w:space="300"/>
            <w:col w:w="10860"/>
          </w:cols>
          <w:pgMar w:left="114" w:top="0" w:right="120" w:bottom="1440" w:gutter="0" w:footer="0" w:header="0"/>
          <w:type w:val="continuous"/>
        </w:sectPr>
      </w:pP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Distributions</w:t>
      </w:r>
    </w:p>
    <w:p>
      <w:pPr>
        <w:spacing w:after="0" w:line="242" w:lineRule="exact"/>
        <w:rPr>
          <w:sz w:val="20"/>
          <w:szCs w:val="20"/>
          <w:color w:val="auto"/>
        </w:rPr>
      </w:pPr>
    </w:p>
    <w:p>
      <w:pPr>
        <w:jc w:val="both"/>
        <w:ind w:left="6" w:firstLine="368"/>
        <w:spacing w:after="0" w:line="253" w:lineRule="auto"/>
        <w:rPr>
          <w:sz w:val="20"/>
          <w:szCs w:val="20"/>
          <w:color w:val="auto"/>
        </w:rPr>
      </w:pPr>
      <w:r>
        <w:rPr>
          <w:rFonts w:ascii="Arial" w:cs="Arial" w:eastAsia="Arial" w:hAnsi="Arial"/>
          <w:sz w:val="19"/>
          <w:szCs w:val="19"/>
          <w:color w:val="auto"/>
        </w:rPr>
        <w:t>As described in the section entitled "Dividend Policy," we do not anticipate declaring or paying dividends to holders of our common stock in the foreseeable future. However, if we do make distributions on our common stock, such distributions of cash or property on our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our common stock, but not below zero. Any excess will be treated as capital gain and will be treated as described below in the section relating to the sale or disposition of our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211" w:lineRule="exact"/>
        <w:rPr>
          <w:sz w:val="20"/>
          <w:szCs w:val="20"/>
          <w:color w:val="auto"/>
        </w:rPr>
      </w:pPr>
    </w:p>
    <w:p>
      <w:pPr>
        <w:jc w:val="both"/>
        <w:ind w:left="6" w:firstLine="533"/>
        <w:spacing w:after="0" w:line="259" w:lineRule="auto"/>
        <w:rPr>
          <w:sz w:val="20"/>
          <w:szCs w:val="20"/>
          <w:color w:val="auto"/>
        </w:rPr>
      </w:pPr>
      <w:r>
        <w:rPr>
          <w:rFonts w:ascii="Arial" w:cs="Arial" w:eastAsia="Arial" w:hAnsi="Arial"/>
          <w:sz w:val="19"/>
          <w:szCs w:val="19"/>
          <w:color w:val="auto"/>
        </w:rPr>
        <w:t>Subject to the discussion below on backup withholding and foreign accounts, dividends paid to a Non-U.S. Holder of our common stock that are not effectively connected with the Non-U.S. Holder's conduct of a trade or business within the United States will be subject to U.S. federal withholding tax at a rate of 30% of the gross amount of the dividends (or such lower rate specified by an applicable income tax treaty).</w:t>
      </w:r>
    </w:p>
    <w:p>
      <w:pPr>
        <w:spacing w:after="0" w:line="205" w:lineRule="exact"/>
        <w:rPr>
          <w:sz w:val="20"/>
          <w:szCs w:val="20"/>
          <w:color w:val="auto"/>
        </w:rPr>
      </w:pPr>
    </w:p>
    <w:p>
      <w:pPr>
        <w:ind w:left="366"/>
        <w:spacing w:after="0"/>
        <w:rPr>
          <w:sz w:val="20"/>
          <w:szCs w:val="20"/>
          <w:color w:val="auto"/>
        </w:rPr>
      </w:pPr>
      <w:r>
        <w:rPr>
          <w:rFonts w:ascii="Arial" w:cs="Arial" w:eastAsia="Arial" w:hAnsi="Arial"/>
          <w:sz w:val="16"/>
          <w:szCs w:val="16"/>
          <w:color w:val="auto"/>
        </w:rPr>
        <w:t>Non-U.S. Holders will be entitled to a reduction in or an exemption from withholding on dividends as a result of either (a) an applicable income tax treaty or</w:t>
      </w:r>
    </w:p>
    <w:p>
      <w:pPr>
        <w:spacing w:after="0" w:line="51" w:lineRule="exact"/>
        <w:rPr>
          <w:sz w:val="20"/>
          <w:szCs w:val="20"/>
          <w:color w:val="auto"/>
        </w:rPr>
      </w:pPr>
    </w:p>
    <w:p>
      <w:pPr>
        <w:jc w:val="both"/>
        <w:ind w:left="6" w:hanging="6"/>
        <w:spacing w:after="0" w:line="268" w:lineRule="auto"/>
        <w:tabs>
          <w:tab w:leader="none" w:pos="30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Non-U.S. Holder holding our common stock in connection with the conduct of a trade or business within the United States and dividends being effectively connected with that trade or business. To claim such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United States and the country in which the Non-U.S. Holder resides or is established, or (b) IRS Form W-8ECI stating that the dividends are not subject to withholding tax because they are effectively connected with the conduct by the Non-U.S. Holder of a trade or business within the United States, as may be applicable. These certifications must be provided to the applicable withholding agent prior to the payment of dividends and</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762889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type w:val="continuous"/>
        </w:sectPr>
      </w:pPr>
    </w:p>
    <w:bookmarkStart w:id="17" w:name="page18"/>
    <w:bookmarkEnd w:id="1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spacing w:after="0" w:line="205"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 or Other Disposition of Common Stock</w:t>
      </w:r>
    </w:p>
    <w:p>
      <w:pPr>
        <w:spacing w:after="0" w:line="242" w:lineRule="exact"/>
        <w:rPr>
          <w:sz w:val="20"/>
          <w:szCs w:val="20"/>
          <w:color w:val="auto"/>
        </w:rPr>
      </w:pPr>
    </w:p>
    <w:p>
      <w:pPr>
        <w:jc w:val="both"/>
        <w:ind w:firstLine="388"/>
        <w:spacing w:after="0" w:line="268" w:lineRule="auto"/>
        <w:rPr>
          <w:sz w:val="20"/>
          <w:szCs w:val="20"/>
          <w:color w:val="auto"/>
        </w:rPr>
      </w:pPr>
      <w:r>
        <w:rPr>
          <w:rFonts w:ascii="Arial" w:cs="Arial" w:eastAsia="Arial" w:hAnsi="Arial"/>
          <w:sz w:val="19"/>
          <w:szCs w:val="19"/>
          <w:color w:val="auto"/>
        </w:rPr>
        <w:t>Subject to the discussions below on backup withholding and foreign accounts, a Non-U.S. Holder will not be subject to U.S. federal income tax on any gain realized upon the sale or other disposition of our common stock unless:</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the Non-U.S. Holder is a nonresident alien individual present in the United States for 183 days or more during the taxable year of the disposition and certain other requirements are met; or</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our common stock constitute U.S. real property interests, or USRPIs, by reason of our status as a U.S. real property holding corporation, or USRPHC, for U.S. federal income tax purposes.</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jc w:val="both"/>
        <w:ind w:firstLine="390"/>
        <w:spacing w:after="0" w:line="259" w:lineRule="auto"/>
        <w:rPr>
          <w:sz w:val="20"/>
          <w:szCs w:val="20"/>
          <w:color w:val="auto"/>
        </w:rPr>
      </w:pPr>
      <w:r>
        <w:rPr>
          <w:rFonts w:ascii="Arial" w:cs="Arial" w:eastAsia="Arial" w:hAnsi="Arial"/>
          <w:sz w:val="19"/>
          <w:szCs w:val="19"/>
          <w:color w:val="auto"/>
        </w:rPr>
        <w:t>Gain described in the first bullet point above will generally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w:t>
      </w:r>
    </w:p>
    <w:p>
      <w:pPr>
        <w:spacing w:after="0" w:line="205" w:lineRule="exact"/>
        <w:rPr>
          <w:sz w:val="20"/>
          <w:szCs w:val="20"/>
          <w:color w:val="auto"/>
        </w:rPr>
      </w:pPr>
    </w:p>
    <w:p>
      <w:pPr>
        <w:jc w:val="both"/>
        <w:ind w:firstLine="376"/>
        <w:spacing w:after="0" w:line="256" w:lineRule="auto"/>
        <w:rPr>
          <w:sz w:val="20"/>
          <w:szCs w:val="20"/>
          <w:color w:val="auto"/>
        </w:rPr>
      </w:pPr>
      <w:r>
        <w:rPr>
          <w:rFonts w:ascii="Arial" w:cs="Arial" w:eastAsia="Arial" w:hAnsi="Arial"/>
          <w:sz w:val="19"/>
          <w:szCs w:val="19"/>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209"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8"/>
          <w:szCs w:val="18"/>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Non-U.S. Holders should consult their tax advisors regarding potentially applicable income tax treaties that may provide for different rules.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8" w:name="page19"/>
    <w:bookmarkEnd w:id="18"/>
    <w:p>
      <w:pPr>
        <w:ind w:left="6"/>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242" w:lineRule="exact"/>
        <w:rPr>
          <w:sz w:val="20"/>
          <w:szCs w:val="20"/>
          <w:color w:val="auto"/>
        </w:rPr>
      </w:pPr>
    </w:p>
    <w:p>
      <w:pPr>
        <w:jc w:val="both"/>
        <w:ind w:left="6" w:firstLine="507"/>
        <w:spacing w:after="0" w:line="311" w:lineRule="auto"/>
        <w:rPr>
          <w:sz w:val="20"/>
          <w:szCs w:val="20"/>
          <w:color w:val="auto"/>
        </w:rPr>
      </w:pPr>
      <w:r>
        <w:rPr>
          <w:rFonts w:ascii="Arial" w:cs="Arial" w:eastAsia="Arial" w:hAnsi="Arial"/>
          <w:sz w:val="16"/>
          <w:szCs w:val="16"/>
          <w:color w:val="auto"/>
        </w:rPr>
        <w:t>Subject to the discussion below on foreign accounts, a Non-U.S. Holder will not be subject to backup withholding with respect to distributions on our common stock we make to the Non-U.S. Holder, provided the applicable withholding agent does not have actual knowledge or reason to know such holder is a United States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our common stock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167" w:lineRule="exact"/>
        <w:rPr>
          <w:sz w:val="20"/>
          <w:szCs w:val="20"/>
          <w:color w:val="auto"/>
        </w:rPr>
      </w:pPr>
    </w:p>
    <w:p>
      <w:pPr>
        <w:jc w:val="both"/>
        <w:ind w:left="6" w:firstLine="496"/>
        <w:spacing w:after="0" w:line="311" w:lineRule="auto"/>
        <w:rPr>
          <w:sz w:val="20"/>
          <w:szCs w:val="20"/>
          <w:color w:val="auto"/>
        </w:rPr>
      </w:pPr>
      <w:r>
        <w:rPr>
          <w:rFonts w:ascii="Arial" w:cs="Arial" w:eastAsia="Arial" w:hAnsi="Arial"/>
          <w:sz w:val="16"/>
          <w:szCs w:val="16"/>
          <w:color w:val="auto"/>
        </w:rPr>
        <w:t>Information reporting and backup withholding may apply to the proceeds of a sale or other taxable disposition of our common stock within the United States, and information reporting may (although backup withholding generally will not) apply to the proceeds of a sale or other taxable disposition of our common stock outside the United States conducted through certain U.S.-related financial intermediaries, in each case, unless the beneficial owner certifies under penalty of perjury that it is a Non-U.S. Holder on IRS Form W-8BEN, W-8BEN-E W-8ECI, or other applicable form (and the payor does not have actual knowledge or reason to know that the beneficial owner is a U.S. person) or such owner otherwise establishes an exemption. Proceeds of a disposition of our common stock conducted through a non-U.S. office of a non-U.S. broker generally will not be subject to backup withholding or information reporting.</w:t>
      </w:r>
    </w:p>
    <w:p>
      <w:pPr>
        <w:spacing w:after="0" w:line="167" w:lineRule="exact"/>
        <w:rPr>
          <w:sz w:val="20"/>
          <w:szCs w:val="20"/>
          <w:color w:val="auto"/>
        </w:rPr>
      </w:pPr>
    </w:p>
    <w:p>
      <w:pPr>
        <w:jc w:val="both"/>
        <w:ind w:left="6" w:firstLine="457"/>
        <w:spacing w:after="0" w:line="268" w:lineRule="auto"/>
        <w:rPr>
          <w:sz w:val="20"/>
          <w:szCs w:val="20"/>
          <w:color w:val="auto"/>
        </w:rPr>
      </w:pPr>
      <w:r>
        <w:rPr>
          <w:rFonts w:ascii="Arial" w:cs="Arial" w:eastAsia="Arial" w:hAnsi="Arial"/>
          <w:sz w:val="19"/>
          <w:szCs w:val="19"/>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Additional Withholding Tax on Payments Made to Foreign Accounts</w:t>
      </w:r>
    </w:p>
    <w:p>
      <w:pPr>
        <w:spacing w:after="0" w:line="242" w:lineRule="exact"/>
        <w:rPr>
          <w:sz w:val="20"/>
          <w:szCs w:val="20"/>
          <w:color w:val="auto"/>
        </w:rPr>
      </w:pPr>
    </w:p>
    <w:p>
      <w:pPr>
        <w:jc w:val="both"/>
        <w:ind w:left="6" w:firstLine="436"/>
        <w:spacing w:after="0" w:line="298" w:lineRule="auto"/>
        <w:rPr>
          <w:sz w:val="20"/>
          <w:szCs w:val="20"/>
          <w:color w:val="auto"/>
        </w:rPr>
      </w:pPr>
      <w:r>
        <w:rPr>
          <w:rFonts w:ascii="Arial" w:cs="Arial" w:eastAsia="Arial" w:hAnsi="Arial"/>
          <w:sz w:val="16"/>
          <w:szCs w:val="16"/>
          <w:color w:val="auto"/>
        </w:rPr>
        <w:t>Withholding taxes may be imposed under the Foreign Account Tax Compliance Act, or FATCA, on certain types of payments made to non-U.S. financial institutions and certain other non-U.S. entities. Specifically, a 30% withholding tax may be imposed on dividends (including deemed dividends) paid on our common stock,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w:t>
      </w:r>
    </w:p>
    <w:p>
      <w:pPr>
        <w:spacing w:after="0" w:line="5" w:lineRule="exact"/>
        <w:rPr>
          <w:sz w:val="20"/>
          <w:szCs w:val="20"/>
          <w:color w:val="auto"/>
        </w:rPr>
      </w:pPr>
    </w:p>
    <w:p>
      <w:pPr>
        <w:jc w:val="both"/>
        <w:ind w:left="6" w:hanging="6"/>
        <w:spacing w:after="0" w:line="316" w:lineRule="auto"/>
        <w:tabs>
          <w:tab w:leader="none" w:pos="274" w:val="left"/>
        </w:tabs>
        <w:numPr>
          <w:ilvl w:val="0"/>
          <w:numId w:val="3"/>
        </w:numPr>
        <w:rPr>
          <w:rFonts w:ascii="Arial" w:cs="Arial" w:eastAsia="Arial" w:hAnsi="Arial"/>
          <w:sz w:val="16"/>
          <w:szCs w:val="16"/>
          <w:color w:val="auto"/>
        </w:rPr>
      </w:pPr>
      <w:r>
        <w:rPr>
          <w:rFonts w:ascii="Arial" w:cs="Arial" w:eastAsia="Arial" w:hAnsi="Arial"/>
          <w:sz w:val="16"/>
          <w:szCs w:val="16"/>
          <w:color w:val="auto"/>
        </w:rPr>
        <w:t>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5" w:lineRule="exact"/>
        <w:rPr>
          <w:sz w:val="20"/>
          <w:szCs w:val="20"/>
          <w:color w:val="auto"/>
        </w:rPr>
      </w:pPr>
    </w:p>
    <w:p>
      <w:pPr>
        <w:jc w:val="both"/>
        <w:ind w:left="6" w:firstLine="524"/>
        <w:spacing w:after="0" w:line="256" w:lineRule="auto"/>
        <w:rPr>
          <w:sz w:val="20"/>
          <w:szCs w:val="20"/>
          <w:color w:val="auto"/>
        </w:rPr>
      </w:pPr>
      <w:r>
        <w:rPr>
          <w:rFonts w:ascii="Arial" w:cs="Arial" w:eastAsia="Arial" w:hAnsi="Arial"/>
          <w:sz w:val="19"/>
          <w:szCs w:val="19"/>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209"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762889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19" w:name="page20"/>
    <w:bookmarkEnd w:id="1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9"/>
          <w:szCs w:val="19"/>
          <w:color w:val="auto"/>
        </w:rPr>
        <w:t>Because we may not know the extent to which a distribution is a dividend for U.S. federal income tax purposes at the time it is made, for purposes of these withholding rules we or the applicable withholding agent may treat the entire distribution as a dividend. Prospective investors should consult their tax advisors regarding the potential application of these withholding provisions.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0" w:name="page21"/>
    <w:bookmarkEnd w:id="2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UNDERWRITING</w:t>
      </w:r>
    </w:p>
    <w:p>
      <w:pPr>
        <w:spacing w:after="0" w:line="242" w:lineRule="exact"/>
        <w:rPr>
          <w:sz w:val="20"/>
          <w:szCs w:val="20"/>
          <w:color w:val="auto"/>
        </w:rPr>
      </w:pPr>
    </w:p>
    <w:p>
      <w:pPr>
        <w:ind w:left="560"/>
        <w:spacing w:after="0"/>
        <w:tabs>
          <w:tab w:leader="none" w:pos="7900" w:val="left"/>
        </w:tabs>
        <w:rPr>
          <w:sz w:val="20"/>
          <w:szCs w:val="20"/>
          <w:color w:val="auto"/>
        </w:rPr>
      </w:pPr>
      <w:r>
        <w:rPr>
          <w:rFonts w:ascii="Arial" w:cs="Arial" w:eastAsia="Arial" w:hAnsi="Arial"/>
          <w:sz w:val="19"/>
          <w:szCs w:val="19"/>
          <w:color w:val="auto"/>
        </w:rPr>
        <w:t>Subject to the terms and conditions set forth in the underwriting agreement, dated January</w:t>
      </w:r>
      <w:r>
        <w:rPr>
          <w:sz w:val="20"/>
          <w:szCs w:val="20"/>
          <w:color w:val="auto"/>
        </w:rPr>
        <w:tab/>
      </w:r>
      <w:r>
        <w:rPr>
          <w:rFonts w:ascii="Arial" w:cs="Arial" w:eastAsia="Arial" w:hAnsi="Arial"/>
          <w:sz w:val="16"/>
          <w:szCs w:val="16"/>
          <w:color w:val="auto"/>
        </w:rPr>
        <w:t>, 2019, between us and Stifel, Nicolaus &amp; Company,</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Incorporated, as the representative of the underwriters named below and the sole book-running manager of this offering, we have agreed to sell to the underwriters, and each of the underwriters has agreed, severally and not jointly, to purchase from us the respective number of shares of common stock shown opposite its name below:</w:t>
      </w:r>
    </w:p>
    <w:p>
      <w:pPr>
        <w:spacing w:after="0" w:line="200"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2"/>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Stifel, Nicolaus &amp; Company, Incorporated</w:t>
            </w:r>
          </w:p>
        </w:tc>
        <w:tc>
          <w:tcPr>
            <w:tcW w:w="2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gridSpan w:val="2"/>
          </w:tcPr>
          <w:p>
            <w:pPr>
              <w:spacing w:after="0"/>
              <w:rPr>
                <w:sz w:val="20"/>
                <w:szCs w:val="20"/>
                <w:color w:val="auto"/>
              </w:rPr>
            </w:pPr>
            <w:r>
              <w:rPr>
                <w:rFonts w:ascii="Arial" w:cs="Arial" w:eastAsia="Arial" w:hAnsi="Arial"/>
                <w:sz w:val="19"/>
                <w:szCs w:val="19"/>
                <w:color w:val="auto"/>
              </w:rPr>
              <w:t>Canaccord Genuity Inc.</w:t>
            </w: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Needham &amp; Company, LLC</w:t>
            </w:r>
          </w:p>
        </w:tc>
        <w:tc>
          <w:tcPr>
            <w:tcW w:w="2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gridSpan w:val="2"/>
          </w:tcPr>
          <w:p>
            <w:pPr>
              <w:spacing w:after="0"/>
              <w:rPr>
                <w:sz w:val="20"/>
                <w:szCs w:val="20"/>
                <w:color w:val="auto"/>
              </w:rPr>
            </w:pPr>
            <w:r>
              <w:rPr>
                <w:rFonts w:ascii="Arial" w:cs="Arial" w:eastAsia="Arial" w:hAnsi="Arial"/>
                <w:sz w:val="19"/>
                <w:szCs w:val="19"/>
                <w:color w:val="auto"/>
              </w:rPr>
              <w:t>Janney Montgomery Scott LLC</w:t>
            </w:r>
          </w:p>
        </w:tc>
        <w:tc>
          <w:tcPr>
            <w:tcW w:w="2220" w:type="dxa"/>
            <w:vAlign w:val="bottom"/>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3"/>
                <w:szCs w:val="3"/>
                <w:color w:val="auto"/>
                <w:w w:val="91"/>
              </w:rPr>
              <w:t>â€‹</w:t>
            </w:r>
          </w:p>
        </w:tc>
        <w:tc>
          <w:tcPr>
            <w:tcW w:w="940" w:type="dxa"/>
            <w:vAlign w:val="bottom"/>
            <w:gridSpan w:val="2"/>
            <w:vMerge w:val="restart"/>
          </w:tcPr>
          <w:p>
            <w:pPr>
              <w:ind w:left="740"/>
              <w:spacing w:after="0"/>
              <w:rPr>
                <w:sz w:val="20"/>
                <w:szCs w:val="20"/>
                <w:color w:val="auto"/>
              </w:rPr>
            </w:pPr>
            <w:r>
              <w:rPr>
                <w:rFonts w:ascii="Arial" w:cs="Arial" w:eastAsia="Arial" w:hAnsi="Arial"/>
                <w:sz w:val="3"/>
                <w:szCs w:val="3"/>
                <w:color w:val="auto"/>
              </w:rPr>
              <w:t>â€‹</w:t>
            </w:r>
            <w:r>
              <w:rPr>
                <w:rFonts w:ascii="Arial" w:cs="Arial" w:eastAsia="Arial" w:hAnsi="Arial"/>
                <w:sz w:val="5"/>
                <w:szCs w:val="5"/>
                <w:color w:val="auto"/>
                <w:vertAlign w:val="subscript"/>
              </w:rPr>
              <w:t>â€‹</w:t>
            </w:r>
          </w:p>
        </w:tc>
        <w:tc>
          <w:tcPr>
            <w:tcW w:w="0" w:type="dxa"/>
            <w:vAlign w:val="bottom"/>
          </w:tcPr>
          <w:p>
            <w:pPr>
              <w:spacing w:after="0"/>
              <w:rPr>
                <w:sz w:val="1"/>
                <w:szCs w:val="1"/>
                <w:color w:val="auto"/>
              </w:rPr>
            </w:pPr>
          </w:p>
        </w:tc>
      </w:tr>
      <w:tr>
        <w:trPr>
          <w:trHeight w:val="29"/>
        </w:trPr>
        <w:tc>
          <w:tcPr>
            <w:tcW w:w="5180" w:type="dxa"/>
            <w:vAlign w:val="bottom"/>
            <w:gridSpan w:val="2"/>
          </w:tcPr>
          <w:p>
            <w:pPr>
              <w:spacing w:after="0" w:line="29" w:lineRule="exact"/>
              <w:rPr>
                <w:sz w:val="20"/>
                <w:szCs w:val="20"/>
                <w:color w:val="auto"/>
              </w:rPr>
            </w:pPr>
            <w:r>
              <w:rPr>
                <w:rFonts w:ascii="Arial" w:cs="Arial" w:eastAsia="Arial" w:hAnsi="Arial"/>
                <w:sz w:val="3"/>
                <w:szCs w:val="3"/>
                <w:color w:val="auto"/>
              </w:rPr>
              <w:t>â€‹</w:t>
            </w:r>
          </w:p>
        </w:tc>
        <w:tc>
          <w:tcPr>
            <w:tcW w:w="2220" w:type="dxa"/>
            <w:vAlign w:val="bottom"/>
          </w:tcPr>
          <w:p>
            <w:pPr>
              <w:ind w:left="2040"/>
              <w:spacing w:after="0" w:line="29" w:lineRule="exact"/>
              <w:rPr>
                <w:sz w:val="20"/>
                <w:szCs w:val="20"/>
                <w:color w:val="auto"/>
              </w:rPr>
            </w:pPr>
            <w:r>
              <w:rPr>
                <w:rFonts w:ascii="Arial" w:cs="Arial" w:eastAsia="Arial" w:hAnsi="Arial"/>
                <w:sz w:val="3"/>
                <w:szCs w:val="3"/>
                <w:color w:val="auto"/>
              </w:rPr>
              <w:t>â€‹</w:t>
            </w:r>
          </w:p>
        </w:tc>
        <w:tc>
          <w:tcPr>
            <w:tcW w:w="60" w:type="dxa"/>
            <w:vAlign w:val="bottom"/>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2"/>
          </w:tcPr>
          <w:p>
            <w:pPr>
              <w:spacing w:after="0" w:line="214" w:lineRule="exact"/>
              <w:rPr>
                <w:sz w:val="20"/>
                <w:szCs w:val="20"/>
                <w:color w:val="auto"/>
              </w:rPr>
            </w:pPr>
            <w:r>
              <w:rPr>
                <w:rFonts w:ascii="Arial" w:cs="Arial" w:eastAsia="Arial" w:hAnsi="Arial"/>
                <w:sz w:val="19"/>
                <w:szCs w:val="19"/>
                <w:color w:val="auto"/>
              </w:rPr>
              <w:t>Total</w:t>
            </w:r>
          </w:p>
        </w:tc>
        <w:tc>
          <w:tcPr>
            <w:tcW w:w="22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3"/>
                <w:szCs w:val="3"/>
                <w:color w:val="auto"/>
                <w:w w:val="91"/>
              </w:rPr>
              <w:t>â€‹</w:t>
            </w:r>
          </w:p>
        </w:tc>
        <w:tc>
          <w:tcPr>
            <w:tcW w:w="940" w:type="dxa"/>
            <w:vAlign w:val="bottom"/>
            <w:gridSpan w:val="2"/>
            <w:vMerge w:val="restart"/>
          </w:tcPr>
          <w:p>
            <w:pPr>
              <w:ind w:left="740"/>
              <w:spacing w:after="0"/>
              <w:rPr>
                <w:sz w:val="20"/>
                <w:szCs w:val="20"/>
                <w:color w:val="auto"/>
              </w:rPr>
            </w:pPr>
            <w:r>
              <w:rPr>
                <w:rFonts w:ascii="Arial" w:cs="Arial" w:eastAsia="Arial" w:hAnsi="Arial"/>
                <w:sz w:val="3"/>
                <w:szCs w:val="3"/>
                <w:color w:val="auto"/>
              </w:rPr>
              <w:t>â€‹</w:t>
            </w:r>
            <w:r>
              <w:rPr>
                <w:rFonts w:ascii="Arial" w:cs="Arial" w:eastAsia="Arial" w:hAnsi="Arial"/>
                <w:sz w:val="5"/>
                <w:szCs w:val="5"/>
                <w:color w:val="auto"/>
                <w:vertAlign w:val="subscript"/>
              </w:rPr>
              <w:t>â€‹</w:t>
            </w:r>
          </w:p>
        </w:tc>
        <w:tc>
          <w:tcPr>
            <w:tcW w:w="0" w:type="dxa"/>
            <w:vAlign w:val="bottom"/>
          </w:tcPr>
          <w:p>
            <w:pPr>
              <w:spacing w:after="0"/>
              <w:rPr>
                <w:sz w:val="1"/>
                <w:szCs w:val="1"/>
                <w:color w:val="auto"/>
              </w:rPr>
            </w:pPr>
          </w:p>
        </w:tc>
      </w:tr>
      <w:tr>
        <w:trPr>
          <w:trHeight w:val="21"/>
        </w:trPr>
        <w:tc>
          <w:tcPr>
            <w:tcW w:w="5180" w:type="dxa"/>
            <w:vAlign w:val="bottom"/>
            <w:gridSpan w:val="2"/>
          </w:tcPr>
          <w:p>
            <w:pPr>
              <w:spacing w:after="0"/>
              <w:rPr>
                <w:sz w:val="20"/>
                <w:szCs w:val="20"/>
                <w:color w:val="auto"/>
              </w:rPr>
            </w:pPr>
            <w:r>
              <w:rPr>
                <w:rFonts w:ascii="Arial" w:cs="Arial" w:eastAsia="Arial" w:hAnsi="Arial"/>
                <w:sz w:val="1"/>
                <w:szCs w:val="1"/>
                <w:color w:val="auto"/>
              </w:rPr>
              <w:t>â€‹</w:t>
            </w:r>
          </w:p>
        </w:tc>
        <w:tc>
          <w:tcPr>
            <w:tcW w:w="2220" w:type="dxa"/>
            <w:vAlign w:val="bottom"/>
          </w:tcPr>
          <w:p>
            <w:pPr>
              <w:ind w:left="2040"/>
              <w:spacing w:after="0"/>
              <w:rPr>
                <w:sz w:val="20"/>
                <w:szCs w:val="20"/>
                <w:color w:val="auto"/>
              </w:rPr>
            </w:pPr>
            <w:r>
              <w:rPr>
                <w:rFonts w:ascii="Arial" w:cs="Arial" w:eastAsia="Arial" w:hAnsi="Arial"/>
                <w:sz w:val="1"/>
                <w:szCs w:val="1"/>
                <w:color w:val="auto"/>
              </w:rPr>
              <w:t>â€‹</w:t>
            </w:r>
          </w:p>
        </w:tc>
        <w:tc>
          <w:tcPr>
            <w:tcW w:w="60" w:type="dxa"/>
            <w:vAlign w:val="bottom"/>
            <w:vMerge w:val="restart"/>
          </w:tcPr>
          <w:p>
            <w:pPr>
              <w:spacing w:after="0"/>
              <w:rPr>
                <w:sz w:val="20"/>
                <w:szCs w:val="20"/>
                <w:color w:val="auto"/>
              </w:rPr>
            </w:pPr>
            <w:r>
              <w:rPr>
                <w:rFonts w:ascii="Arial" w:cs="Arial" w:eastAsia="Arial" w:hAnsi="Arial"/>
                <w:sz w:val="3"/>
                <w:szCs w:val="3"/>
                <w:color w:val="auto"/>
                <w:w w:val="91"/>
              </w:rPr>
              <w:t>â€‹</w:t>
            </w: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5180" w:type="dxa"/>
            <w:vAlign w:val="bottom"/>
            <w:gridSpan w:val="2"/>
            <w:vMerge w:val="restart"/>
          </w:tcPr>
          <w:p>
            <w:pPr>
              <w:spacing w:after="0"/>
              <w:rPr>
                <w:sz w:val="20"/>
                <w:szCs w:val="20"/>
                <w:color w:val="auto"/>
              </w:rPr>
            </w:pPr>
            <w:r>
              <w:rPr>
                <w:rFonts w:ascii="Arial" w:cs="Arial" w:eastAsia="Arial" w:hAnsi="Arial"/>
                <w:sz w:val="3"/>
                <w:szCs w:val="3"/>
                <w:color w:val="auto"/>
              </w:rPr>
              <w:t>â€‹</w:t>
            </w:r>
          </w:p>
        </w:tc>
        <w:tc>
          <w:tcPr>
            <w:tcW w:w="2220" w:type="dxa"/>
            <w:vAlign w:val="bottom"/>
            <w:vMerge w:val="restart"/>
          </w:tcPr>
          <w:p>
            <w:pPr>
              <w:ind w:left="2040"/>
              <w:spacing w:after="0"/>
              <w:rPr>
                <w:sz w:val="20"/>
                <w:szCs w:val="20"/>
                <w:color w:val="auto"/>
              </w:rPr>
            </w:pPr>
            <w:r>
              <w:rPr>
                <w:rFonts w:ascii="Arial" w:cs="Arial" w:eastAsia="Arial" w:hAnsi="Arial"/>
                <w:sz w:val="3"/>
                <w:szCs w:val="3"/>
                <w:color w:val="auto"/>
              </w:rPr>
              <w:t>â€‹</w:t>
            </w:r>
          </w:p>
        </w:tc>
        <w:tc>
          <w:tcPr>
            <w:tcW w:w="60" w:type="dxa"/>
            <w:vAlign w:val="bottom"/>
            <w:vMerge w:val="continue"/>
          </w:tcPr>
          <w:p>
            <w:pPr>
              <w:spacing w:after="0" w:line="20" w:lineRule="exact"/>
              <w:rPr>
                <w:sz w:val="1"/>
                <w:szCs w:val="1"/>
                <w:color w:val="auto"/>
              </w:rPr>
            </w:pPr>
          </w:p>
        </w:tc>
        <w:tc>
          <w:tcPr>
            <w:tcW w:w="940" w:type="dxa"/>
            <w:vAlign w:val="bottom"/>
            <w:gridSpan w:val="2"/>
            <w:vMerge w:val="restart"/>
          </w:tcPr>
          <w:p>
            <w:pPr>
              <w:ind w:left="740"/>
              <w:spacing w:after="0"/>
              <w:rPr>
                <w:sz w:val="20"/>
                <w:szCs w:val="20"/>
                <w:color w:val="auto"/>
              </w:rPr>
            </w:pPr>
            <w:r>
              <w:rPr>
                <w:rFonts w:ascii="Arial" w:cs="Arial" w:eastAsia="Arial" w:hAnsi="Arial"/>
                <w:sz w:val="5"/>
                <w:szCs w:val="5"/>
                <w:color w:val="auto"/>
                <w:vertAlign w:val="superscript"/>
              </w:rPr>
              <w:t>â€‹</w:t>
            </w:r>
            <w:r>
              <w:rPr>
                <w:rFonts w:ascii="Arial" w:cs="Arial" w:eastAsia="Arial" w:hAnsi="Arial"/>
                <w:sz w:val="3"/>
                <w:szCs w:val="3"/>
                <w:color w:val="auto"/>
              </w:rPr>
              <w:t>â€‹</w:t>
            </w:r>
          </w:p>
        </w:tc>
        <w:tc>
          <w:tcPr>
            <w:tcW w:w="0" w:type="dxa"/>
            <w:vAlign w:val="bottom"/>
          </w:tcPr>
          <w:p>
            <w:pPr>
              <w:spacing w:after="0" w:line="20" w:lineRule="exact"/>
              <w:rPr>
                <w:sz w:val="1"/>
                <w:szCs w:val="1"/>
                <w:color w:val="auto"/>
              </w:rPr>
            </w:pPr>
          </w:p>
        </w:tc>
      </w:tr>
      <w:tr>
        <w:trPr>
          <w:trHeight w:val="51"/>
        </w:trPr>
        <w:tc>
          <w:tcPr>
            <w:tcW w:w="5180" w:type="dxa"/>
            <w:vAlign w:val="bottom"/>
            <w:gridSpan w:val="2"/>
            <w:vMerge w:val="continue"/>
          </w:tcPr>
          <w:p>
            <w:pPr>
              <w:spacing w:after="0"/>
              <w:rPr>
                <w:sz w:val="4"/>
                <w:szCs w:val="4"/>
                <w:color w:val="auto"/>
              </w:rPr>
            </w:pPr>
          </w:p>
        </w:tc>
        <w:tc>
          <w:tcPr>
            <w:tcW w:w="22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-217805</wp:posOffset>
            </wp:positionV>
            <wp:extent cx="5334000" cy="180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34000" cy="180975"/>
                    </a:xfrm>
                    <a:prstGeom prst="rect">
                      <a:avLst/>
                    </a:prstGeom>
                    <a:noFill/>
                  </pic:spPr>
                </pic:pic>
              </a:graphicData>
            </a:graphic>
          </wp:anchor>
        </w:drawing>
      </w:r>
    </w:p>
    <w:p>
      <w:pPr>
        <w:spacing w:after="0" w:line="139" w:lineRule="exact"/>
        <w:rPr>
          <w:sz w:val="20"/>
          <w:szCs w:val="20"/>
          <w:color w:val="auto"/>
        </w:rPr>
      </w:pPr>
    </w:p>
    <w:p>
      <w:pPr>
        <w:jc w:val="both"/>
        <w:ind w:firstLine="400"/>
        <w:spacing w:after="0" w:line="319" w:lineRule="auto"/>
        <w:rPr>
          <w:sz w:val="20"/>
          <w:szCs w:val="20"/>
          <w:color w:val="auto"/>
        </w:rPr>
      </w:pPr>
      <w:r>
        <w:rPr>
          <w:rFonts w:ascii="Arial" w:cs="Arial" w:eastAsia="Arial" w:hAnsi="Arial"/>
          <w:sz w:val="16"/>
          <w:szCs w:val="16"/>
          <w:color w:val="auto"/>
        </w:rPr>
        <w:t>The underwriting agreement provides that if an underwriter defaults, the purchase commitments of the non-defaulting underwriters may be increased or the offering may be terminated. Certain of our existing stockholders, including certain of our directors and/or entities affiliated with certain of our directors, have indicated an interest in purchasing shares of our common stock in this offering at the public offering price per share. The underwriters will receive the same underwriting discount on any shares purchased by these stockholders as they will on any other shares sold to the public in this offering.</w:t>
      </w:r>
    </w:p>
    <w:p>
      <w:pPr>
        <w:spacing w:after="0" w:line="163"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9"/>
          <w:szCs w:val="19"/>
          <w:color w:val="auto"/>
        </w:rPr>
        <w:t>The underwriting agreement provides that the obligations of the several underwriters are subject to various conditions, including approval of legal matters by counsel and other conditions contained in the underwriting agreement. The nature of the underwriters' obligations commits them to purchase and pay for all of the shares of common stock listed above if any are purchased.</w:t>
      </w:r>
    </w:p>
    <w:p>
      <w:pPr>
        <w:spacing w:after="0" w:line="205" w:lineRule="exact"/>
        <w:rPr>
          <w:sz w:val="20"/>
          <w:szCs w:val="20"/>
          <w:color w:val="auto"/>
        </w:rPr>
      </w:pPr>
    </w:p>
    <w:p>
      <w:pPr>
        <w:ind w:left="360"/>
        <w:spacing w:after="0"/>
        <w:tabs>
          <w:tab w:leader="none" w:pos="7120" w:val="left"/>
        </w:tabs>
        <w:rPr>
          <w:sz w:val="20"/>
          <w:szCs w:val="20"/>
          <w:color w:val="auto"/>
        </w:rPr>
      </w:pPr>
      <w:r>
        <w:rPr>
          <w:rFonts w:ascii="Arial" w:cs="Arial" w:eastAsia="Arial" w:hAnsi="Arial"/>
          <w:sz w:val="18"/>
          <w:szCs w:val="18"/>
          <w:color w:val="auto"/>
        </w:rPr>
        <w:t>The underwriters expect to deliver the shares of common stock to purchasers on or about</w:t>
      </w:r>
      <w:r>
        <w:rPr>
          <w:sz w:val="20"/>
          <w:szCs w:val="20"/>
          <w:color w:val="auto"/>
        </w:rPr>
        <w:tab/>
      </w:r>
      <w:r>
        <w:rPr>
          <w:rFonts w:ascii="Arial" w:cs="Arial" w:eastAsia="Arial" w:hAnsi="Arial"/>
          <w:sz w:val="16"/>
          <w:szCs w:val="16"/>
          <w:color w:val="auto"/>
        </w:rPr>
        <w:t>, 2019.</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to Purchase Additional Shares</w:t>
      </w:r>
    </w:p>
    <w:p>
      <w:pPr>
        <w:spacing w:after="0" w:line="2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 to a total</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of additional shares of our common stock from us, at the public offering price, less the underwriting discount payable by us, as set forth on the cover page of this prospectus supplement. If the underwriters exercise this option in whole or in part, then each of the underwriters will be separately committed, subject to the conditions described in the underwriting agreement, to purchase the additional shares of our common stock in proportion to their respective commitments set forth in the table above.</w:t>
      </w:r>
    </w:p>
    <w:p>
      <w:pPr>
        <w:spacing w:after="0" w:line="209" w:lineRule="exact"/>
        <w:rPr>
          <w:sz w:val="20"/>
          <w:szCs w:val="20"/>
          <w:color w:val="auto"/>
        </w:rPr>
      </w:pPr>
    </w:p>
    <w:p>
      <w:pPr>
        <w:jc w:val="both"/>
        <w:ind w:firstLine="379"/>
        <w:spacing w:after="0" w:line="268" w:lineRule="auto"/>
        <w:rPr>
          <w:sz w:val="20"/>
          <w:szCs w:val="20"/>
          <w:color w:val="auto"/>
        </w:rPr>
      </w:pPr>
      <w:r>
        <w:rPr>
          <w:rFonts w:ascii="Arial" w:cs="Arial" w:eastAsia="Arial" w:hAnsi="Arial"/>
          <w:sz w:val="19"/>
          <w:szCs w:val="19"/>
          <w:color w:val="auto"/>
        </w:rPr>
        <w:t>To the extent the option is exercised, each underwriter will become obligated, subject to certain conditions, to purchase the additional shares of our common stock in proportion to their respective commitments set forth in the table above.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Commissions and Discounts</w:t>
      </w:r>
    </w:p>
    <w:p>
      <w:pPr>
        <w:spacing w:after="0" w:line="2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underwriters propose to offer the shares of common stock directly to the public at the public offering price set forth on the cover page of this prospectus</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supplement, and to dealers at that price less a concession not in excess of $ per share of common stock. After this offering, the public offering price and any other term may be changed by the representatives. The underwriters reserve the right to withdraw, cancel or modify offers to the public and to reject orders in whole or in part.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1" w:name="page22"/>
    <w:bookmarkEnd w:id="21"/>
    <w:p>
      <w:pPr>
        <w:ind w:left="6"/>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ind w:left="6" w:firstLine="407"/>
        <w:spacing w:after="0" w:line="268" w:lineRule="auto"/>
        <w:rPr>
          <w:sz w:val="20"/>
          <w:szCs w:val="20"/>
          <w:color w:val="auto"/>
        </w:rPr>
      </w:pPr>
      <w:r>
        <w:rPr>
          <w:rFonts w:ascii="Arial" w:cs="Arial" w:eastAsia="Arial" w:hAnsi="Arial"/>
          <w:sz w:val="19"/>
          <w:szCs w:val="19"/>
          <w:color w:val="auto"/>
        </w:rPr>
        <w:t>The following table shows the public offering price, the underwriting discounts and the proceeds, before expenses, payable to us. The information assumes either no exercise or full exercise by the underwriters of their option to purchase additional shares.</w:t>
      </w:r>
    </w:p>
    <w:p>
      <w:pPr>
        <w:spacing w:after="0" w:line="249" w:lineRule="exact"/>
        <w:rPr>
          <w:sz w:val="20"/>
          <w:szCs w:val="20"/>
          <w:color w:val="auto"/>
        </w:rPr>
      </w:pPr>
    </w:p>
    <w:tbl>
      <w:tblPr>
        <w:tblLayout w:type="fixed"/>
        <w:tblInd w:w="426"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520" w:type="dxa"/>
            <w:vAlign w:val="bottom"/>
            <w:gridSpan w:val="3"/>
          </w:tcPr>
          <w:p>
            <w:pPr>
              <w:jc w:val="right"/>
              <w:ind w:right="389"/>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r>
      <w:tr>
        <w:trPr>
          <w:trHeight w:val="136"/>
        </w:trPr>
        <w:tc>
          <w:tcPr>
            <w:tcW w:w="78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680" w:type="dxa"/>
            <w:vAlign w:val="bottom"/>
            <w:tcBorders>
              <w:top w:val="single" w:sz="8" w:color="auto"/>
            </w:tcBorders>
          </w:tcPr>
          <w:p>
            <w:pPr>
              <w:jc w:val="right"/>
              <w:ind w:right="158"/>
              <w:spacing w:after="0" w:line="137" w:lineRule="exact"/>
              <w:rPr>
                <w:sz w:val="20"/>
                <w:szCs w:val="20"/>
                <w:color w:val="auto"/>
              </w:rPr>
            </w:pPr>
            <w:r>
              <w:rPr>
                <w:rFonts w:ascii="Arial" w:cs="Arial" w:eastAsia="Arial" w:hAnsi="Arial"/>
                <w:sz w:val="14"/>
                <w:szCs w:val="14"/>
                <w:b w:val="1"/>
                <w:bCs w:val="1"/>
                <w:color w:val="auto"/>
              </w:rPr>
              <w:t>No</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29"/>
              <w:spacing w:after="0" w:line="137" w:lineRule="exact"/>
              <w:rPr>
                <w:sz w:val="20"/>
                <w:szCs w:val="20"/>
                <w:color w:val="auto"/>
              </w:rPr>
            </w:pPr>
            <w:r>
              <w:rPr>
                <w:rFonts w:ascii="Arial" w:cs="Arial" w:eastAsia="Arial" w:hAnsi="Arial"/>
                <w:sz w:val="14"/>
                <w:szCs w:val="14"/>
                <w:b w:val="1"/>
                <w:bCs w:val="1"/>
                <w:color w:val="auto"/>
              </w:rPr>
              <w:t>Full</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ind w:right="89"/>
              <w:spacing w:after="0" w:line="137" w:lineRule="exact"/>
              <w:rPr>
                <w:sz w:val="20"/>
                <w:szCs w:val="20"/>
                <w:color w:val="auto"/>
              </w:rPr>
            </w:pPr>
            <w:r>
              <w:rPr>
                <w:rFonts w:ascii="Arial" w:cs="Arial" w:eastAsia="Arial" w:hAnsi="Arial"/>
                <w:sz w:val="14"/>
                <w:szCs w:val="14"/>
                <w:b w:val="1"/>
                <w:bCs w:val="1"/>
                <w:color w:val="auto"/>
              </w:rPr>
              <w:t>No</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220"/>
              <w:spacing w:after="0" w:line="137" w:lineRule="exact"/>
              <w:rPr>
                <w:sz w:val="20"/>
                <w:szCs w:val="20"/>
                <w:color w:val="auto"/>
              </w:rPr>
            </w:pPr>
            <w:r>
              <w:rPr>
                <w:rFonts w:ascii="Arial" w:cs="Arial" w:eastAsia="Arial" w:hAnsi="Arial"/>
                <w:sz w:val="14"/>
                <w:szCs w:val="14"/>
                <w:b w:val="1"/>
                <w:bCs w:val="1"/>
                <w:color w:val="auto"/>
              </w:rPr>
              <w:t>Full</w:t>
            </w:r>
          </w:p>
        </w:tc>
        <w:tc>
          <w:tcPr>
            <w:tcW w:w="1380" w:type="dxa"/>
            <w:vAlign w:val="bottom"/>
            <w:gridSpan w:val="2"/>
          </w:tcPr>
          <w:p>
            <w:pPr>
              <w:spacing w:after="0"/>
              <w:rPr>
                <w:sz w:val="11"/>
                <w:szCs w:val="11"/>
                <w:color w:val="auto"/>
              </w:rPr>
            </w:pPr>
          </w:p>
        </w:tc>
      </w:tr>
      <w:tr>
        <w:trPr>
          <w:trHeight w:val="172"/>
        </w:trPr>
        <w:tc>
          <w:tcPr>
            <w:tcW w:w="7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Exercise</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Exercise</w:t>
            </w:r>
          </w:p>
        </w:tc>
        <w:tc>
          <w:tcPr>
            <w:tcW w:w="1380" w:type="dxa"/>
            <w:vAlign w:val="bottom"/>
            <w:gridSpan w:val="2"/>
          </w:tcPr>
          <w:p>
            <w:pPr>
              <w:spacing w:after="0"/>
              <w:rPr>
                <w:sz w:val="14"/>
                <w:szCs w:val="14"/>
                <w:color w:val="auto"/>
              </w:rPr>
            </w:pPr>
          </w:p>
        </w:tc>
      </w:tr>
      <w:tr>
        <w:trPr>
          <w:trHeight w:val="222"/>
        </w:trPr>
        <w:tc>
          <w:tcPr>
            <w:tcW w:w="78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9"/>
                <w:szCs w:val="19"/>
                <w:color w:val="auto"/>
              </w:rPr>
              <w:t>Public offering price</w:t>
            </w:r>
          </w:p>
        </w:tc>
        <w:tc>
          <w:tcPr>
            <w:tcW w:w="680" w:type="dxa"/>
            <w:vAlign w:val="bottom"/>
            <w:shd w:val="clear" w:color="auto" w:fill="CCEEFF"/>
          </w:tcPr>
          <w:p>
            <w:pPr>
              <w:jc w:val="right"/>
              <w:ind w:right="498"/>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CCEEFF"/>
          </w:tcPr>
          <w:p>
            <w:pPr>
              <w:jc w:val="right"/>
              <w:ind w:right="509"/>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CCEEFF"/>
          </w:tcPr>
          <w:p>
            <w:pPr>
              <w:jc w:val="right"/>
              <w:ind w:right="429"/>
              <w:spacing w:after="0"/>
              <w:rPr>
                <w:sz w:val="20"/>
                <w:szCs w:val="20"/>
                <w:color w:val="auto"/>
              </w:rPr>
            </w:pPr>
            <w:r>
              <w:rPr>
                <w:rFonts w:ascii="Arial" w:cs="Arial" w:eastAsia="Arial" w:hAnsi="Arial"/>
                <w:sz w:val="19"/>
                <w:szCs w:val="19"/>
                <w:color w:val="auto"/>
              </w:rPr>
              <w:t>$</w:t>
            </w:r>
          </w:p>
        </w:tc>
        <w:tc>
          <w:tcPr>
            <w:tcW w:w="920" w:type="dxa"/>
            <w:vAlign w:val="bottom"/>
            <w:gridSpan w:val="3"/>
            <w:shd w:val="clear" w:color="auto" w:fill="CCEEFF"/>
          </w:tcPr>
          <w:p>
            <w:pPr>
              <w:jc w:val="right"/>
              <w:ind w:right="502"/>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78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9"/>
                <w:szCs w:val="19"/>
                <w:color w:val="auto"/>
              </w:rPr>
              <w:t>Underwriting discount</w:t>
            </w:r>
          </w:p>
        </w:tc>
        <w:tc>
          <w:tcPr>
            <w:tcW w:w="680" w:type="dxa"/>
            <w:vAlign w:val="bottom"/>
          </w:tcPr>
          <w:p>
            <w:pPr>
              <w:jc w:val="right"/>
              <w:ind w:right="498"/>
              <w:spacing w:after="0"/>
              <w:rPr>
                <w:sz w:val="20"/>
                <w:szCs w:val="20"/>
                <w:color w:val="auto"/>
              </w:rPr>
            </w:pPr>
            <w:r>
              <w:rPr>
                <w:rFonts w:ascii="Arial" w:cs="Arial" w:eastAsia="Arial" w:hAnsi="Arial"/>
                <w:sz w:val="19"/>
                <w:szCs w:val="19"/>
                <w:color w:val="auto"/>
                <w:w w:val="75"/>
              </w:rPr>
              <w:t>$</w:t>
            </w:r>
          </w:p>
        </w:tc>
        <w:tc>
          <w:tcPr>
            <w:tcW w:w="840" w:type="dxa"/>
            <w:vAlign w:val="bottom"/>
            <w:gridSpan w:val="2"/>
          </w:tcPr>
          <w:p>
            <w:pPr>
              <w:jc w:val="right"/>
              <w:ind w:right="509"/>
              <w:spacing w:after="0"/>
              <w:rPr>
                <w:sz w:val="20"/>
                <w:szCs w:val="20"/>
                <w:color w:val="auto"/>
              </w:rPr>
            </w:pPr>
            <w:r>
              <w:rPr>
                <w:rFonts w:ascii="Arial" w:cs="Arial" w:eastAsia="Arial" w:hAnsi="Arial"/>
                <w:sz w:val="19"/>
                <w:szCs w:val="19"/>
                <w:color w:val="auto"/>
              </w:rPr>
              <w:t>$</w:t>
            </w:r>
          </w:p>
        </w:tc>
        <w:tc>
          <w:tcPr>
            <w:tcW w:w="760" w:type="dxa"/>
            <w:vAlign w:val="bottom"/>
            <w:gridSpan w:val="2"/>
          </w:tcPr>
          <w:p>
            <w:pPr>
              <w:jc w:val="right"/>
              <w:ind w:right="429"/>
              <w:spacing w:after="0"/>
              <w:rPr>
                <w:sz w:val="20"/>
                <w:szCs w:val="20"/>
                <w:color w:val="auto"/>
              </w:rPr>
            </w:pPr>
            <w:r>
              <w:rPr>
                <w:rFonts w:ascii="Arial" w:cs="Arial" w:eastAsia="Arial" w:hAnsi="Arial"/>
                <w:sz w:val="19"/>
                <w:szCs w:val="19"/>
                <w:color w:val="auto"/>
              </w:rPr>
              <w:t>$</w:t>
            </w:r>
          </w:p>
        </w:tc>
        <w:tc>
          <w:tcPr>
            <w:tcW w:w="920" w:type="dxa"/>
            <w:vAlign w:val="bottom"/>
            <w:gridSpan w:val="3"/>
          </w:tcPr>
          <w:p>
            <w:pPr>
              <w:jc w:val="right"/>
              <w:ind w:right="502"/>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78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9"/>
                <w:szCs w:val="19"/>
                <w:color w:val="auto"/>
              </w:rPr>
              <w:t>Proceeds, before expenses, to us</w:t>
            </w:r>
          </w:p>
        </w:tc>
        <w:tc>
          <w:tcPr>
            <w:tcW w:w="680" w:type="dxa"/>
            <w:vAlign w:val="bottom"/>
            <w:shd w:val="clear" w:color="auto" w:fill="CCEEFF"/>
          </w:tcPr>
          <w:p>
            <w:pPr>
              <w:jc w:val="right"/>
              <w:ind w:right="498"/>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CCEEFF"/>
          </w:tcPr>
          <w:p>
            <w:pPr>
              <w:jc w:val="right"/>
              <w:ind w:right="509"/>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CCEEFF"/>
          </w:tcPr>
          <w:p>
            <w:pPr>
              <w:jc w:val="right"/>
              <w:ind w:right="429"/>
              <w:spacing w:after="0"/>
              <w:rPr>
                <w:sz w:val="20"/>
                <w:szCs w:val="20"/>
                <w:color w:val="auto"/>
              </w:rPr>
            </w:pPr>
            <w:r>
              <w:rPr>
                <w:rFonts w:ascii="Arial" w:cs="Arial" w:eastAsia="Arial" w:hAnsi="Arial"/>
                <w:sz w:val="19"/>
                <w:szCs w:val="19"/>
                <w:color w:val="auto"/>
              </w:rPr>
              <w:t>$</w:t>
            </w:r>
          </w:p>
        </w:tc>
        <w:tc>
          <w:tcPr>
            <w:tcW w:w="920" w:type="dxa"/>
            <w:vAlign w:val="bottom"/>
            <w:gridSpan w:val="3"/>
            <w:shd w:val="clear" w:color="auto" w:fill="CCEEFF"/>
          </w:tcPr>
          <w:p>
            <w:pPr>
              <w:jc w:val="right"/>
              <w:ind w:right="502"/>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19"/>
                <w:szCs w:val="19"/>
                <w:color w:val="auto"/>
              </w:rPr>
            </w:pPr>
          </w:p>
        </w:tc>
        <w:tc>
          <w:tcPr>
            <w:tcW w:w="1220" w:type="dxa"/>
            <w:vAlign w:val="bottom"/>
          </w:tcPr>
          <w:p>
            <w:pPr>
              <w:spacing w:after="0"/>
              <w:rPr>
                <w:sz w:val="19"/>
                <w:szCs w:val="19"/>
                <w:color w:val="auto"/>
              </w:rPr>
            </w:pPr>
          </w:p>
        </w:tc>
      </w:tr>
      <w:tr>
        <w:trPr>
          <w:trHeight w:val="453"/>
        </w:trPr>
        <w:tc>
          <w:tcPr>
            <w:tcW w:w="9280" w:type="dxa"/>
            <w:vAlign w:val="bottom"/>
            <w:gridSpan w:val="7"/>
          </w:tcPr>
          <w:p>
            <w:pPr>
              <w:jc w:val="right"/>
              <w:ind w:right="129"/>
              <w:spacing w:after="0"/>
              <w:rPr>
                <w:sz w:val="20"/>
                <w:szCs w:val="20"/>
                <w:color w:val="auto"/>
              </w:rPr>
            </w:pPr>
            <w:r>
              <w:rPr>
                <w:rFonts w:ascii="Arial" w:cs="Arial" w:eastAsia="Arial" w:hAnsi="Arial"/>
                <w:sz w:val="19"/>
                <w:szCs w:val="19"/>
                <w:color w:val="auto"/>
                <w:w w:val="89"/>
              </w:rPr>
              <w:t>The expenses of the offering, not including the underwriting discount, payable by us are estimated to be approximately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3"/>
          </w:tcPr>
          <w:p>
            <w:pPr>
              <w:ind w:left="200"/>
              <w:spacing w:after="0"/>
              <w:rPr>
                <w:sz w:val="20"/>
                <w:szCs w:val="20"/>
                <w:color w:val="auto"/>
              </w:rPr>
            </w:pPr>
            <w:r>
              <w:rPr>
                <w:rFonts w:ascii="Arial" w:cs="Arial" w:eastAsia="Arial" w:hAnsi="Arial"/>
                <w:sz w:val="19"/>
                <w:szCs w:val="19"/>
                <w:color w:val="auto"/>
                <w:w w:val="87"/>
              </w:rPr>
              <w:t>. We have also agreed to</w:t>
            </w:r>
          </w:p>
        </w:tc>
      </w:tr>
    </w:tbl>
    <w:p>
      <w:pPr>
        <w:jc w:val="both"/>
        <w:ind w:left="6"/>
        <w:spacing w:after="0" w:line="261" w:lineRule="auto"/>
        <w:rPr>
          <w:sz w:val="20"/>
          <w:szCs w:val="20"/>
          <w:color w:val="auto"/>
        </w:rPr>
      </w:pPr>
      <w:r>
        <w:rPr>
          <w:rFonts w:ascii="Arial" w:cs="Arial" w:eastAsia="Arial" w:hAnsi="Arial"/>
          <w:sz w:val="19"/>
          <w:szCs w:val="19"/>
          <w:color w:val="auto"/>
        </w:rPr>
        <w:t>reimburse the underwriters for certain of their expenses incurred in connection with this offering in an amount up to $20,000. The underwriters have agreed to reimburse us for certain of our expenses in connection with this offering.</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Indemnification of Underwriters</w:t>
      </w:r>
    </w:p>
    <w:p>
      <w:pPr>
        <w:spacing w:after="0" w:line="242" w:lineRule="exact"/>
        <w:rPr>
          <w:sz w:val="20"/>
          <w:szCs w:val="20"/>
          <w:color w:val="auto"/>
        </w:rPr>
      </w:pPr>
    </w:p>
    <w:p>
      <w:pPr>
        <w:jc w:val="both"/>
        <w:ind w:left="6" w:firstLine="474"/>
        <w:spacing w:after="0" w:line="319" w:lineRule="auto"/>
        <w:rPr>
          <w:sz w:val="20"/>
          <w:szCs w:val="20"/>
          <w:color w:val="auto"/>
        </w:rPr>
      </w:pPr>
      <w:r>
        <w:rPr>
          <w:rFonts w:ascii="Arial" w:cs="Arial" w:eastAsia="Arial" w:hAnsi="Arial"/>
          <w:sz w:val="16"/>
          <w:szCs w:val="16"/>
          <w:color w:val="auto"/>
        </w:rPr>
        <w:t>We have agreed to indemnify the several underwriters against certain liabilities, including liabilities under the Securities Act relating to losses or claims resulting from material misstatements in or omissions from this prospectus supplement, the registration statement of which this prospectus supplement is a part, any documents incorporated by reference herein, certain free writing prospectuses that may be used in the offering and in any marketing materials used in connection with this offering and to contribute to payments the underwriters may be required to make in respect of those liabilities.</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No Sales of Similar Securities</w:t>
      </w:r>
    </w:p>
    <w:p>
      <w:pPr>
        <w:spacing w:after="0" w:line="242" w:lineRule="exact"/>
        <w:rPr>
          <w:sz w:val="20"/>
          <w:szCs w:val="20"/>
          <w:color w:val="auto"/>
        </w:rPr>
      </w:pPr>
    </w:p>
    <w:p>
      <w:pPr>
        <w:jc w:val="both"/>
        <w:ind w:left="6" w:firstLine="492"/>
        <w:spacing w:after="0" w:line="299" w:lineRule="auto"/>
        <w:rPr>
          <w:sz w:val="20"/>
          <w:szCs w:val="20"/>
          <w:color w:val="auto"/>
        </w:rPr>
      </w:pPr>
      <w:r>
        <w:rPr>
          <w:rFonts w:ascii="Arial" w:cs="Arial" w:eastAsia="Arial" w:hAnsi="Arial"/>
          <w:sz w:val="16"/>
          <w:szCs w:val="16"/>
          <w:color w:val="auto"/>
        </w:rPr>
        <w:t>We have agreed, subject to limited exceptions, that we will not: (i)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shares of our common stock, (ii) enter into any swap or other agreement that transfers, in whole or in part, any of the economic consequences of ownership of the shares of our common stock, whether any such transaction described in clause (i) or (ii) above is to be settled by delivery of shares of our common stock or such other securities, in cash or otherwise, or</w:t>
      </w:r>
    </w:p>
    <w:p>
      <w:pPr>
        <w:spacing w:after="0" w:line="2" w:lineRule="exact"/>
        <w:rPr>
          <w:sz w:val="20"/>
          <w:szCs w:val="20"/>
          <w:color w:val="auto"/>
        </w:rPr>
      </w:pPr>
    </w:p>
    <w:p>
      <w:pPr>
        <w:jc w:val="both"/>
        <w:ind w:left="6" w:hanging="6"/>
        <w:spacing w:after="0" w:line="255" w:lineRule="auto"/>
        <w:tabs>
          <w:tab w:leader="none" w:pos="337"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conduct any sales or other activities pursuant to the Sales Agreement with Stifel and under any prospectus supplement filed in relation thereto, in each case without the prior written consent of Stifel, as representative, for a period continuing to and including the date 90 days after the date of this prospectus supplement.</w:t>
      </w:r>
    </w:p>
    <w:p>
      <w:pPr>
        <w:spacing w:after="0" w:line="209" w:lineRule="exact"/>
        <w:rPr>
          <w:sz w:val="20"/>
          <w:szCs w:val="20"/>
          <w:color w:val="auto"/>
        </w:rPr>
      </w:pPr>
    </w:p>
    <w:p>
      <w:pPr>
        <w:jc w:val="both"/>
        <w:ind w:left="6" w:firstLine="414"/>
        <w:spacing w:after="0" w:line="305" w:lineRule="auto"/>
        <w:rPr>
          <w:sz w:val="20"/>
          <w:szCs w:val="20"/>
          <w:color w:val="auto"/>
        </w:rPr>
      </w:pPr>
      <w:r>
        <w:rPr>
          <w:rFonts w:ascii="Arial" w:cs="Arial" w:eastAsia="Arial" w:hAnsi="Arial"/>
          <w:sz w:val="16"/>
          <w:szCs w:val="16"/>
          <w:color w:val="auto"/>
        </w:rPr>
        <w:t>Our executive officers and directors have entered into lock-up agreements with the underwriters prior to commencement of this offering pursuant to which each of these persons, with limited exceptions, for a period continuing to and including the date 90 days after the date of this prospectus supplement, may not, without the prior written consent of Stifel: (i) offer, sell, contract to sell (including any short sale), pledge, hypothecate, establish an open "put equivalent position" within the meaning of Rule 16a-1(h) under the Exchange Act, grant any option, right or warrant for the sale of, purchase any option or contract to sell, sell any option or contract to purchase, or otherwise encumber, dispose of or transfer, or grant any rights with respect to, directly or indirectly, any shares of our common stock or securities convertible into or exchangeable or exercisable for any shares of shares of our common stock, enter into a transaction which would have the same effect, (ii) enter into any swap, hedge or other arrangement that transfers, in whole or in part, any of the economic consequences of ownership of the shares of our common stock, whether any such transaction described in clause (i) or (ii) above is to be settled by delivery of the shares of our common stock or such other securities, in cash or otherwise, or (iii) publicly disclose the intention to make</w:t>
      </w:r>
    </w:p>
    <w:p>
      <w:pPr>
        <w:spacing w:after="0" w:line="177"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762889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22" w:name="page23"/>
    <w:bookmarkEnd w:id="2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any such offer, sale, pledge or disposition, or to enter into any such transaction, swap, hedge or other arrangement.</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Passive Market-Making</w:t>
      </w:r>
    </w:p>
    <w:p>
      <w:pPr>
        <w:spacing w:after="0" w:line="242"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9"/>
          <w:szCs w:val="19"/>
          <w:color w:val="auto"/>
        </w:rPr>
        <w:t>In connection with the offering, the underwriters may engage in passive market-making transactions in the shares of our common stock on the Nasdaq Global Market in accordance with Rule 103 of Regulation M under the Exchange Act during the period before the commencement of offers or sales of shares of our common stock and extending through the completion and distribution. A passive market-maker must display its bids at a price not in excess of the highest independent bid of the security. However, if all independent bids are lowered below the passive market-maker's bid, that bid must be lowered when specified purchase limits are exceeded.</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Electronic Offer, Sale and Distribution of Shares</w:t>
      </w:r>
    </w:p>
    <w:p>
      <w:pPr>
        <w:spacing w:after="0" w:line="242" w:lineRule="exact"/>
        <w:rPr>
          <w:sz w:val="20"/>
          <w:szCs w:val="20"/>
          <w:color w:val="auto"/>
        </w:rPr>
      </w:pPr>
    </w:p>
    <w:p>
      <w:pPr>
        <w:jc w:val="both"/>
        <w:ind w:firstLine="560"/>
        <w:spacing w:after="0" w:line="255" w:lineRule="auto"/>
        <w:rPr>
          <w:sz w:val="20"/>
          <w:szCs w:val="20"/>
          <w:color w:val="auto"/>
        </w:rPr>
      </w:pPr>
      <w:r>
        <w:rPr>
          <w:rFonts w:ascii="Arial" w:cs="Arial" w:eastAsia="Arial" w:hAnsi="Arial"/>
          <w:sz w:val="19"/>
          <w:szCs w:val="19"/>
          <w:color w:val="auto"/>
        </w:rPr>
        <w:t>In connection with this offering, certain of the underwriters or securities dealers may distribute prospectuses by electronic means, such as e-mail. In addition, one or more of the underwriters may facilitate Internet distribution for this offering to certain of their Internet subscription customers. Any such underwriter may allocate a limited number of shares for sale to its online brokerage customers. An electronic prospectus is available on the Internet websites maintained by any such underwriter. Other than the prospectus in electronic format, the information on the websites of any such underwriter is not part of this prospectus supplement.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Short Sales, Stabilizing Transactions and Penalty Bids</w:t>
      </w:r>
    </w:p>
    <w:p>
      <w:pPr>
        <w:spacing w:after="0" w:line="242" w:lineRule="exact"/>
        <w:rPr>
          <w:sz w:val="20"/>
          <w:szCs w:val="20"/>
          <w:color w:val="auto"/>
        </w:rPr>
      </w:pPr>
    </w:p>
    <w:p>
      <w:pPr>
        <w:jc w:val="both"/>
        <w:ind w:right="20" w:firstLine="371"/>
        <w:spacing w:after="0" w:line="364" w:lineRule="auto"/>
        <w:rPr>
          <w:sz w:val="20"/>
          <w:szCs w:val="20"/>
          <w:color w:val="auto"/>
        </w:rPr>
      </w:pPr>
      <w:r>
        <w:rPr>
          <w:rFonts w:ascii="Arial" w:cs="Arial" w:eastAsia="Arial" w:hAnsi="Arial"/>
          <w:sz w:val="16"/>
          <w:szCs w:val="16"/>
          <w:color w:val="auto"/>
        </w:rPr>
        <w:t>In order to facilitate this offering, persons participating in this offering may engage in transactions that stabilize, maintain or otherwise affect the price of our common stock during and after this offering. Specifically, the underwriters may engage in the following activities in accordance with the rules of the SEC.</w:t>
      </w:r>
    </w:p>
    <w:p>
      <w:pPr>
        <w:spacing w:after="0" w:line="126" w:lineRule="exact"/>
        <w:rPr>
          <w:sz w:val="20"/>
          <w:szCs w:val="20"/>
          <w:color w:val="auto"/>
        </w:rPr>
      </w:pPr>
    </w:p>
    <w:p>
      <w:pPr>
        <w:jc w:val="both"/>
        <w:ind w:firstLine="460"/>
        <w:spacing w:after="0" w:line="307" w:lineRule="auto"/>
        <w:rPr>
          <w:sz w:val="20"/>
          <w:szCs w:val="20"/>
          <w:color w:val="auto"/>
        </w:rPr>
      </w:pPr>
      <w:r>
        <w:rPr>
          <w:rFonts w:ascii="Arial" w:cs="Arial" w:eastAsia="Arial" w:hAnsi="Arial"/>
          <w:sz w:val="16"/>
          <w:szCs w:val="16"/>
          <w:i w:val="1"/>
          <w:iCs w:val="1"/>
          <w:color w:val="auto"/>
        </w:rPr>
        <w:t xml:space="preserve">Short sales. </w:t>
      </w:r>
      <w:r>
        <w:rPr>
          <w:rFonts w:ascii="Arial" w:cs="Arial" w:eastAsia="Arial" w:hAnsi="Arial"/>
          <w:sz w:val="16"/>
          <w:szCs w:val="16"/>
          <w:color w:val="auto"/>
        </w:rPr>
        <w:t>Short sales involve the sales by the underwriters of a greater number of shares than they are required to purchase in the offering.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short sales are short sales made in an amount not greater than the underwriters' option to purchase additional shares from us in this offering. The underwriters may close out any covered short position by either exercising their option to purchase additional shares or by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Naked short sales are any short sales in excess of such option to purchase additional shares.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w:t>
      </w:r>
    </w:p>
    <w:p>
      <w:pPr>
        <w:spacing w:after="0" w:line="171"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9"/>
          <w:szCs w:val="19"/>
          <w:i w:val="1"/>
          <w:iCs w:val="1"/>
          <w:color w:val="auto"/>
        </w:rPr>
        <w:t xml:space="preserve">Stabilizing transactions. </w:t>
      </w:r>
      <w:r>
        <w:rPr>
          <w:rFonts w:ascii="Arial" w:cs="Arial" w:eastAsia="Arial" w:hAnsi="Arial"/>
          <w:sz w:val="19"/>
          <w:szCs w:val="19"/>
          <w:color w:val="auto"/>
        </w:rPr>
        <w:t>The underwriters may make bids for or purchases of the shares for the purpose of pegging, fixing, or maintaining the price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shares, so long as stabilizing bids do not exceed a specified maximum.</w:t>
      </w:r>
    </w:p>
    <w:p>
      <w:pPr>
        <w:spacing w:after="0" w:line="197"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9"/>
          <w:szCs w:val="19"/>
          <w:i w:val="1"/>
          <w:iCs w:val="1"/>
          <w:color w:val="auto"/>
        </w:rPr>
        <w:t xml:space="preserve">Penalty bids. </w:t>
      </w:r>
      <w:r>
        <w:rPr>
          <w:rFonts w:ascii="Arial" w:cs="Arial" w:eastAsia="Arial" w:hAnsi="Arial"/>
          <w:sz w:val="19"/>
          <w:szCs w:val="19"/>
          <w:color w:val="auto"/>
        </w:rPr>
        <w:t>If the underwriters purchase shares in the open market in a stabilizing transaction or syndicate covering transaction, they may reclaim a</w:t>
      </w:r>
      <w:r>
        <w:rPr>
          <w:rFonts w:ascii="Arial" w:cs="Arial" w:eastAsia="Arial" w:hAnsi="Arial"/>
          <w:sz w:val="19"/>
          <w:szCs w:val="19"/>
          <w:i w:val="1"/>
          <w:iCs w:val="1"/>
          <w:color w:val="auto"/>
        </w:rPr>
        <w:t xml:space="preserve"> </w:t>
      </w:r>
      <w:r>
        <w:rPr>
          <w:rFonts w:ascii="Arial" w:cs="Arial" w:eastAsia="Arial" w:hAnsi="Arial"/>
          <w:sz w:val="19"/>
          <w:szCs w:val="19"/>
          <w:color w:val="auto"/>
        </w:rPr>
        <w:t>selling concession from the underwriters and selling 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presales of the shares.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3" w:name="page24"/>
    <w:bookmarkEnd w:id="2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9"/>
          <w:szCs w:val="19"/>
          <w:color w:val="auto"/>
        </w:rPr>
        <w:t>The transactions above may occur on the Nasdaq Global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Miscellaneous</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shares of our common stock are traded on the Nasdaq Global Market under the symbol "SELB."</w:t>
      </w:r>
    </w:p>
    <w:p>
      <w:pPr>
        <w:spacing w:after="0" w:line="241" w:lineRule="exact"/>
        <w:rPr>
          <w:sz w:val="20"/>
          <w:szCs w:val="20"/>
          <w:color w:val="auto"/>
        </w:rPr>
      </w:pPr>
    </w:p>
    <w:p>
      <w:pPr>
        <w:jc w:val="both"/>
        <w:ind w:right="20" w:firstLine="417"/>
        <w:spacing w:after="0" w:line="214" w:lineRule="auto"/>
        <w:rPr>
          <w:sz w:val="20"/>
          <w:szCs w:val="20"/>
          <w:color w:val="auto"/>
        </w:rPr>
      </w:pPr>
      <w:r>
        <w:rPr>
          <w:rFonts w:ascii="Arial" w:cs="Arial" w:eastAsia="Arial" w:hAnsi="Arial"/>
          <w:sz w:val="19"/>
          <w:szCs w:val="19"/>
          <w:color w:val="auto"/>
        </w:rPr>
        <w:t>The transfer agent and registrar for the shares of our common stock is the American Stock Transfer &amp; Trust Company, LLC, 6201 15</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Avenue, Brooklyn, NY 11219.</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Relationships</w:t>
      </w:r>
    </w:p>
    <w:p>
      <w:pPr>
        <w:spacing w:after="0" w:line="242"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9"/>
          <w:szCs w:val="19"/>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provided in the past to us and our affiliates, and may in the future provide, various commercial banking, financial advisory, investment banking and other services for us and such affiliates in the ordinary course of their business, for which they have received and may continue to receive customary fees and commissions.</w:t>
      </w:r>
    </w:p>
    <w:p>
      <w:pPr>
        <w:spacing w:after="0" w:line="208"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and relate to our assets, securities or instruments (directly, as collateral securing other obligations or otherwise) or persons and entities with relationships with us. The underwriters and their respective affiliates may also communicate independent investment recommendations, market color or trading ideas and publish or express independent research views in respect of such assets, securities or instruments and may at any time hold, or recommend to clients that they should acquire, long or short positions in such assets, securities and instruments.</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SELLING RESTRICTIONS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42"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9"/>
          <w:szCs w:val="19"/>
          <w:color w:val="auto"/>
        </w:rPr>
        <w:t>Other than in the United States, no action has been taken by us or the underwriters that would permit a public offering of the securities offered by this prospectus supplement in any jurisdiction where action for that purpose is required.</w:t>
      </w:r>
    </w:p>
    <w:p>
      <w:pPr>
        <w:spacing w:after="0" w:line="197" w:lineRule="exact"/>
        <w:rPr>
          <w:sz w:val="20"/>
          <w:szCs w:val="20"/>
          <w:color w:val="auto"/>
        </w:rPr>
      </w:pPr>
    </w:p>
    <w:p>
      <w:pPr>
        <w:jc w:val="both"/>
        <w:ind w:right="20" w:firstLine="592"/>
        <w:spacing w:after="0" w:line="271" w:lineRule="auto"/>
        <w:rPr>
          <w:sz w:val="20"/>
          <w:szCs w:val="20"/>
          <w:color w:val="auto"/>
        </w:rPr>
      </w:pPr>
      <w:r>
        <w:rPr>
          <w:rFonts w:ascii="Arial" w:cs="Arial" w:eastAsia="Arial" w:hAnsi="Arial"/>
          <w:sz w:val="18"/>
          <w:szCs w:val="18"/>
          <w:color w:val="auto"/>
        </w:rPr>
        <w:t>The shares of our common stock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Israel</w:t>
      </w:r>
    </w:p>
    <w:p>
      <w:pPr>
        <w:spacing w:after="0" w:line="242"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9"/>
          <w:szCs w:val="19"/>
          <w:color w:val="auto"/>
        </w:rPr>
        <w:t>This document does not constitute a prospectus under the Israeli Securities Law, 5728-1968, the Securities Law, and has not been filed with or approved by the Israel Securities Authority. In the State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4" w:name="page25"/>
    <w:bookmarkEnd w:id="2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Israel, this document is being distributed only to, and is directed only at, and any offer of the shares of our common stock is directed only at, investors listed in the first addendum to the Israeli Securities Law, or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European Economic Area</w:t>
      </w:r>
    </w:p>
    <w:p>
      <w:pPr>
        <w:spacing w:after="0" w:line="242"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9"/>
          <w:szCs w:val="19"/>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no offer of shares described in this prospectus supplement may be made to the public in that Relevant Member State other than under the following exemptions in the Prospectus Directive:</w:t>
      </w:r>
    </w:p>
    <w:p>
      <w:pPr>
        <w:spacing w:after="0" w:line="223" w:lineRule="exact"/>
        <w:rPr>
          <w:sz w:val="20"/>
          <w:szCs w:val="20"/>
          <w:color w:val="auto"/>
        </w:rPr>
      </w:pPr>
    </w:p>
    <w:p>
      <w:pPr>
        <w:ind w:left="1140" w:hanging="575"/>
        <w:spacing w:after="0"/>
        <w:tabs>
          <w:tab w:leader="none" w:pos="11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266" w:lineRule="exact"/>
        <w:rPr>
          <w:rFonts w:ascii="Arial" w:cs="Arial" w:eastAsia="Arial" w:hAnsi="Arial"/>
          <w:sz w:val="19"/>
          <w:szCs w:val="19"/>
          <w:color w:val="auto"/>
        </w:rPr>
      </w:pPr>
    </w:p>
    <w:p>
      <w:pPr>
        <w:ind w:left="1140" w:hanging="575"/>
        <w:spacing w:after="0" w:line="268" w:lineRule="auto"/>
        <w:tabs>
          <w:tab w:leader="none" w:pos="11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fewer than 150 natural or legal persons (other than qualified investors as defined in the Prospectus Directive) in such Relevant Member State, subject to obtaining the prior consent of the underwriters; or</w:t>
      </w:r>
    </w:p>
    <w:p>
      <w:pPr>
        <w:spacing w:after="0" w:line="210" w:lineRule="exact"/>
        <w:rPr>
          <w:rFonts w:ascii="Arial" w:cs="Arial" w:eastAsia="Arial" w:hAnsi="Arial"/>
          <w:sz w:val="19"/>
          <w:szCs w:val="19"/>
          <w:color w:val="auto"/>
        </w:rPr>
      </w:pPr>
    </w:p>
    <w:p>
      <w:pPr>
        <w:jc w:val="both"/>
        <w:ind w:left="1140" w:hanging="575"/>
        <w:spacing w:after="0" w:line="272"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us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us and each of the underwriters that it is a "qualified investor" within the meaning of the law in that Relevant Member State implementing Article 2(1)(e) of the Prospectus Directive.</w:t>
      </w:r>
    </w:p>
    <w:p>
      <w:pPr>
        <w:spacing w:after="0" w:line="196" w:lineRule="exact"/>
        <w:rPr>
          <w:sz w:val="20"/>
          <w:szCs w:val="20"/>
          <w:color w:val="auto"/>
        </w:rPr>
      </w:pPr>
    </w:p>
    <w:p>
      <w:pPr>
        <w:jc w:val="both"/>
        <w:ind w:firstLine="519"/>
        <w:spacing w:after="0" w:line="272"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their representative has been obtained to each such proposed offer or resale.</w:t>
      </w:r>
    </w:p>
    <w:p>
      <w:pPr>
        <w:spacing w:after="0" w:line="196" w:lineRule="exact"/>
        <w:rPr>
          <w:sz w:val="20"/>
          <w:szCs w:val="20"/>
          <w:color w:val="auto"/>
        </w:rPr>
      </w:pPr>
    </w:p>
    <w:p>
      <w:pPr>
        <w:jc w:val="both"/>
        <w:ind w:firstLine="512"/>
        <w:spacing w:after="0" w:line="255" w:lineRule="auto"/>
        <w:rPr>
          <w:sz w:val="20"/>
          <w:szCs w:val="20"/>
          <w:color w:val="auto"/>
        </w:rPr>
      </w:pPr>
      <w:r>
        <w:rPr>
          <w:rFonts w:ascii="Arial" w:cs="Arial" w:eastAsia="Arial" w:hAnsi="Arial"/>
          <w:sz w:val="19"/>
          <w:szCs w:val="19"/>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Kingdom</w:t>
      </w:r>
    </w:p>
    <w:p>
      <w:pPr>
        <w:spacing w:after="0" w:line="242" w:lineRule="exact"/>
        <w:rPr>
          <w:sz w:val="20"/>
          <w:szCs w:val="20"/>
          <w:color w:val="auto"/>
        </w:rPr>
      </w:pPr>
    </w:p>
    <w:p>
      <w:pPr>
        <w:jc w:val="both"/>
        <w:ind w:firstLine="388"/>
        <w:spacing w:after="0" w:line="364" w:lineRule="auto"/>
        <w:rPr>
          <w:sz w:val="20"/>
          <w:szCs w:val="20"/>
          <w:color w:val="auto"/>
        </w:rPr>
      </w:pPr>
      <w:r>
        <w:rPr>
          <w:rFonts w:ascii="Arial" w:cs="Arial" w:eastAsia="Arial" w:hAnsi="Arial"/>
          <w:sz w:val="16"/>
          <w:szCs w:val="16"/>
          <w:color w:val="auto"/>
        </w:rPr>
        <w:t>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5" w:name="page26"/>
    <w:bookmarkEnd w:id="2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Article 19(5) of the Financial Services and Markets Act 2000 (Financial Promotion) Order 2005, as amended, or the Order, 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209"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9"/>
          <w:szCs w:val="19"/>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Switzerland</w:t>
      </w:r>
    </w:p>
    <w:p>
      <w:pPr>
        <w:spacing w:after="0" w:line="242" w:lineRule="exact"/>
        <w:rPr>
          <w:sz w:val="20"/>
          <w:szCs w:val="20"/>
          <w:color w:val="auto"/>
        </w:rPr>
      </w:pPr>
    </w:p>
    <w:p>
      <w:pPr>
        <w:jc w:val="both"/>
        <w:ind w:firstLine="539"/>
        <w:spacing w:after="0" w:line="31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5" w:lineRule="exact"/>
        <w:rPr>
          <w:sz w:val="20"/>
          <w:szCs w:val="20"/>
          <w:color w:val="auto"/>
        </w:rPr>
      </w:pPr>
    </w:p>
    <w:p>
      <w:pPr>
        <w:jc w:val="both"/>
        <w:ind w:firstLine="410"/>
        <w:spacing w:after="0" w:line="255" w:lineRule="auto"/>
        <w:rPr>
          <w:sz w:val="20"/>
          <w:szCs w:val="20"/>
          <w:color w:val="auto"/>
        </w:rPr>
      </w:pPr>
      <w:r>
        <w:rPr>
          <w:rFonts w:ascii="Arial" w:cs="Arial" w:eastAsia="Arial" w:hAnsi="Arial"/>
          <w:sz w:val="19"/>
          <w:szCs w:val="19"/>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Australia</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This prospectus supplement:</w:t>
      </w:r>
    </w:p>
    <w:p>
      <w:pPr>
        <w:sectPr>
          <w:pgSz w:w="12240" w:h="15840" w:orient="portrait"/>
          <w:cols w:equalWidth="0" w:num="1">
            <w:col w:w="12000"/>
          </w:cols>
          <w:pgMar w:left="120" w:top="0" w:right="120" w:bottom="1440" w:gutter="0" w:footer="0" w:header="0"/>
        </w:sect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does not constitute a product disclosure document or a prospectus under Chapter 6D.2 of the Corporations Act 2001 (Cth), or the Corporations Act;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jc w:val="both"/>
        <w:ind w:firstLine="492"/>
        <w:spacing w:after="0" w:line="319"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26" w:name="page27"/>
    <w:bookmarkEnd w:id="2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ind w:firstLine="468"/>
        <w:spacing w:after="0" w:line="314"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Hong Kong</w:t>
      </w:r>
    </w:p>
    <w:p>
      <w:pPr>
        <w:spacing w:after="0" w:line="242" w:lineRule="exact"/>
        <w:rPr>
          <w:sz w:val="20"/>
          <w:szCs w:val="20"/>
          <w:color w:val="auto"/>
        </w:rPr>
      </w:pPr>
    </w:p>
    <w:p>
      <w:pPr>
        <w:jc w:val="both"/>
        <w:ind w:firstLine="377"/>
        <w:spacing w:after="0" w:line="307"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Japan</w:t>
      </w:r>
    </w:p>
    <w:p>
      <w:pPr>
        <w:spacing w:after="0" w:line="242" w:lineRule="exact"/>
        <w:rPr>
          <w:sz w:val="20"/>
          <w:szCs w:val="20"/>
          <w:color w:val="auto"/>
        </w:rPr>
      </w:pPr>
    </w:p>
    <w:p>
      <w:pPr>
        <w:jc w:val="both"/>
        <w:ind w:firstLine="388"/>
        <w:spacing w:after="0" w:line="254" w:lineRule="auto"/>
        <w:rPr>
          <w:sz w:val="20"/>
          <w:szCs w:val="20"/>
          <w:color w:val="auto"/>
        </w:rPr>
      </w:pPr>
      <w:r>
        <w:rPr>
          <w:rFonts w:ascii="Arial" w:cs="Arial" w:eastAsia="Arial" w:hAnsi="Arial"/>
          <w:sz w:val="19"/>
          <w:szCs w:val="19"/>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Singapore</w:t>
      </w:r>
    </w:p>
    <w:p>
      <w:pPr>
        <w:spacing w:after="0" w:line="242"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Where the shares are subscribed or purchased under Section 275 of the SFA by a relevant person which is:</w:t>
      </w:r>
    </w:p>
    <w:p>
      <w:pPr>
        <w:spacing w:after="0" w:line="252" w:lineRule="exact"/>
        <w:rPr>
          <w:sz w:val="20"/>
          <w:szCs w:val="20"/>
          <w:color w:val="auto"/>
        </w:rPr>
      </w:pPr>
    </w:p>
    <w:p>
      <w:pPr>
        <w:ind w:left="1140" w:hanging="575"/>
        <w:spacing w:after="0" w:line="268" w:lineRule="auto"/>
        <w:tabs>
          <w:tab w:leader="none" w:pos="11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7" w:name="page28"/>
    <w:bookmarkEnd w:id="2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42" w:lineRule="exact"/>
        <w:rPr>
          <w:sz w:val="20"/>
          <w:szCs w:val="20"/>
          <w:color w:val="auto"/>
        </w:rPr>
      </w:pPr>
    </w:p>
    <w:p>
      <w:pPr>
        <w:ind w:left="1140" w:hanging="575"/>
        <w:spacing w:after="0" w:line="268" w:lineRule="auto"/>
        <w:tabs>
          <w:tab w:leader="none" w:pos="11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trust (where the trustee is not an accredited investor) whose sole purpose is to hold investments and each beneficiary of the trust is an individual who is an accredited investor,</w:t>
      </w:r>
    </w:p>
    <w:p>
      <w:pPr>
        <w:spacing w:after="0" w:line="197" w:lineRule="exact"/>
        <w:rPr>
          <w:sz w:val="20"/>
          <w:szCs w:val="20"/>
          <w:color w:val="auto"/>
        </w:rPr>
      </w:pPr>
    </w:p>
    <w:p>
      <w:pPr>
        <w:spacing w:after="0" w:line="364"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55" w:lineRule="exact"/>
        <w:rPr>
          <w:sz w:val="20"/>
          <w:szCs w:val="20"/>
          <w:color w:val="auto"/>
        </w:rPr>
      </w:pPr>
    </w:p>
    <w:p>
      <w:pPr>
        <w:ind w:left="1140" w:hanging="575"/>
        <w:spacing w:after="0" w:line="268" w:lineRule="auto"/>
        <w:tabs>
          <w:tab w:leader="none" w:pos="11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to an institutional investor or to a relevant person defined in Section 275(2) of the SFA, or to any person arising from an offer referred to in Section 275(1A) or Section 276(4)(i)(B) of the SFA;</w:t>
      </w:r>
    </w:p>
    <w:p>
      <w:pPr>
        <w:spacing w:after="0" w:line="210" w:lineRule="exact"/>
        <w:rPr>
          <w:rFonts w:ascii="Arial" w:cs="Arial" w:eastAsia="Arial" w:hAnsi="Arial"/>
          <w:sz w:val="19"/>
          <w:szCs w:val="19"/>
          <w:color w:val="auto"/>
        </w:rPr>
      </w:pPr>
    </w:p>
    <w:p>
      <w:pPr>
        <w:ind w:left="1140" w:hanging="575"/>
        <w:spacing w:after="0"/>
        <w:tabs>
          <w:tab w:leader="none" w:pos="1140" w:val="left"/>
        </w:tabs>
        <w:numPr>
          <w:ilvl w:val="0"/>
          <w:numId w:val="8"/>
        </w:numPr>
        <w:rPr>
          <w:rFonts w:ascii="Arial" w:cs="Arial" w:eastAsia="Arial" w:hAnsi="Arial"/>
          <w:sz w:val="19"/>
          <w:szCs w:val="19"/>
          <w:color w:val="auto"/>
        </w:rPr>
      </w:pPr>
      <w:r>
        <w:rPr>
          <w:rFonts w:ascii="Arial" w:cs="Arial" w:eastAsia="Arial" w:hAnsi="Arial"/>
          <w:sz w:val="19"/>
          <w:szCs w:val="19"/>
          <w:color w:val="auto"/>
        </w:rPr>
        <w:t>where no consideration is or will be given for the transfer;</w:t>
      </w:r>
    </w:p>
    <w:p>
      <w:pPr>
        <w:spacing w:after="0" w:line="252" w:lineRule="exact"/>
        <w:rPr>
          <w:rFonts w:ascii="Arial" w:cs="Arial" w:eastAsia="Arial" w:hAnsi="Arial"/>
          <w:sz w:val="19"/>
          <w:szCs w:val="19"/>
          <w:color w:val="auto"/>
        </w:rPr>
      </w:pPr>
    </w:p>
    <w:p>
      <w:pPr>
        <w:ind w:left="1140" w:hanging="575"/>
        <w:spacing w:after="0"/>
        <w:tabs>
          <w:tab w:leader="none" w:pos="1140" w:val="left"/>
        </w:tabs>
        <w:numPr>
          <w:ilvl w:val="0"/>
          <w:numId w:val="8"/>
        </w:numPr>
        <w:rPr>
          <w:rFonts w:ascii="Arial" w:cs="Arial" w:eastAsia="Arial" w:hAnsi="Arial"/>
          <w:sz w:val="19"/>
          <w:szCs w:val="19"/>
          <w:color w:val="auto"/>
        </w:rPr>
      </w:pPr>
      <w:r>
        <w:rPr>
          <w:rFonts w:ascii="Arial" w:cs="Arial" w:eastAsia="Arial" w:hAnsi="Arial"/>
          <w:sz w:val="19"/>
          <w:szCs w:val="19"/>
          <w:color w:val="auto"/>
        </w:rPr>
        <w:t>where the transfer is by operation of law;</w:t>
      </w:r>
    </w:p>
    <w:p>
      <w:pPr>
        <w:spacing w:after="0" w:line="266" w:lineRule="exact"/>
        <w:rPr>
          <w:rFonts w:ascii="Arial" w:cs="Arial" w:eastAsia="Arial" w:hAnsi="Arial"/>
          <w:sz w:val="19"/>
          <w:szCs w:val="19"/>
          <w:color w:val="auto"/>
        </w:rPr>
      </w:pPr>
    </w:p>
    <w:p>
      <w:pPr>
        <w:ind w:left="1140" w:hanging="575"/>
        <w:spacing w:after="0"/>
        <w:tabs>
          <w:tab w:leader="none" w:pos="11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as specified in Section 276(7) of the SFA; or</w:t>
      </w:r>
    </w:p>
    <w:p>
      <w:pPr>
        <w:spacing w:after="0" w:line="252" w:lineRule="exact"/>
        <w:rPr>
          <w:rFonts w:ascii="Arial" w:cs="Arial" w:eastAsia="Arial" w:hAnsi="Arial"/>
          <w:sz w:val="19"/>
          <w:szCs w:val="19"/>
          <w:color w:val="auto"/>
        </w:rPr>
      </w:pPr>
    </w:p>
    <w:p>
      <w:pPr>
        <w:ind w:left="1140" w:hanging="575"/>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China</w:t>
      </w:r>
    </w:p>
    <w:p>
      <w:pPr>
        <w:spacing w:after="0" w:line="242"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8"/>
          <w:szCs w:val="18"/>
          <w:color w:val="auto"/>
        </w:rPr>
        <w:t>This prospectus supplement does not constitute a public offer of the shares, whether by sale or subscription, in the People's Republic of China, or PRC. The shares are not being offered or sold directly or indirectly in the PRC to or for the benefit of, legal or natural persons of the PRC.</w:t>
      </w:r>
    </w:p>
    <w:p>
      <w:pPr>
        <w:spacing w:after="0" w:line="172"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9"/>
          <w:szCs w:val="19"/>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05" w:lineRule="exact"/>
        <w:rPr>
          <w:sz w:val="20"/>
          <w:szCs w:val="20"/>
          <w:color w:val="auto"/>
        </w:rPr>
      </w:pPr>
    </w:p>
    <w:p>
      <w:pPr>
        <w:jc w:val="both"/>
        <w:ind w:firstLine="482"/>
        <w:spacing w:after="0" w:line="255" w:lineRule="auto"/>
        <w:rPr>
          <w:sz w:val="20"/>
          <w:szCs w:val="20"/>
          <w:color w:val="auto"/>
        </w:rPr>
      </w:pPr>
      <w:r>
        <w:rPr>
          <w:rFonts w:ascii="Arial" w:cs="Arial" w:eastAsia="Arial" w:hAnsi="Arial"/>
          <w:sz w:val="19"/>
          <w:szCs w:val="19"/>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Canada</w:t>
      </w:r>
    </w:p>
    <w:p>
      <w:pPr>
        <w:spacing w:after="0" w:line="242" w:lineRule="exact"/>
        <w:rPr>
          <w:sz w:val="20"/>
          <w:szCs w:val="20"/>
          <w:color w:val="auto"/>
        </w:rPr>
      </w:pPr>
    </w:p>
    <w:p>
      <w:pPr>
        <w:jc w:val="both"/>
        <w:ind w:firstLine="544"/>
        <w:spacing w:after="0" w:line="27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92" w:lineRule="exact"/>
        <w:rPr>
          <w:sz w:val="20"/>
          <w:szCs w:val="20"/>
          <w:color w:val="auto"/>
        </w:rPr>
      </w:pPr>
    </w:p>
    <w:p>
      <w:pPr>
        <w:jc w:val="both"/>
        <w:ind w:firstLine="532"/>
        <w:spacing w:after="0" w:line="27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8" w:name="page29"/>
    <w:bookmarkEnd w:id="2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firstLine="379"/>
        <w:spacing w:after="0" w:line="268" w:lineRule="auto"/>
        <w:rPr>
          <w:sz w:val="20"/>
          <w:szCs w:val="20"/>
          <w:color w:val="auto"/>
        </w:rPr>
      </w:pPr>
      <w:r>
        <w:rPr>
          <w:rFonts w:ascii="Arial" w:cs="Arial" w:eastAsia="Arial" w:hAnsi="Arial"/>
          <w:sz w:val="19"/>
          <w:szCs w:val="19"/>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Zealand</w:t>
      </w:r>
    </w:p>
    <w:p>
      <w:pPr>
        <w:spacing w:after="0" w:line="242" w:lineRule="exact"/>
        <w:rPr>
          <w:sz w:val="20"/>
          <w:szCs w:val="20"/>
          <w:color w:val="auto"/>
        </w:rPr>
      </w:pPr>
    </w:p>
    <w:p>
      <w:pPr>
        <w:ind w:firstLine="399"/>
        <w:spacing w:after="0" w:line="364" w:lineRule="auto"/>
        <w:rPr>
          <w:sz w:val="20"/>
          <w:szCs w:val="20"/>
          <w:color w:val="auto"/>
        </w:rPr>
      </w:pPr>
      <w:r>
        <w:rPr>
          <w:rFonts w:ascii="Arial" w:cs="Arial" w:eastAsia="Arial" w:hAnsi="Arial"/>
          <w:sz w:val="16"/>
          <w:szCs w:val="16"/>
          <w:color w:val="auto"/>
        </w:rPr>
        <w:t>The shares of our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ectPr>
          <w:pgSz w:w="12240" w:h="15840" w:orient="portrait"/>
          <w:cols w:equalWidth="0" w:num="1">
            <w:col w:w="12000"/>
          </w:cols>
          <w:pgMar w:left="120" w:top="0" w:right="120" w:bottom="1440" w:gutter="0" w:footer="0" w:header="0"/>
        </w:sectPr>
      </w:pPr>
    </w:p>
    <w:p>
      <w:pPr>
        <w:spacing w:after="0" w:line="12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to persons whose principal business is the investment of money or who, in the course of and for the purposes of their business, habitually invest money;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persons who in all the circumstances can properly be regarded as having been selected otherwise than as members of the public;</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in other circumstances where there is no contravention of the Securities Act 1978 of New Zealand (or any statutory modification or reenactment of, or statutory substitution for, the Securities Act 1978 of New Zealand).</w:t>
      </w:r>
    </w:p>
    <w:p>
      <w:pPr>
        <w:spacing w:after="0" w:line="197"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60"/>
          </w:cols>
          <w:pgMar w:left="120" w:top="0" w:right="120" w:bottom="1440" w:gutter="0" w:footer="0" w:header="0"/>
          <w:type w:val="continuous"/>
        </w:sectPr>
      </w:pPr>
    </w:p>
    <w:bookmarkStart w:id="29" w:name="page30"/>
    <w:bookmarkEnd w:id="2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LEGAL MATTERS</w:t>
      </w:r>
    </w:p>
    <w:p>
      <w:pPr>
        <w:spacing w:after="0" w:line="242"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9"/>
          <w:szCs w:val="19"/>
          <w:color w:val="auto"/>
        </w:rPr>
        <w:t>The validity of the shares of common stock offered hereby will be passed upon for us by Latham &amp; Watkins LLP. Certain legal matters will be passed upon for the underwriters by Cooley LLP, New York, New York.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EXPERTS</w:t>
      </w:r>
    </w:p>
    <w:p>
      <w:pPr>
        <w:spacing w:after="0" w:line="242"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9"/>
          <w:szCs w:val="19"/>
          <w:color w:val="auto"/>
        </w:rPr>
        <w:t>The consolidated financial statements of Selecta Biosciences, Inc. appearing in Selecta Biosciences, Inc.'s Annual Report on Form 10-K for the year ended December 31, 2017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0" w:name="page31"/>
    <w:bookmarkEnd w:id="3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WHERE YOU CAN FIND MORE INFORMATION; INCORPORATION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42"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8"/>
          <w:szCs w:val="18"/>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w:t>
      </w:r>
    </w:p>
    <w:p>
      <w:pPr>
        <w:spacing w:after="0" w:line="17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9"/>
          <w:szCs w:val="19"/>
          <w:color w:val="auto"/>
        </w:rPr>
        <w:t>Our web site address is www.selectabio.com. The information on our web site, however, is not, and should not be deemed to be, a part of this prospectus supplement.</w:t>
      </w:r>
    </w:p>
    <w:p>
      <w:pPr>
        <w:spacing w:after="0" w:line="197"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9"/>
          <w:szCs w:val="19"/>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the address for which is provided above.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Incorporation by Reference</w:t>
      </w:r>
    </w:p>
    <w:p>
      <w:pPr>
        <w:spacing w:after="0" w:line="242" w:lineRule="exact"/>
        <w:rPr>
          <w:sz w:val="20"/>
          <w:szCs w:val="20"/>
          <w:color w:val="auto"/>
        </w:rPr>
      </w:pPr>
    </w:p>
    <w:p>
      <w:pPr>
        <w:jc w:val="both"/>
        <w:ind w:firstLine="383"/>
        <w:spacing w:after="0" w:line="271" w:lineRule="auto"/>
        <w:rPr>
          <w:sz w:val="20"/>
          <w:szCs w:val="20"/>
          <w:color w:val="auto"/>
        </w:rPr>
      </w:pPr>
      <w:r>
        <w:rPr>
          <w:rFonts w:ascii="Arial" w:cs="Arial" w:eastAsia="Arial" w:hAnsi="Arial"/>
          <w:sz w:val="18"/>
          <w:szCs w:val="18"/>
          <w:color w:val="auto"/>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and the accompanying prospectus to the extent that a statement contained in this prospectus supplement or the accompanying prospectus modifies or replaces that statement.</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incorporate by reference the following information or documents that we have filed with the SEC:</w:t>
      </w:r>
    </w:p>
    <w:p>
      <w:pPr>
        <w:sectPr>
          <w:pgSz w:w="12240" w:h="15840" w:orient="portrait"/>
          <w:cols w:equalWidth="0" w:num="1">
            <w:col w:w="12000"/>
          </w:cols>
          <w:pgMar w:left="120" w:top="0" w:right="120" w:bottom="1440" w:gutter="0" w:footer="0" w:header="0"/>
        </w:sect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Our Annual Report on Form 10-K for the year ended December 31, 2017, filed with the SEC on March 15, 2018.</w:t>
      </w:r>
    </w:p>
    <w:p>
      <w:pPr>
        <w:spacing w:after="0" w:line="3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Our Quarterly Reports on Form 10-Q for the quarters ended March 31, 2018, June 30, 2018 and September 30, 2018, filed with the SEC on May 9, 2018, August 8, 2018 and November 8, 2018, respectively.</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Our Definitive Proxy Statement on Schedule 14A, filed with the SEC on April 25, 2018 (with respect to those portions incorporated by reference into our Annual Report on Form 10-K for the year ended December 31, 2017).</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Current Reports on Form 8-K filed with the SEC on January 2, 2018, January 8, 2018 (solely with respect to Item 8.01), June 4, 2018 (solely with respect to Item 8.01), June 15, 2018 (solely with respect to Items 5.02 and 8.01), June 19, 2018, September 27, 2018 (solely with respect to Item 5.02), October 17, 2018, October 22, 2018 (solely with respect to Item 8.01), October 23, 2018 (solely with respect to Item 8.01), December 3, 2018, January 3, 2019 (solely with respect to Items 2.05 and 8.01), and January 22, 2018.</w:t>
      </w:r>
    </w:p>
    <w:p>
      <w:pPr>
        <w:spacing w:after="0" w:line="3"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The description of our Common Stock contained in our Registration Statement on Form 8-A, filed with the SEC on June 8, 2016, and any amendment or report filed with the SEC for the purpose of updating the description.</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firstLine="441"/>
        <w:spacing w:after="0" w:line="364" w:lineRule="auto"/>
        <w:rPr>
          <w:sz w:val="20"/>
          <w:szCs w:val="20"/>
          <w:color w:val="auto"/>
        </w:rPr>
      </w:pPr>
      <w:r>
        <w:rPr>
          <w:rFonts w:ascii="Arial" w:cs="Arial" w:eastAsia="Arial" w:hAnsi="Arial"/>
          <w:sz w:val="16"/>
          <w:szCs w:val="16"/>
          <w:color w:val="auto"/>
        </w:rPr>
        <w:t>We incorporate by reference into this prospectus supplement and accompanying prospectus all reports and other documents we subsequently file with the SEC pursuant to Sections 13(a), 13(c), 14 or 15(d) of the Securities Exchange Act of 1934, as amended, between the date of this prospectus supplement and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31" w:name="page32"/>
    <w:bookmarkEnd w:id="3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termination of the offering of the securities described in this prospectus supplement.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 The reports and documents specifically listed above or filed in the future (excluding any information furnished to, rather than filed with, the SEC) are deemed to be part of this prospectus supplement and accompanying prospectus from the date of the filing of such reports and documents.</w:t>
      </w:r>
    </w:p>
    <w:p>
      <w:pPr>
        <w:spacing w:after="0" w:line="208"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9"/>
          <w:szCs w:val="19"/>
          <w:color w:val="auto"/>
        </w:rPr>
        <w:t>You may request a free copy of any of the documents incorporated by reference in this prospectus supplement (other than exhibits, unless they are specifically incorporated by reference in the documents) by writing or telephoning us at the following address: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Selecta Biosciences,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480 Arsenal Way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Watertown, MA 02472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(617) 923-1400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2" w:name="page33"/>
    <w:bookmarkEnd w:id="32"/>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160020</wp:posOffset>
            </wp:positionV>
            <wp:extent cx="3893820" cy="1005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93820" cy="100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Selecta Biosciences, Inc.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$200,000,000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Common Stock</w:t>
      </w:r>
    </w:p>
    <w:p>
      <w:pPr>
        <w:jc w:val="center"/>
        <w:spacing w:after="0"/>
        <w:rPr>
          <w:sz w:val="20"/>
          <w:szCs w:val="20"/>
          <w:color w:val="auto"/>
        </w:rPr>
      </w:pPr>
      <w:r>
        <w:rPr>
          <w:rFonts w:ascii="Arial" w:cs="Arial" w:eastAsia="Arial" w:hAnsi="Arial"/>
          <w:sz w:val="26"/>
          <w:szCs w:val="26"/>
          <w:b w:val="1"/>
          <w:bCs w:val="1"/>
          <w:color w:val="auto"/>
        </w:rPr>
        <w:t>Preferred Stock</w:t>
      </w:r>
    </w:p>
    <w:p>
      <w:pPr>
        <w:jc w:val="center"/>
        <w:spacing w:after="0"/>
        <w:rPr>
          <w:sz w:val="20"/>
          <w:szCs w:val="20"/>
          <w:color w:val="auto"/>
        </w:rPr>
      </w:pPr>
      <w:r>
        <w:rPr>
          <w:rFonts w:ascii="Arial" w:cs="Arial" w:eastAsia="Arial" w:hAnsi="Arial"/>
          <w:sz w:val="26"/>
          <w:szCs w:val="26"/>
          <w:b w:val="1"/>
          <w:bCs w:val="1"/>
          <w:color w:val="auto"/>
        </w:rPr>
        <w:t>Debt Securities</w:t>
      </w:r>
    </w:p>
    <w:p>
      <w:pPr>
        <w:jc w:val="center"/>
        <w:spacing w:after="0"/>
        <w:rPr>
          <w:sz w:val="20"/>
          <w:szCs w:val="20"/>
          <w:color w:val="auto"/>
        </w:rPr>
      </w:pPr>
      <w:r>
        <w:rPr>
          <w:rFonts w:ascii="Arial" w:cs="Arial" w:eastAsia="Arial" w:hAnsi="Arial"/>
          <w:sz w:val="26"/>
          <w:szCs w:val="26"/>
          <w:b w:val="1"/>
          <w:bCs w:val="1"/>
          <w:color w:val="auto"/>
        </w:rPr>
        <w:t>Warrants</w:t>
      </w:r>
    </w:p>
    <w:p>
      <w:pPr>
        <w:jc w:val="center"/>
        <w:spacing w:after="0"/>
        <w:rPr>
          <w:sz w:val="20"/>
          <w:szCs w:val="20"/>
          <w:color w:val="auto"/>
        </w:rPr>
      </w:pPr>
      <w:r>
        <w:rPr>
          <w:rFonts w:ascii="Arial" w:cs="Arial" w:eastAsia="Arial" w:hAnsi="Arial"/>
          <w:sz w:val="26"/>
          <w:szCs w:val="26"/>
          <w:b w:val="1"/>
          <w:bCs w:val="1"/>
          <w:color w:val="auto"/>
        </w:rPr>
        <w:t>Units</w:t>
      </w:r>
    </w:p>
    <w:p>
      <w:pPr>
        <w:spacing w:after="0" w:line="219" w:lineRule="exact"/>
        <w:rPr>
          <w:sz w:val="20"/>
          <w:szCs w:val="20"/>
          <w:color w:val="auto"/>
        </w:rPr>
      </w:pPr>
    </w:p>
    <w:p>
      <w:pPr>
        <w:ind w:right="360" w:firstLine="368"/>
        <w:spacing w:after="0" w:line="268" w:lineRule="auto"/>
        <w:rPr>
          <w:sz w:val="20"/>
          <w:szCs w:val="20"/>
          <w:color w:val="auto"/>
        </w:rPr>
      </w:pPr>
      <w:r>
        <w:rPr>
          <w:rFonts w:ascii="Arial" w:cs="Arial" w:eastAsia="Arial" w:hAnsi="Arial"/>
          <w:sz w:val="19"/>
          <w:szCs w:val="19"/>
          <w:color w:val="auto"/>
        </w:rPr>
        <w:t>We may offer and sell up to $200,000,000 in the aggregate of the securities identified above from time to time in one or more offerings. This prospectus provides you with a general description of the securities.</w:t>
      </w:r>
    </w:p>
    <w:p>
      <w:pPr>
        <w:spacing w:after="0" w:line="197" w:lineRule="exact"/>
        <w:rPr>
          <w:sz w:val="20"/>
          <w:szCs w:val="20"/>
          <w:color w:val="auto"/>
        </w:rPr>
      </w:pPr>
    </w:p>
    <w:p>
      <w:pPr>
        <w:ind w:right="20" w:firstLine="371"/>
        <w:spacing w:after="0" w:line="280"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88" w:lineRule="exact"/>
        <w:rPr>
          <w:sz w:val="20"/>
          <w:szCs w:val="20"/>
          <w:color w:val="auto"/>
        </w:rPr>
      </w:pPr>
    </w:p>
    <w:p>
      <w:pPr>
        <w:ind w:firstLine="368"/>
        <w:spacing w:after="0" w:line="254" w:lineRule="auto"/>
        <w:rPr>
          <w:sz w:val="20"/>
          <w:szCs w:val="20"/>
          <w:color w:val="auto"/>
        </w:rPr>
      </w:pPr>
      <w:r>
        <w:rPr>
          <w:rFonts w:ascii="Arial" w:cs="Arial" w:eastAsia="Arial" w:hAnsi="Arial"/>
          <w:sz w:val="19"/>
          <w:szCs w:val="19"/>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90" w:lineRule="exact"/>
        <w:rPr>
          <w:sz w:val="20"/>
          <w:szCs w:val="20"/>
          <w:color w:val="auto"/>
        </w:rPr>
      </w:pPr>
    </w:p>
    <w:p>
      <w:pPr>
        <w:ind w:right="280" w:firstLine="371"/>
        <w:spacing w:after="0" w:line="264" w:lineRule="auto"/>
        <w:rPr>
          <w:sz w:val="20"/>
          <w:szCs w:val="20"/>
          <w:color w:val="auto"/>
        </w:rPr>
      </w:pPr>
      <w:r>
        <w:rPr>
          <w:rFonts w:ascii="Arial" w:cs="Arial" w:eastAsia="Arial" w:hAnsi="Arial"/>
          <w:sz w:val="22"/>
          <w:szCs w:val="22"/>
          <w:b w:val="1"/>
          <w:bCs w:val="1"/>
          <w:color w:val="auto"/>
        </w:rPr>
        <w:t>INVESTING IN OUR SECURITIES INVOLVES RISKS. SEE THE "</w:t>
      </w:r>
      <w:r>
        <w:rPr>
          <w:rFonts w:ascii="Arial" w:cs="Arial" w:eastAsia="Arial" w:hAnsi="Arial"/>
          <w:sz w:val="22"/>
          <w:szCs w:val="22"/>
          <w:b w:val="1"/>
          <w:bCs w:val="1"/>
          <w:i w:val="1"/>
          <w:iCs w:val="1"/>
          <w:color w:val="auto"/>
        </w:rPr>
        <w:t>RISK FACTORS</w:t>
      </w:r>
      <w:r>
        <w:rPr>
          <w:rFonts w:ascii="Arial" w:cs="Arial" w:eastAsia="Arial" w:hAnsi="Arial"/>
          <w:sz w:val="22"/>
          <w:szCs w:val="22"/>
          <w:b w:val="1"/>
          <w:bCs w:val="1"/>
          <w:color w:val="auto"/>
        </w:rPr>
        <w:t>" ON PAGE 5 OF THIS PROSPECTUS AND ANY SIMILAR SECTION CONTAINED IN THE APPLICABLE PROSPECTUS SUPPLEMENT CONCERNING FACTORS YOU SHOULD CONSIDER BEFORE INVESTING IN OUR SECURITIES.</w:t>
      </w:r>
    </w:p>
    <w:p>
      <w:pPr>
        <w:spacing w:after="0" w:line="183" w:lineRule="exact"/>
        <w:rPr>
          <w:sz w:val="20"/>
          <w:szCs w:val="20"/>
          <w:color w:val="auto"/>
        </w:rPr>
      </w:pPr>
    </w:p>
    <w:p>
      <w:pPr>
        <w:ind w:right="380" w:firstLine="371"/>
        <w:spacing w:after="0" w:line="268" w:lineRule="auto"/>
        <w:rPr>
          <w:sz w:val="20"/>
          <w:szCs w:val="20"/>
          <w:color w:val="auto"/>
        </w:rPr>
      </w:pPr>
      <w:r>
        <w:rPr>
          <w:rFonts w:ascii="Arial" w:cs="Arial" w:eastAsia="Arial" w:hAnsi="Arial"/>
          <w:sz w:val="19"/>
          <w:szCs w:val="19"/>
          <w:color w:val="auto"/>
        </w:rPr>
        <w:t>Our common stock is listed on the NASDAQ Global Market under the symbol "</w:t>
      </w:r>
      <w:r>
        <w:rPr>
          <w:rFonts w:ascii="Arial" w:cs="Arial" w:eastAsia="Arial" w:hAnsi="Arial"/>
          <w:sz w:val="19"/>
          <w:szCs w:val="19"/>
          <w:i w:val="1"/>
          <w:iCs w:val="1"/>
          <w:color w:val="auto"/>
        </w:rPr>
        <w:t>SELB</w:t>
      </w:r>
      <w:r>
        <w:rPr>
          <w:rFonts w:ascii="Arial" w:cs="Arial" w:eastAsia="Arial" w:hAnsi="Arial"/>
          <w:sz w:val="19"/>
          <w:szCs w:val="19"/>
          <w:color w:val="auto"/>
        </w:rPr>
        <w:t>." On August 10, 2017, the last reported sale price of our common stock on the NASDAQ Global Market was $16.97 per share.</w:t>
      </w:r>
    </w:p>
    <w:p>
      <w:pPr>
        <w:spacing w:after="0" w:line="193" w:lineRule="exact"/>
        <w:rPr>
          <w:sz w:val="20"/>
          <w:szCs w:val="20"/>
          <w:color w:val="auto"/>
        </w:rPr>
      </w:pPr>
    </w:p>
    <w:p>
      <w:pPr>
        <w:ind w:right="320" w:firstLine="371"/>
        <w:spacing w:after="0" w:line="30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date of this prospectus is August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62889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5"/>
        </w:trPr>
        <w:tc>
          <w:tcPr>
            <w:tcW w:w="10140" w:type="dxa"/>
            <w:vAlign w:val="bottom"/>
            <w:gridSpan w:val="18"/>
          </w:tcPr>
          <w:p>
            <w:pPr>
              <w:spacing w:after="0" w:line="185" w:lineRule="exact"/>
              <w:rPr>
                <w:rFonts w:ascii="Arial" w:cs="Arial" w:eastAsia="Arial" w:hAnsi="Arial"/>
                <w:sz w:val="19"/>
                <w:szCs w:val="19"/>
                <w:color w:val="0000EE"/>
              </w:rPr>
            </w:pPr>
            <w:hyperlink w:anchor="page34">
              <w:r>
                <w:rPr>
                  <w:rFonts w:ascii="Arial" w:cs="Arial" w:eastAsia="Arial" w:hAnsi="Arial"/>
                  <w:sz w:val="19"/>
                  <w:szCs w:val="19"/>
                  <w:color w:val="0000EE"/>
                </w:rPr>
                <w:t>Table of Contents</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704"/>
        </w:trPr>
        <w:tc>
          <w:tcPr>
            <w:tcW w:w="1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2"/>
          </w:tcPr>
          <w:p>
            <w:pPr>
              <w:ind w:left="380"/>
              <w:spacing w:after="0"/>
              <w:rPr>
                <w:sz w:val="20"/>
                <w:szCs w:val="20"/>
                <w:color w:val="auto"/>
              </w:rPr>
            </w:pPr>
            <w:r>
              <w:rPr>
                <w:rFonts w:ascii="Arial" w:cs="Arial" w:eastAsia="Arial" w:hAnsi="Arial"/>
                <w:sz w:val="19"/>
                <w:szCs w:val="19"/>
                <w:b w:val="1"/>
                <w:bCs w:val="1"/>
                <w:color w:val="auto"/>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7"/>
        </w:trPr>
        <w:tc>
          <w:tcPr>
            <w:tcW w:w="1200" w:type="dxa"/>
            <w:vAlign w:val="bottom"/>
          </w:tcPr>
          <w:p>
            <w:pPr>
              <w:spacing w:after="0"/>
              <w:rPr>
                <w:sz w:val="24"/>
                <w:szCs w:val="24"/>
                <w:color w:val="auto"/>
              </w:rPr>
            </w:pPr>
          </w:p>
        </w:tc>
        <w:tc>
          <w:tcPr>
            <w:tcW w:w="2300" w:type="dxa"/>
            <w:vAlign w:val="bottom"/>
            <w:tcBorders>
              <w:bottom w:val="single" w:sz="8" w:color="0000EE"/>
            </w:tcBorders>
            <w:gridSpan w:val="11"/>
          </w:tcPr>
          <w:p>
            <w:pPr>
              <w:spacing w:after="0"/>
              <w:rPr>
                <w:rFonts w:ascii="Arial" w:cs="Arial" w:eastAsia="Arial" w:hAnsi="Arial"/>
                <w:sz w:val="19"/>
                <w:szCs w:val="19"/>
                <w:color w:val="0000EE"/>
                <w:w w:val="91"/>
              </w:rPr>
            </w:pPr>
            <w:hyperlink w:anchor="page35">
              <w:r>
                <w:rPr>
                  <w:rFonts w:ascii="Arial" w:cs="Arial" w:eastAsia="Arial" w:hAnsi="Arial"/>
                  <w:sz w:val="19"/>
                  <w:szCs w:val="19"/>
                  <w:color w:val="0000EE"/>
                  <w:w w:val="91"/>
                </w:rPr>
                <w:t>ABOUT THIS PROSPECTUS</w:t>
              </w:r>
            </w:hyperlink>
          </w:p>
        </w:tc>
        <w:tc>
          <w:tcPr>
            <w:tcW w:w="664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9"/>
                <w:szCs w:val="19"/>
                <w:color w:val="0000EE"/>
                <w:w w:val="75"/>
              </w:rPr>
            </w:pPr>
            <w:hyperlink w:anchor="page35">
              <w:r>
                <w:rPr>
                  <w:rFonts w:ascii="Arial" w:cs="Arial" w:eastAsia="Arial" w:hAnsi="Arial"/>
                  <w:sz w:val="19"/>
                  <w:szCs w:val="19"/>
                  <w:color w:val="0000EE"/>
                  <w:w w:val="75"/>
                </w:rPr>
                <w:t>1</w:t>
              </w:r>
            </w:hyperlink>
          </w:p>
        </w:tc>
        <w:tc>
          <w:tcPr>
            <w:tcW w:w="1200" w:type="dxa"/>
            <w:vAlign w:val="bottom"/>
          </w:tcPr>
          <w:p>
            <w:pPr>
              <w:spacing w:after="0"/>
              <w:rPr>
                <w:sz w:val="24"/>
                <w:szCs w:val="24"/>
                <w:color w:val="auto"/>
              </w:rPr>
            </w:pPr>
          </w:p>
        </w:tc>
      </w:tr>
      <w:tr>
        <w:trPr>
          <w:trHeight w:val="208"/>
        </w:trPr>
        <w:tc>
          <w:tcPr>
            <w:tcW w:w="1200" w:type="dxa"/>
            <w:vAlign w:val="bottom"/>
          </w:tcPr>
          <w:p>
            <w:pPr>
              <w:spacing w:after="0"/>
              <w:rPr>
                <w:sz w:val="18"/>
                <w:szCs w:val="18"/>
                <w:color w:val="auto"/>
              </w:rPr>
            </w:pPr>
          </w:p>
        </w:tc>
        <w:tc>
          <w:tcPr>
            <w:tcW w:w="6940" w:type="dxa"/>
            <w:vAlign w:val="bottom"/>
            <w:tcBorders>
              <w:bottom w:val="single" w:sz="8" w:color="0000EE"/>
            </w:tcBorders>
            <w:gridSpan w:val="16"/>
          </w:tcPr>
          <w:p>
            <w:pPr>
              <w:spacing w:after="0" w:line="208" w:lineRule="exact"/>
              <w:rPr>
                <w:rFonts w:ascii="Arial" w:cs="Arial" w:eastAsia="Arial" w:hAnsi="Arial"/>
                <w:sz w:val="19"/>
                <w:szCs w:val="19"/>
                <w:color w:val="0000EE"/>
                <w:w w:val="93"/>
              </w:rPr>
            </w:pPr>
            <w:hyperlink w:anchor="page36">
              <w:r>
                <w:rPr>
                  <w:rFonts w:ascii="Arial" w:cs="Arial" w:eastAsia="Arial" w:hAnsi="Arial"/>
                  <w:sz w:val="19"/>
                  <w:szCs w:val="19"/>
                  <w:color w:val="0000EE"/>
                  <w:w w:val="93"/>
                </w:rPr>
                <w:t>WHERE YOU CAN FIND MORE INFORMATION; INCORPORATION BY REFERENCE</w:t>
              </w:r>
            </w:hyperlink>
          </w:p>
        </w:tc>
        <w:tc>
          <w:tcPr>
            <w:tcW w:w="20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line="208" w:lineRule="exact"/>
              <w:rPr>
                <w:rFonts w:ascii="Arial" w:cs="Arial" w:eastAsia="Arial" w:hAnsi="Arial"/>
                <w:sz w:val="19"/>
                <w:szCs w:val="19"/>
                <w:color w:val="0000EE"/>
                <w:w w:val="75"/>
              </w:rPr>
            </w:pPr>
            <w:hyperlink w:anchor="page36">
              <w:r>
                <w:rPr>
                  <w:rFonts w:ascii="Arial" w:cs="Arial" w:eastAsia="Arial" w:hAnsi="Arial"/>
                  <w:sz w:val="19"/>
                  <w:szCs w:val="19"/>
                  <w:color w:val="0000EE"/>
                  <w:w w:val="75"/>
                </w:rPr>
                <w:t>2</w:t>
              </w:r>
            </w:hyperlink>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1320" w:type="dxa"/>
            <w:vAlign w:val="bottom"/>
            <w:tcBorders>
              <w:bottom w:val="single" w:sz="8" w:color="0000EE"/>
            </w:tcBorders>
            <w:gridSpan w:val="5"/>
          </w:tcPr>
          <w:p>
            <w:pPr>
              <w:spacing w:after="0" w:line="208" w:lineRule="exact"/>
              <w:rPr>
                <w:rFonts w:ascii="Arial" w:cs="Arial" w:eastAsia="Arial" w:hAnsi="Arial"/>
                <w:sz w:val="19"/>
                <w:szCs w:val="19"/>
                <w:color w:val="0000EE"/>
                <w:w w:val="93"/>
              </w:rPr>
            </w:pPr>
            <w:hyperlink w:anchor="page38">
              <w:r>
                <w:rPr>
                  <w:rFonts w:ascii="Arial" w:cs="Arial" w:eastAsia="Arial" w:hAnsi="Arial"/>
                  <w:sz w:val="19"/>
                  <w:szCs w:val="19"/>
                  <w:color w:val="0000EE"/>
                  <w:w w:val="93"/>
                </w:rPr>
                <w:t>THE COMPANY</w:t>
              </w:r>
            </w:hyperlink>
          </w:p>
        </w:tc>
        <w:tc>
          <w:tcPr>
            <w:tcW w:w="7620" w:type="dxa"/>
            <w:vAlign w:val="bottom"/>
            <w:gridSpan w:val="12"/>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line="208" w:lineRule="exact"/>
              <w:rPr>
                <w:rFonts w:ascii="Arial" w:cs="Arial" w:eastAsia="Arial" w:hAnsi="Arial"/>
                <w:sz w:val="19"/>
                <w:szCs w:val="19"/>
                <w:color w:val="0000EE"/>
                <w:w w:val="75"/>
              </w:rPr>
            </w:pPr>
            <w:hyperlink w:anchor="page38">
              <w:r>
                <w:rPr>
                  <w:rFonts w:ascii="Arial" w:cs="Arial" w:eastAsia="Arial" w:hAnsi="Arial"/>
                  <w:sz w:val="19"/>
                  <w:szCs w:val="19"/>
                  <w:color w:val="0000EE"/>
                  <w:w w:val="75"/>
                </w:rPr>
                <w:t>4</w:t>
              </w:r>
            </w:hyperlink>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8940" w:type="dxa"/>
            <w:vAlign w:val="bottom"/>
            <w:gridSpan w:val="17"/>
          </w:tcPr>
          <w:p>
            <w:pPr>
              <w:spacing w:after="0" w:line="208" w:lineRule="exact"/>
              <w:rPr>
                <w:rFonts w:ascii="Arial" w:cs="Arial" w:eastAsia="Arial" w:hAnsi="Arial"/>
                <w:sz w:val="19"/>
                <w:szCs w:val="19"/>
                <w:color w:val="0000EE"/>
              </w:rPr>
            </w:pPr>
            <w:hyperlink w:anchor="page39">
              <w:r>
                <w:rPr>
                  <w:rFonts w:ascii="Arial" w:cs="Arial" w:eastAsia="Arial" w:hAnsi="Arial"/>
                  <w:sz w:val="19"/>
                  <w:szCs w:val="19"/>
                  <w:color w:val="0000EE"/>
                </w:rPr>
                <w:t>RISK FACTORS</w:t>
              </w:r>
            </w:hyperlink>
          </w:p>
        </w:tc>
        <w:tc>
          <w:tcPr>
            <w:tcW w:w="660" w:type="dxa"/>
            <w:vAlign w:val="bottom"/>
            <w:gridSpan w:val="3"/>
          </w:tcPr>
          <w:p>
            <w:pPr>
              <w:jc w:val="right"/>
              <w:spacing w:after="0" w:line="208" w:lineRule="exact"/>
              <w:rPr>
                <w:rFonts w:ascii="Arial" w:cs="Arial" w:eastAsia="Arial" w:hAnsi="Arial"/>
                <w:sz w:val="19"/>
                <w:szCs w:val="19"/>
                <w:color w:val="0000EE"/>
              </w:rPr>
            </w:pPr>
            <w:hyperlink w:anchor="page39">
              <w:r>
                <w:rPr>
                  <w:rFonts w:ascii="Arial" w:cs="Arial" w:eastAsia="Arial" w:hAnsi="Arial"/>
                  <w:sz w:val="19"/>
                  <w:szCs w:val="19"/>
                  <w:color w:val="0000EE"/>
                </w:rPr>
                <w:t>5</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8940" w:type="dxa"/>
            <w:vAlign w:val="bottom"/>
            <w:gridSpan w:val="17"/>
          </w:tcPr>
          <w:p>
            <w:pPr>
              <w:spacing w:after="0" w:line="208" w:lineRule="exact"/>
              <w:rPr>
                <w:rFonts w:ascii="Arial" w:cs="Arial" w:eastAsia="Arial" w:hAnsi="Arial"/>
                <w:sz w:val="19"/>
                <w:szCs w:val="19"/>
                <w:color w:val="0000EE"/>
              </w:rPr>
            </w:pPr>
            <w:hyperlink w:anchor="page40">
              <w:r>
                <w:rPr>
                  <w:rFonts w:ascii="Arial" w:cs="Arial" w:eastAsia="Arial" w:hAnsi="Arial"/>
                  <w:sz w:val="19"/>
                  <w:szCs w:val="19"/>
                  <w:color w:val="0000EE"/>
                </w:rPr>
                <w:t>USE OF PROCEEDS</w:t>
              </w:r>
            </w:hyperlink>
          </w:p>
        </w:tc>
        <w:tc>
          <w:tcPr>
            <w:tcW w:w="660" w:type="dxa"/>
            <w:vAlign w:val="bottom"/>
            <w:gridSpan w:val="3"/>
          </w:tcPr>
          <w:p>
            <w:pPr>
              <w:jc w:val="right"/>
              <w:spacing w:after="0" w:line="208" w:lineRule="exact"/>
              <w:rPr>
                <w:rFonts w:ascii="Arial" w:cs="Arial" w:eastAsia="Arial" w:hAnsi="Arial"/>
                <w:sz w:val="19"/>
                <w:szCs w:val="19"/>
                <w:color w:val="0000EE"/>
              </w:rPr>
            </w:pPr>
            <w:hyperlink w:anchor="page40">
              <w:r>
                <w:rPr>
                  <w:rFonts w:ascii="Arial" w:cs="Arial" w:eastAsia="Arial" w:hAnsi="Arial"/>
                  <w:sz w:val="19"/>
                  <w:szCs w:val="19"/>
                  <w:color w:val="0000EE"/>
                </w:rPr>
                <w:t>6</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8940" w:type="dxa"/>
            <w:vAlign w:val="bottom"/>
            <w:tcBorders>
              <w:bottom w:val="single" w:sz="8" w:color="0000EE"/>
            </w:tcBorders>
            <w:gridSpan w:val="17"/>
          </w:tcPr>
          <w:p>
            <w:pPr>
              <w:spacing w:after="0" w:line="208" w:lineRule="exact"/>
              <w:rPr>
                <w:rFonts w:ascii="Arial" w:cs="Arial" w:eastAsia="Arial" w:hAnsi="Arial"/>
                <w:sz w:val="19"/>
                <w:szCs w:val="19"/>
                <w:color w:val="0000EE"/>
                <w:w w:val="93"/>
              </w:rPr>
            </w:pPr>
            <w:hyperlink w:anchor="page41">
              <w:r>
                <w:rPr>
                  <w:rFonts w:ascii="Arial" w:cs="Arial" w:eastAsia="Arial" w:hAnsi="Arial"/>
                  <w:sz w:val="19"/>
                  <w:szCs w:val="19"/>
                  <w:color w:val="0000EE"/>
                  <w:w w:val="93"/>
                </w:rPr>
                <w:t>RATIOS OF EARNINGS TO FIXED CHARGES AND RATIOS OF EARNINGS TO COMBINED FIXED CHARGES</w:t>
              </w:r>
            </w:hyperlink>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Borders>
              <w:bottom w:val="single" w:sz="8" w:color="0000EE"/>
            </w:tcBorders>
            <w:gridSpan w:val="13"/>
          </w:tcPr>
          <w:p>
            <w:pPr>
              <w:spacing w:after="0" w:line="208" w:lineRule="exact"/>
              <w:rPr>
                <w:rFonts w:ascii="Arial" w:cs="Arial" w:eastAsia="Arial" w:hAnsi="Arial"/>
                <w:sz w:val="19"/>
                <w:szCs w:val="19"/>
                <w:color w:val="0000EE"/>
                <w:w w:val="93"/>
              </w:rPr>
            </w:pPr>
            <w:hyperlink w:anchor="page41">
              <w:r>
                <w:rPr>
                  <w:rFonts w:ascii="Arial" w:cs="Arial" w:eastAsia="Arial" w:hAnsi="Arial"/>
                  <w:sz w:val="19"/>
                  <w:szCs w:val="19"/>
                  <w:color w:val="0000EE"/>
                  <w:w w:val="93"/>
                </w:rPr>
                <w:t>AND PREFERRED STOCK DIVIDENDS</w:t>
              </w:r>
            </w:hyperlink>
          </w:p>
        </w:tc>
        <w:tc>
          <w:tcPr>
            <w:tcW w:w="554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line="208" w:lineRule="exact"/>
              <w:rPr>
                <w:rFonts w:ascii="Arial" w:cs="Arial" w:eastAsia="Arial" w:hAnsi="Arial"/>
                <w:sz w:val="19"/>
                <w:szCs w:val="19"/>
                <w:color w:val="0000EE"/>
                <w:w w:val="75"/>
              </w:rPr>
            </w:pPr>
            <w:hyperlink w:anchor="page41">
              <w:r>
                <w:rPr>
                  <w:rFonts w:ascii="Arial" w:cs="Arial" w:eastAsia="Arial" w:hAnsi="Arial"/>
                  <w:sz w:val="19"/>
                  <w:szCs w:val="19"/>
                  <w:color w:val="0000EE"/>
                  <w:w w:val="75"/>
                </w:rPr>
                <w:t>7</w:t>
              </w:r>
            </w:hyperlink>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2960" w:type="dxa"/>
            <w:vAlign w:val="bottom"/>
            <w:tcBorders>
              <w:bottom w:val="single" w:sz="8" w:color="0000EE"/>
            </w:tcBorders>
            <w:gridSpan w:val="13"/>
          </w:tcPr>
          <w:p>
            <w:pPr>
              <w:spacing w:after="0" w:line="208" w:lineRule="exact"/>
              <w:rPr>
                <w:rFonts w:ascii="Arial" w:cs="Arial" w:eastAsia="Arial" w:hAnsi="Arial"/>
                <w:sz w:val="19"/>
                <w:szCs w:val="19"/>
                <w:color w:val="0000EE"/>
                <w:w w:val="92"/>
              </w:rPr>
            </w:pPr>
            <w:hyperlink w:anchor="page42">
              <w:r>
                <w:rPr>
                  <w:rFonts w:ascii="Arial" w:cs="Arial" w:eastAsia="Arial" w:hAnsi="Arial"/>
                  <w:sz w:val="19"/>
                  <w:szCs w:val="19"/>
                  <w:color w:val="0000EE"/>
                  <w:w w:val="92"/>
                </w:rPr>
                <w:t>DESCRIPTION OF CAPITAL STOCK</w:t>
              </w:r>
            </w:hyperlink>
          </w:p>
        </w:tc>
        <w:tc>
          <w:tcPr>
            <w:tcW w:w="5980" w:type="dxa"/>
            <w:vAlign w:val="bottom"/>
            <w:gridSpan w:val="4"/>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line="208" w:lineRule="exact"/>
              <w:rPr>
                <w:rFonts w:ascii="Arial" w:cs="Arial" w:eastAsia="Arial" w:hAnsi="Arial"/>
                <w:sz w:val="19"/>
                <w:szCs w:val="19"/>
                <w:color w:val="0000EE"/>
                <w:w w:val="75"/>
              </w:rPr>
            </w:pPr>
            <w:hyperlink w:anchor="page42">
              <w:r>
                <w:rPr>
                  <w:rFonts w:ascii="Arial" w:cs="Arial" w:eastAsia="Arial" w:hAnsi="Arial"/>
                  <w:sz w:val="19"/>
                  <w:szCs w:val="19"/>
                  <w:color w:val="0000EE"/>
                  <w:w w:val="75"/>
                </w:rPr>
                <w:t>8</w:t>
              </w:r>
            </w:hyperlink>
          </w:p>
        </w:tc>
        <w:tc>
          <w:tcPr>
            <w:tcW w:w="120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3120" w:type="dxa"/>
            <w:vAlign w:val="bottom"/>
            <w:gridSpan w:val="14"/>
          </w:tcPr>
          <w:p>
            <w:pPr>
              <w:spacing w:after="0" w:line="208" w:lineRule="exact"/>
              <w:rPr>
                <w:rFonts w:ascii="Arial" w:cs="Arial" w:eastAsia="Arial" w:hAnsi="Arial"/>
                <w:sz w:val="19"/>
                <w:szCs w:val="19"/>
                <w:color w:val="0000EE"/>
                <w:w w:val="92"/>
              </w:rPr>
            </w:pPr>
            <w:hyperlink w:anchor="page47">
              <w:r>
                <w:rPr>
                  <w:rFonts w:ascii="Arial" w:cs="Arial" w:eastAsia="Arial" w:hAnsi="Arial"/>
                  <w:sz w:val="19"/>
                  <w:szCs w:val="19"/>
                  <w:color w:val="0000EE"/>
                  <w:w w:val="92"/>
                </w:rPr>
                <w:t>DESCRIPTION OF DEBT SECURITIES</w:t>
              </w:r>
            </w:hyperlink>
          </w:p>
        </w:tc>
        <w:tc>
          <w:tcPr>
            <w:tcW w:w="5820" w:type="dxa"/>
            <w:vAlign w:val="bottom"/>
            <w:gridSpan w:val="3"/>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47">
              <w:r>
                <w:rPr>
                  <w:rFonts w:ascii="Arial" w:cs="Arial" w:eastAsia="Arial" w:hAnsi="Arial"/>
                  <w:sz w:val="19"/>
                  <w:szCs w:val="19"/>
                  <w:color w:val="0000EE"/>
                </w:rPr>
                <w:t>13</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2560" w:type="dxa"/>
            <w:vAlign w:val="bottom"/>
            <w:gridSpan w:val="12"/>
          </w:tcPr>
          <w:p>
            <w:pPr>
              <w:spacing w:after="0" w:line="208" w:lineRule="exact"/>
              <w:rPr>
                <w:rFonts w:ascii="Arial" w:cs="Arial" w:eastAsia="Arial" w:hAnsi="Arial"/>
                <w:sz w:val="19"/>
                <w:szCs w:val="19"/>
                <w:color w:val="0000EE"/>
                <w:w w:val="92"/>
              </w:rPr>
            </w:pPr>
            <w:hyperlink w:anchor="page55">
              <w:r>
                <w:rPr>
                  <w:rFonts w:ascii="Arial" w:cs="Arial" w:eastAsia="Arial" w:hAnsi="Arial"/>
                  <w:sz w:val="19"/>
                  <w:szCs w:val="19"/>
                  <w:color w:val="0000EE"/>
                  <w:w w:val="92"/>
                </w:rPr>
                <w:t>DESCRIPTION OF WARRANTS</w:t>
              </w:r>
            </w:hyperlink>
          </w:p>
        </w:tc>
        <w:tc>
          <w:tcPr>
            <w:tcW w:w="560" w:type="dxa"/>
            <w:vAlign w:val="bottom"/>
            <w:gridSpan w:val="2"/>
          </w:tcPr>
          <w:p>
            <w:pPr>
              <w:spacing w:after="0"/>
              <w:rPr>
                <w:sz w:val="18"/>
                <w:szCs w:val="18"/>
                <w:color w:val="auto"/>
              </w:rPr>
            </w:pPr>
          </w:p>
        </w:tc>
        <w:tc>
          <w:tcPr>
            <w:tcW w:w="5820" w:type="dxa"/>
            <w:vAlign w:val="bottom"/>
            <w:gridSpan w:val="3"/>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55">
              <w:r>
                <w:rPr>
                  <w:rFonts w:ascii="Arial" w:cs="Arial" w:eastAsia="Arial" w:hAnsi="Arial"/>
                  <w:sz w:val="19"/>
                  <w:szCs w:val="19"/>
                  <w:color w:val="0000EE"/>
                </w:rPr>
                <w:t>21</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2080" w:type="dxa"/>
            <w:vAlign w:val="bottom"/>
            <w:gridSpan w:val="9"/>
          </w:tcPr>
          <w:p>
            <w:pPr>
              <w:spacing w:after="0" w:line="208" w:lineRule="exact"/>
              <w:rPr>
                <w:rFonts w:ascii="Arial" w:cs="Arial" w:eastAsia="Arial" w:hAnsi="Arial"/>
                <w:sz w:val="19"/>
                <w:szCs w:val="19"/>
                <w:color w:val="0000EE"/>
                <w:w w:val="92"/>
              </w:rPr>
            </w:pPr>
            <w:hyperlink w:anchor="page57">
              <w:r>
                <w:rPr>
                  <w:rFonts w:ascii="Arial" w:cs="Arial" w:eastAsia="Arial" w:hAnsi="Arial"/>
                  <w:sz w:val="19"/>
                  <w:szCs w:val="19"/>
                  <w:color w:val="0000EE"/>
                  <w:w w:val="92"/>
                </w:rPr>
                <w:t>DESCRIPTION OF UNITS</w:t>
              </w:r>
            </w:hyperlink>
          </w:p>
        </w:tc>
        <w:tc>
          <w:tcPr>
            <w:tcW w:w="480" w:type="dxa"/>
            <w:vAlign w:val="bottom"/>
            <w:gridSpan w:val="3"/>
          </w:tcPr>
          <w:p>
            <w:pPr>
              <w:spacing w:after="0"/>
              <w:rPr>
                <w:sz w:val="18"/>
                <w:szCs w:val="18"/>
                <w:color w:val="auto"/>
              </w:rPr>
            </w:pPr>
          </w:p>
        </w:tc>
        <w:tc>
          <w:tcPr>
            <w:tcW w:w="6380" w:type="dxa"/>
            <w:vAlign w:val="bottom"/>
            <w:gridSpan w:val="5"/>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57">
              <w:r>
                <w:rPr>
                  <w:rFonts w:ascii="Arial" w:cs="Arial" w:eastAsia="Arial" w:hAnsi="Arial"/>
                  <w:sz w:val="19"/>
                  <w:szCs w:val="19"/>
                  <w:color w:val="0000EE"/>
                </w:rPr>
                <w:t>23</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2080" w:type="dxa"/>
            <w:vAlign w:val="bottom"/>
            <w:gridSpan w:val="9"/>
          </w:tcPr>
          <w:p>
            <w:pPr>
              <w:spacing w:after="0" w:line="208" w:lineRule="exact"/>
              <w:rPr>
                <w:rFonts w:ascii="Arial" w:cs="Arial" w:eastAsia="Arial" w:hAnsi="Arial"/>
                <w:sz w:val="19"/>
                <w:szCs w:val="19"/>
                <w:color w:val="0000EE"/>
              </w:rPr>
            </w:pPr>
            <w:hyperlink w:anchor="page58">
              <w:r>
                <w:rPr>
                  <w:rFonts w:ascii="Arial" w:cs="Arial" w:eastAsia="Arial" w:hAnsi="Arial"/>
                  <w:sz w:val="19"/>
                  <w:szCs w:val="19"/>
                  <w:color w:val="0000EE"/>
                </w:rPr>
                <w:t>GLOBAL SECURITIES</w:t>
              </w:r>
            </w:hyperlink>
          </w:p>
        </w:tc>
        <w:tc>
          <w:tcPr>
            <w:tcW w:w="6860" w:type="dxa"/>
            <w:vAlign w:val="bottom"/>
            <w:gridSpan w:val="8"/>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58">
              <w:r>
                <w:rPr>
                  <w:rFonts w:ascii="Arial" w:cs="Arial" w:eastAsia="Arial" w:hAnsi="Arial"/>
                  <w:sz w:val="19"/>
                  <w:szCs w:val="19"/>
                  <w:color w:val="0000EE"/>
                </w:rPr>
                <w:t>24</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2120" w:type="dxa"/>
            <w:vAlign w:val="bottom"/>
            <w:gridSpan w:val="10"/>
          </w:tcPr>
          <w:p>
            <w:pPr>
              <w:spacing w:after="0" w:line="208" w:lineRule="exact"/>
              <w:rPr>
                <w:rFonts w:ascii="Arial" w:cs="Arial" w:eastAsia="Arial" w:hAnsi="Arial"/>
                <w:sz w:val="19"/>
                <w:szCs w:val="19"/>
                <w:color w:val="0000EE"/>
                <w:w w:val="95"/>
              </w:rPr>
            </w:pPr>
            <w:hyperlink w:anchor="page61">
              <w:r>
                <w:rPr>
                  <w:rFonts w:ascii="Arial" w:cs="Arial" w:eastAsia="Arial" w:hAnsi="Arial"/>
                  <w:sz w:val="19"/>
                  <w:szCs w:val="19"/>
                  <w:color w:val="0000EE"/>
                  <w:w w:val="95"/>
                </w:rPr>
                <w:t>PLAN OF DISTRIBUTION</w:t>
              </w:r>
            </w:hyperlink>
          </w:p>
        </w:tc>
        <w:tc>
          <w:tcPr>
            <w:tcW w:w="6820" w:type="dxa"/>
            <w:vAlign w:val="bottom"/>
            <w:gridSpan w:val="7"/>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61">
              <w:r>
                <w:rPr>
                  <w:rFonts w:ascii="Arial" w:cs="Arial" w:eastAsia="Arial" w:hAnsi="Arial"/>
                  <w:sz w:val="19"/>
                  <w:szCs w:val="19"/>
                  <w:color w:val="0000EE"/>
                </w:rPr>
                <w:t>27</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1500" w:type="dxa"/>
            <w:vAlign w:val="bottom"/>
            <w:gridSpan w:val="6"/>
          </w:tcPr>
          <w:p>
            <w:pPr>
              <w:spacing w:after="0" w:line="208" w:lineRule="exact"/>
              <w:rPr>
                <w:rFonts w:ascii="Arial" w:cs="Arial" w:eastAsia="Arial" w:hAnsi="Arial"/>
                <w:sz w:val="19"/>
                <w:szCs w:val="19"/>
                <w:color w:val="0000EE"/>
                <w:w w:val="94"/>
              </w:rPr>
            </w:pPr>
            <w:hyperlink w:anchor="page63">
              <w:r>
                <w:rPr>
                  <w:rFonts w:ascii="Arial" w:cs="Arial" w:eastAsia="Arial" w:hAnsi="Arial"/>
                  <w:sz w:val="19"/>
                  <w:szCs w:val="19"/>
                  <w:color w:val="0000EE"/>
                  <w:w w:val="94"/>
                </w:rPr>
                <w:t>LEGAL MATTERS</w:t>
              </w:r>
            </w:hyperlink>
          </w:p>
        </w:tc>
        <w:tc>
          <w:tcPr>
            <w:tcW w:w="620" w:type="dxa"/>
            <w:vAlign w:val="bottom"/>
            <w:gridSpan w:val="4"/>
          </w:tcPr>
          <w:p>
            <w:pPr>
              <w:spacing w:after="0"/>
              <w:rPr>
                <w:sz w:val="18"/>
                <w:szCs w:val="18"/>
                <w:color w:val="auto"/>
              </w:rPr>
            </w:pPr>
          </w:p>
        </w:tc>
        <w:tc>
          <w:tcPr>
            <w:tcW w:w="6820" w:type="dxa"/>
            <w:vAlign w:val="bottom"/>
            <w:gridSpan w:val="7"/>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63">
              <w:r>
                <w:rPr>
                  <w:rFonts w:ascii="Arial" w:cs="Arial" w:eastAsia="Arial" w:hAnsi="Arial"/>
                  <w:sz w:val="19"/>
                  <w:szCs w:val="19"/>
                  <w:color w:val="0000EE"/>
                </w:rPr>
                <w:t>29</w:t>
              </w:r>
            </w:hyperlink>
          </w:p>
        </w:tc>
        <w:tc>
          <w:tcPr>
            <w:tcW w:w="12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4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1200" w:type="dxa"/>
            <w:vAlign w:val="bottom"/>
          </w:tcPr>
          <w:p>
            <w:pPr>
              <w:spacing w:after="0"/>
              <w:rPr>
                <w:sz w:val="18"/>
                <w:szCs w:val="18"/>
                <w:color w:val="auto"/>
              </w:rPr>
            </w:pPr>
          </w:p>
        </w:tc>
        <w:tc>
          <w:tcPr>
            <w:tcW w:w="1500" w:type="dxa"/>
            <w:vAlign w:val="bottom"/>
            <w:gridSpan w:val="6"/>
          </w:tcPr>
          <w:p>
            <w:pPr>
              <w:spacing w:after="0" w:line="208" w:lineRule="exact"/>
              <w:rPr>
                <w:rFonts w:ascii="Arial" w:cs="Arial" w:eastAsia="Arial" w:hAnsi="Arial"/>
                <w:sz w:val="19"/>
                <w:szCs w:val="19"/>
                <w:color w:val="0000EE"/>
              </w:rPr>
            </w:pPr>
            <w:hyperlink w:anchor="page63">
              <w:r>
                <w:rPr>
                  <w:rFonts w:ascii="Arial" w:cs="Arial" w:eastAsia="Arial" w:hAnsi="Arial"/>
                  <w:sz w:val="19"/>
                  <w:szCs w:val="19"/>
                  <w:color w:val="0000EE"/>
                </w:rPr>
                <w:t>EXPERTS</w:t>
              </w:r>
            </w:hyperlink>
          </w:p>
        </w:tc>
        <w:tc>
          <w:tcPr>
            <w:tcW w:w="7440" w:type="dxa"/>
            <w:vAlign w:val="bottom"/>
            <w:gridSpan w:val="11"/>
          </w:tcPr>
          <w:p>
            <w:pPr>
              <w:spacing w:after="0"/>
              <w:rPr>
                <w:sz w:val="18"/>
                <w:szCs w:val="18"/>
                <w:color w:val="auto"/>
              </w:rPr>
            </w:pPr>
          </w:p>
        </w:tc>
        <w:tc>
          <w:tcPr>
            <w:tcW w:w="660" w:type="dxa"/>
            <w:vAlign w:val="bottom"/>
            <w:gridSpan w:val="3"/>
          </w:tcPr>
          <w:p>
            <w:pPr>
              <w:jc w:val="right"/>
              <w:spacing w:after="0" w:line="208" w:lineRule="exact"/>
              <w:rPr>
                <w:rFonts w:ascii="Arial" w:cs="Arial" w:eastAsia="Arial" w:hAnsi="Arial"/>
                <w:sz w:val="19"/>
                <w:szCs w:val="19"/>
                <w:color w:val="0000EE"/>
              </w:rPr>
            </w:pPr>
            <w:hyperlink w:anchor="page63">
              <w:r>
                <w:rPr>
                  <w:rFonts w:ascii="Arial" w:cs="Arial" w:eastAsia="Arial" w:hAnsi="Arial"/>
                  <w:sz w:val="19"/>
                  <w:szCs w:val="19"/>
                  <w:color w:val="0000EE"/>
                </w:rPr>
                <w:t>29</w:t>
              </w:r>
            </w:hyperlink>
          </w:p>
        </w:tc>
        <w:tc>
          <w:tcPr>
            <w:tcW w:w="1200" w:type="dxa"/>
            <w:vAlign w:val="bottom"/>
          </w:tcPr>
          <w:p>
            <w:pPr>
              <w:spacing w:after="0"/>
              <w:rPr>
                <w:sz w:val="18"/>
                <w:szCs w:val="18"/>
                <w:color w:val="auto"/>
              </w:rPr>
            </w:pPr>
          </w:p>
        </w:tc>
      </w:tr>
      <w:tr>
        <w:trPr>
          <w:trHeight w:val="148"/>
        </w:trPr>
        <w:tc>
          <w:tcPr>
            <w:tcW w:w="120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620" w:type="dxa"/>
            <w:vAlign w:val="bottom"/>
            <w:tcBorders>
              <w:top w:val="single" w:sz="8" w:color="0000EE"/>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3540" w:type="dxa"/>
            <w:vAlign w:val="bottom"/>
            <w:tcBorders>
              <w:bottom w:val="single" w:sz="8" w:color="808080"/>
            </w:tcBorders>
          </w:tcPr>
          <w:p>
            <w:pPr>
              <w:spacing w:after="0"/>
              <w:rPr>
                <w:sz w:val="12"/>
                <w:szCs w:val="12"/>
                <w:color w:val="auto"/>
              </w:rPr>
            </w:pPr>
          </w:p>
        </w:tc>
        <w:tc>
          <w:tcPr>
            <w:tcW w:w="20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7610475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4" w:name="page35"/>
    <w:bookmarkEnd w:id="34"/>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ABOUT THIS PROSPECTUS</w:t>
      </w:r>
    </w:p>
    <w:p>
      <w:pPr>
        <w:spacing w:after="0" w:line="242" w:lineRule="exact"/>
        <w:rPr>
          <w:sz w:val="20"/>
          <w:szCs w:val="20"/>
          <w:color w:val="auto"/>
        </w:rPr>
      </w:pPr>
    </w:p>
    <w:p>
      <w:pPr>
        <w:ind w:right="40" w:firstLine="368"/>
        <w:spacing w:after="0" w:line="268" w:lineRule="auto"/>
        <w:rPr>
          <w:sz w:val="20"/>
          <w:szCs w:val="20"/>
          <w:color w:val="auto"/>
        </w:rPr>
      </w:pPr>
      <w:r>
        <w:rPr>
          <w:rFonts w:ascii="Arial" w:cs="Arial" w:eastAsia="Arial" w:hAnsi="Arial"/>
          <w:sz w:val="18"/>
          <w:szCs w:val="18"/>
          <w:color w:val="auto"/>
        </w:rPr>
        <w:t>This prospectus is part of a registration statement on Form S-3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202" w:lineRule="exact"/>
        <w:rPr>
          <w:sz w:val="20"/>
          <w:szCs w:val="20"/>
          <w:color w:val="auto"/>
        </w:rPr>
      </w:pPr>
    </w:p>
    <w:p>
      <w:pPr>
        <w:ind w:firstLine="368"/>
        <w:spacing w:after="0" w:line="303" w:lineRule="auto"/>
        <w:rPr>
          <w:sz w:val="20"/>
          <w:szCs w:val="20"/>
          <w:color w:val="auto"/>
        </w:rPr>
      </w:pPr>
      <w:r>
        <w:rPr>
          <w:rFonts w:ascii="Arial" w:cs="Arial" w:eastAsia="Arial" w:hAnsi="Arial"/>
          <w:sz w:val="16"/>
          <w:szCs w:val="16"/>
          <w:color w:val="auto"/>
        </w:rPr>
        <w:t>We have not, and any underwriter has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200" w:lineRule="exact"/>
        <w:rPr>
          <w:sz w:val="20"/>
          <w:szCs w:val="20"/>
          <w:color w:val="auto"/>
        </w:rPr>
      </w:pPr>
    </w:p>
    <w:p>
      <w:pPr>
        <w:spacing w:after="0" w:line="203" w:lineRule="exact"/>
        <w:rPr>
          <w:sz w:val="20"/>
          <w:szCs w:val="20"/>
          <w:color w:val="auto"/>
        </w:rPr>
      </w:pPr>
    </w:p>
    <w:p>
      <w:pPr>
        <w:ind w:right="60" w:firstLine="368"/>
        <w:spacing w:after="0" w:line="268" w:lineRule="auto"/>
        <w:rPr>
          <w:sz w:val="20"/>
          <w:szCs w:val="20"/>
          <w:color w:val="auto"/>
        </w:rPr>
      </w:pPr>
      <w:r>
        <w:rPr>
          <w:rFonts w:ascii="Arial" w:cs="Arial" w:eastAsia="Arial" w:hAnsi="Arial"/>
          <w:sz w:val="19"/>
          <w:szCs w:val="19"/>
          <w:color w:val="auto"/>
        </w:rPr>
        <w:t>When we refer to "Selecta," "we," "our company," "our," "us" and the "Company" in this prospectus, we mean Selecta Biosciences, Inc. and its subsidiaries, unless otherwise specified. When we refer to "you," we mean the holders of the applicable series of securities.</w:t>
      </w:r>
    </w:p>
    <w:p>
      <w:pPr>
        <w:spacing w:after="0" w:line="197" w:lineRule="exact"/>
        <w:rPr>
          <w:sz w:val="20"/>
          <w:szCs w:val="20"/>
          <w:color w:val="auto"/>
        </w:rPr>
      </w:pPr>
    </w:p>
    <w:p>
      <w:pPr>
        <w:ind w:right="20" w:firstLine="368"/>
        <w:spacing w:after="0" w:line="275" w:lineRule="auto"/>
        <w:rPr>
          <w:sz w:val="20"/>
          <w:szCs w:val="20"/>
          <w:color w:val="auto"/>
        </w:rPr>
      </w:pPr>
      <w:r>
        <w:rPr>
          <w:rFonts w:ascii="Arial" w:cs="Arial" w:eastAsia="Arial" w:hAnsi="Arial"/>
          <w:sz w:val="18"/>
          <w:szCs w:val="18"/>
          <w:color w:val="auto"/>
        </w:rPr>
        <w:t>We use our registered trademark, Selecta Biosciences, Inc., in this prospectus supplement. This prospectus supplement also includes trademarks, tradenames and service marks that are the property of other organizations. Solely for convenience, trademarks and tradenames referred to in this prospectus supplement appear without the Â® and â„¢ symbols, but those references are not intended to indicate, in any way, that we will not assert, to the fullest extent under applicable law, our rights or that the applicable owner will not assert its rights, to these trademarks and tradenames.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5" w:name="page36"/>
    <w:bookmarkEnd w:id="35"/>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WHERE YOU CAN FIND MORE INFORMATION; INCORPORATION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42" w:lineRule="exact"/>
        <w:rPr>
          <w:sz w:val="20"/>
          <w:szCs w:val="20"/>
          <w:color w:val="auto"/>
        </w:rPr>
      </w:pPr>
    </w:p>
    <w:p>
      <w:pPr>
        <w:ind w:right="120" w:firstLine="368"/>
        <w:spacing w:after="0" w:line="31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5" w:lineRule="exact"/>
        <w:rPr>
          <w:sz w:val="20"/>
          <w:szCs w:val="20"/>
          <w:color w:val="auto"/>
        </w:rPr>
      </w:pPr>
    </w:p>
    <w:p>
      <w:pPr>
        <w:ind w:right="560" w:firstLine="371"/>
        <w:spacing w:after="0" w:line="268" w:lineRule="auto"/>
        <w:rPr>
          <w:sz w:val="20"/>
          <w:szCs w:val="20"/>
          <w:color w:val="auto"/>
        </w:rPr>
      </w:pPr>
      <w:r>
        <w:rPr>
          <w:rFonts w:ascii="Arial" w:cs="Arial" w:eastAsia="Arial" w:hAnsi="Arial"/>
          <w:sz w:val="19"/>
          <w:szCs w:val="19"/>
          <w:color w:val="auto"/>
        </w:rPr>
        <w:t xml:space="preserve">Our web site address is </w:t>
      </w:r>
      <w:r>
        <w:rPr>
          <w:rFonts w:ascii="Arial" w:cs="Arial" w:eastAsia="Arial" w:hAnsi="Arial"/>
          <w:sz w:val="19"/>
          <w:szCs w:val="19"/>
          <w:i w:val="1"/>
          <w:iCs w:val="1"/>
          <w:color w:val="auto"/>
        </w:rPr>
        <w:t>www.selectabiosciences.com</w:t>
      </w:r>
      <w:r>
        <w:rPr>
          <w:rFonts w:ascii="Arial" w:cs="Arial" w:eastAsia="Arial" w:hAnsi="Arial"/>
          <w:sz w:val="19"/>
          <w:szCs w:val="19"/>
          <w:color w:val="auto"/>
        </w:rPr>
        <w:t>. The information on our web site, however, is not, and should not be deemed to be, a part of this prospectus.</w:t>
      </w:r>
    </w:p>
    <w:p>
      <w:pPr>
        <w:spacing w:after="0" w:line="197" w:lineRule="exact"/>
        <w:rPr>
          <w:sz w:val="20"/>
          <w:szCs w:val="20"/>
          <w:color w:val="auto"/>
        </w:rPr>
      </w:pPr>
    </w:p>
    <w:p>
      <w:pPr>
        <w:ind w:firstLine="368"/>
        <w:spacing w:after="0" w:line="271"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Incorporation by Reference</w:t>
      </w:r>
    </w:p>
    <w:p>
      <w:pPr>
        <w:spacing w:after="0" w:line="242" w:lineRule="exact"/>
        <w:rPr>
          <w:sz w:val="20"/>
          <w:szCs w:val="20"/>
          <w:color w:val="auto"/>
        </w:rPr>
      </w:pPr>
    </w:p>
    <w:p>
      <w:pPr>
        <w:ind w:right="140" w:firstLine="368"/>
        <w:spacing w:after="0" w:line="255" w:lineRule="auto"/>
        <w:rPr>
          <w:sz w:val="20"/>
          <w:szCs w:val="20"/>
          <w:color w:val="auto"/>
        </w:rPr>
      </w:pPr>
      <w:r>
        <w:rPr>
          <w:rFonts w:ascii="Arial" w:cs="Arial" w:eastAsia="Arial" w:hAnsi="Arial"/>
          <w:sz w:val="19"/>
          <w:szCs w:val="19"/>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208" w:lineRule="exact"/>
        <w:rPr>
          <w:sz w:val="20"/>
          <w:szCs w:val="20"/>
          <w:color w:val="auto"/>
        </w:rPr>
      </w:pPr>
    </w:p>
    <w:p>
      <w:pPr>
        <w:ind w:right="40" w:firstLine="368"/>
        <w:spacing w:after="0" w:line="314"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165" w:lineRule="exact"/>
        <w:rPr>
          <w:sz w:val="20"/>
          <w:szCs w:val="20"/>
          <w:color w:val="auto"/>
        </w:rPr>
      </w:pPr>
    </w:p>
    <w:p>
      <w:pPr>
        <w:ind w:right="120" w:firstLine="368"/>
        <w:spacing w:after="0" w:line="268" w:lineRule="auto"/>
        <w:rPr>
          <w:sz w:val="20"/>
          <w:szCs w:val="20"/>
          <w:color w:val="auto"/>
        </w:rPr>
      </w:pPr>
      <w:r>
        <w:rPr>
          <w:rFonts w:ascii="Arial" w:cs="Arial" w:eastAsia="Arial" w:hAnsi="Arial"/>
          <w:sz w:val="19"/>
          <w:szCs w:val="19"/>
          <w:color w:val="auto"/>
        </w:rPr>
        <w:t>This prospectus and any accompanying prospectus supplement incorporate by reference the documents set forth below that have previously been filed with the SEC:</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Our Annual Report on Form 10-K for the year ended December 31, 2016, filed with the SEC on March 28, 2017.</w:t>
      </w:r>
    </w:p>
    <w:p>
      <w:pPr>
        <w:spacing w:after="0" w:line="266" w:lineRule="exact"/>
        <w:rPr>
          <w:sz w:val="20"/>
          <w:szCs w:val="20"/>
          <w:color w:val="auto"/>
        </w:rPr>
      </w:pPr>
    </w:p>
    <w:p>
      <w:pPr>
        <w:ind w:right="720"/>
        <w:spacing w:after="0" w:line="268" w:lineRule="auto"/>
        <w:rPr>
          <w:sz w:val="20"/>
          <w:szCs w:val="20"/>
          <w:color w:val="auto"/>
        </w:rPr>
      </w:pPr>
      <w:r>
        <w:rPr>
          <w:rFonts w:ascii="Arial" w:cs="Arial" w:eastAsia="Arial" w:hAnsi="Arial"/>
          <w:sz w:val="19"/>
          <w:szCs w:val="19"/>
          <w:color w:val="auto"/>
        </w:rPr>
        <w:t>Our Quarterly Reports on Form 10-Q for the quarters ended March 31, 2017 and June 30, 2017, filed with the SEC on May 11, 2017 and August 11, 2017,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Our Definitive Proxy Statement on Schedule 14A, filed with the SEC on April 25, 2017.</w:t>
      </w:r>
    </w:p>
    <w:p>
      <w:pPr>
        <w:spacing w:after="0" w:line="238"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60"/>
          </w:cols>
          <w:pgMar w:left="120" w:top="0" w:right="120"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Table of Contents</w:t>
        </w:r>
      </w:hyperlink>
    </w:p>
    <w:p>
      <w:pPr>
        <w:sectPr>
          <w:pgSz w:w="12240" w:h="15840" w:orient="portrait"/>
          <w:cols w:equalWidth="0" w:num="1">
            <w:col w:w="11980"/>
          </w:cols>
          <w:pgMar w:left="120" w:top="0" w:right="140" w:bottom="1440" w:gutter="0" w:footer="0" w:header="0"/>
        </w:sect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Our Current Reports on Form 8-K and Amended Current Reports on Form 8-K/A filed with the SEC on February 14, 2017, May 2, 2017, June 9, 2017, June 15, 2017, June 20, 2017, June 21, 2017 and June 28, 2017.</w:t>
      </w:r>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9"/>
          <w:szCs w:val="19"/>
          <w:color w:val="auto"/>
        </w:rPr>
        <w:t>The description of our Common Stock contained in our Registration Statement on Form 8-A, filed with the SEC on June 8, 2016, and any amendment or report filed with the SEC for the purpose of updating the description.</w:t>
      </w:r>
    </w:p>
    <w:p>
      <w:pPr>
        <w:spacing w:after="0" w:line="197"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ind w:firstLine="361"/>
        <w:spacing w:after="0" w:line="275"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92" w:lineRule="exact"/>
        <w:rPr>
          <w:sz w:val="20"/>
          <w:szCs w:val="20"/>
          <w:color w:val="auto"/>
        </w:rPr>
      </w:pPr>
    </w:p>
    <w:p>
      <w:pPr>
        <w:ind w:right="780" w:firstLine="364"/>
        <w:spacing w:after="0" w:line="268" w:lineRule="auto"/>
        <w:rPr>
          <w:sz w:val="20"/>
          <w:szCs w:val="20"/>
          <w:color w:val="auto"/>
        </w:rPr>
      </w:pPr>
      <w:r>
        <w:rPr>
          <w:rFonts w:ascii="Arial" w:cs="Arial" w:eastAsia="Arial" w:hAnsi="Arial"/>
          <w:sz w:val="19"/>
          <w:szCs w:val="19"/>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Selecta Biosciences,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480 Arsenal Way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Watertown, MA 02472</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(617) 923-1400</w:t>
      </w:r>
    </w:p>
    <w:p>
      <w:pPr>
        <w:spacing w:after="0" w:line="231" w:lineRule="exact"/>
        <w:rPr>
          <w:sz w:val="20"/>
          <w:szCs w:val="20"/>
          <w:color w:val="auto"/>
        </w:rPr>
      </w:pPr>
    </w:p>
    <w:p>
      <w:pPr>
        <w:ind w:right="860" w:firstLine="371"/>
        <w:spacing w:after="0" w:line="268" w:lineRule="auto"/>
        <w:rPr>
          <w:sz w:val="20"/>
          <w:szCs w:val="20"/>
          <w:color w:val="auto"/>
        </w:rPr>
      </w:pPr>
      <w:r>
        <w:rPr>
          <w:rFonts w:ascii="Arial" w:cs="Arial" w:eastAsia="Arial" w:hAnsi="Arial"/>
          <w:sz w:val="19"/>
          <w:szCs w:val="19"/>
          <w:color w:val="auto"/>
        </w:rPr>
        <w:t>Exhibits to the filings will not be sent, however, unless those exhibits have specifically been incorporated by reference in this prospectus and any accompanying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type w:val="continuous"/>
        </w:sectPr>
      </w:pPr>
    </w:p>
    <w:bookmarkStart w:id="37" w:name="page38"/>
    <w:bookmarkEnd w:id="37"/>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COMPANY</w:t>
      </w:r>
    </w:p>
    <w:p>
      <w:pPr>
        <w:spacing w:after="0" w:line="242" w:lineRule="exact"/>
        <w:rPr>
          <w:sz w:val="20"/>
          <w:szCs w:val="20"/>
          <w:color w:val="auto"/>
        </w:rPr>
      </w:pPr>
    </w:p>
    <w:p>
      <w:pPr>
        <w:ind w:firstLine="368"/>
        <w:spacing w:after="0" w:line="307" w:lineRule="auto"/>
        <w:rPr>
          <w:sz w:val="20"/>
          <w:szCs w:val="20"/>
          <w:color w:val="auto"/>
        </w:rPr>
      </w:pPr>
      <w:r>
        <w:rPr>
          <w:rFonts w:ascii="Arial" w:cs="Arial" w:eastAsia="Arial" w:hAnsi="Arial"/>
          <w:sz w:val="16"/>
          <w:szCs w:val="16"/>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w:t>
      </w:r>
    </w:p>
    <w:p>
      <w:pPr>
        <w:spacing w:after="0" w:line="171" w:lineRule="exact"/>
        <w:rPr>
          <w:sz w:val="20"/>
          <w:szCs w:val="20"/>
          <w:color w:val="auto"/>
        </w:rPr>
      </w:pPr>
    </w:p>
    <w:p>
      <w:pPr>
        <w:ind w:right="160" w:firstLine="368"/>
        <w:spacing w:after="0" w:line="268" w:lineRule="auto"/>
        <w:rPr>
          <w:sz w:val="20"/>
          <w:szCs w:val="20"/>
          <w:color w:val="auto"/>
        </w:rPr>
      </w:pPr>
      <w:r>
        <w:rPr>
          <w:rFonts w:ascii="Arial" w:cs="Arial" w:eastAsia="Arial" w:hAnsi="Arial"/>
          <w:sz w:val="19"/>
          <w:szCs w:val="19"/>
          <w:color w:val="auto"/>
        </w:rPr>
        <w:t>We filed our certificate of incorporation with the Secretary of State of Delaware on December 10, 2007. Our principal executive offices are located at 480 Arsenal Way, Watertown, MA 02472, and our telephone number is (617) 923-1400.</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40"/>
          </w:cols>
          <w:pgMar w:left="120" w:top="0" w:right="180" w:bottom="1440" w:gutter="0" w:footer="0" w:header="0"/>
        </w:sectPr>
      </w:pPr>
    </w:p>
    <w:bookmarkStart w:id="38" w:name="page39"/>
    <w:bookmarkEnd w:id="38"/>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RISK FACTORS</w:t>
      </w:r>
    </w:p>
    <w:p>
      <w:pPr>
        <w:spacing w:after="0" w:line="242" w:lineRule="exact"/>
        <w:rPr>
          <w:sz w:val="20"/>
          <w:szCs w:val="20"/>
          <w:color w:val="auto"/>
        </w:rPr>
      </w:pPr>
    </w:p>
    <w:p>
      <w:pPr>
        <w:ind w:firstLine="371"/>
        <w:spacing w:after="0" w:line="314"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00"/>
          </w:cols>
          <w:pgMar w:left="120" w:top="0" w:right="220" w:bottom="1440" w:gutter="0" w:footer="0" w:header="0"/>
        </w:sectPr>
      </w:pPr>
    </w:p>
    <w:bookmarkStart w:id="39" w:name="page40"/>
    <w:bookmarkEnd w:id="39"/>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USE OF PROCEEDS</w:t>
      </w:r>
    </w:p>
    <w:p>
      <w:pPr>
        <w:spacing w:after="0" w:line="242" w:lineRule="exact"/>
        <w:rPr>
          <w:sz w:val="20"/>
          <w:szCs w:val="20"/>
          <w:color w:val="auto"/>
        </w:rPr>
      </w:pPr>
    </w:p>
    <w:p>
      <w:pPr>
        <w:ind w:firstLine="368"/>
        <w:spacing w:after="0" w:line="254" w:lineRule="auto"/>
        <w:rPr>
          <w:sz w:val="20"/>
          <w:szCs w:val="20"/>
          <w:color w:val="auto"/>
        </w:rPr>
      </w:pPr>
      <w:r>
        <w:rPr>
          <w:rFonts w:ascii="Arial" w:cs="Arial" w:eastAsia="Arial" w:hAnsi="Arial"/>
          <w:sz w:val="19"/>
          <w:szCs w:val="19"/>
          <w:color w:val="auto"/>
        </w:rPr>
        <w:t>We will retain broad discretion over the use of the net proceeds from the sale of any securities offered. Except as described in any applicable prospectus supplement or in any free writing prospectuses we have authorized for use in connection with a specific offering, we currently intend to use the net proceeds from the sale of the securities offered by us, if any, for general corporate purposes, which may include research and development expenditures, acquisitions or in-licenses of complementary companies, medicines or technologies, expenditures to build our initial development and commercial capabilities, repayment and refinancing of debt, working capital and capital expenditures. We may temporarily invest such net proceeds in investment-grade, interest-bearing securities until they are used for their stated purpose.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0" w:name="page41"/>
    <w:bookmarkEnd w:id="40"/>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left="140" w:right="100"/>
        <w:spacing w:after="0" w:line="273" w:lineRule="auto"/>
        <w:rPr>
          <w:sz w:val="20"/>
          <w:szCs w:val="20"/>
          <w:color w:val="auto"/>
        </w:rPr>
      </w:pPr>
      <w:r>
        <w:rPr>
          <w:rFonts w:ascii="Arial" w:cs="Arial" w:eastAsia="Arial" w:hAnsi="Arial"/>
          <w:sz w:val="19"/>
          <w:szCs w:val="19"/>
          <w:b w:val="1"/>
          <w:bCs w:val="1"/>
          <w:color w:val="auto"/>
        </w:rPr>
        <w:t>RATIOS OF EARNINGS TO FIXED CHARGES AND RATIOS OF EARNINGS TO COMBINED FIXED CHARGES AND PREFERRED STOCK DIVIDENDS</w:t>
      </w:r>
    </w:p>
    <w:p>
      <w:pPr>
        <w:spacing w:after="0" w:line="191" w:lineRule="exact"/>
        <w:rPr>
          <w:sz w:val="20"/>
          <w:szCs w:val="20"/>
          <w:color w:val="auto"/>
        </w:rPr>
      </w:pPr>
    </w:p>
    <w:p>
      <w:pPr>
        <w:ind w:firstLine="368"/>
        <w:spacing w:after="0" w:line="256" w:lineRule="auto"/>
        <w:rPr>
          <w:sz w:val="20"/>
          <w:szCs w:val="20"/>
          <w:color w:val="auto"/>
        </w:rPr>
      </w:pPr>
      <w:r>
        <w:rPr>
          <w:rFonts w:ascii="Arial" w:cs="Arial" w:eastAsia="Arial" w:hAnsi="Arial"/>
          <w:sz w:val="19"/>
          <w:szCs w:val="19"/>
          <w:color w:val="auto"/>
        </w:rPr>
        <w:t>The following table sets forth our ratio of earnings to fixed charges for each of the periods indicated. For purposes of calculating the ratios in the table below, earnings consist of net loss plus fixed charges. Fixed charges include interest expensed, amortized debt discounts and an estimate of the interest within rental expense. You should read this table in conjunction with the consolidated financial statements and notes incorporated by reference in this prospectus and the applicable prospectus supplement.</w:t>
      </w:r>
    </w:p>
    <w:p>
      <w:pPr>
        <w:spacing w:after="0" w:line="328"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4"/>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gridSpan w:val="2"/>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2014</w:t>
            </w:r>
          </w:p>
        </w:tc>
        <w:tc>
          <w:tcPr>
            <w:tcW w:w="660" w:type="dxa"/>
            <w:vAlign w:val="bottom"/>
            <w:gridSpan w:val="2"/>
          </w:tcPr>
          <w:p>
            <w:pPr>
              <w:jc w:val="center"/>
              <w:ind w:left="109"/>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12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Computation of Earnings:</w:t>
            </w:r>
          </w:p>
        </w:tc>
        <w:tc>
          <w:tcPr>
            <w:tcW w:w="4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20" w:type="dxa"/>
            <w:vAlign w:val="bottom"/>
            <w:gridSpan w:val="2"/>
          </w:tcPr>
          <w:p>
            <w:pPr>
              <w:spacing w:after="0"/>
              <w:rPr>
                <w:sz w:val="20"/>
                <w:szCs w:val="20"/>
                <w:color w:val="auto"/>
              </w:rPr>
            </w:pPr>
            <w:r>
              <w:rPr>
                <w:rFonts w:ascii="Arial" w:cs="Arial" w:eastAsia="Arial" w:hAnsi="Arial"/>
                <w:sz w:val="19"/>
                <w:szCs w:val="19"/>
                <w:color w:val="auto"/>
              </w:rPr>
              <w:t>Ratio of earnings to fixed charges(1)(2)</w:t>
            </w:r>
          </w:p>
        </w:tc>
        <w:tc>
          <w:tcPr>
            <w:tcW w:w="480" w:type="dxa"/>
            <w:vAlign w:val="bottom"/>
          </w:tcPr>
          <w:p>
            <w:pPr>
              <w:ind w:left="160"/>
              <w:spacing w:after="0"/>
              <w:rPr>
                <w:sz w:val="20"/>
                <w:szCs w:val="20"/>
                <w:color w:val="auto"/>
              </w:rPr>
            </w:pPr>
            <w:r>
              <w:rPr>
                <w:rFonts w:ascii="Arial" w:cs="Arial" w:eastAsia="Arial" w:hAnsi="Arial"/>
                <w:sz w:val="19"/>
                <w:szCs w:val="19"/>
                <w:color w:val="auto"/>
                <w:w w:val="94"/>
              </w:rPr>
              <w:t>N/A</w:t>
            </w:r>
          </w:p>
        </w:tc>
        <w:tc>
          <w:tcPr>
            <w:tcW w:w="160" w:type="dxa"/>
            <w:vAlign w:val="bottom"/>
          </w:tcPr>
          <w:p>
            <w:pPr>
              <w:spacing w:after="0"/>
              <w:rPr>
                <w:sz w:val="19"/>
                <w:szCs w:val="19"/>
                <w:color w:val="auto"/>
              </w:rPr>
            </w:pPr>
          </w:p>
        </w:tc>
        <w:tc>
          <w:tcPr>
            <w:tcW w:w="720" w:type="dxa"/>
            <w:vAlign w:val="bottom"/>
            <w:gridSpan w:val="3"/>
          </w:tcPr>
          <w:p>
            <w:pPr>
              <w:ind w:left="180"/>
              <w:spacing w:after="0"/>
              <w:rPr>
                <w:sz w:val="20"/>
                <w:szCs w:val="20"/>
                <w:color w:val="auto"/>
              </w:rPr>
            </w:pPr>
            <w:r>
              <w:rPr>
                <w:rFonts w:ascii="Arial" w:cs="Arial" w:eastAsia="Arial" w:hAnsi="Arial"/>
                <w:sz w:val="19"/>
                <w:szCs w:val="19"/>
                <w:color w:val="auto"/>
              </w:rPr>
              <w:t>N/A</w:t>
            </w:r>
          </w:p>
        </w:tc>
        <w:tc>
          <w:tcPr>
            <w:tcW w:w="600" w:type="dxa"/>
            <w:vAlign w:val="bottom"/>
            <w:gridSpan w:val="2"/>
          </w:tcPr>
          <w:p>
            <w:pPr>
              <w:ind w:left="120"/>
              <w:spacing w:after="0"/>
              <w:rPr>
                <w:sz w:val="20"/>
                <w:szCs w:val="20"/>
                <w:color w:val="auto"/>
              </w:rPr>
            </w:pPr>
            <w:r>
              <w:rPr>
                <w:rFonts w:ascii="Arial" w:cs="Arial" w:eastAsia="Arial" w:hAnsi="Arial"/>
                <w:sz w:val="19"/>
                <w:szCs w:val="19"/>
                <w:color w:val="auto"/>
              </w:rPr>
              <w:t>N/A</w:t>
            </w:r>
          </w:p>
        </w:tc>
        <w:tc>
          <w:tcPr>
            <w:tcW w:w="1500" w:type="dxa"/>
            <w:vAlign w:val="bottom"/>
            <w:gridSpan w:val="2"/>
          </w:tcPr>
          <w:p>
            <w:pPr>
              <w:ind w:left="1020"/>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18"/>
        </w:trPr>
        <w:tc>
          <w:tcPr>
            <w:tcW w:w="6120" w:type="dxa"/>
            <w:vAlign w:val="bottom"/>
            <w:gridSpan w:val="2"/>
            <w:shd w:val="clear" w:color="auto" w:fill="CCEEFF"/>
          </w:tcPr>
          <w:p>
            <w:pPr>
              <w:spacing w:after="0"/>
              <w:rPr>
                <w:sz w:val="20"/>
                <w:szCs w:val="20"/>
                <w:color w:val="auto"/>
              </w:rPr>
            </w:pPr>
            <w:r>
              <w:rPr>
                <w:rFonts w:ascii="Arial" w:cs="Arial" w:eastAsia="Arial" w:hAnsi="Arial"/>
                <w:sz w:val="19"/>
                <w:szCs w:val="19"/>
                <w:color w:val="auto"/>
                <w:w w:val="94"/>
              </w:rPr>
              <w:t>Ratio of earnings to combined fixed charges and preferred stock dividends(1)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20" w:type="dxa"/>
            <w:vAlign w:val="bottom"/>
            <w:shd w:val="clear" w:color="auto" w:fill="CCEEFF"/>
          </w:tcPr>
          <w:p>
            <w:pPr>
              <w:jc w:val="right"/>
              <w:ind w:right="2027"/>
              <w:spacing w:after="0"/>
              <w:rPr>
                <w:sz w:val="20"/>
                <w:szCs w:val="20"/>
                <w:color w:val="auto"/>
              </w:rPr>
            </w:pPr>
            <w:r>
              <w:rPr>
                <w:rFonts w:ascii="Arial" w:cs="Arial" w:eastAsia="Arial" w:hAnsi="Arial"/>
                <w:sz w:val="19"/>
                <w:szCs w:val="19"/>
                <w:color w:val="auto"/>
              </w:rPr>
              <w:t>(3)</w:t>
            </w:r>
          </w:p>
        </w:tc>
        <w:tc>
          <w:tcPr>
            <w:tcW w:w="3600" w:type="dxa"/>
            <w:vAlign w:val="bottom"/>
            <w:shd w:val="clear" w:color="auto" w:fill="CCEEFF"/>
          </w:tcPr>
          <w:p>
            <w:pPr>
              <w:spacing w:after="0"/>
              <w:rPr>
                <w:sz w:val="20"/>
                <w:szCs w:val="20"/>
                <w:color w:val="auto"/>
              </w:rPr>
            </w:pPr>
          </w:p>
        </w:tc>
        <w:tc>
          <w:tcPr>
            <w:tcW w:w="480" w:type="dxa"/>
            <w:vAlign w:val="bottom"/>
            <w:shd w:val="clear" w:color="auto" w:fill="CCEEFF"/>
          </w:tcPr>
          <w:p>
            <w:pPr>
              <w:ind w:left="160"/>
              <w:spacing w:after="0"/>
              <w:rPr>
                <w:sz w:val="20"/>
                <w:szCs w:val="20"/>
                <w:color w:val="auto"/>
              </w:rPr>
            </w:pPr>
            <w:r>
              <w:rPr>
                <w:rFonts w:ascii="Arial" w:cs="Arial" w:eastAsia="Arial" w:hAnsi="Arial"/>
                <w:sz w:val="19"/>
                <w:szCs w:val="19"/>
                <w:color w:val="auto"/>
                <w:w w:val="94"/>
              </w:rPr>
              <w:t>N/A</w:t>
            </w: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9"/>
                <w:szCs w:val="19"/>
                <w:color w:val="auto"/>
              </w:rPr>
              <w:t>N/A</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9"/>
                <w:szCs w:val="19"/>
                <w:color w:val="auto"/>
              </w:rPr>
              <w:t>N/A</w:t>
            </w: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114"/>
        </w:trPr>
        <w:tc>
          <w:tcPr>
            <w:tcW w:w="2520" w:type="dxa"/>
            <w:vAlign w:val="bottom"/>
            <w:tcBorders>
              <w:bottom w:val="single" w:sz="8" w:color="auto"/>
            </w:tcBorders>
          </w:tcPr>
          <w:p>
            <w:pPr>
              <w:spacing w:after="0"/>
              <w:rPr>
                <w:sz w:val="9"/>
                <w:szCs w:val="9"/>
                <w:color w:val="auto"/>
              </w:rPr>
            </w:pPr>
          </w:p>
        </w:tc>
        <w:tc>
          <w:tcPr>
            <w:tcW w:w="3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760" w:right="40" w:hanging="565"/>
        <w:spacing w:after="0" w:line="268" w:lineRule="auto"/>
        <w:tabs>
          <w:tab w:leader="none" w:pos="1760" w:val="left"/>
        </w:tabs>
        <w:numPr>
          <w:ilvl w:val="0"/>
          <w:numId w:val="9"/>
        </w:numPr>
        <w:rPr>
          <w:rFonts w:ascii="Arial" w:cs="Arial" w:eastAsia="Arial" w:hAnsi="Arial"/>
          <w:sz w:val="19"/>
          <w:szCs w:val="19"/>
          <w:color w:val="auto"/>
        </w:rPr>
      </w:pPr>
      <w:r>
        <w:rPr>
          <w:rFonts w:ascii="Arial" w:cs="Arial" w:eastAsia="Arial" w:hAnsi="Arial"/>
          <w:sz w:val="19"/>
          <w:szCs w:val="19"/>
          <w:color w:val="auto"/>
        </w:rPr>
        <w:t>Due to our losses for the years ended December 31, 2014, 2015 and 2016, and for the six months ended June 30, 2017, the ratio coverage was less than 1:1.</w:t>
      </w:r>
    </w:p>
    <w:p>
      <w:pPr>
        <w:spacing w:after="0" w:line="225" w:lineRule="exact"/>
        <w:rPr>
          <w:rFonts w:ascii="Arial" w:cs="Arial" w:eastAsia="Arial" w:hAnsi="Arial"/>
          <w:sz w:val="19"/>
          <w:szCs w:val="19"/>
          <w:color w:val="auto"/>
        </w:rPr>
      </w:pPr>
    </w:p>
    <w:p>
      <w:pPr>
        <w:ind w:left="1760" w:right="160" w:hanging="565"/>
        <w:spacing w:after="0" w:line="268" w:lineRule="auto"/>
        <w:tabs>
          <w:tab w:leader="none" w:pos="1760" w:val="left"/>
        </w:tabs>
        <w:numPr>
          <w:ilvl w:val="0"/>
          <w:numId w:val="9"/>
        </w:numPr>
        <w:rPr>
          <w:rFonts w:ascii="Arial" w:cs="Arial" w:eastAsia="Arial" w:hAnsi="Arial"/>
          <w:sz w:val="19"/>
          <w:szCs w:val="19"/>
          <w:color w:val="auto"/>
        </w:rPr>
      </w:pPr>
      <w:r>
        <w:rPr>
          <w:rFonts w:ascii="Arial" w:cs="Arial" w:eastAsia="Arial" w:hAnsi="Arial"/>
          <w:sz w:val="19"/>
          <w:szCs w:val="19"/>
          <w:color w:val="auto"/>
        </w:rPr>
        <w:t>We would have needed to generate additional earnings of $12.9 million, $25.2 million, $36.2 million and $31.1 million, respectively, to cover our fixed charges in those periods.</w:t>
      </w:r>
    </w:p>
    <w:p>
      <w:pPr>
        <w:spacing w:after="0" w:line="210" w:lineRule="exact"/>
        <w:rPr>
          <w:rFonts w:ascii="Arial" w:cs="Arial" w:eastAsia="Arial" w:hAnsi="Arial"/>
          <w:sz w:val="19"/>
          <w:szCs w:val="19"/>
          <w:color w:val="auto"/>
        </w:rPr>
      </w:pPr>
    </w:p>
    <w:p>
      <w:pPr>
        <w:ind w:left="1760" w:right="160" w:hanging="565"/>
        <w:spacing w:after="0" w:line="268" w:lineRule="auto"/>
        <w:tabs>
          <w:tab w:leader="none" w:pos="1760" w:val="left"/>
        </w:tabs>
        <w:numPr>
          <w:ilvl w:val="0"/>
          <w:numId w:val="9"/>
        </w:numPr>
        <w:rPr>
          <w:rFonts w:ascii="Arial" w:cs="Arial" w:eastAsia="Arial" w:hAnsi="Arial"/>
          <w:sz w:val="19"/>
          <w:szCs w:val="19"/>
          <w:color w:val="auto"/>
        </w:rPr>
      </w:pPr>
      <w:r>
        <w:rPr>
          <w:rFonts w:ascii="Arial" w:cs="Arial" w:eastAsia="Arial" w:hAnsi="Arial"/>
          <w:sz w:val="19"/>
          <w:szCs w:val="19"/>
          <w:color w:val="auto"/>
        </w:rPr>
        <w:t>We would have needed to generate additional earnings of $17.8 million, $32.5 million, $40.8 million and $31.1 million, respectively, to cover our combined fixed charges and preferred stock dividends in those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41" w:name="page42"/>
    <w:bookmarkEnd w:id="41"/>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DESCRIPTION OF CAPITAL STOCK</w:t>
      </w:r>
    </w:p>
    <w:p>
      <w:pPr>
        <w:spacing w:after="0" w:line="242" w:lineRule="exact"/>
        <w:rPr>
          <w:sz w:val="20"/>
          <w:szCs w:val="20"/>
          <w:color w:val="auto"/>
        </w:rPr>
      </w:pPr>
    </w:p>
    <w:p>
      <w:pPr>
        <w:jc w:val="both"/>
        <w:ind w:right="240" w:firstLine="368"/>
        <w:spacing w:after="0" w:line="259" w:lineRule="auto"/>
        <w:rPr>
          <w:sz w:val="20"/>
          <w:szCs w:val="20"/>
          <w:color w:val="auto"/>
        </w:rPr>
      </w:pPr>
      <w:r>
        <w:rPr>
          <w:rFonts w:ascii="Arial" w:cs="Arial" w:eastAsia="Arial" w:hAnsi="Arial"/>
          <w:sz w:val="19"/>
          <w:szCs w:val="19"/>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authorized capital stock consists of:</w:t>
      </w:r>
    </w:p>
    <w:p>
      <w:pPr>
        <w:spacing w:after="0" w:line="23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200,000,000 shares of common stock, par value $0.0001 per share; and</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10,000,000 shares of preferred stock, par value $0.0001 per share.</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stock is listed on the NASDAQ Global Market under the symbol "SELB."</w:t>
      </w:r>
    </w:p>
    <w:p>
      <w:pPr>
        <w:spacing w:after="0" w:line="238" w:lineRule="exact"/>
        <w:rPr>
          <w:sz w:val="20"/>
          <w:szCs w:val="20"/>
          <w:color w:val="auto"/>
        </w:rPr>
      </w:pPr>
    </w:p>
    <w:p>
      <w:pPr>
        <w:ind w:right="80" w:firstLine="371"/>
        <w:spacing w:after="0" w:line="305"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our common stock are entitled to one vote for each share held on all matters submitted to a vote of stockholders and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7" w:lineRule="exact"/>
        <w:rPr>
          <w:sz w:val="20"/>
          <w:szCs w:val="20"/>
          <w:color w:val="auto"/>
        </w:rPr>
      </w:pPr>
    </w:p>
    <w:p>
      <w:pPr>
        <w:ind w:right="200" w:firstLine="371"/>
        <w:spacing w:after="0" w:line="364" w:lineRule="auto"/>
        <w:rPr>
          <w:sz w:val="20"/>
          <w:szCs w:val="20"/>
          <w:color w:val="auto"/>
        </w:rPr>
      </w:pPr>
      <w:r>
        <w:rPr>
          <w:rFonts w:ascii="Arial" w:cs="Arial" w:eastAsia="Arial" w:hAnsi="Arial"/>
          <w:sz w:val="16"/>
          <w:szCs w:val="16"/>
          <w:i w:val="1"/>
          <w:iCs w:val="1"/>
          <w:color w:val="auto"/>
        </w:rPr>
        <w:t xml:space="preserve">Rights upon Liquidation. </w:t>
      </w:r>
      <w:r>
        <w:rPr>
          <w:rFonts w:ascii="Arial" w:cs="Arial" w:eastAsia="Arial" w:hAnsi="Arial"/>
          <w:sz w:val="16"/>
          <w:szCs w:val="16"/>
          <w:color w:val="auto"/>
        </w:rPr>
        <w:t>In the event of our liquidation or dissolution, the holders of common stock are entitled to receive proportionately our net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distribution to stockholders after the payment of all debts and other liabilities and subject to the prior rights of any outstanding preferred stock.</w:t>
      </w:r>
    </w:p>
    <w:p>
      <w:pPr>
        <w:spacing w:after="0" w:line="126" w:lineRule="exact"/>
        <w:rPr>
          <w:sz w:val="20"/>
          <w:szCs w:val="20"/>
          <w:color w:val="auto"/>
        </w:rPr>
      </w:pPr>
    </w:p>
    <w:p>
      <w:pPr>
        <w:ind w:firstLine="371"/>
        <w:spacing w:after="0" w:line="259" w:lineRule="auto"/>
        <w:rPr>
          <w:sz w:val="20"/>
          <w:szCs w:val="20"/>
          <w:color w:val="auto"/>
        </w:rPr>
      </w:pPr>
      <w:r>
        <w:rPr>
          <w:rFonts w:ascii="Arial" w:cs="Arial" w:eastAsia="Arial" w:hAnsi="Arial"/>
          <w:sz w:val="19"/>
          <w:szCs w:val="19"/>
          <w:i w:val="1"/>
          <w:iCs w:val="1"/>
          <w:color w:val="auto"/>
        </w:rPr>
        <w:t xml:space="preserve">Other Rights. </w:t>
      </w:r>
      <w:r>
        <w:rPr>
          <w:rFonts w:ascii="Arial" w:cs="Arial" w:eastAsia="Arial" w:hAnsi="Arial"/>
          <w:sz w:val="19"/>
          <w:szCs w:val="19"/>
          <w:color w:val="auto"/>
        </w:rPr>
        <w:t>Holders of common stock have no preemptive, subscription, redemption or conversion rights. The rights, preferences and privileges of</w:t>
      </w:r>
      <w:r>
        <w:rPr>
          <w:rFonts w:ascii="Arial" w:cs="Arial" w:eastAsia="Arial" w:hAnsi="Arial"/>
          <w:sz w:val="19"/>
          <w:szCs w:val="19"/>
          <w:i w:val="1"/>
          <w:iCs w:val="1"/>
          <w:color w:val="auto"/>
        </w:rPr>
        <w:t xml:space="preserve"> </w:t>
      </w:r>
      <w:r>
        <w:rPr>
          <w:rFonts w:ascii="Arial" w:cs="Arial" w:eastAsia="Arial" w:hAnsi="Arial"/>
          <w:sz w:val="19"/>
          <w:szCs w:val="19"/>
          <w:color w:val="auto"/>
        </w:rPr>
        <w:t>holders of common stock are subject to and may be adversely affected by the rights of the holders of shares of any series of preferred stock that we may designate and issue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transfer agent and registrar for our common stock is American Stock Transfer &amp; Trust Company, LLC.</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w:t>
      </w:r>
    </w:p>
    <w:p>
      <w:pPr>
        <w:spacing w:after="0" w:line="242" w:lineRule="exact"/>
        <w:rPr>
          <w:sz w:val="20"/>
          <w:szCs w:val="20"/>
          <w:color w:val="auto"/>
        </w:rPr>
      </w:pPr>
    </w:p>
    <w:p>
      <w:pPr>
        <w:ind w:right="220" w:firstLine="371"/>
        <w:spacing w:after="0" w:line="259" w:lineRule="auto"/>
        <w:rPr>
          <w:sz w:val="20"/>
          <w:szCs w:val="20"/>
          <w:color w:val="auto"/>
        </w:rPr>
      </w:pPr>
      <w:r>
        <w:rPr>
          <w:rFonts w:ascii="Arial" w:cs="Arial" w:eastAsia="Arial" w:hAnsi="Arial"/>
          <w:sz w:val="19"/>
          <w:szCs w:val="19"/>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2" w:name="page43"/>
    <w:bookmarkEnd w:id="42"/>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color w:val="auto"/>
        </w:rPr>
        <w:t>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242" w:lineRule="exact"/>
        <w:rPr>
          <w:sz w:val="20"/>
          <w:szCs w:val="20"/>
          <w:color w:val="auto"/>
        </w:rPr>
      </w:pPr>
    </w:p>
    <w:p>
      <w:pPr>
        <w:ind w:right="100" w:firstLine="371"/>
        <w:spacing w:after="0" w:line="331" w:lineRule="auto"/>
        <w:rPr>
          <w:sz w:val="20"/>
          <w:szCs w:val="20"/>
          <w:color w:val="auto"/>
        </w:rPr>
      </w:pPr>
      <w:r>
        <w:rPr>
          <w:rFonts w:ascii="Arial" w:cs="Arial" w:eastAsia="Arial" w:hAnsi="Arial"/>
          <w:sz w:val="16"/>
          <w:szCs w:val="16"/>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1" w:lineRule="exact"/>
        <w:rPr>
          <w:sz w:val="20"/>
          <w:szCs w:val="20"/>
          <w:color w:val="auto"/>
        </w:rPr>
      </w:pPr>
    </w:p>
    <w:p>
      <w:pPr>
        <w:ind w:right="20" w:firstLine="368"/>
        <w:spacing w:after="0" w:line="319" w:lineRule="auto"/>
        <w:rPr>
          <w:sz w:val="20"/>
          <w:szCs w:val="20"/>
          <w:color w:val="auto"/>
        </w:rPr>
      </w:pPr>
      <w:r>
        <w:rPr>
          <w:rFonts w:ascii="Arial" w:cs="Arial" w:eastAsia="Arial" w:hAnsi="Arial"/>
          <w:sz w:val="16"/>
          <w:szCs w:val="16"/>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Options and Warrants</w:t>
      </w:r>
    </w:p>
    <w:p>
      <w:pPr>
        <w:spacing w:after="0" w:line="242" w:lineRule="exact"/>
        <w:rPr>
          <w:sz w:val="20"/>
          <w:szCs w:val="20"/>
          <w:color w:val="auto"/>
        </w:rPr>
      </w:pPr>
    </w:p>
    <w:p>
      <w:pPr>
        <w:jc w:val="both"/>
        <w:ind w:right="40" w:firstLine="361"/>
        <w:spacing w:after="0" w:line="259" w:lineRule="auto"/>
        <w:rPr>
          <w:sz w:val="20"/>
          <w:szCs w:val="20"/>
          <w:color w:val="auto"/>
        </w:rPr>
      </w:pPr>
      <w:r>
        <w:rPr>
          <w:rFonts w:ascii="Arial" w:cs="Arial" w:eastAsia="Arial" w:hAnsi="Arial"/>
          <w:sz w:val="19"/>
          <w:szCs w:val="19"/>
          <w:color w:val="auto"/>
        </w:rPr>
        <w:t>As of June 30, 2017, options to purchase an aggregate of 2,143,734 shares of our common stock were outstanding under our 2016 incentive award plan and 2008 equity incentive plan. As of June 30, 2017, we had an aggregate of 176,432 shares of common stock underlying outstanding warrants at a weighted average exercise price of $17.32 per share.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242" w:lineRule="exact"/>
        <w:rPr>
          <w:sz w:val="20"/>
          <w:szCs w:val="20"/>
          <w:color w:val="auto"/>
        </w:rPr>
      </w:pPr>
    </w:p>
    <w:p>
      <w:pPr>
        <w:ind w:right="120" w:firstLine="361"/>
        <w:spacing w:after="0" w:line="268" w:lineRule="auto"/>
        <w:rPr>
          <w:sz w:val="20"/>
          <w:szCs w:val="20"/>
          <w:color w:val="auto"/>
        </w:rPr>
      </w:pPr>
      <w:r>
        <w:rPr>
          <w:rFonts w:ascii="Arial" w:cs="Arial" w:eastAsia="Arial" w:hAnsi="Arial"/>
          <w:sz w:val="19"/>
          <w:szCs w:val="19"/>
          <w:color w:val="auto"/>
        </w:rPr>
        <w:t>As of June 30, 2017, holders of approximately 8,348,183 shares of our common stock or their transferees are entitled to the following rights with respect to the registration of such shares for public resale under the Securities Act of 1933, as amended, or the Securities Act.</w:t>
      </w:r>
    </w:p>
    <w:p>
      <w:pPr>
        <w:spacing w:after="0" w:line="197" w:lineRule="exact"/>
        <w:rPr>
          <w:sz w:val="20"/>
          <w:szCs w:val="20"/>
          <w:color w:val="auto"/>
        </w:rPr>
      </w:pPr>
    </w:p>
    <w:p>
      <w:pPr>
        <w:ind w:firstLine="368"/>
        <w:spacing w:after="0" w:line="331" w:lineRule="auto"/>
        <w:rPr>
          <w:sz w:val="20"/>
          <w:szCs w:val="20"/>
          <w:color w:val="auto"/>
        </w:rPr>
      </w:pPr>
      <w:r>
        <w:rPr>
          <w:rFonts w:ascii="Arial" w:cs="Arial" w:eastAsia="Arial" w:hAnsi="Arial"/>
          <w:sz w:val="16"/>
          <w:szCs w:val="16"/>
          <w:color w:val="auto"/>
        </w:rPr>
        <w:t>These registration rights are granted pursuant to the (i) amended and restated investors' rights agreement by and among us and certain of our stockholders, or the investors' rights agreement, and (ii) registration rights agreements we entered into in connection with the private placement of 3,088,791 shares of our common stock and a warrant to purchase 79,130 shares of our common stock, or the June 2017 Private Placement, which closed on June 27, 2017.</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9"/>
          <w:szCs w:val="19"/>
          <w:b w:val="1"/>
          <w:bCs w:val="1"/>
          <w:i w:val="1"/>
          <w:iCs w:val="1"/>
          <w:color w:val="auto"/>
        </w:rPr>
        <w:t>Registration Rightsâ€”Investors' Rights Agreement</w:t>
      </w:r>
    </w:p>
    <w:p>
      <w:pPr>
        <w:spacing w:after="0" w:line="238" w:lineRule="exact"/>
        <w:rPr>
          <w:sz w:val="20"/>
          <w:szCs w:val="20"/>
          <w:color w:val="auto"/>
        </w:rPr>
      </w:pPr>
    </w:p>
    <w:p>
      <w:pPr>
        <w:ind w:right="220" w:firstLine="371"/>
        <w:spacing w:after="0" w:line="256" w:lineRule="auto"/>
        <w:rPr>
          <w:sz w:val="20"/>
          <w:szCs w:val="20"/>
          <w:color w:val="auto"/>
        </w:rPr>
      </w:pPr>
      <w:r>
        <w:rPr>
          <w:rFonts w:ascii="Arial" w:cs="Arial" w:eastAsia="Arial" w:hAnsi="Arial"/>
          <w:sz w:val="19"/>
          <w:szCs w:val="19"/>
          <w:color w:val="auto"/>
        </w:rPr>
        <w:t>Holders of registrable securities under the investors' rights agreement have registration rights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209" w:lineRule="exact"/>
        <w:rPr>
          <w:sz w:val="20"/>
          <w:szCs w:val="20"/>
          <w:color w:val="auto"/>
        </w:rPr>
      </w:pPr>
    </w:p>
    <w:p>
      <w:pPr>
        <w:ind w:right="120" w:firstLine="371"/>
        <w:spacing w:after="0" w:line="259" w:lineRule="auto"/>
        <w:rPr>
          <w:sz w:val="20"/>
          <w:szCs w:val="20"/>
          <w:color w:val="auto"/>
        </w:rPr>
      </w:pPr>
      <w:r>
        <w:rPr>
          <w:rFonts w:ascii="Arial" w:cs="Arial" w:eastAsia="Arial" w:hAnsi="Arial"/>
          <w:sz w:val="19"/>
          <w:szCs w:val="19"/>
          <w:i w:val="1"/>
          <w:iCs w:val="1"/>
          <w:color w:val="auto"/>
        </w:rPr>
        <w:t xml:space="preserve">Piggyback Registration Rights. </w:t>
      </w:r>
      <w:r>
        <w:rPr>
          <w:rFonts w:ascii="Arial" w:cs="Arial" w:eastAsia="Arial" w:hAnsi="Arial"/>
          <w:sz w:val="19"/>
          <w:szCs w:val="19"/>
          <w:color w:val="auto"/>
        </w:rPr>
        <w:t>Any time we propose to register any shares of our common stock under the Securities Act, subject to certain exceptions,</w:t>
      </w:r>
      <w:r>
        <w:rPr>
          <w:rFonts w:ascii="Arial" w:cs="Arial" w:eastAsia="Arial" w:hAnsi="Arial"/>
          <w:sz w:val="19"/>
          <w:szCs w:val="19"/>
          <w:i w:val="1"/>
          <w:iCs w:val="1"/>
          <w:color w:val="auto"/>
        </w:rPr>
        <w:t xml:space="preserve"> </w:t>
      </w:r>
      <w:r>
        <w:rPr>
          <w:rFonts w:ascii="Arial" w:cs="Arial" w:eastAsia="Arial" w:hAnsi="Arial"/>
          <w:sz w:val="19"/>
          <w:szCs w:val="19"/>
          <w:color w:val="auto"/>
        </w:rPr>
        <w:t>the holders of registrable securities are entitled to notice of the registration and to include their shares of registrable securities in the registration. If our proposed registration involves an underwriting, the managing underwriter of such offering will have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3" w:name="page44"/>
    <w:bookmarkEnd w:id="43"/>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the right to limit the number of shares to be underwritten for reasons related to the marketing of the shares.</w:t>
      </w:r>
    </w:p>
    <w:p>
      <w:pPr>
        <w:spacing w:after="0" w:line="238" w:lineRule="exact"/>
        <w:rPr>
          <w:sz w:val="20"/>
          <w:szCs w:val="20"/>
          <w:color w:val="auto"/>
        </w:rPr>
      </w:pPr>
    </w:p>
    <w:p>
      <w:pPr>
        <w:ind w:right="140" w:firstLine="371"/>
        <w:spacing w:after="0" w:line="319" w:lineRule="auto"/>
        <w:rPr>
          <w:sz w:val="20"/>
          <w:szCs w:val="20"/>
          <w:color w:val="auto"/>
        </w:rPr>
      </w:pPr>
      <w:r>
        <w:rPr>
          <w:rFonts w:ascii="Arial" w:cs="Arial" w:eastAsia="Arial" w:hAnsi="Arial"/>
          <w:sz w:val="16"/>
          <w:szCs w:val="16"/>
          <w:i w:val="1"/>
          <w:iCs w:val="1"/>
          <w:color w:val="auto"/>
        </w:rPr>
        <w:t xml:space="preserve">Form S-3 Registration Rights. </w:t>
      </w:r>
      <w:r>
        <w:rPr>
          <w:rFonts w:ascii="Arial" w:cs="Arial" w:eastAsia="Arial" w:hAnsi="Arial"/>
          <w:sz w:val="16"/>
          <w:szCs w:val="16"/>
          <w:color w:val="auto"/>
        </w:rPr>
        <w:t>If the holders of registrable securities request in writing that we effect a registration with respect to registrable securities at</w:t>
      </w:r>
      <w:r>
        <w:rPr>
          <w:rFonts w:ascii="Arial" w:cs="Arial" w:eastAsia="Arial" w:hAnsi="Arial"/>
          <w:sz w:val="16"/>
          <w:szCs w:val="16"/>
          <w:i w:val="1"/>
          <w:iCs w:val="1"/>
          <w:color w:val="auto"/>
        </w:rPr>
        <w:t xml:space="preserve"> </w:t>
      </w:r>
      <w:r>
        <w:rPr>
          <w:rFonts w:ascii="Arial" w:cs="Arial" w:eastAsia="Arial" w:hAnsi="Arial"/>
          <w:sz w:val="16"/>
          <w:szCs w:val="16"/>
          <w:color w:val="auto"/>
        </w:rPr>
        <w:t>an aggregate price to the public in the offering of at least $2,000,000, and we are entitled under the Securities Act to register our shares on a registration statement on Form S-3, we will be required to effect such registration. We will not be required to effect a registration pursuant to these Form S-3 registration rights if, within a given calendar year, we have already effected two registrations on Form S-3 for the holders of registrable securities.</w:t>
      </w:r>
    </w:p>
    <w:p>
      <w:pPr>
        <w:spacing w:after="0" w:line="163" w:lineRule="exact"/>
        <w:rPr>
          <w:sz w:val="20"/>
          <w:szCs w:val="20"/>
          <w:color w:val="auto"/>
        </w:rPr>
      </w:pPr>
    </w:p>
    <w:p>
      <w:pPr>
        <w:ind w:firstLine="371"/>
        <w:spacing w:after="0" w:line="331" w:lineRule="auto"/>
        <w:rPr>
          <w:sz w:val="20"/>
          <w:szCs w:val="20"/>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Ordinarily, other than underwriting discounts and commissions, we will be required to pay all expenses incurred by us related to any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151" w:lineRule="exact"/>
        <w:rPr>
          <w:sz w:val="20"/>
          <w:szCs w:val="20"/>
          <w:color w:val="auto"/>
        </w:rPr>
      </w:pPr>
    </w:p>
    <w:p>
      <w:pPr>
        <w:ind w:right="460" w:firstLine="371"/>
        <w:spacing w:after="0" w:line="259" w:lineRule="auto"/>
        <w:rPr>
          <w:sz w:val="20"/>
          <w:szCs w:val="20"/>
          <w:color w:val="auto"/>
        </w:rPr>
      </w:pPr>
      <w:r>
        <w:rPr>
          <w:rFonts w:ascii="Arial" w:cs="Arial" w:eastAsia="Arial" w:hAnsi="Arial"/>
          <w:sz w:val="19"/>
          <w:szCs w:val="19"/>
          <w:i w:val="1"/>
          <w:iCs w:val="1"/>
          <w:color w:val="auto"/>
        </w:rPr>
        <w:t xml:space="preserve">Termination of Registration Rights. </w:t>
      </w:r>
      <w:r>
        <w:rPr>
          <w:rFonts w:ascii="Arial" w:cs="Arial" w:eastAsia="Arial" w:hAnsi="Arial"/>
          <w:sz w:val="19"/>
          <w:szCs w:val="19"/>
          <w:color w:val="auto"/>
        </w:rPr>
        <w:t>The registration rights terminate upon the earlier of June 27, 2021, or, with respect to the registration rights of an</w:t>
      </w:r>
      <w:r>
        <w:rPr>
          <w:rFonts w:ascii="Arial" w:cs="Arial" w:eastAsia="Arial" w:hAnsi="Arial"/>
          <w:sz w:val="19"/>
          <w:szCs w:val="19"/>
          <w:i w:val="1"/>
          <w:iCs w:val="1"/>
          <w:color w:val="auto"/>
        </w:rPr>
        <w:t xml:space="preserve"> </w:t>
      </w:r>
      <w:r>
        <w:rPr>
          <w:rFonts w:ascii="Arial" w:cs="Arial" w:eastAsia="Arial" w:hAnsi="Arial"/>
          <w:sz w:val="19"/>
          <w:szCs w:val="19"/>
          <w:color w:val="auto"/>
        </w:rPr>
        <w:t>individual holder, when the holder can sell all of such holder's registrable securities in a three-month period without restriction under Rule 144 under the Securities Act.</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9"/>
          <w:szCs w:val="19"/>
          <w:b w:val="1"/>
          <w:bCs w:val="1"/>
          <w:i w:val="1"/>
          <w:iCs w:val="1"/>
          <w:color w:val="auto"/>
        </w:rPr>
        <w:t>Registration Rightsâ€”Investors' Rights Agreement</w:t>
      </w:r>
    </w:p>
    <w:p>
      <w:pPr>
        <w:spacing w:after="0" w:line="238" w:lineRule="exact"/>
        <w:rPr>
          <w:sz w:val="20"/>
          <w:szCs w:val="20"/>
          <w:color w:val="auto"/>
        </w:rPr>
      </w:pPr>
    </w:p>
    <w:p>
      <w:pPr>
        <w:ind w:right="20" w:firstLine="368"/>
        <w:spacing w:after="0" w:line="269" w:lineRule="auto"/>
        <w:rPr>
          <w:sz w:val="20"/>
          <w:szCs w:val="20"/>
          <w:color w:val="auto"/>
        </w:rPr>
      </w:pPr>
      <w:r>
        <w:rPr>
          <w:rFonts w:ascii="Arial" w:cs="Arial" w:eastAsia="Arial" w:hAnsi="Arial"/>
          <w:sz w:val="18"/>
          <w:szCs w:val="18"/>
          <w:color w:val="auto"/>
        </w:rPr>
        <w:t>The shares of common stock underlying the warrants and the shares of common stock issued in connection with our June 2017 Private Placement are currently registered under a registration statement that has been declared effective by the SEC, pursuant to a registration rights agreement entered into between us and the investors in the private placement. Subject to certain exceptions, pursuant to the related registration rights agreements,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June 27, 2020.</w:t>
      </w:r>
    </w:p>
    <w:p>
      <w:pPr>
        <w:spacing w:after="0" w:line="198" w:lineRule="exact"/>
        <w:rPr>
          <w:sz w:val="20"/>
          <w:szCs w:val="20"/>
          <w:color w:val="auto"/>
        </w:rPr>
      </w:pPr>
    </w:p>
    <w:p>
      <w:pPr>
        <w:ind w:right="40" w:firstLine="368"/>
        <w:spacing w:after="0" w:line="259" w:lineRule="auto"/>
        <w:rPr>
          <w:sz w:val="20"/>
          <w:szCs w:val="20"/>
          <w:color w:val="auto"/>
        </w:rPr>
      </w:pPr>
      <w:r>
        <w:rPr>
          <w:rFonts w:ascii="Arial" w:cs="Arial" w:eastAsia="Arial" w:hAnsi="Arial"/>
          <w:sz w:val="19"/>
          <w:szCs w:val="19"/>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registration rights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Effects of Delaware Law and Our Certificate of Incorporation and Bylaws</w:t>
      </w:r>
    </w:p>
    <w:p>
      <w:pPr>
        <w:spacing w:after="0" w:line="242" w:lineRule="exact"/>
        <w:rPr>
          <w:sz w:val="20"/>
          <w:szCs w:val="20"/>
          <w:color w:val="auto"/>
        </w:rPr>
      </w:pPr>
    </w:p>
    <w:p>
      <w:pPr>
        <w:ind w:firstLine="371"/>
        <w:spacing w:after="0" w:line="319" w:lineRule="auto"/>
        <w:rPr>
          <w:sz w:val="20"/>
          <w:szCs w:val="20"/>
          <w:color w:val="auto"/>
        </w:rPr>
      </w:pPr>
      <w:r>
        <w:rPr>
          <w:rFonts w:ascii="Arial" w:cs="Arial" w:eastAsia="Arial" w:hAnsi="Arial"/>
          <w:sz w:val="16"/>
          <w:szCs w:val="16"/>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63" w:lineRule="exact"/>
        <w:rPr>
          <w:sz w:val="20"/>
          <w:szCs w:val="20"/>
          <w:color w:val="auto"/>
        </w:rPr>
      </w:pPr>
    </w:p>
    <w:p>
      <w:pPr>
        <w:ind w:right="600" w:firstLine="368"/>
        <w:spacing w:after="0" w:line="268" w:lineRule="auto"/>
        <w:rPr>
          <w:sz w:val="20"/>
          <w:szCs w:val="20"/>
          <w:color w:val="auto"/>
        </w:rPr>
      </w:pPr>
      <w:r>
        <w:rPr>
          <w:rFonts w:ascii="Arial" w:cs="Arial" w:eastAsia="Arial" w:hAnsi="Arial"/>
          <w:sz w:val="19"/>
          <w:szCs w:val="19"/>
          <w:color w:val="auto"/>
        </w:rPr>
        <w:t>These provisions, summarized below, are intended to discourage coercive takeover practices and inadequate takeover bids. These provisions are also designed to encourage persons seeking to acquire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4" w:name="page45"/>
    <w:bookmarkEnd w:id="44"/>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05" w:lineRule="exact"/>
        <w:rPr>
          <w:sz w:val="20"/>
          <w:szCs w:val="20"/>
          <w:color w:val="auto"/>
        </w:rPr>
      </w:pPr>
    </w:p>
    <w:p>
      <w:pPr>
        <w:ind w:right="160" w:firstLine="371"/>
        <w:spacing w:after="0" w:line="331" w:lineRule="auto"/>
        <w:rPr>
          <w:sz w:val="20"/>
          <w:szCs w:val="20"/>
          <w:color w:val="auto"/>
        </w:rPr>
      </w:pPr>
      <w:r>
        <w:rPr>
          <w:rFonts w:ascii="Arial" w:cs="Arial" w:eastAsia="Arial" w:hAnsi="Arial"/>
          <w:sz w:val="16"/>
          <w:szCs w:val="16"/>
          <w:i w:val="1"/>
          <w:iCs w:val="1"/>
          <w:color w:val="auto"/>
        </w:rPr>
        <w:t xml:space="preserve">Undesignated Preferred Stock. </w:t>
      </w:r>
      <w:r>
        <w:rPr>
          <w:rFonts w:ascii="Arial" w:cs="Arial" w:eastAsia="Arial" w:hAnsi="Arial"/>
          <w:sz w:val="16"/>
          <w:szCs w:val="16"/>
          <w:color w:val="auto"/>
        </w:rPr>
        <w:t>The ability of our board of directors, without action by the stockholders, to issue up to 10,000,000 shares of undesignated</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51" w:lineRule="exact"/>
        <w:rPr>
          <w:sz w:val="20"/>
          <w:szCs w:val="20"/>
          <w:color w:val="auto"/>
        </w:rPr>
      </w:pPr>
    </w:p>
    <w:p>
      <w:pPr>
        <w:ind w:right="120" w:firstLine="371"/>
        <w:spacing w:after="0" w:line="364" w:lineRule="auto"/>
        <w:rPr>
          <w:sz w:val="20"/>
          <w:szCs w:val="20"/>
          <w:color w:val="auto"/>
        </w:rPr>
      </w:pPr>
      <w:r>
        <w:rPr>
          <w:rFonts w:ascii="Arial" w:cs="Arial" w:eastAsia="Arial" w:hAnsi="Arial"/>
          <w:sz w:val="16"/>
          <w:szCs w:val="16"/>
          <w:i w:val="1"/>
          <w:iCs w:val="1"/>
          <w:color w:val="auto"/>
        </w:rPr>
        <w:t xml:space="preserve">Stockholder Meetings. </w:t>
      </w:r>
      <w:r>
        <w:rPr>
          <w:rFonts w:ascii="Arial" w:cs="Arial" w:eastAsia="Arial" w:hAnsi="Arial"/>
          <w:sz w:val="16"/>
          <w:szCs w:val="16"/>
          <w:color w:val="auto"/>
        </w:rPr>
        <w:t>Our amended and restated bylaws provide that a special meeting of stockholders may be called only by our chairman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or president (in the absence of a chief executive officer), or by a resolution adopted by a majority of our board of directors.</w:t>
      </w:r>
    </w:p>
    <w:p>
      <w:pPr>
        <w:spacing w:after="0" w:line="126" w:lineRule="exact"/>
        <w:rPr>
          <w:sz w:val="20"/>
          <w:szCs w:val="20"/>
          <w:color w:val="auto"/>
        </w:rPr>
      </w:pPr>
    </w:p>
    <w:p>
      <w:pPr>
        <w:ind w:right="60" w:firstLine="371"/>
        <w:spacing w:after="0" w:line="259" w:lineRule="auto"/>
        <w:rPr>
          <w:sz w:val="20"/>
          <w:szCs w:val="20"/>
          <w:color w:val="auto"/>
        </w:rPr>
      </w:pPr>
      <w:r>
        <w:rPr>
          <w:rFonts w:ascii="Arial" w:cs="Arial" w:eastAsia="Arial" w:hAnsi="Arial"/>
          <w:sz w:val="19"/>
          <w:szCs w:val="19"/>
          <w:i w:val="1"/>
          <w:iCs w:val="1"/>
          <w:color w:val="auto"/>
        </w:rPr>
        <w:t xml:space="preserve">Requirements for Advance Notification of Stockholder Nominations and Proposals. </w:t>
      </w:r>
      <w:r>
        <w:rPr>
          <w:rFonts w:ascii="Arial" w:cs="Arial" w:eastAsia="Arial" w:hAnsi="Arial"/>
          <w:sz w:val="19"/>
          <w:szCs w:val="19"/>
          <w:color w:val="auto"/>
        </w:rPr>
        <w:t>Our amended and restated bylaws establish advance notice procedures</w:t>
      </w:r>
      <w:r>
        <w:rPr>
          <w:rFonts w:ascii="Arial" w:cs="Arial" w:eastAsia="Arial" w:hAnsi="Arial"/>
          <w:sz w:val="19"/>
          <w:szCs w:val="19"/>
          <w:i w:val="1"/>
          <w:iCs w:val="1"/>
          <w:color w:val="auto"/>
        </w:rPr>
        <w:t xml:space="preserve"> </w:t>
      </w:r>
      <w:r>
        <w:rPr>
          <w:rFonts w:ascii="Arial" w:cs="Arial" w:eastAsia="Arial" w:hAnsi="Arial"/>
          <w:sz w:val="19"/>
          <w:szCs w:val="19"/>
          <w:color w:val="auto"/>
        </w:rPr>
        <w:t>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05" w:lineRule="exact"/>
        <w:rPr>
          <w:sz w:val="20"/>
          <w:szCs w:val="20"/>
          <w:color w:val="auto"/>
        </w:rPr>
      </w:pPr>
    </w:p>
    <w:p>
      <w:pPr>
        <w:ind w:right="540" w:firstLine="371"/>
        <w:spacing w:after="0" w:line="268" w:lineRule="auto"/>
        <w:rPr>
          <w:sz w:val="20"/>
          <w:szCs w:val="20"/>
          <w:color w:val="auto"/>
        </w:rPr>
      </w:pPr>
      <w:r>
        <w:rPr>
          <w:rFonts w:ascii="Arial" w:cs="Arial" w:eastAsia="Arial" w:hAnsi="Arial"/>
          <w:sz w:val="19"/>
          <w:szCs w:val="19"/>
          <w:i w:val="1"/>
          <w:iCs w:val="1"/>
          <w:color w:val="auto"/>
        </w:rPr>
        <w:t xml:space="preserve">Elimination of Stockholder Action by Written Consent. </w:t>
      </w:r>
      <w:r>
        <w:rPr>
          <w:rFonts w:ascii="Arial" w:cs="Arial" w:eastAsia="Arial" w:hAnsi="Arial"/>
          <w:sz w:val="19"/>
          <w:szCs w:val="19"/>
          <w:color w:val="auto"/>
        </w:rPr>
        <w:t>Our restated certificate of incorporation eliminates the right of stockholders to act by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consent without a meeting.</w:t>
      </w:r>
    </w:p>
    <w:p>
      <w:pPr>
        <w:spacing w:after="0" w:line="197" w:lineRule="exact"/>
        <w:rPr>
          <w:sz w:val="20"/>
          <w:szCs w:val="20"/>
          <w:color w:val="auto"/>
        </w:rPr>
      </w:pPr>
    </w:p>
    <w:p>
      <w:pPr>
        <w:ind w:right="220" w:firstLine="371"/>
        <w:spacing w:after="0" w:line="331" w:lineRule="auto"/>
        <w:rPr>
          <w:sz w:val="20"/>
          <w:szCs w:val="20"/>
          <w:color w:val="auto"/>
        </w:rPr>
      </w:pPr>
      <w:r>
        <w:rPr>
          <w:rFonts w:ascii="Arial" w:cs="Arial" w:eastAsia="Arial" w:hAnsi="Arial"/>
          <w:sz w:val="16"/>
          <w:szCs w:val="16"/>
          <w:i w:val="1"/>
          <w:iCs w:val="1"/>
          <w:color w:val="auto"/>
        </w:rPr>
        <w:t xml:space="preserve">Staggered Board. </w:t>
      </w:r>
      <w:r>
        <w:rPr>
          <w:rFonts w:ascii="Arial" w:cs="Arial" w:eastAsia="Arial" w:hAnsi="Arial"/>
          <w:sz w:val="16"/>
          <w:szCs w:val="16"/>
          <w:color w:val="auto"/>
        </w:rPr>
        <w:t>Our board of directors is divided into three classes. The directors in each class will serve for a three-year term, one class being elected</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51" w:lineRule="exact"/>
        <w:rPr>
          <w:sz w:val="20"/>
          <w:szCs w:val="20"/>
          <w:color w:val="auto"/>
        </w:rPr>
      </w:pPr>
    </w:p>
    <w:p>
      <w:pPr>
        <w:jc w:val="both"/>
        <w:ind w:right="360" w:firstLine="371"/>
        <w:spacing w:after="0" w:line="259" w:lineRule="auto"/>
        <w:rPr>
          <w:sz w:val="20"/>
          <w:szCs w:val="20"/>
          <w:color w:val="auto"/>
        </w:rPr>
      </w:pPr>
      <w:r>
        <w:rPr>
          <w:rFonts w:ascii="Arial" w:cs="Arial" w:eastAsia="Arial" w:hAnsi="Arial"/>
          <w:sz w:val="19"/>
          <w:szCs w:val="19"/>
          <w:i w:val="1"/>
          <w:iCs w:val="1"/>
          <w:color w:val="auto"/>
        </w:rPr>
        <w:t xml:space="preserve">Removal of Directors. </w:t>
      </w:r>
      <w:r>
        <w:rPr>
          <w:rFonts w:ascii="Arial" w:cs="Arial" w:eastAsia="Arial" w:hAnsi="Arial"/>
          <w:sz w:val="19"/>
          <w:szCs w:val="19"/>
          <w:color w:val="auto"/>
        </w:rPr>
        <w:t>Our restated certificate of incorporation provides that no member of our board of directors may be removed from office by our</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stockholders except for cause and, in addition to any other vote required by law, upon the approval of the holders of at least two-thirds in voting power of the outstanding shares of stock entitled to vote in the election of directors.</w:t>
      </w:r>
    </w:p>
    <w:p>
      <w:pPr>
        <w:spacing w:after="0" w:line="205" w:lineRule="exact"/>
        <w:rPr>
          <w:sz w:val="20"/>
          <w:szCs w:val="20"/>
          <w:color w:val="auto"/>
        </w:rPr>
      </w:pPr>
    </w:p>
    <w:p>
      <w:pPr>
        <w:ind w:right="180" w:firstLine="371"/>
        <w:spacing w:after="0" w:line="331" w:lineRule="auto"/>
        <w:rPr>
          <w:sz w:val="20"/>
          <w:szCs w:val="20"/>
          <w:color w:val="auto"/>
        </w:rPr>
      </w:pPr>
      <w:r>
        <w:rPr>
          <w:rFonts w:ascii="Arial" w:cs="Arial" w:eastAsia="Arial" w:hAnsi="Arial"/>
          <w:sz w:val="16"/>
          <w:szCs w:val="16"/>
          <w:i w:val="1"/>
          <w:iCs w:val="1"/>
          <w:color w:val="auto"/>
        </w:rPr>
        <w:t xml:space="preserve">Stockholders Not Entitled to Cumulative Voting. </w:t>
      </w:r>
      <w:r>
        <w:rPr>
          <w:rFonts w:ascii="Arial" w:cs="Arial" w:eastAsia="Arial" w:hAnsi="Arial"/>
          <w:sz w:val="16"/>
          <w:szCs w:val="16"/>
          <w:color w:val="auto"/>
        </w:rPr>
        <w:t>Our restated certificate of incorporation does not permit stockholders to cumulate their votes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1" w:lineRule="exact"/>
        <w:rPr>
          <w:sz w:val="20"/>
          <w:szCs w:val="20"/>
          <w:color w:val="auto"/>
        </w:rPr>
      </w:pPr>
    </w:p>
    <w:p>
      <w:pPr>
        <w:ind w:firstLine="371"/>
        <w:spacing w:after="0" w:line="308"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We are subject to Section 203 of the General Corporation Law of the State of Delaware, which prohibits persons deemed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5" w:name="page46"/>
    <w:bookmarkEnd w:id="45"/>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firstLine="371"/>
        <w:spacing w:after="0" w:line="268" w:lineRule="auto"/>
        <w:rPr>
          <w:sz w:val="20"/>
          <w:szCs w:val="20"/>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provides that, unless we consent in writing to the selection of an alternative form, the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(4) any action to interpret, apply, enforce or determine the validity of our restated certificate of incorporation or amended and restated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202" w:lineRule="exact"/>
        <w:rPr>
          <w:sz w:val="20"/>
          <w:szCs w:val="20"/>
          <w:color w:val="auto"/>
        </w:rPr>
      </w:pPr>
    </w:p>
    <w:p>
      <w:pPr>
        <w:ind w:right="60" w:firstLine="368"/>
        <w:spacing w:after="0" w:line="280" w:lineRule="auto"/>
        <w:rPr>
          <w:sz w:val="20"/>
          <w:szCs w:val="20"/>
          <w:color w:val="auto"/>
        </w:rPr>
      </w:pPr>
      <w:r>
        <w:rPr>
          <w:rFonts w:ascii="Arial" w:cs="Arial" w:eastAsia="Arial" w:hAnsi="Arial"/>
          <w:sz w:val="18"/>
          <w:szCs w:val="18"/>
          <w:i w:val="1"/>
          <w:iCs w:val="1"/>
          <w:color w:val="auto"/>
        </w:rPr>
        <w:t xml:space="preserve">Amendment of Restated Certificate of Incorporation. </w:t>
      </w:r>
      <w:r>
        <w:rPr>
          <w:rFonts w:ascii="Arial" w:cs="Arial" w:eastAsia="Arial" w:hAnsi="Arial"/>
          <w:sz w:val="18"/>
          <w:szCs w:val="18"/>
          <w:color w:val="auto"/>
        </w:rPr>
        <w:t>The amendment of any of the above provisions in our restated certificate of incorporation,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88" w:lineRule="exact"/>
        <w:rPr>
          <w:sz w:val="20"/>
          <w:szCs w:val="20"/>
          <w:color w:val="auto"/>
        </w:rPr>
      </w:pPr>
    </w:p>
    <w:p>
      <w:pPr>
        <w:ind w:right="100" w:firstLine="368"/>
        <w:spacing w:after="0" w:line="255" w:lineRule="auto"/>
        <w:rPr>
          <w:sz w:val="20"/>
          <w:szCs w:val="20"/>
          <w:color w:val="auto"/>
        </w:rPr>
      </w:pPr>
      <w:r>
        <w:rPr>
          <w:rFonts w:ascii="Arial" w:cs="Arial" w:eastAsia="Arial" w:hAnsi="Arial"/>
          <w:sz w:val="19"/>
          <w:szCs w:val="19"/>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6" w:name="page47"/>
    <w:bookmarkEnd w:id="46"/>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DESCRIPTION OF DEBT SECURITIES</w:t>
      </w:r>
    </w:p>
    <w:p>
      <w:pPr>
        <w:spacing w:after="0" w:line="242" w:lineRule="exact"/>
        <w:rPr>
          <w:sz w:val="20"/>
          <w:szCs w:val="20"/>
          <w:color w:val="auto"/>
        </w:rPr>
      </w:pPr>
    </w:p>
    <w:p>
      <w:pPr>
        <w:ind w:right="140" w:firstLine="368"/>
        <w:spacing w:after="0" w:line="256" w:lineRule="auto"/>
        <w:rPr>
          <w:sz w:val="20"/>
          <w:szCs w:val="20"/>
          <w:color w:val="auto"/>
        </w:rPr>
      </w:pPr>
      <w:r>
        <w:rPr>
          <w:rFonts w:ascii="Arial" w:cs="Arial" w:eastAsia="Arial" w:hAnsi="Arial"/>
          <w:sz w:val="19"/>
          <w:szCs w:val="19"/>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209" w:lineRule="exact"/>
        <w:rPr>
          <w:sz w:val="20"/>
          <w:szCs w:val="20"/>
          <w:color w:val="auto"/>
        </w:rPr>
      </w:pPr>
    </w:p>
    <w:p>
      <w:pPr>
        <w:ind w:right="60" w:firstLine="368"/>
        <w:spacing w:after="0" w:line="280"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88" w:lineRule="exact"/>
        <w:rPr>
          <w:sz w:val="20"/>
          <w:szCs w:val="20"/>
          <w:color w:val="auto"/>
        </w:rPr>
      </w:pPr>
    </w:p>
    <w:p>
      <w:pPr>
        <w:ind w:right="80" w:firstLine="368"/>
        <w:spacing w:after="0" w:line="275" w:lineRule="auto"/>
        <w:rPr>
          <w:sz w:val="20"/>
          <w:szCs w:val="20"/>
          <w:color w:val="auto"/>
        </w:rPr>
      </w:pPr>
      <w:r>
        <w:rPr>
          <w:rFonts w:ascii="Arial" w:cs="Arial" w:eastAsia="Arial" w:hAnsi="Arial"/>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92" w:lineRule="exact"/>
        <w:rPr>
          <w:sz w:val="20"/>
          <w:szCs w:val="20"/>
          <w:color w:val="auto"/>
        </w:rPr>
      </w:pPr>
    </w:p>
    <w:p>
      <w:pPr>
        <w:ind w:firstLine="361"/>
        <w:spacing w:after="0" w:line="268" w:lineRule="auto"/>
        <w:rPr>
          <w:sz w:val="20"/>
          <w:szCs w:val="20"/>
          <w:color w:val="auto"/>
        </w:rPr>
      </w:pPr>
      <w:r>
        <w:rPr>
          <w:rFonts w:ascii="Arial" w:cs="Arial" w:eastAsia="Arial" w:hAnsi="Arial"/>
          <w:sz w:val="19"/>
          <w:szCs w:val="19"/>
          <w:color w:val="auto"/>
        </w:rPr>
        <w:t>As used in this section only, "Selecta," "we," "our" or "us" refer to Selecta Biosciences, Inc. excluding our subsidiaries, unless expressly stated or the context otherwise requires.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42" w:lineRule="exact"/>
        <w:rPr>
          <w:sz w:val="20"/>
          <w:szCs w:val="20"/>
          <w:color w:val="auto"/>
        </w:rPr>
      </w:pPr>
    </w:p>
    <w:p>
      <w:pPr>
        <w:ind w:right="360" w:firstLine="368"/>
        <w:spacing w:after="0" w:line="33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51" w:lineRule="exact"/>
        <w:rPr>
          <w:sz w:val="20"/>
          <w:szCs w:val="20"/>
          <w:color w:val="auto"/>
        </w:rPr>
      </w:pPr>
    </w:p>
    <w:p>
      <w:pPr>
        <w:jc w:val="both"/>
        <w:ind w:right="260" w:firstLine="368"/>
        <w:spacing w:after="0" w:line="33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ectPr>
          <w:pgSz w:w="12240" w:h="15840" w:orient="portrait"/>
          <w:cols w:equalWidth="0" w:num="1">
            <w:col w:w="12000"/>
          </w:cols>
          <w:pgMar w:left="120" w:top="0" w:right="120" w:bottom="1440" w:gutter="0" w:footer="0" w:header="0"/>
        </w:sectPr>
      </w:pP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the title and ranking of the debt securities (including the terms of any subordination provisions);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price or prices (expressed as a percentage of the principal amount) at which we will sell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any limit on the aggregate principal amount of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date or dates on which the principal of the securities of the series is payable;</w:t>
      </w:r>
    </w:p>
    <w:p>
      <w:pPr>
        <w:spacing w:after="0" w:line="266"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00"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line="9" w:lineRule="exact"/>
        <w:rPr>
          <w:sz w:val="20"/>
          <w:szCs w:val="20"/>
          <w:color w:val="auto"/>
        </w:rPr>
      </w:pPr>
    </w:p>
    <w:p>
      <w:pPr>
        <w:ind w:left="1140" w:right="380" w:hanging="569"/>
        <w:spacing w:after="0" w:line="268"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the place or places where principal of, and interest, if any, on the debt securities will be payable (and the method of such payment), where the securities of such series may be surrendered for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Table of Contents</w:t>
        </w:r>
      </w:hyperlink>
    </w:p>
    <w:p>
      <w:pPr>
        <w:sectPr>
          <w:pgSz w:w="12240" w:h="15840" w:orient="portrait"/>
          <w:cols w:equalWidth="0" w:num="1">
            <w:col w:w="11940"/>
          </w:cols>
          <w:pgMar w:left="120" w:top="0" w:right="1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registration of transfer or exchange, and where notices and demands to us in respect of the debt securities may be delivered;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30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200" w:lineRule="exact"/>
        <w:rPr>
          <w:sz w:val="20"/>
          <w:szCs w:val="20"/>
          <w:color w:val="auto"/>
        </w:rPr>
      </w:pPr>
    </w:p>
    <w:p>
      <w:pPr>
        <w:sectPr>
          <w:pgSz w:w="12240" w:h="15840" w:orient="portrait"/>
          <w:cols w:equalWidth="0" w:num="2">
            <w:col w:w="840" w:space="300"/>
            <w:col w:w="10800"/>
          </w:cols>
          <w:pgMar w:left="120" w:top="0" w:right="180" w:bottom="144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9"/>
          <w:szCs w:val="19"/>
          <w:color w:val="auto"/>
        </w:rPr>
        <w:t>the dates on which and the price or prices at which we will repurchase debt securities at the option of the holders of debt securities and other detailed terms and provisions of these repurchase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whether the debt securities will be issued in the form of certificated debt securities or global debt securities;</w:t>
      </w:r>
    </w:p>
    <w:p>
      <w:pPr>
        <w:spacing w:after="0" w:line="252" w:lineRule="exact"/>
        <w:rPr>
          <w:sz w:val="20"/>
          <w:szCs w:val="20"/>
          <w:color w:val="auto"/>
        </w:rPr>
      </w:pPr>
    </w:p>
    <w:p>
      <w:pPr>
        <w:ind w:right="360"/>
        <w:spacing w:after="0" w:line="268" w:lineRule="auto"/>
        <w:rPr>
          <w:sz w:val="20"/>
          <w:szCs w:val="20"/>
          <w:color w:val="auto"/>
        </w:rPr>
      </w:pPr>
      <w:r>
        <w:rPr>
          <w:rFonts w:ascii="Arial" w:cs="Arial" w:eastAsia="Arial" w:hAnsi="Arial"/>
          <w:sz w:val="19"/>
          <w:szCs w:val="19"/>
          <w:color w:val="auto"/>
        </w:rPr>
        <w:t>the portion of principal amount of the debt securities payable upon declaration of acceleration of the maturity date, if other than the principal amount;</w:t>
      </w:r>
    </w:p>
    <w:p>
      <w:pPr>
        <w:spacing w:after="0" w:line="211" w:lineRule="exact"/>
        <w:rPr>
          <w:sz w:val="20"/>
          <w:szCs w:val="20"/>
          <w:color w:val="auto"/>
        </w:rPr>
      </w:pPr>
    </w:p>
    <w:p>
      <w:pPr>
        <w:ind w:right="680"/>
        <w:spacing w:after="0" w:line="364" w:lineRule="auto"/>
        <w:rPr>
          <w:sz w:val="20"/>
          <w:szCs w:val="20"/>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55"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the designation of the currency, currencies or currency units in which payment of principal of, premium and interest on the debt securities will be made;</w:t>
      </w:r>
    </w:p>
    <w:p>
      <w:pPr>
        <w:spacing w:after="0" w:line="211" w:lineRule="exact"/>
        <w:rPr>
          <w:sz w:val="20"/>
          <w:szCs w:val="20"/>
          <w:color w:val="auto"/>
        </w:rPr>
      </w:pPr>
    </w:p>
    <w:p>
      <w:pPr>
        <w:ind w:right="100"/>
        <w:spacing w:after="0" w:line="364" w:lineRule="auto"/>
        <w:rPr>
          <w:sz w:val="20"/>
          <w:szCs w:val="20"/>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200" w:lineRule="exact"/>
        <w:rPr>
          <w:sz w:val="20"/>
          <w:szCs w:val="20"/>
          <w:color w:val="auto"/>
        </w:rPr>
      </w:pPr>
    </w:p>
    <w:p>
      <w:pPr>
        <w:sectPr>
          <w:pgSz w:w="12240" w:h="15840" w:orient="portrait"/>
          <w:cols w:equalWidth="0" w:num="2">
            <w:col w:w="840" w:space="300"/>
            <w:col w:w="10800"/>
          </w:cols>
          <w:pgMar w:left="120" w:top="0" w:right="180" w:bottom="144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any provisions relating to any security provided for the debt securities;</w:t>
      </w:r>
    </w:p>
    <w:p>
      <w:pPr>
        <w:spacing w:after="0" w:line="252" w:lineRule="exact"/>
        <w:rPr>
          <w:sz w:val="20"/>
          <w:szCs w:val="20"/>
          <w:color w:val="auto"/>
        </w:rPr>
      </w:pPr>
    </w:p>
    <w:p>
      <w:pPr>
        <w:ind w:right="180"/>
        <w:spacing w:after="0" w:line="364" w:lineRule="auto"/>
        <w:rPr>
          <w:sz w:val="20"/>
          <w:szCs w:val="20"/>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264"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205"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00"/>
          </w:cols>
          <w:pgMar w:left="120" w:top="0" w:right="180"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Table of Contents</w:t>
        </w:r>
      </w:hyperlink>
    </w:p>
    <w:p>
      <w:pPr>
        <w:sectPr>
          <w:pgSz w:w="12240" w:h="15840" w:orient="portrait"/>
          <w:cols w:equalWidth="0" w:num="1">
            <w:col w:w="12000"/>
          </w:cols>
          <w:pgMar w:left="120" w:top="0" w:right="120" w:bottom="1440" w:gutter="0" w:footer="0" w:header="0"/>
        </w:sect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20"/>
        <w:spacing w:after="0" w:line="364" w:lineRule="auto"/>
        <w:rPr>
          <w:sz w:val="20"/>
          <w:szCs w:val="20"/>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55" w:lineRule="exact"/>
        <w:rPr>
          <w:sz w:val="20"/>
          <w:szCs w:val="20"/>
          <w:color w:val="auto"/>
        </w:rPr>
      </w:pPr>
    </w:p>
    <w:p>
      <w:pPr>
        <w:ind w:right="240"/>
        <w:spacing w:after="0" w:line="268" w:lineRule="auto"/>
        <w:rPr>
          <w:sz w:val="20"/>
          <w:szCs w:val="20"/>
          <w:color w:val="auto"/>
        </w:rPr>
      </w:pPr>
      <w:r>
        <w:rPr>
          <w:rFonts w:ascii="Arial" w:cs="Arial" w:eastAsia="Arial" w:hAnsi="Arial"/>
          <w:sz w:val="19"/>
          <w:szCs w:val="19"/>
          <w:color w:val="auto"/>
        </w:rPr>
        <w:t>whether any of our direct or indirect subsidiaries will guarantee the debt securities of that series, including the terms of subordination, if any, of such guarantees. (Section 2.2)</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right="320" w:firstLine="368"/>
        <w:spacing w:after="0" w:line="280"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8" w:lineRule="exact"/>
        <w:rPr>
          <w:sz w:val="20"/>
          <w:szCs w:val="20"/>
          <w:color w:val="auto"/>
        </w:rPr>
      </w:pPr>
    </w:p>
    <w:p>
      <w:pPr>
        <w:ind w:right="100" w:firstLine="371"/>
        <w:spacing w:after="0" w:line="275"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and Exchange</w:t>
      </w:r>
    </w:p>
    <w:p>
      <w:pPr>
        <w:spacing w:after="0" w:line="242" w:lineRule="exact"/>
        <w:rPr>
          <w:sz w:val="20"/>
          <w:szCs w:val="20"/>
          <w:color w:val="auto"/>
        </w:rPr>
      </w:pPr>
    </w:p>
    <w:p>
      <w:pPr>
        <w:ind w:right="20" w:firstLine="371"/>
        <w:spacing w:after="0" w:line="255" w:lineRule="auto"/>
        <w:rPr>
          <w:sz w:val="20"/>
          <w:szCs w:val="20"/>
          <w:color w:val="auto"/>
        </w:rPr>
      </w:pPr>
      <w:r>
        <w:rPr>
          <w:rFonts w:ascii="Arial" w:cs="Arial" w:eastAsia="Arial" w:hAnsi="Arial"/>
          <w:sz w:val="19"/>
          <w:szCs w:val="19"/>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08" w:lineRule="exact"/>
        <w:rPr>
          <w:sz w:val="20"/>
          <w:szCs w:val="20"/>
          <w:color w:val="auto"/>
        </w:rPr>
      </w:pPr>
    </w:p>
    <w:p>
      <w:pPr>
        <w:ind w:right="60" w:firstLine="371"/>
        <w:spacing w:after="0" w:line="280" w:lineRule="auto"/>
        <w:rPr>
          <w:sz w:val="20"/>
          <w:szCs w:val="20"/>
          <w:color w:val="auto"/>
        </w:rPr>
      </w:pPr>
      <w:r>
        <w:rPr>
          <w:rFonts w:ascii="Arial" w:cs="Arial" w:eastAsia="Arial" w:hAnsi="Arial"/>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88" w:lineRule="exact"/>
        <w:rPr>
          <w:sz w:val="20"/>
          <w:szCs w:val="20"/>
          <w:color w:val="auto"/>
        </w:rPr>
      </w:pPr>
    </w:p>
    <w:p>
      <w:pPr>
        <w:ind w:firstLine="364"/>
        <w:spacing w:after="0" w:line="259" w:lineRule="auto"/>
        <w:rPr>
          <w:sz w:val="20"/>
          <w:szCs w:val="20"/>
          <w:color w:val="auto"/>
        </w:rPr>
      </w:pPr>
      <w:r>
        <w:rPr>
          <w:rFonts w:ascii="Arial" w:cs="Arial" w:eastAsia="Arial" w:hAnsi="Arial"/>
          <w:sz w:val="19"/>
          <w:szCs w:val="19"/>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05" w:lineRule="exact"/>
        <w:rPr>
          <w:sz w:val="20"/>
          <w:szCs w:val="20"/>
          <w:color w:val="auto"/>
        </w:rPr>
      </w:pPr>
    </w:p>
    <w:p>
      <w:pPr>
        <w:ind w:right="20" w:firstLine="371"/>
        <w:spacing w:after="0" w:line="268" w:lineRule="auto"/>
        <w:rPr>
          <w:sz w:val="20"/>
          <w:szCs w:val="20"/>
          <w:color w:val="auto"/>
        </w:rPr>
      </w:pPr>
      <w:r>
        <w:rPr>
          <w:rFonts w:ascii="Arial" w:cs="Arial" w:eastAsia="Arial" w:hAnsi="Arial"/>
          <w:sz w:val="19"/>
          <w:szCs w:val="19"/>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Covenants</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set forth in the applicable prospectus supplement any restrictive covenants applicable to any issue of debt securities. (Article IV)</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Protection in the Event of a Change of Control</w:t>
      </w:r>
    </w:p>
    <w:p>
      <w:pPr>
        <w:spacing w:after="0" w:line="242" w:lineRule="exact"/>
        <w:rPr>
          <w:sz w:val="20"/>
          <w:szCs w:val="20"/>
          <w:color w:val="auto"/>
        </w:rPr>
      </w:pPr>
    </w:p>
    <w:p>
      <w:pPr>
        <w:ind w:right="140" w:firstLine="371"/>
        <w:spacing w:after="0" w:line="268" w:lineRule="auto"/>
        <w:rPr>
          <w:sz w:val="20"/>
          <w:szCs w:val="20"/>
          <w:color w:val="auto"/>
        </w:rPr>
      </w:pPr>
      <w:r>
        <w:rPr>
          <w:rFonts w:ascii="Arial" w:cs="Arial" w:eastAsia="Arial" w:hAnsi="Arial"/>
          <w:sz w:val="19"/>
          <w:szCs w:val="19"/>
          <w:color w:val="auto"/>
        </w:rPr>
        <w:t>Unless we state otherwise in the applicable prospectus supplement, the debt securities will not contain any provisions which may afford holders of the debt securities protection in the event we have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49" w:name="page50"/>
    <w:bookmarkEnd w:id="49"/>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a change in control or in the event of a highly leveraged transaction (whether or not such transaction results in a change in control) which could adversely affect holders of debt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Consolidation, Merger and Sale of Assets</w:t>
      </w:r>
    </w:p>
    <w:p>
      <w:pPr>
        <w:spacing w:after="0" w:line="242" w:lineRule="exact"/>
        <w:rPr>
          <w:sz w:val="20"/>
          <w:szCs w:val="20"/>
          <w:color w:val="auto"/>
        </w:rPr>
      </w:pPr>
    </w:p>
    <w:p>
      <w:pPr>
        <w:ind w:right="760" w:firstLine="368"/>
        <w:spacing w:after="0" w:line="268" w:lineRule="auto"/>
        <w:rPr>
          <w:sz w:val="20"/>
          <w:szCs w:val="20"/>
          <w:color w:val="auto"/>
        </w:rPr>
      </w:pPr>
      <w:r>
        <w:rPr>
          <w:rFonts w:ascii="Arial" w:cs="Arial" w:eastAsia="Arial" w:hAnsi="Arial"/>
          <w:sz w:val="19"/>
          <w:szCs w:val="19"/>
          <w:color w:val="auto"/>
        </w:rPr>
        <w:t>We may not consolidate with or merge with or into, or convey, transfer or lease all or substantially all of our properties and assets to any person (a "successor person") unless:</w:t>
      </w:r>
    </w:p>
    <w:p>
      <w:pPr>
        <w:spacing w:after="0" w:line="197" w:lineRule="exact"/>
        <w:rPr>
          <w:sz w:val="20"/>
          <w:szCs w:val="20"/>
          <w:color w:val="auto"/>
        </w:rPr>
      </w:pPr>
    </w:p>
    <w:p>
      <w:pPr>
        <w:ind w:left="1140" w:right="160" w:hanging="569"/>
        <w:spacing w:after="0" w:line="297"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we are the surviving corporation or the successor person (if other than Selecta) is a corporation organized and validly existing under the laws of any U.S. domestic jurisdiction and expressly assumes our obligations on the debt securities and under the indenture; and</w:t>
      </w:r>
    </w:p>
    <w:p>
      <w:pPr>
        <w:spacing w:after="0" w:line="187"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immediately after giving effect to the transaction, no Default or Event of Default, shall have occurred and be continuing.</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 (Section 5.1)</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"Event of Default" means with respect to any series of debt securities, any of the following:</w:t>
      </w:r>
    </w:p>
    <w:p>
      <w:pPr>
        <w:spacing w:after="0" w:line="238" w:lineRule="exact"/>
        <w:rPr>
          <w:sz w:val="20"/>
          <w:szCs w:val="20"/>
          <w:color w:val="auto"/>
        </w:rPr>
      </w:pPr>
    </w:p>
    <w:p>
      <w:pPr>
        <w:ind w:left="1140" w:right="60" w:hanging="569"/>
        <w:spacing w:after="0" w:line="259"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ectPr>
          <w:pgSz w:w="12240" w:h="15840" w:orient="portrait"/>
          <w:cols w:equalWidth="0" w:num="1">
            <w:col w:w="11940"/>
          </w:cols>
          <w:pgMar w:left="120" w:top="0" w:right="180" w:bottom="1440" w:gutter="0" w:footer="0" w:header="0"/>
        </w:sectPr>
      </w:pP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default in the payment of principal of any security of that series at its maturity;</w:t>
      </w:r>
    </w:p>
    <w:p>
      <w:pPr>
        <w:spacing w:after="0" w:line="26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Selecta and the trustee receive written notice from the holders of not less than 25% in principal amount of the outstanding debt securities of that series as provided in the indenture;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certain voluntary or involuntary events of bankruptcy, insolvency or reorganization of Selecta;</w:t>
      </w:r>
    </w:p>
    <w:p>
      <w:pPr>
        <w:spacing w:after="0" w:line="252" w:lineRule="exact"/>
        <w:rPr>
          <w:sz w:val="20"/>
          <w:szCs w:val="20"/>
          <w:color w:val="auto"/>
        </w:rPr>
      </w:pPr>
    </w:p>
    <w:p>
      <w:pPr>
        <w:ind w:right="560"/>
        <w:spacing w:after="0" w:line="268" w:lineRule="auto"/>
        <w:rPr>
          <w:sz w:val="20"/>
          <w:szCs w:val="20"/>
          <w:color w:val="auto"/>
        </w:rPr>
      </w:pPr>
      <w:r>
        <w:rPr>
          <w:rFonts w:ascii="Arial" w:cs="Arial" w:eastAsia="Arial" w:hAnsi="Arial"/>
          <w:sz w:val="19"/>
          <w:szCs w:val="19"/>
          <w:color w:val="auto"/>
        </w:rPr>
        <w:t>any other Event of Default provided with respect to debt securities of that series that is described in the applicable prospectus supplement. (Section 6.1)</w:t>
      </w:r>
    </w:p>
    <w:p>
      <w:pPr>
        <w:spacing w:after="0" w:line="197" w:lineRule="exact"/>
        <w:rPr>
          <w:sz w:val="20"/>
          <w:szCs w:val="20"/>
          <w:color w:val="auto"/>
        </w:rPr>
      </w:pPr>
    </w:p>
    <w:p>
      <w:pPr>
        <w:sectPr>
          <w:pgSz w:w="12240" w:h="15840" w:orient="portrait"/>
          <w:cols w:equalWidth="0" w:num="2">
            <w:col w:w="840" w:space="300"/>
            <w:col w:w="10800"/>
          </w:cols>
          <w:pgMar w:left="120" w:top="0" w:right="180" w:bottom="1440" w:gutter="0" w:footer="0" w:header="0"/>
          <w:type w:val="continuous"/>
        </w:sectPr>
      </w:pPr>
    </w:p>
    <w:p>
      <w:pPr>
        <w:ind w:firstLine="371"/>
        <w:spacing w:after="0" w:line="33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51" w:lineRule="exact"/>
        <w:rPr>
          <w:sz w:val="20"/>
          <w:szCs w:val="20"/>
          <w:color w:val="auto"/>
        </w:rPr>
      </w:pPr>
    </w:p>
    <w:p>
      <w:pPr>
        <w:ind w:right="100" w:firstLine="368"/>
        <w:spacing w:after="0" w:line="259" w:lineRule="auto"/>
        <w:rPr>
          <w:sz w:val="20"/>
          <w:szCs w:val="20"/>
          <w:color w:val="auto"/>
        </w:rPr>
      </w:pPr>
      <w:r>
        <w:rPr>
          <w:rFonts w:ascii="Arial" w:cs="Arial" w:eastAsia="Arial" w:hAnsi="Arial"/>
          <w:sz w:val="19"/>
          <w:szCs w:val="19"/>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205" w:lineRule="exact"/>
        <w:rPr>
          <w:sz w:val="20"/>
          <w:szCs w:val="20"/>
          <w:color w:val="auto"/>
        </w:rPr>
      </w:pPr>
    </w:p>
    <w:p>
      <w:pPr>
        <w:ind w:right="20" w:firstLine="371"/>
        <w:spacing w:after="0" w:line="256" w:lineRule="auto"/>
        <w:rPr>
          <w:sz w:val="20"/>
          <w:szCs w:val="20"/>
          <w:color w:val="auto"/>
        </w:rPr>
      </w:pPr>
      <w:r>
        <w:rPr>
          <w:rFonts w:ascii="Arial" w:cs="Arial" w:eastAsia="Arial" w:hAnsi="Arial"/>
          <w:sz w:val="19"/>
          <w:szCs w:val="19"/>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40"/>
          </w:cols>
          <w:pgMar w:left="120" w:top="0" w:right="180" w:bottom="1440" w:gutter="0" w:footer="0" w:header="0"/>
          <w:type w:val="continuous"/>
        </w:sectPr>
      </w:pPr>
    </w:p>
    <w:bookmarkStart w:id="50" w:name="page51"/>
    <w:bookmarkEnd w:id="50"/>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202" w:lineRule="exact"/>
        <w:rPr>
          <w:sz w:val="20"/>
          <w:szCs w:val="20"/>
          <w:color w:val="auto"/>
        </w:rPr>
      </w:pPr>
    </w:p>
    <w:p>
      <w:pPr>
        <w:ind w:right="80" w:firstLine="368"/>
        <w:spacing w:after="0" w:line="272"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96" w:lineRule="exact"/>
        <w:rPr>
          <w:sz w:val="20"/>
          <w:szCs w:val="20"/>
          <w:color w:val="auto"/>
        </w:rPr>
      </w:pPr>
    </w:p>
    <w:p>
      <w:pPr>
        <w:ind w:right="380" w:firstLine="371"/>
        <w:spacing w:after="0" w:line="268" w:lineRule="auto"/>
        <w:rPr>
          <w:sz w:val="20"/>
          <w:szCs w:val="20"/>
          <w:color w:val="auto"/>
        </w:rPr>
      </w:pPr>
      <w:r>
        <w:rPr>
          <w:rFonts w:ascii="Arial" w:cs="Arial" w:eastAsia="Arial" w:hAnsi="Arial"/>
          <w:sz w:val="19"/>
          <w:szCs w:val="19"/>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301" w:lineRule="exact"/>
        <w:rPr>
          <w:sz w:val="20"/>
          <w:szCs w:val="20"/>
          <w:color w:val="auto"/>
        </w:rPr>
      </w:pPr>
    </w:p>
    <w:p>
      <w:pPr>
        <w:ind w:right="300"/>
        <w:spacing w:after="0" w:line="256" w:lineRule="auto"/>
        <w:rPr>
          <w:sz w:val="20"/>
          <w:szCs w:val="20"/>
          <w:color w:val="auto"/>
        </w:rPr>
      </w:pPr>
      <w:r>
        <w:rPr>
          <w:rFonts w:ascii="Arial" w:cs="Arial" w:eastAsia="Arial" w:hAnsi="Arial"/>
          <w:sz w:val="19"/>
          <w:szCs w:val="19"/>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200"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line="9" w:lineRule="exact"/>
        <w:rPr>
          <w:sz w:val="20"/>
          <w:szCs w:val="20"/>
          <w:color w:val="auto"/>
        </w:rPr>
      </w:pPr>
    </w:p>
    <w:p>
      <w:pPr>
        <w:ind w:right="20" w:firstLine="371"/>
        <w:spacing w:after="0" w:line="259" w:lineRule="auto"/>
        <w:rPr>
          <w:sz w:val="20"/>
          <w:szCs w:val="20"/>
          <w:color w:val="auto"/>
        </w:rPr>
      </w:pPr>
      <w:r>
        <w:rPr>
          <w:rFonts w:ascii="Arial" w:cs="Arial" w:eastAsia="Arial" w:hAnsi="Arial"/>
          <w:sz w:val="19"/>
          <w:szCs w:val="19"/>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205" w:lineRule="exact"/>
        <w:rPr>
          <w:sz w:val="20"/>
          <w:szCs w:val="20"/>
          <w:color w:val="auto"/>
        </w:rPr>
      </w:pPr>
    </w:p>
    <w:p>
      <w:pPr>
        <w:ind w:firstLine="368"/>
        <w:spacing w:after="0" w:line="31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51" w:name="page52"/>
    <w:bookmarkEnd w:id="51"/>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and Waiver</w:t>
      </w:r>
    </w:p>
    <w:p>
      <w:pPr>
        <w:spacing w:after="0" w:line="242" w:lineRule="exact"/>
        <w:rPr>
          <w:sz w:val="20"/>
          <w:szCs w:val="20"/>
          <w:color w:val="auto"/>
        </w:rPr>
      </w:pPr>
    </w:p>
    <w:p>
      <w:pPr>
        <w:ind w:right="620" w:firstLine="368"/>
        <w:spacing w:after="0" w:line="268" w:lineRule="auto"/>
        <w:rPr>
          <w:sz w:val="20"/>
          <w:szCs w:val="20"/>
          <w:color w:val="auto"/>
        </w:rPr>
      </w:pPr>
      <w:r>
        <w:rPr>
          <w:rFonts w:ascii="Arial" w:cs="Arial" w:eastAsia="Arial" w:hAnsi="Arial"/>
          <w:sz w:val="19"/>
          <w:szCs w:val="19"/>
          <w:color w:val="auto"/>
        </w:rPr>
        <w:t>We and the trustee may modify, amend or supplement the indenture or the debt securities of any series without the consent of any holder of any debt security:</w:t>
      </w:r>
    </w:p>
    <w:p>
      <w:pPr>
        <w:sectPr>
          <w:pgSz w:w="12240" w:h="15840" w:orient="portrait"/>
          <w:cols w:equalWidth="0" w:num="1">
            <w:col w:w="11980"/>
          </w:cols>
          <w:pgMar w:left="120" w:top="0" w:right="14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to cure any ambiguity, defect or inconsistency;</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to comply with covenants in the indenture described above under the heading "Consolidation, Merger and Sale of Assets";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to provide for uncertificated securities in addition to or in place of certificated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to add guarantees with respect to debt securities of any series or secure debt securities of any series;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to surrender any of our rights or powers under the indenture;</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to add covenants or events of default for the benefit of the holders of debt securities of any series;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to comply with the applicable procedures of the applicable depositary;</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to make any change that does not adversely affect the rights of any holder of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8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225" w:lineRule="exact"/>
        <w:rPr>
          <w:sz w:val="20"/>
          <w:szCs w:val="20"/>
          <w:color w:val="auto"/>
        </w:rPr>
      </w:pPr>
    </w:p>
    <w:p>
      <w:pPr>
        <w:ind w:right="900"/>
        <w:spacing w:after="0" w:line="268" w:lineRule="auto"/>
        <w:rPr>
          <w:sz w:val="20"/>
          <w:szCs w:val="20"/>
          <w:color w:val="auto"/>
        </w:rPr>
      </w:pPr>
      <w:r>
        <w:rPr>
          <w:rFonts w:ascii="Arial" w:cs="Arial" w:eastAsia="Arial" w:hAnsi="Arial"/>
          <w:sz w:val="19"/>
          <w:szCs w:val="19"/>
          <w:color w:val="auto"/>
        </w:rPr>
        <w:t>to comply with requirements of the SEC in order to effect or maintain the qualification of the indenture under the Trust Indenture Act. (Section 9.1)</w:t>
      </w:r>
    </w:p>
    <w:p>
      <w:pPr>
        <w:spacing w:after="0" w:line="197"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jc w:val="both"/>
        <w:ind w:right="120" w:firstLine="368"/>
        <w:spacing w:after="0" w:line="259" w:lineRule="auto"/>
        <w:rPr>
          <w:sz w:val="20"/>
          <w:szCs w:val="20"/>
          <w:color w:val="auto"/>
        </w:rPr>
      </w:pPr>
      <w:r>
        <w:rPr>
          <w:rFonts w:ascii="Arial" w:cs="Arial" w:eastAsia="Arial" w:hAnsi="Arial"/>
          <w:sz w:val="19"/>
          <w:szCs w:val="19"/>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ectPr>
          <w:pgSz w:w="12240" w:h="15840" w:orient="portrait"/>
          <w:cols w:equalWidth="0" w:num="1">
            <w:col w:w="11980"/>
          </w:cols>
          <w:pgMar w:left="120" w:top="0" w:right="140" w:bottom="1440" w:gutter="0" w:footer="0" w:header="0"/>
          <w:type w:val="continuous"/>
        </w:sectPr>
      </w:pP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reduce the amount of debt securities whose holders must consent to an amendment, supplement or waiver;</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reduce the rate of or extend the time for payment of interest (including default interest) on any debt security;</w:t>
      </w:r>
    </w:p>
    <w:p>
      <w:pPr>
        <w:spacing w:after="0" w:line="266" w:lineRule="exact"/>
        <w:rPr>
          <w:sz w:val="20"/>
          <w:szCs w:val="20"/>
          <w:color w:val="auto"/>
        </w:rPr>
      </w:pPr>
    </w:p>
    <w:p>
      <w:pPr>
        <w:ind w:right="220"/>
        <w:spacing w:after="0" w:line="268" w:lineRule="auto"/>
        <w:rPr>
          <w:sz w:val="20"/>
          <w:szCs w:val="20"/>
          <w:color w:val="auto"/>
        </w:rPr>
      </w:pPr>
      <w:r>
        <w:rPr>
          <w:rFonts w:ascii="Arial" w:cs="Arial" w:eastAsia="Arial" w:hAnsi="Arial"/>
          <w:sz w:val="19"/>
          <w:szCs w:val="19"/>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reduce the principal amount of discount securities payable upon acceleration of maturity;</w:t>
      </w:r>
    </w:p>
    <w:p>
      <w:pPr>
        <w:spacing w:after="0" w:line="266"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00"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64" w:lineRule="exact"/>
        <w:rPr>
          <w:sz w:val="20"/>
          <w:szCs w:val="20"/>
          <w:color w:val="auto"/>
        </w:rPr>
      </w:pPr>
    </w:p>
    <w:p>
      <w:pPr>
        <w:ind w:right="180"/>
        <w:spacing w:after="0" w:line="268" w:lineRule="auto"/>
        <w:rPr>
          <w:sz w:val="20"/>
          <w:szCs w:val="20"/>
          <w:color w:val="auto"/>
        </w:rPr>
      </w:pPr>
      <w:r>
        <w:rPr>
          <w:rFonts w:ascii="Arial" w:cs="Arial" w:eastAsia="Arial" w:hAnsi="Arial"/>
          <w:sz w:val="19"/>
          <w:szCs w:val="19"/>
          <w:color w:val="auto"/>
        </w:rPr>
        <w:t>make any change to certain provisions of the indenture relating to, among other things, the right of holders of debt securities to receive payment of the principal of, premium and interest on</w:t>
      </w:r>
    </w:p>
    <w:p>
      <w:pPr>
        <w:spacing w:after="0" w:line="197"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40"/>
          </w:cols>
          <w:pgMar w:left="120" w:top="0" w:right="140" w:bottom="1440" w:gutter="0" w:footer="0" w:header="0"/>
          <w:type w:val="continuous"/>
        </w:sectPr>
      </w:pPr>
    </w:p>
    <w:bookmarkStart w:id="52" w:name="page53"/>
    <w:bookmarkEnd w:id="52"/>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those debt securities and to institute suit for the enforcement of any such payment and to waivers or amendments; or</w:t>
      </w:r>
    </w:p>
    <w:p>
      <w:pPr>
        <w:spacing w:after="0" w:line="23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waive a redemption payment with respect to any debt security. (Section 9.3)</w:t>
      </w:r>
    </w:p>
    <w:p>
      <w:pPr>
        <w:spacing w:after="0" w:line="252" w:lineRule="exact"/>
        <w:rPr>
          <w:sz w:val="20"/>
          <w:szCs w:val="20"/>
          <w:color w:val="auto"/>
        </w:rPr>
      </w:pPr>
    </w:p>
    <w:p>
      <w:pPr>
        <w:ind w:firstLine="371"/>
        <w:spacing w:after="0" w:line="253" w:lineRule="auto"/>
        <w:rPr>
          <w:sz w:val="20"/>
          <w:szCs w:val="20"/>
          <w:color w:val="auto"/>
        </w:rPr>
      </w:pPr>
      <w:r>
        <w:rPr>
          <w:rFonts w:ascii="Arial" w:cs="Arial" w:eastAsia="Arial" w:hAnsi="Arial"/>
          <w:sz w:val="19"/>
          <w:szCs w:val="19"/>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Defeasance of Debt Securities and Certain Covenants in Certain Circumstances</w:t>
      </w:r>
    </w:p>
    <w:p>
      <w:pPr>
        <w:spacing w:after="0" w:line="242" w:lineRule="exact"/>
        <w:rPr>
          <w:sz w:val="20"/>
          <w:szCs w:val="20"/>
          <w:color w:val="auto"/>
        </w:rPr>
      </w:pPr>
    </w:p>
    <w:p>
      <w:pPr>
        <w:ind w:right="20" w:firstLine="371"/>
        <w:spacing w:after="0" w:line="308"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3" w:lineRule="exact"/>
        <w:rPr>
          <w:sz w:val="20"/>
          <w:szCs w:val="20"/>
          <w:color w:val="auto"/>
        </w:rPr>
      </w:pPr>
    </w:p>
    <w:p>
      <w:pPr>
        <w:ind w:right="20" w:firstLine="368"/>
        <w:spacing w:after="0" w:line="271"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95" w:lineRule="exact"/>
        <w:rPr>
          <w:sz w:val="20"/>
          <w:szCs w:val="20"/>
          <w:color w:val="auto"/>
        </w:rPr>
      </w:pPr>
    </w:p>
    <w:p>
      <w:pPr>
        <w:ind w:right="340" w:firstLine="371"/>
        <w:spacing w:after="0" w:line="268" w:lineRule="auto"/>
        <w:rPr>
          <w:sz w:val="20"/>
          <w:szCs w:val="20"/>
          <w:color w:val="auto"/>
        </w:rPr>
      </w:pPr>
      <w:r>
        <w:rPr>
          <w:rFonts w:ascii="Arial" w:cs="Arial" w:eastAsia="Arial" w:hAnsi="Arial"/>
          <w:sz w:val="19"/>
          <w:szCs w:val="19"/>
          <w:i w:val="1"/>
          <w:iCs w:val="1"/>
          <w:color w:val="auto"/>
        </w:rPr>
        <w:t xml:space="preserve">Defeasance of Certain Covenants. </w:t>
      </w:r>
      <w:r>
        <w:rPr>
          <w:rFonts w:ascii="Arial" w:cs="Arial" w:eastAsia="Arial" w:hAnsi="Arial"/>
          <w:sz w:val="19"/>
          <w:szCs w:val="19"/>
          <w:color w:val="auto"/>
        </w:rPr>
        <w:t>The indenture provides that, unless otherwise provided by the terms of the applicable series of debt securities, upon</w:t>
      </w:r>
      <w:r>
        <w:rPr>
          <w:rFonts w:ascii="Arial" w:cs="Arial" w:eastAsia="Arial" w:hAnsi="Arial"/>
          <w:sz w:val="19"/>
          <w:szCs w:val="19"/>
          <w:i w:val="1"/>
          <w:iCs w:val="1"/>
          <w:color w:val="auto"/>
        </w:rPr>
        <w:t xml:space="preserve"> </w:t>
      </w:r>
      <w:r>
        <w:rPr>
          <w:rFonts w:ascii="Arial" w:cs="Arial" w:eastAsia="Arial" w:hAnsi="Arial"/>
          <w:sz w:val="19"/>
          <w:szCs w:val="19"/>
          <w:color w:val="auto"/>
        </w:rPr>
        <w:t>compliance with certain conditions:</w:t>
      </w:r>
    </w:p>
    <w:p>
      <w:pPr>
        <w:sectPr>
          <w:pgSz w:w="12240" w:h="15840" w:orient="portrait"/>
          <w:cols w:equalWidth="0" w:num="1">
            <w:col w:w="12000"/>
          </w:cols>
          <w:pgMar w:left="120" w:top="0" w:right="12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40"/>
        <w:spacing w:after="0" w:line="364" w:lineRule="auto"/>
        <w:rPr>
          <w:sz w:val="20"/>
          <w:szCs w:val="20"/>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41"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any omission to comply with those covenants will not constitute a Default or an Event of Default with respect to the debt securities of that series ("covenant defeasance").</w:t>
      </w:r>
    </w:p>
    <w:p>
      <w:pPr>
        <w:spacing w:after="0" w:line="197"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60"/>
          </w:cols>
          <w:pgMar w:left="120" w:top="0" w:right="120" w:bottom="1440" w:gutter="0" w:footer="0" w:header="0"/>
          <w:type w:val="continuous"/>
        </w:sectPr>
      </w:pPr>
    </w:p>
    <w:bookmarkStart w:id="53" w:name="page54"/>
    <w:bookmarkEnd w:id="53"/>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conditions include:</w:t>
      </w:r>
    </w:p>
    <w:p>
      <w:pPr>
        <w:sectPr>
          <w:pgSz w:w="12240" w:h="15840" w:orient="portrait"/>
          <w:cols w:equalWidth="0" w:num="1">
            <w:col w:w="12000"/>
          </w:cols>
          <w:pgMar w:left="120" w:top="0" w:right="120" w:bottom="1440" w:gutter="0" w:footer="0" w:header="0"/>
        </w:sectPr>
      </w:pPr>
    </w:p>
    <w:p>
      <w:pPr>
        <w:spacing w:after="0" w:line="2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95"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63"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No Personal Liability of Directors, Officers, Employees or Stockholders</w:t>
      </w:r>
    </w:p>
    <w:p>
      <w:pPr>
        <w:spacing w:after="0" w:line="242" w:lineRule="exact"/>
        <w:rPr>
          <w:sz w:val="20"/>
          <w:szCs w:val="20"/>
          <w:color w:val="auto"/>
        </w:rPr>
      </w:pPr>
    </w:p>
    <w:p>
      <w:pPr>
        <w:ind w:right="260" w:firstLine="371"/>
        <w:spacing w:after="0" w:line="319"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Governing Law</w:t>
      </w:r>
    </w:p>
    <w:p>
      <w:pPr>
        <w:spacing w:after="0" w:line="242" w:lineRule="exact"/>
        <w:rPr>
          <w:sz w:val="20"/>
          <w:szCs w:val="20"/>
          <w:color w:val="auto"/>
        </w:rPr>
      </w:pPr>
    </w:p>
    <w:p>
      <w:pPr>
        <w:ind w:right="100" w:firstLine="368"/>
        <w:spacing w:after="0" w:line="268" w:lineRule="auto"/>
        <w:rPr>
          <w:sz w:val="20"/>
          <w:szCs w:val="20"/>
          <w:color w:val="auto"/>
        </w:rPr>
      </w:pPr>
      <w:r>
        <w:rPr>
          <w:rFonts w:ascii="Arial" w:cs="Arial" w:eastAsia="Arial" w:hAnsi="Arial"/>
          <w:sz w:val="19"/>
          <w:szCs w:val="19"/>
          <w:color w:val="auto"/>
        </w:rPr>
        <w:t>The indenture and the debt securities, including any claim or controversy arising out of or relating to the indenture or the securities, will be governed by the laws of the State of New York.</w:t>
      </w:r>
    </w:p>
    <w:p>
      <w:pPr>
        <w:spacing w:after="0" w:line="197" w:lineRule="exact"/>
        <w:rPr>
          <w:sz w:val="20"/>
          <w:szCs w:val="20"/>
          <w:color w:val="auto"/>
        </w:rPr>
      </w:pPr>
    </w:p>
    <w:p>
      <w:pPr>
        <w:ind w:right="60" w:firstLine="368"/>
        <w:spacing w:after="0" w:line="259" w:lineRule="auto"/>
        <w:rPr>
          <w:sz w:val="20"/>
          <w:szCs w:val="20"/>
          <w:color w:val="auto"/>
        </w:rPr>
      </w:pPr>
      <w:r>
        <w:rPr>
          <w:rFonts w:ascii="Arial" w:cs="Arial" w:eastAsia="Arial" w:hAnsi="Arial"/>
          <w:sz w:val="19"/>
          <w:szCs w:val="19"/>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205" w:lineRule="exact"/>
        <w:rPr>
          <w:sz w:val="20"/>
          <w:szCs w:val="20"/>
          <w:color w:val="auto"/>
        </w:rPr>
      </w:pPr>
    </w:p>
    <w:p>
      <w:pPr>
        <w:ind w:firstLine="368"/>
        <w:spacing w:after="0" w:line="268" w:lineRule="auto"/>
        <w:rPr>
          <w:sz w:val="20"/>
          <w:szCs w:val="20"/>
          <w:color w:val="auto"/>
        </w:rPr>
      </w:pPr>
      <w:r>
        <w:rPr>
          <w:rFonts w:ascii="Arial" w:cs="Arial" w:eastAsia="Arial" w:hAnsi="Arial"/>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54" w:name="page55"/>
    <w:bookmarkEnd w:id="54"/>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DESCRIPTION OF WARRANTS</w:t>
      </w:r>
    </w:p>
    <w:p>
      <w:pPr>
        <w:spacing w:after="0" w:line="242" w:lineRule="exact"/>
        <w:rPr>
          <w:sz w:val="20"/>
          <w:szCs w:val="20"/>
          <w:color w:val="auto"/>
        </w:rPr>
      </w:pPr>
    </w:p>
    <w:p>
      <w:pPr>
        <w:ind w:firstLine="368"/>
        <w:spacing w:after="0" w:line="253" w:lineRule="auto"/>
        <w:rPr>
          <w:sz w:val="20"/>
          <w:szCs w:val="20"/>
          <w:color w:val="auto"/>
        </w:rPr>
      </w:pPr>
      <w:r>
        <w:rPr>
          <w:rFonts w:ascii="Arial" w:cs="Arial" w:eastAsia="Arial" w:hAnsi="Arial"/>
          <w:sz w:val="19"/>
          <w:szCs w:val="19"/>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ectPr>
          <w:pgSz w:w="12240" w:h="15840" w:orient="portrait"/>
          <w:cols w:equalWidth="0" w:num="1">
            <w:col w:w="12000"/>
          </w:cols>
          <w:pgMar w:left="120" w:top="0" w:right="120" w:bottom="1440" w:gutter="0" w:footer="0" w:header="0"/>
        </w:sect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480"/>
        <w:spacing w:after="0" w:line="268" w:lineRule="auto"/>
        <w:rPr>
          <w:sz w:val="20"/>
          <w:szCs w:val="20"/>
          <w:color w:val="auto"/>
        </w:rPr>
      </w:pPr>
      <w:r>
        <w:rPr>
          <w:rFonts w:ascii="Arial" w:cs="Arial" w:eastAsia="Arial" w:hAnsi="Arial"/>
          <w:sz w:val="19"/>
          <w:szCs w:val="19"/>
          <w:color w:val="auto"/>
        </w:rPr>
        <w:t>the number of shares of common stock or preferred stock purchasable upon the exercise of warrants to purchase such shares and the price at which such number of shares may be purchased upon such exercise;</w:t>
      </w:r>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9"/>
          <w:szCs w:val="19"/>
          <w:color w:val="auto"/>
        </w:rPr>
        <w:t>the designation, stated value and terms (including, without limitation, liquidation, dividend, conversion and voting rights) of the series of preferred stock purchasable upon exercise of warrants to purchase preferred stock;</w:t>
      </w:r>
    </w:p>
    <w:p>
      <w:pPr>
        <w:spacing w:after="0" w:line="211"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the principal amount of debt securities that may be purchased upon exercise of a debt warrant and the exercise price for the warrants, which may be payable in cash, securities or other property;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the terms of any rights to redeem or call the warrants;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date on which the right to exercise the warrants will commence and the date on which the right will expire;</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United States Federal income tax consequences applicable to the warrants; and</w:t>
      </w:r>
    </w:p>
    <w:p>
      <w:pPr>
        <w:spacing w:after="0" w:line="266" w:lineRule="exact"/>
        <w:rPr>
          <w:sz w:val="20"/>
          <w:szCs w:val="20"/>
          <w:color w:val="auto"/>
        </w:rPr>
      </w:pPr>
    </w:p>
    <w:p>
      <w:pPr>
        <w:ind w:right="720"/>
        <w:spacing w:after="0" w:line="268" w:lineRule="auto"/>
        <w:rPr>
          <w:sz w:val="20"/>
          <w:szCs w:val="20"/>
          <w:color w:val="auto"/>
        </w:rPr>
      </w:pPr>
      <w:r>
        <w:rPr>
          <w:rFonts w:ascii="Arial" w:cs="Arial" w:eastAsia="Arial" w:hAnsi="Arial"/>
          <w:sz w:val="19"/>
          <w:szCs w:val="19"/>
          <w:color w:val="auto"/>
        </w:rPr>
        <w:t>any additional terms of the warrants, including terms, procedures, and limitations relating to the exchange, exercise and settlement of the warrants.</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left="360"/>
        <w:spacing w:after="0"/>
        <w:rPr>
          <w:sz w:val="20"/>
          <w:szCs w:val="20"/>
          <w:color w:val="auto"/>
        </w:rPr>
      </w:pPr>
      <w:r>
        <w:rPr>
          <w:rFonts w:ascii="Arial" w:cs="Arial" w:eastAsia="Arial" w:hAnsi="Arial"/>
          <w:sz w:val="19"/>
          <w:szCs w:val="19"/>
          <w:color w:val="auto"/>
        </w:rPr>
        <w:t>Holders of equity warrants will not be entitled:</w:t>
      </w:r>
    </w:p>
    <w:p>
      <w:pPr>
        <w:spacing w:after="0" w:line="23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to vote, consent or receive dividends;</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receive notice as stockholders with respect to any meeting of stockholders for the election of our directors or any other matter; or</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exercise any rights as stockholders of Selecta.</w:t>
      </w:r>
    </w:p>
    <w:p>
      <w:pPr>
        <w:spacing w:after="0" w:line="266" w:lineRule="exact"/>
        <w:rPr>
          <w:sz w:val="20"/>
          <w:szCs w:val="20"/>
          <w:color w:val="auto"/>
        </w:rPr>
      </w:pPr>
    </w:p>
    <w:p>
      <w:pPr>
        <w:ind w:right="320" w:firstLine="371"/>
        <w:spacing w:after="0" w:line="319"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3" w:lineRule="exact"/>
        <w:rPr>
          <w:sz w:val="20"/>
          <w:szCs w:val="20"/>
          <w:color w:val="auto"/>
        </w:rPr>
      </w:pPr>
    </w:p>
    <w:p>
      <w:pPr>
        <w:ind w:right="360" w:firstLine="361"/>
        <w:spacing w:after="0" w:line="268" w:lineRule="auto"/>
        <w:rPr>
          <w:sz w:val="20"/>
          <w:szCs w:val="20"/>
          <w:color w:val="auto"/>
        </w:rPr>
      </w:pPr>
      <w:r>
        <w:rPr>
          <w:rFonts w:ascii="Arial" w:cs="Arial" w:eastAsia="Arial" w:hAnsi="Arial"/>
          <w:sz w:val="19"/>
          <w:szCs w:val="19"/>
          <w:color w:val="auto"/>
        </w:rPr>
        <w:t>A holder of warrant certificates may exchange them for new warrant certificates of different denominations, present them for registration of transfer and exercise them at the corporate trust office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55" w:name="page56"/>
    <w:bookmarkEnd w:id="55"/>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56" w:name="page57"/>
    <w:bookmarkEnd w:id="56"/>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UNITS</w:t>
      </w:r>
    </w:p>
    <w:p>
      <w:pPr>
        <w:spacing w:after="0" w:line="242" w:lineRule="exact"/>
        <w:rPr>
          <w:sz w:val="20"/>
          <w:szCs w:val="20"/>
          <w:color w:val="auto"/>
        </w:rPr>
      </w:pPr>
    </w:p>
    <w:p>
      <w:pPr>
        <w:ind w:firstLine="368"/>
        <w:spacing w:after="0" w:line="256" w:lineRule="auto"/>
        <w:rPr>
          <w:sz w:val="20"/>
          <w:szCs w:val="20"/>
          <w:color w:val="auto"/>
        </w:rPr>
      </w:pPr>
      <w:r>
        <w:rPr>
          <w:rFonts w:ascii="Arial" w:cs="Arial" w:eastAsia="Arial" w:hAnsi="Arial"/>
          <w:sz w:val="19"/>
          <w:szCs w:val="19"/>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209" w:lineRule="exact"/>
        <w:rPr>
          <w:sz w:val="20"/>
          <w:szCs w:val="20"/>
          <w:color w:val="auto"/>
        </w:rPr>
      </w:pPr>
    </w:p>
    <w:p>
      <w:pPr>
        <w:ind w:right="180" w:firstLine="368"/>
        <w:spacing w:after="0" w:line="314"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65" w:lineRule="exact"/>
        <w:rPr>
          <w:sz w:val="20"/>
          <w:szCs w:val="20"/>
          <w:color w:val="auto"/>
        </w:rPr>
      </w:pPr>
    </w:p>
    <w:p>
      <w:pPr>
        <w:ind w:right="560" w:firstLine="371"/>
        <w:spacing w:after="0" w:line="268" w:lineRule="auto"/>
        <w:rPr>
          <w:sz w:val="20"/>
          <w:szCs w:val="20"/>
          <w:color w:val="auto"/>
        </w:rPr>
      </w:pPr>
      <w:r>
        <w:rPr>
          <w:rFonts w:ascii="Arial" w:cs="Arial" w:eastAsia="Arial" w:hAnsi="Arial"/>
          <w:sz w:val="19"/>
          <w:szCs w:val="19"/>
          <w:color w:val="auto"/>
        </w:rPr>
        <w:t>If we offer any units, certain terms of that series of units will be described in the applicable prospectus supplement, including, without limitation, the following, as applicable:</w:t>
      </w:r>
    </w:p>
    <w:p>
      <w:pPr>
        <w:sectPr>
          <w:pgSz w:w="12240" w:h="15840" w:orient="portrait"/>
          <w:cols w:equalWidth="0" w:num="1">
            <w:col w:w="11960"/>
          </w:cols>
          <w:pgMar w:left="120" w:top="0" w:right="16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 title of the series of units;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identification and description of the separate constituent securities comprising the units;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price or prices at which the units will be issued;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date, if any, on and after which the constituent securities comprising the units will be separately transferable;</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a discussion of certain United States federal income tax considerations applicable to the units; and</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any other terms of the units and their constituent securities.</w:t>
      </w:r>
    </w:p>
    <w:p>
      <w:pPr>
        <w:spacing w:after="0" w:line="238"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20"/>
          </w:cols>
          <w:pgMar w:left="120" w:top="0" w:right="160" w:bottom="1440" w:gutter="0" w:footer="0" w:header="0"/>
          <w:type w:val="continuous"/>
        </w:sectPr>
      </w:pPr>
    </w:p>
    <w:bookmarkStart w:id="57" w:name="page58"/>
    <w:bookmarkEnd w:id="57"/>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GLOBAL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Book-Entry, Delivery and Form</w:t>
      </w:r>
    </w:p>
    <w:p>
      <w:pPr>
        <w:spacing w:after="0" w:line="242" w:lineRule="exact"/>
        <w:rPr>
          <w:sz w:val="20"/>
          <w:szCs w:val="20"/>
          <w:color w:val="auto"/>
        </w:rPr>
      </w:pPr>
    </w:p>
    <w:p>
      <w:pPr>
        <w:ind w:firstLine="371"/>
        <w:spacing w:after="0" w:line="314" w:lineRule="auto"/>
        <w:rPr>
          <w:sz w:val="20"/>
          <w:szCs w:val="20"/>
          <w:color w:val="auto"/>
        </w:rPr>
      </w:pPr>
      <w:r>
        <w:rPr>
          <w:rFonts w:ascii="Arial" w:cs="Arial" w:eastAsia="Arial" w:hAnsi="Arial"/>
          <w:sz w:val="16"/>
          <w:szCs w:val="16"/>
          <w:color w:val="auto"/>
        </w:rPr>
        <w:t>Unless we indicate differently in a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DTC has advised us that it is:</w:t>
      </w:r>
    </w:p>
    <w:p>
      <w:pPr>
        <w:spacing w:after="0" w:line="23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limited-purpose trust company organized under the New York Banking Law;</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"banking organization" within the meaning of the New York Banking Law;</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member of the Federal Reserve System;</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"clearing corporation" within the meaning of the New York Uniform Commercial Code; and</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"clearing agency" registered pursuant to the provisions of Section 17A of the Exchange Act.</w:t>
      </w:r>
    </w:p>
    <w:p>
      <w:pPr>
        <w:spacing w:after="0" w:line="266" w:lineRule="exact"/>
        <w:rPr>
          <w:sz w:val="20"/>
          <w:szCs w:val="20"/>
          <w:color w:val="auto"/>
        </w:rPr>
      </w:pPr>
    </w:p>
    <w:p>
      <w:pPr>
        <w:ind w:right="60" w:firstLine="371"/>
        <w:spacing w:after="0" w:line="269" w:lineRule="auto"/>
        <w:rPr>
          <w:sz w:val="20"/>
          <w:szCs w:val="20"/>
          <w:color w:val="auto"/>
        </w:rPr>
      </w:pPr>
      <w:r>
        <w:rPr>
          <w:rFonts w:ascii="Arial" w:cs="Arial" w:eastAsia="Arial" w:hAnsi="Arial"/>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8" w:lineRule="exact"/>
        <w:rPr>
          <w:sz w:val="20"/>
          <w:szCs w:val="20"/>
          <w:color w:val="auto"/>
        </w:rPr>
      </w:pPr>
    </w:p>
    <w:p>
      <w:pPr>
        <w:ind w:firstLine="371"/>
        <w:spacing w:after="0" w:line="270" w:lineRule="auto"/>
        <w:rPr>
          <w:sz w:val="20"/>
          <w:szCs w:val="20"/>
          <w:color w:val="auto"/>
        </w:rPr>
      </w:pPr>
      <w:r>
        <w:rPr>
          <w:rFonts w:ascii="Arial" w:cs="Arial" w:eastAsia="Arial" w:hAnsi="Arial"/>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95" w:lineRule="exact"/>
        <w:rPr>
          <w:sz w:val="20"/>
          <w:szCs w:val="20"/>
          <w:color w:val="auto"/>
        </w:rPr>
      </w:pPr>
    </w:p>
    <w:p>
      <w:pPr>
        <w:ind w:right="40" w:firstLine="368"/>
        <w:spacing w:after="0" w:line="319"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58" w:name="page59"/>
    <w:bookmarkEnd w:id="58"/>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which may or may not be the beneficial owners. The participants are responsible for keeping account of their holdings on behalf of their customers.</w:t>
      </w:r>
    </w:p>
    <w:p>
      <w:pPr>
        <w:spacing w:after="0" w:line="249" w:lineRule="exact"/>
        <w:rPr>
          <w:sz w:val="20"/>
          <w:szCs w:val="20"/>
          <w:color w:val="auto"/>
        </w:rPr>
      </w:pPr>
    </w:p>
    <w:p>
      <w:pPr>
        <w:ind w:right="220" w:firstLine="371"/>
        <w:spacing w:after="0" w:line="256" w:lineRule="auto"/>
        <w:rPr>
          <w:sz w:val="20"/>
          <w:szCs w:val="20"/>
          <w:color w:val="auto"/>
        </w:rPr>
      </w:pPr>
      <w:r>
        <w:rPr>
          <w:rFonts w:ascii="Arial" w:cs="Arial" w:eastAsia="Arial" w:hAnsi="Arial"/>
          <w:sz w:val="19"/>
          <w:szCs w:val="19"/>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09" w:lineRule="exact"/>
        <w:rPr>
          <w:sz w:val="20"/>
          <w:szCs w:val="20"/>
          <w:color w:val="auto"/>
        </w:rPr>
      </w:pPr>
    </w:p>
    <w:p>
      <w:pPr>
        <w:ind w:right="80" w:firstLine="371"/>
        <w:spacing w:after="0" w:line="364"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26" w:lineRule="exact"/>
        <w:rPr>
          <w:sz w:val="20"/>
          <w:szCs w:val="20"/>
          <w:color w:val="auto"/>
        </w:rPr>
      </w:pPr>
    </w:p>
    <w:p>
      <w:pPr>
        <w:ind w:right="120" w:firstLine="371"/>
        <w:spacing w:after="0" w:line="268" w:lineRule="auto"/>
        <w:rPr>
          <w:sz w:val="20"/>
          <w:szCs w:val="20"/>
          <w:color w:val="auto"/>
        </w:rPr>
      </w:pPr>
      <w:r>
        <w:rPr>
          <w:rFonts w:ascii="Arial" w:cs="Arial" w:eastAsia="Arial" w:hAnsi="Arial"/>
          <w:sz w:val="19"/>
          <w:szCs w:val="19"/>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97" w:lineRule="exact"/>
        <w:rPr>
          <w:sz w:val="20"/>
          <w:szCs w:val="20"/>
          <w:color w:val="auto"/>
        </w:rPr>
      </w:pPr>
    </w:p>
    <w:p>
      <w:pPr>
        <w:ind w:right="40" w:firstLine="371"/>
        <w:spacing w:after="0" w:line="331"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1" w:lineRule="exact"/>
        <w:rPr>
          <w:sz w:val="20"/>
          <w:szCs w:val="20"/>
          <w:color w:val="auto"/>
        </w:rPr>
      </w:pPr>
    </w:p>
    <w:p>
      <w:pPr>
        <w:ind w:firstLine="371"/>
        <w:spacing w:after="0" w:line="272" w:lineRule="auto"/>
        <w:rPr>
          <w:sz w:val="20"/>
          <w:szCs w:val="20"/>
          <w:color w:val="auto"/>
        </w:rPr>
      </w:pPr>
      <w:r>
        <w:rPr>
          <w:rFonts w:ascii="Arial" w:cs="Arial" w:eastAsia="Arial" w:hAnsi="Arial"/>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96" w:lineRule="exact"/>
        <w:rPr>
          <w:sz w:val="20"/>
          <w:szCs w:val="20"/>
          <w:color w:val="auto"/>
        </w:rPr>
      </w:pPr>
    </w:p>
    <w:p>
      <w:pPr>
        <w:ind w:firstLine="371"/>
        <w:spacing w:after="0" w:line="269" w:lineRule="auto"/>
        <w:rPr>
          <w:sz w:val="20"/>
          <w:szCs w:val="20"/>
          <w:color w:val="auto"/>
        </w:rPr>
      </w:pPr>
      <w:r>
        <w:rPr>
          <w:rFonts w:ascii="Arial" w:cs="Arial" w:eastAsia="Arial" w:hAnsi="Arial"/>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8" w:lineRule="exact"/>
        <w:rPr>
          <w:sz w:val="20"/>
          <w:szCs w:val="20"/>
          <w:color w:val="auto"/>
        </w:rPr>
      </w:pPr>
    </w:p>
    <w:p>
      <w:pPr>
        <w:ind w:right="40" w:firstLine="371"/>
        <w:spacing w:after="0" w:line="259" w:lineRule="auto"/>
        <w:rPr>
          <w:sz w:val="20"/>
          <w:szCs w:val="20"/>
          <w:color w:val="auto"/>
        </w:rPr>
      </w:pPr>
      <w:r>
        <w:rPr>
          <w:rFonts w:ascii="Arial" w:cs="Arial" w:eastAsia="Arial" w:hAnsi="Arial"/>
          <w:sz w:val="19"/>
          <w:szCs w:val="19"/>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205" w:lineRule="exact"/>
        <w:rPr>
          <w:sz w:val="20"/>
          <w:szCs w:val="20"/>
          <w:color w:val="auto"/>
        </w:rPr>
      </w:pPr>
    </w:p>
    <w:p>
      <w:pPr>
        <w:ind w:right="60" w:firstLine="368"/>
        <w:spacing w:after="0" w:line="268" w:lineRule="auto"/>
        <w:rPr>
          <w:sz w:val="20"/>
          <w:szCs w:val="20"/>
          <w:color w:val="auto"/>
        </w:rPr>
      </w:pPr>
      <w:r>
        <w:rPr>
          <w:rFonts w:ascii="Arial" w:cs="Arial" w:eastAsia="Arial" w:hAnsi="Arial"/>
          <w:sz w:val="19"/>
          <w:szCs w:val="19"/>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59" w:name="page60"/>
    <w:bookmarkEnd w:id="59"/>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140" w:firstLine="371"/>
        <w:spacing w:after="0" w:line="297"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72" w:lineRule="exact"/>
        <w:rPr>
          <w:sz w:val="20"/>
          <w:szCs w:val="20"/>
          <w:color w:val="auto"/>
        </w:rPr>
      </w:pPr>
    </w:p>
    <w:p>
      <w:pPr>
        <w:ind w:right="320" w:firstLine="361"/>
        <w:spacing w:after="0" w:line="268" w:lineRule="auto"/>
        <w:rPr>
          <w:sz w:val="20"/>
          <w:szCs w:val="20"/>
          <w:color w:val="auto"/>
        </w:rPr>
      </w:pPr>
      <w:r>
        <w:rPr>
          <w:rFonts w:ascii="Arial" w:cs="Arial" w:eastAsia="Arial" w:hAnsi="Arial"/>
          <w:sz w:val="19"/>
          <w:szCs w:val="19"/>
          <w:color w:val="auto"/>
        </w:rPr>
        <w:t>As noted above, beneficial owners of a particular series of securities generally will not receive certificates representing their ownership interests in those securities. However, if:</w:t>
      </w:r>
    </w:p>
    <w:p>
      <w:pPr>
        <w:spacing w:after="0" w:line="197" w:lineRule="exact"/>
        <w:rPr>
          <w:sz w:val="20"/>
          <w:szCs w:val="20"/>
          <w:color w:val="auto"/>
        </w:rPr>
      </w:pPr>
    </w:p>
    <w:p>
      <w:pPr>
        <w:ind w:left="1140" w:hanging="569"/>
        <w:spacing w:after="0" w:line="256"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23"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we determine, in our sole discretion, not to have such securities represented by one or more global securities; or</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an Event of Default has occurred and is continuing with respect to such series of securities,</w:t>
      </w: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09" w:lineRule="exact"/>
        <w:rPr>
          <w:sz w:val="20"/>
          <w:szCs w:val="20"/>
          <w:color w:val="auto"/>
        </w:rPr>
      </w:pPr>
    </w:p>
    <w:p>
      <w:pPr>
        <w:ind w:right="440" w:firstLine="368"/>
        <w:spacing w:after="0" w:line="268" w:lineRule="auto"/>
        <w:rPr>
          <w:sz w:val="20"/>
          <w:szCs w:val="20"/>
          <w:color w:val="auto"/>
        </w:rPr>
      </w:pPr>
      <w:r>
        <w:rPr>
          <w:rFonts w:ascii="Arial" w:cs="Arial" w:eastAsia="Arial" w:hAnsi="Arial"/>
          <w:sz w:val="19"/>
          <w:szCs w:val="19"/>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60" w:name="page61"/>
    <w:bookmarkEnd w:id="60"/>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PLAN OF DISTRIBUTION</w:t>
      </w:r>
    </w:p>
    <w:p>
      <w:pPr>
        <w:spacing w:after="0" w:line="242" w:lineRule="exact"/>
        <w:rPr>
          <w:sz w:val="20"/>
          <w:szCs w:val="20"/>
          <w:color w:val="auto"/>
        </w:rPr>
      </w:pPr>
    </w:p>
    <w:p>
      <w:pPr>
        <w:ind w:right="20" w:firstLine="368"/>
        <w:spacing w:after="0" w:line="259" w:lineRule="auto"/>
        <w:rPr>
          <w:sz w:val="20"/>
          <w:szCs w:val="20"/>
          <w:color w:val="auto"/>
        </w:rPr>
      </w:pPr>
      <w:r>
        <w:rPr>
          <w:rFonts w:ascii="Arial" w:cs="Arial" w:eastAsia="Arial" w:hAnsi="Arial"/>
          <w:sz w:val="19"/>
          <w:szCs w:val="19"/>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20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a fixed price or prices, which may be changed;</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market prices prevailing at the time of sale;</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prices related to such prevailing market prices;</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negotiated prices; or</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at varying prices determined at the time of sale.</w:t>
      </w:r>
    </w:p>
    <w:p>
      <w:pPr>
        <w:spacing w:after="0" w:line="266" w:lineRule="exact"/>
        <w:rPr>
          <w:sz w:val="20"/>
          <w:szCs w:val="20"/>
          <w:color w:val="auto"/>
        </w:rPr>
      </w:pPr>
    </w:p>
    <w:p>
      <w:pPr>
        <w:ind w:right="460" w:firstLine="371"/>
        <w:spacing w:after="0" w:line="259" w:lineRule="auto"/>
        <w:rPr>
          <w:sz w:val="20"/>
          <w:szCs w:val="20"/>
          <w:color w:val="auto"/>
        </w:rPr>
      </w:pPr>
      <w:r>
        <w:rPr>
          <w:rFonts w:ascii="Arial" w:cs="Arial" w:eastAsia="Arial" w:hAnsi="Arial"/>
          <w:sz w:val="19"/>
          <w:szCs w:val="19"/>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205" w:lineRule="exact"/>
        <w:rPr>
          <w:sz w:val="20"/>
          <w:szCs w:val="20"/>
          <w:color w:val="auto"/>
        </w:rPr>
      </w:pPr>
    </w:p>
    <w:p>
      <w:pPr>
        <w:ind w:right="160" w:firstLine="371"/>
        <w:spacing w:after="0" w:line="297"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72" w:lineRule="exact"/>
        <w:rPr>
          <w:sz w:val="20"/>
          <w:szCs w:val="20"/>
          <w:color w:val="auto"/>
        </w:rPr>
      </w:pPr>
    </w:p>
    <w:p>
      <w:pPr>
        <w:ind w:right="100" w:firstLine="371"/>
        <w:spacing w:after="0" w:line="268" w:lineRule="auto"/>
        <w:rPr>
          <w:sz w:val="20"/>
          <w:szCs w:val="20"/>
          <w:color w:val="auto"/>
        </w:rPr>
      </w:pPr>
      <w:r>
        <w:rPr>
          <w:rFonts w:ascii="Arial" w:cs="Arial" w:eastAsia="Arial" w:hAnsi="Arial"/>
          <w:sz w:val="19"/>
          <w:szCs w:val="19"/>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97" w:lineRule="exact"/>
        <w:rPr>
          <w:sz w:val="20"/>
          <w:szCs w:val="20"/>
          <w:color w:val="auto"/>
        </w:rPr>
      </w:pPr>
    </w:p>
    <w:p>
      <w:pPr>
        <w:ind w:firstLine="371"/>
        <w:spacing w:after="0" w:line="308"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3" w:lineRule="exact"/>
        <w:rPr>
          <w:sz w:val="20"/>
          <w:szCs w:val="20"/>
          <w:color w:val="auto"/>
        </w:rPr>
      </w:pPr>
    </w:p>
    <w:p>
      <w:pPr>
        <w:ind w:right="100" w:firstLine="361"/>
        <w:spacing w:after="0" w:line="311"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7" w:lineRule="exact"/>
        <w:rPr>
          <w:sz w:val="20"/>
          <w:szCs w:val="20"/>
          <w:color w:val="auto"/>
        </w:rPr>
      </w:pPr>
    </w:p>
    <w:p>
      <w:pPr>
        <w:ind w:firstLine="361"/>
        <w:spacing w:after="0" w:line="259" w:lineRule="auto"/>
        <w:rPr>
          <w:sz w:val="20"/>
          <w:szCs w:val="20"/>
          <w:color w:val="auto"/>
        </w:rPr>
      </w:pPr>
      <w:r>
        <w:rPr>
          <w:rFonts w:ascii="Arial" w:cs="Arial" w:eastAsia="Arial" w:hAnsi="Arial"/>
          <w:sz w:val="19"/>
          <w:szCs w:val="19"/>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20"/>
          </w:cols>
          <w:pgMar w:left="120" w:top="0" w:right="200" w:bottom="1440" w:gutter="0" w:footer="0" w:header="0"/>
        </w:sectPr>
      </w:pPr>
    </w:p>
    <w:bookmarkStart w:id="61" w:name="page62"/>
    <w:bookmarkEnd w:id="61"/>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5" w:lineRule="exact"/>
        <w:rPr>
          <w:sz w:val="20"/>
          <w:szCs w:val="20"/>
          <w:color w:val="auto"/>
        </w:rPr>
      </w:pPr>
    </w:p>
    <w:p>
      <w:pPr>
        <w:ind w:firstLine="368"/>
        <w:spacing w:after="0" w:line="305"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specific terms of any lock-up provisions in respect of any given offering will be described in the applicable prospectus supplement.</w:t>
      </w:r>
    </w:p>
    <w:p>
      <w:pPr>
        <w:spacing w:after="0" w:line="238" w:lineRule="exact"/>
        <w:rPr>
          <w:sz w:val="20"/>
          <w:szCs w:val="20"/>
          <w:color w:val="auto"/>
        </w:rPr>
      </w:pPr>
    </w:p>
    <w:p>
      <w:pPr>
        <w:ind w:right="500" w:firstLine="368"/>
        <w:spacing w:after="0" w:line="268" w:lineRule="auto"/>
        <w:rPr>
          <w:sz w:val="20"/>
          <w:szCs w:val="20"/>
          <w:color w:val="auto"/>
        </w:rPr>
      </w:pPr>
      <w:r>
        <w:rPr>
          <w:rFonts w:ascii="Arial" w:cs="Arial" w:eastAsia="Arial" w:hAnsi="Arial"/>
          <w:sz w:val="19"/>
          <w:szCs w:val="19"/>
          <w:color w:val="auto"/>
        </w:rPr>
        <w:t>The underwriters, dealers and agents may engage in transactions with us, or perform services for us, in the ordinary course of business for which they receive compensation.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60"/>
          </w:cols>
          <w:pgMar w:left="120" w:top="0" w:right="160" w:bottom="1440" w:gutter="0" w:footer="0" w:header="0"/>
        </w:sectPr>
      </w:pPr>
    </w:p>
    <w:bookmarkStart w:id="62" w:name="page63"/>
    <w:bookmarkEnd w:id="62"/>
    <w:p>
      <w:pPr>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LEGAL MATTERS</w:t>
      </w:r>
    </w:p>
    <w:p>
      <w:pPr>
        <w:spacing w:after="0" w:line="242" w:lineRule="exact"/>
        <w:rPr>
          <w:sz w:val="20"/>
          <w:szCs w:val="20"/>
          <w:color w:val="auto"/>
        </w:rPr>
      </w:pPr>
    </w:p>
    <w:p>
      <w:pPr>
        <w:ind w:right="420" w:firstLine="371"/>
        <w:spacing w:after="0" w:line="259" w:lineRule="auto"/>
        <w:rPr>
          <w:sz w:val="20"/>
          <w:szCs w:val="20"/>
          <w:color w:val="auto"/>
        </w:rPr>
      </w:pPr>
      <w:r>
        <w:rPr>
          <w:rFonts w:ascii="Arial" w:cs="Arial" w:eastAsia="Arial" w:hAnsi="Arial"/>
          <w:sz w:val="19"/>
          <w:szCs w:val="19"/>
          <w:color w:val="auto"/>
        </w:rPr>
        <w:t>Latham &amp; Watkins LLP will pass upon certain legal matters relating to the issuance and sale of the securities offered hereby on behalf of Selecta Biosciences,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EXPERTS</w:t>
      </w:r>
    </w:p>
    <w:p>
      <w:pPr>
        <w:spacing w:after="0" w:line="242" w:lineRule="exact"/>
        <w:rPr>
          <w:sz w:val="20"/>
          <w:szCs w:val="20"/>
          <w:color w:val="auto"/>
        </w:rPr>
      </w:pPr>
    </w:p>
    <w:p>
      <w:pPr>
        <w:ind w:firstLine="368"/>
        <w:spacing w:after="0" w:line="275" w:lineRule="auto"/>
        <w:rPr>
          <w:sz w:val="20"/>
          <w:szCs w:val="20"/>
          <w:color w:val="auto"/>
        </w:rPr>
      </w:pPr>
      <w:r>
        <w:rPr>
          <w:rFonts w:ascii="Arial" w:cs="Arial" w:eastAsia="Arial" w:hAnsi="Arial"/>
          <w:sz w:val="18"/>
          <w:szCs w:val="18"/>
          <w:color w:val="auto"/>
        </w:rPr>
        <w:t>The consolidated financial statements of Selecta Biosciences, Inc. incorporated by reference in Selecta Biosciences, Inc.'s Annual Report on Form 10-K for the year ended December 31, 2016 have been audited by Ernst &amp; Young LLP, independent registered public accounting firm, as set forth in their report thereon incorporated by reference therein, and incorporated herein by reference. Such consolidated financial statements are incorporated herein by reference in reliance upon such report given on the authority of such firm as experts in accounting and auditing.</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00"/>
          </w:cols>
          <w:pgMar w:left="120" w:top="0" w:right="220"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64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42860" cy="8890"/>
                    </a:xfrm>
                    <a:prstGeom prst="rect">
                      <a:avLst/>
                    </a:prstGeom>
                    <a:noFill/>
                  </pic:spPr>
                </pic:pic>
              </a:graphicData>
            </a:graphic>
          </wp:anchor>
        </w:drawing>
        <w:drawing>
          <wp:anchor simplePos="0" relativeHeight="251657728" behindDoc="1" locked="0" layoutInCell="0" allowOverlap="1">
            <wp:simplePos x="0" y="0"/>
            <wp:positionH relativeFrom="column">
              <wp:posOffset>1861820</wp:posOffset>
            </wp:positionH>
            <wp:positionV relativeFrom="paragraph">
              <wp:posOffset>327025</wp:posOffset>
            </wp:positionV>
            <wp:extent cx="3893820" cy="10052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93820" cy="1005205"/>
                    </a:xfrm>
                    <a:prstGeom prst="rect">
                      <a:avLst/>
                    </a:prstGeom>
                    <a:noFill/>
                  </pic:spPr>
                </pic:pic>
              </a:graphicData>
            </a:graphic>
          </wp:anchor>
        </w:drawing>
      </w:r>
    </w:p>
    <w:p>
      <w:pPr>
        <w:sectPr>
          <w:pgSz w:w="12240" w:h="15840" w:orient="portrait"/>
          <w:cols w:equalWidth="0" w:num="1">
            <w:col w:w="10800"/>
          </w:cols>
          <w:pgMar w:left="120" w:top="0" w:right="1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4140"/>
        <w:spacing w:after="0"/>
        <w:rPr>
          <w:sz w:val="20"/>
          <w:szCs w:val="20"/>
          <w:color w:val="auto"/>
        </w:rPr>
      </w:pPr>
      <w:r>
        <w:rPr>
          <w:rFonts w:ascii="Arial" w:cs="Arial" w:eastAsia="Arial" w:hAnsi="Arial"/>
          <w:sz w:val="23"/>
          <w:szCs w:val="23"/>
          <w:b w:val="1"/>
          <w:bCs w:val="1"/>
          <w:color w:val="auto"/>
        </w:rPr>
        <w:t>Shares</w:t>
      </w:r>
    </w:p>
    <w:p>
      <w:pPr>
        <w:spacing w:after="0" w:line="220" w:lineRule="exact"/>
        <w:rPr>
          <w:sz w:val="20"/>
          <w:szCs w:val="20"/>
          <w:color w:val="auto"/>
        </w:rPr>
      </w:pPr>
    </w:p>
    <w:p>
      <w:pPr>
        <w:jc w:val="right"/>
        <w:ind w:right="4060"/>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158750</wp:posOffset>
            </wp:positionV>
            <wp:extent cx="3060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199"/>
        <w:spacing w:after="0"/>
        <w:rPr>
          <w:sz w:val="20"/>
          <w:szCs w:val="20"/>
          <w:color w:val="auto"/>
        </w:rPr>
      </w:pPr>
      <w:r>
        <w:rPr>
          <w:rFonts w:ascii="Arial" w:cs="Arial" w:eastAsia="Arial" w:hAnsi="Arial"/>
          <w:sz w:val="23"/>
          <w:szCs w:val="23"/>
          <w:b w:val="1"/>
          <w:bCs w:val="1"/>
          <w:color w:val="auto"/>
        </w:rPr>
        <w:t>PROSPECTUS SUPPLEMENT</w:t>
      </w:r>
    </w:p>
    <w:p>
      <w:pPr>
        <w:spacing w:after="0" w:line="220" w:lineRule="exact"/>
        <w:rPr>
          <w:sz w:val="20"/>
          <w:szCs w:val="20"/>
          <w:color w:val="auto"/>
        </w:rPr>
      </w:pPr>
    </w:p>
    <w:p>
      <w:pPr>
        <w:jc w:val="center"/>
        <w:ind w:right="-1199"/>
        <w:spacing w:after="0"/>
        <w:rPr>
          <w:sz w:val="20"/>
          <w:szCs w:val="20"/>
          <w:color w:val="auto"/>
        </w:rPr>
      </w:pPr>
      <w:r>
        <w:rPr>
          <w:rFonts w:ascii="Arial" w:cs="Arial" w:eastAsia="Arial" w:hAnsi="Arial"/>
          <w:sz w:val="23"/>
          <w:szCs w:val="23"/>
          <w:b w:val="1"/>
          <w:bCs w:val="1"/>
          <w:color w:val="auto"/>
        </w:rPr>
        <w:t>January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158750</wp:posOffset>
            </wp:positionV>
            <wp:extent cx="3060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199"/>
        <w:spacing w:after="0"/>
        <w:rPr>
          <w:sz w:val="20"/>
          <w:szCs w:val="20"/>
          <w:color w:val="auto"/>
        </w:rPr>
      </w:pPr>
      <w:r>
        <w:rPr>
          <w:rFonts w:ascii="Arial" w:cs="Arial" w:eastAsia="Arial" w:hAnsi="Arial"/>
          <w:sz w:val="34"/>
          <w:szCs w:val="34"/>
          <w:b w:val="1"/>
          <w:bCs w:val="1"/>
          <w:color w:val="auto"/>
        </w:rPr>
        <w:t>Stifel</w:t>
      </w:r>
    </w:p>
    <w:p>
      <w:pPr>
        <w:spacing w:after="0" w:line="237" w:lineRule="exact"/>
        <w:rPr>
          <w:sz w:val="20"/>
          <w:szCs w:val="20"/>
          <w:color w:val="auto"/>
        </w:rPr>
      </w:pPr>
    </w:p>
    <w:p>
      <w:pPr>
        <w:ind w:left="1200"/>
        <w:spacing w:after="0"/>
        <w:tabs>
          <w:tab w:leader="none" w:pos="8320" w:val="left"/>
        </w:tabs>
        <w:rPr>
          <w:sz w:val="20"/>
          <w:szCs w:val="20"/>
          <w:color w:val="auto"/>
        </w:rPr>
      </w:pPr>
      <w:r>
        <w:rPr>
          <w:rFonts w:ascii="Arial" w:cs="Arial" w:eastAsia="Arial" w:hAnsi="Arial"/>
          <w:sz w:val="26"/>
          <w:szCs w:val="26"/>
          <w:b w:val="1"/>
          <w:bCs w:val="1"/>
          <w:color w:val="auto"/>
        </w:rPr>
        <w:t>Canaccord Genuity</w:t>
      </w:r>
      <w:r>
        <w:rPr>
          <w:sz w:val="20"/>
          <w:szCs w:val="20"/>
          <w:color w:val="auto"/>
        </w:rPr>
        <w:tab/>
      </w:r>
      <w:r>
        <w:rPr>
          <w:rFonts w:ascii="Arial" w:cs="Arial" w:eastAsia="Arial" w:hAnsi="Arial"/>
          <w:sz w:val="22"/>
          <w:szCs w:val="22"/>
          <w:b w:val="1"/>
          <w:bCs w:val="1"/>
          <w:color w:val="auto"/>
        </w:rPr>
        <w:t>Needham &amp; Company</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26"/>
          <w:szCs w:val="26"/>
          <w:b w:val="1"/>
          <w:bCs w:val="1"/>
          <w:color w:val="auto"/>
        </w:rPr>
        <w:t>Janney Montgomery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62889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0800"/>
          </w:cols>
          <w:pgMar w:left="120" w:top="0" w:right="1320" w:bottom="1440" w:gutter="0" w:footer="0" w:header="0"/>
          <w:type w:val="continuous"/>
        </w:sectPr>
      </w:pPr>
    </w:p>
    <w:bookmarkStart w:id="64" w:name="page65"/>
    <w:bookmarkEnd w:id="64"/>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2019-11-24T19:11:23Z</dcterms:created>
  <dcterms:modified xsi:type="dcterms:W3CDTF">2019-11-24T19:11:23Z</dcterms:modified>
</cp:coreProperties>
</file>