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6,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CARTESIAN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783" w:type="dxa"/>
        <w:jc w:val="center"/>
        <w:tblInd w:w="0" w:type="dxa"/>
        <w:tblLayout w:type="fixed"/>
        <w:tblCellMar>
          <w:top w:w="28" w:type="dxa"/>
          <w:left w:w="28" w:type="dxa"/>
          <w:bottom w:w="28" w:type="dxa"/>
          <w:right w:w="28" w:type="dxa"/>
        </w:tblCellMar>
      </w:tblPr>
      <w:tblGrid>
        <w:gridCol w:w="829"/>
        <w:gridCol w:w="729"/>
        <w:gridCol w:w="736"/>
        <w:gridCol w:w="109"/>
        <w:gridCol w:w="109"/>
        <w:gridCol w:w="109"/>
        <w:gridCol w:w="394"/>
        <w:gridCol w:w="394"/>
        <w:gridCol w:w="398"/>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001-37798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26-1622110</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7495 New Horizon Way, Frederick, MD 21703 </w:t>
      </w:r>
    </w:p>
    <w:p>
      <w:pPr>
        <w:pStyle w:val="TextBody"/>
        <w:bidi w:val="0"/>
        <w:spacing w:lineRule="auto" w:line="288" w:before="0" w:after="0"/>
        <w:ind w:left="0" w:right="0" w:firstLine="315"/>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offices)(Zip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(301) 348-8698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69" w:type="dxa"/>
        <w:jc w:val="center"/>
        <w:tblInd w:w="0" w:type="dxa"/>
        <w:tblLayout w:type="fixed"/>
        <w:tblCellMar>
          <w:top w:w="28" w:type="dxa"/>
          <w:left w:w="28" w:type="dxa"/>
          <w:bottom w:w="28" w:type="dxa"/>
          <w:right w:w="28" w:type="dxa"/>
        </w:tblCellMar>
      </w:tblPr>
      <w:tblGrid>
        <w:gridCol w:w="1104"/>
        <w:gridCol w:w="970"/>
        <w:gridCol w:w="970"/>
        <w:gridCol w:w="540"/>
        <w:gridCol w:w="540"/>
        <w:gridCol w:w="540"/>
        <w:gridCol w:w="1085"/>
        <w:gridCol w:w="1085"/>
        <w:gridCol w:w="1535"/>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3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w:t>
            </w:r>
          </w:p>
        </w:tc>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RNAC</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6, 2026, Cartesian Therapeutics, Inc. (the “Company”) announced its financial results for the quarter ended June 30, 2026. The full text of the press release issued in connection with the announcement is furnished as Exhibit 99.1 to this Current Report on Form 8-K.</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871"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6"/>
        <w:gridCol w:w="1926"/>
        <w:gridCol w:w="2747"/>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_earningsrelease.htm">
              <w:r>
                <w:rPr>
                  <w:rStyle w:val="InternetLink"/>
                  <w:rFonts w:ascii="Times New Roman;serif" w:hAnsi="Times New Roman;serif"/>
                  <w:b w:val="false"/>
                  <w:color w:val="000080"/>
                  <w:sz w:val="20"/>
                  <w:u w:val="single"/>
                </w:rPr>
                <w:t>Press release of Cartesian Therapeutics, Inc. issued on August 6, 2026</w:t>
              </w:r>
            </w:hyperlink>
            <w:hyperlink w:anchor="exhibit991_earningsrelease.htm">
              <w:r>
                <w:rPr>
                  <w:rStyle w:val="InternetLink"/>
                  <w:rFonts w:ascii="Times New Roman;serif" w:hAnsi="Times New Roman;serif"/>
                  <w:b w:val="false"/>
                  <w:color w:val="000080"/>
                  <w:sz w:val="20"/>
                  <w:u w:val="single"/>
                </w:rPr>
                <w:t>.</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467" w:type="dxa"/>
        <w:jc w:val="left"/>
        <w:tblInd w:w="0" w:type="dxa"/>
        <w:tblLayout w:type="fixed"/>
        <w:tblCellMar>
          <w:top w:w="28" w:type="dxa"/>
          <w:left w:w="28" w:type="dxa"/>
          <w:bottom w:w="28" w:type="dxa"/>
          <w:right w:w="28" w:type="dxa"/>
        </w:tblCellMar>
      </w:tblPr>
      <w:tblGrid>
        <w:gridCol w:w="667"/>
        <w:gridCol w:w="587"/>
        <w:gridCol w:w="590"/>
        <w:gridCol w:w="493"/>
        <w:gridCol w:w="493"/>
        <w:gridCol w:w="493"/>
        <w:gridCol w:w="1505"/>
        <w:gridCol w:w="1505"/>
        <w:gridCol w:w="213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CARTESIAN THERAPEUTICS,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Carsten Brunn, Ph.D.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Carsten Brunn, Ph.D.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 of the Board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2257425" cy="561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57425" cy="56197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Cartesian Therapeutics Reports Second Quarter 2026 Financial Results and Provides Business Update</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 xml:space="preserve">Phase 3 AURORA trial of Descartes-08 in myasthenia gravis (MG) continues to advance; data expected in 1Q27, biologics license application (BLA) filing planned for mid-2027 </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Phase 2 TRITON trial of Descartes-08 in myositis on track with data from subset of patients expected in 1H27</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Phase 1/2 HELIOS pediatric trial of Descartes-08 in juvenile dermatomyositis (JDM) continues to progress with data expected in 1H27</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Phase 1 in vivo trial in MG patients, in partnership with WestGene BioPharma (WestGene), expected to initiate in 2H26; clinical data expected in 1H27</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Approximately $149.3 million cash, cash equivalents and restricted cash as of June 30, 2026, expected to support planned operations into 2028</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Frederick, Md., August 6, 2026 (GLOBE NEWSWIRE) – Cartesian Therapeutics, Inc. (NASDAQ: RNAC) (“we”, the “Company” or “Cartesian”), a late clinical-stage biotechnology company pioneering cell therapy for autoimmune diseases, today reported financial results for the second quarter ended June 30, 2026, and outlined recent business updates.</w: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This quarter was marked by significant progress as we secured a strategic partnership to explore an in vivo platform and executed a non-dilutive financing, enhancing our pipeline and extending cash runway. As we prepare for four expected clinical readouts over the next twelve months, including from our Phase 3 AURORA trial in patients with MG in the first quarter of 2027, these agreements further strengthen our emerging pipeline and financial position,” said Carsten Brunn, Ph.D., President and Chief Executive Officer of Cartesian. “Our partnership with WestGene gives us an efficient, accelerated path to extend our payloads into in vivo delivery, with in-human clinical data expected in the first half of next year. While our top priority remains executing on our Phase 3 AURORA trial, our WestGene partnership is intended to create future optionality for Cartesian across MG and other autoimmune indications, with the potential to further enhance cell therapy delivery and shift the treatment paradigm. As we advance toward this next phase of growth, an extended cash runway into 2028, supported by up to $150 million of non-dilutive financing through a credit facility with K2 HealthVentures (“K2HV”), allows us to continue investing in precommercial readiness activities in parallel with clinical execution. We look forward to a robust set of near-term milestones ahead, each bringing us closer to addressing the significant unmet need for deep and durable treatments in autoimmune diseases.”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Pipeline Progress and Anticipated Milestones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Phase 3 AURORA Trial of Descartes-08 in Participants with MG; Data Expected in 1Q27, with BLA Planned for Mid-2027. </w:t>
      </w:r>
      <w:r>
        <w:rPr>
          <w:rFonts w:ascii="Times New Roman;serif" w:hAnsi="Times New Roman;serif"/>
          <w:b w:val="false"/>
          <w:color w:val="000000"/>
          <w:sz w:val="20"/>
        </w:rPr>
        <w:t>The randomized, double-blind, placebo-controlled Phase 3 AURORA trial is designed to assess Descartes-08, Cartesian’s autologous anti-B cell maturation antigen (BCMA) chimeric antigen receptor T-cell therapy (CAR-T) versus placebo (1:1 randomization) administered as six once-weekly outpatient infusions without preconditioning chemotherapy in approximately 100 patients with acetylcholine receptor autoantibody positive (AChR Ab+) MG. The primary endpoint will assess the proportion of Descartes-08 participants with an improvement in MG Activities of Daily Living (MG-ADL) score of three points or more at Month 4 compared to placebo.</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Announced New Strategic Licensing Agreement with WestGene Intended to Accelerate the Development of In Vivo CAR-T Platform in Autoimmune Diseases; Phase 1 Data Expected in 1H27. </w:t>
      </w:r>
      <w:r>
        <w:rPr>
          <w:rFonts w:ascii="Times New Roman;serif" w:hAnsi="Times New Roman;serif"/>
          <w:b w:val="false"/>
          <w:color w:val="000000"/>
          <w:sz w:val="20"/>
        </w:rPr>
        <w:t>Cartesian has partnered with WestGene to conduct a Phase 1 dose-escalation trial of the mRNA used in Descartes-08 delivered via WestGene’s proprietary targeted lipid nanoparticles (tLNPs) in patients with MG. Intravenous infusions will be administered across multiple dose levels using a Bayesian Optimal Interval (BOIN) adaptive design with a comprehensive translational assessment package including clinical response measures. The program represents a novel in vivo approach to BCMA-directed T-cell engineering that, if successful, could eliminate the need for ex vivo manufacturing. Cartesian is also planning to advance multiple internally developed next-generation anti-BCMA CAR constructs and a BCMA-directed T-cell engager (TCE) as part of its expanding mRNA payload portfolio. The WestGene partnership is designed to provide an efficient framework to move additional Cartesian payloads into human trials, extending the platform’s potential to generate clinical proof-of-concept data across multiple programs in several disease states. Under the terms of the agreement, WestGene received an upfront payment and is eligible to receive potential development and commercial based milestone payments. This clinical trial is expected to initiate in the second half of 2026 with in-human data expected in the first half of 2027.</w:t>
      </w:r>
    </w:p>
    <w:p>
      <w:pPr>
        <w:pStyle w:val="TextBody"/>
        <w:bidi w:val="0"/>
        <w:spacing w:before="0" w:after="0"/>
        <w:jc w:val="right"/>
        <w:rPr/>
      </w:pPr>
      <w:r>
        <w:rPr/>
        <w:drawing>
          <wp:inline distT="0" distB="0" distL="0" distR="0">
            <wp:extent cx="2257425" cy="5619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257425" cy="561975"/>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6"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04.25pt;mso-position-horizontal:left;mso-position-horizontal-relative:text">
                <v:textbox>
                  <w:txbxContent>
                    <w:p>
                      <w:pPr>
                        <w:pStyle w:val="TextBody"/>
                        <w:bidi w:val="0"/>
                        <w:spacing w:before="0" w:after="0"/>
                        <w:jc w:val="right"/>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Phase 2 TRITON Trial in Myositis Remains on Track with Data from Subset of Patients Expected in 1H27 to Inform Path Forward to Pivotal Trial. </w:t>
      </w:r>
      <w:r>
        <w:rPr>
          <w:rFonts w:ascii="Times New Roman;serif" w:hAnsi="Times New Roman;serif"/>
          <w:b w:val="false"/>
          <w:color w:val="000000"/>
          <w:sz w:val="20"/>
        </w:rPr>
        <w:t>The randomized, double-blind, placebo-controlled Phase 2 TRITON trial in myositis is designed to assess Descartes-08 versus placebo (1:1 randomization) administered as six weekly outpatient infusions without preconditioning chemotherapy in patients with moderate to severe multi-refractory dermatomyositis and antisynthetase syndrome. The primary endpoint is to assess the safety and efficacy of Descartes-08 compared to placebo added to standard of care in participants with myositis. The Company plans to evaluate a subset of patients from the trial to determine the potential path to a pivotal trial in myositis.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Phase 1/2 HELIOS Pediatric Trial of Descartes-08 in Autoimmune Diseases, Including JDM, Continues to Progress with Data Expected in 1H27. </w:t>
      </w:r>
      <w:r>
        <w:rPr>
          <w:rFonts w:ascii="Times New Roman;serif" w:hAnsi="Times New Roman;serif"/>
          <w:b w:val="false"/>
          <w:color w:val="000000"/>
          <w:sz w:val="20"/>
        </w:rPr>
        <w:t>Enrollment remains ongoing in the Phase 1/2 HELIOS pediatric trial of Descartes-08 in children and young adults with autoimmune diseases, including JDM. JDM is a rare pediatric autoimmune disorder marked by pathognomonic skin rash and muscle inflammation affecting multiple organ systems. The U.S. Food and Drug Administration (FDA) previously granted Rare Pediatric Disease Designation to Descartes-08 for the treatment of JDM.</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Corporate Update</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Cash Runway Extended into 2028 with Up to $150 Million of Non-Dilutive Financing from K2HV Secured. </w:t>
      </w:r>
      <w:r>
        <w:rPr>
          <w:rFonts w:ascii="Times New Roman;serif" w:hAnsi="Times New Roman;serif"/>
          <w:b w:val="false"/>
          <w:color w:val="000000"/>
          <w:sz w:val="20"/>
        </w:rPr>
        <w:t>Under the Company’s credit facility with K2HV, the first $50 million term loan was funded upon signing of the agreement in May 2026. The second $25 million term loan is expected to be available to be drawn between January 1, 2027 and December 1, 2027, subject to the Company’s achievement of specified clinical and financing milestones and the third $25 million term loan is expected to be available to be drawn between January 1, 2028 and June 1, 2028, subject to the Company’s achievement of specified approval and sales milestones. An additional $50 million tranche is available for draw at the Company’s option subject to K2HV’s discretion. The Company now anticipates current cash resources to support planned operations into 2028, including through four expected clinical data readouts and accelerated investment in precommercial activities.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Second Quarter 2026 Financial Results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Cash, cash equivalents and restricted cash as of June 30, 2026 was $149.3 million, inclusive of the initial $50 million tranche of non-dilutive financing from K2HV and $19.3 million raised year to date after commissions and expenses through the Company’s at the market (ATM) offering program. The Company’s current cash resources on hand are expected to support planned operations, including completion of the ongoing Phase 3 AURORA trial, into 2028.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Research and development expenses were $20.4 million for the three months ended June 30, 2026, compared to $14.9 million for the three months ended June 30, 2025. The increase was primarily a result of increased expenses associated with the ongoing Phase 3 AURORA trial, partially offset by a decrease in stock-based compensation expenses and a decrease in expenses for early stage programs.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General and administrative expenses were $8.7 million for the three months ended June 30, 2026, compared to $7.2 million for the three months ended June 30, 2025. The increase was primarily the result of higher professional and consulting fees.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Net income was $15.8 million, or $0.47 net income per share allocable to common stockholders (basic), for the three months ended June 30, 2026, compared to net income of $15.9 million, or $0.51 net income per share allocable to common stockholders (basic), for the three months ended June 30,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About Descartes-08</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Descartes-08, Cartesian’s lead cell therapy candidate, is an autologous CAR-T product targeting BCMA in clinical development for generalized MG and myositis, specifically dermatomyositis and antisynthetase syndrome. In contrast to conventional DNA-based CAR T-cell therapies, Cartesian’s CAR-T administration is designed to not require preconditioning chemotherapy, can be administered in the outpatient setting, and does not carry the risk of genomic integration associated with cancerous transformation. Descartes-08 has been granted Orphan Drug Designation and Regenerative Medicine Advanced Therapy Designation by the U.S. Food and Drug Administration for the treatment of MG, and Rare Pediatric Disease Designation for the treatment of JDM.</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About Cartesian Therapeutics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Cartesian Therapeutics is a late clinical-stage company pioneering cell therapy for the treatment of autoimmune diseases. The Company’s lead asset, Descartes-08, is a CAR-T in Phase 3 clinical development for patients with generalized myasthenia gravis, Phase 2 clinical development in myositis, specifically dermatomyositis and antisynthetase syndrome, and in Phase 1/2 clinical development for pediatric autoimmune diseases, including juvenile dermatomyositis. For more information, please visit www.cartesiantherapeutics.com or follow the Company on LinkedIn or X.</w:t>
      </w:r>
    </w:p>
    <w:p>
      <w:pPr>
        <w:pStyle w:val="TextBody"/>
        <w:bidi w:val="0"/>
        <w:spacing w:before="0" w:after="0"/>
        <w:jc w:val="right"/>
        <w:rPr/>
      </w:pPr>
      <w:r>
        <w:rPr/>
        <w:drawing>
          <wp:inline distT="0" distB="0" distL="0" distR="0">
            <wp:extent cx="2257425" cy="5619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257425" cy="56197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8"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04.25pt;mso-position-horizontal:left;mso-position-horizontal-relative:text">
                <v:textbox>
                  <w:txbxContent>
                    <w:p>
                      <w:pPr>
                        <w:pStyle w:val="TextBody"/>
                        <w:bidi w:val="0"/>
                        <w:spacing w:before="0" w:after="0"/>
                        <w:jc w:val="right"/>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Any statements in this press release about the future expectations, plans and prospects of the Company, including without limitation, statements regarding the Company’s expected cash resources and cash runway, the availability and use of funds under the Company’s credit facility with K2HV, statements regarding the partnership and strategic licensing agreement between the Company and WestGene and the ability of the Company and WestGene to develop therapies, treat disease, extend mRNA payloads into in vivo delivery, the integration and complementary nature of the Company’s product candidates and WestGene’s lipid nanoparticles platform, the speed and efficiency of the development pathway for collaboration products between the Company and WestGene, the ability of the Company and its partnership with WestGene to generate clinical proof-of-concept data across multiple programs in several disease states, the ability of the Company and its partnership with WestGene to advance multiple internally developed next-generation anti-BCMA CAR constructs and a BCMA-directed TCE and the speed at which these constructs and TCE are developed, the ability of the Company’s product candidates to be administered in an outpatient setting or without the need for preconditioning lymphodepleting chemotherapy, the potential of Descartes-08, or any of the Company’s other product candidates to treat MG, juvenile MG, myositis, JDM, or any other disease, the anticipated timing or the outcome of ongoing and planned clinical trials, studies and data readouts, including the ongoing Phase 3 AURORA trial of Descartes-08 in MG, the ongoing Phase 2 TRITON trial of Descartes-08 in myositis, and the ongoing Phase 1/2 HELIOS pediatric trial of Descartes-08 in autoimmune diseases, including JDM, the anticipated timing or the outcome of the FDA’s review of the Company’s regulatory filings, including the number of trials that may be necessary in order to obtain marketing approval, the Company’s ability to conduct its clinical trials and preclinical studies, the timing or making of any regulatory filings, the anticipated timing or outcome of selection of developmental product candidates, the ability of the Company to enter into and maintain potential collaborations or partnerships,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pandemics, and macroeconomic impacts,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2257425" cy="56197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2257425" cy="56197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0"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04.25pt;mso-position-horizontal:left;mso-position-horizontal-relative:text">
                <v:textbox>
                  <w:txbxContent>
                    <w:p>
                      <w:pPr>
                        <w:pStyle w:val="TextBody"/>
                        <w:bidi w:val="0"/>
                        <w:spacing w:before="0" w:after="0"/>
                        <w:jc w:val="right"/>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Cartesian Therapeutics,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 and par value)</w:t>
      </w:r>
    </w:p>
    <w:tbl>
      <w:tblPr>
        <w:tblW w:w="10205" w:type="dxa"/>
        <w:jc w:val="center"/>
        <w:tblInd w:w="0" w:type="dxa"/>
        <w:tblLayout w:type="fixed"/>
        <w:tblCellMar>
          <w:top w:w="28" w:type="dxa"/>
          <w:left w:w="28" w:type="dxa"/>
          <w:bottom w:w="28" w:type="dxa"/>
          <w:right w:w="28" w:type="dxa"/>
        </w:tblCellMar>
      </w:tblPr>
      <w:tblGrid>
        <w:gridCol w:w="2887"/>
        <w:gridCol w:w="2333"/>
        <w:gridCol w:w="2273"/>
        <w:gridCol w:w="211"/>
        <w:gridCol w:w="826"/>
        <w:gridCol w:w="109"/>
        <w:gridCol w:w="109"/>
        <w:gridCol w:w="109"/>
        <w:gridCol w:w="109"/>
        <w:gridCol w:w="219"/>
        <w:gridCol w:w="858"/>
        <w:gridCol w:w="162"/>
      </w:tblGrid>
      <w:tr>
        <w:trPr/>
        <w:tc>
          <w:tcPr>
            <w:tcW w:w="2887"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7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129,276 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296,411 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value rights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422,651 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A Preferred Stock, $0.0001 par value; 112,164.533 and 134,904.563 shares authorized as of June 30, 2026 and December 31, 2025, respectively; 98,050.372 and 120,790.402 shares issued and outstanding as of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 Preferred Stock, $0.0001 par value; 437,927 shares authorized as of June 30, 2026 and December 31, 2025; 437,927 shares issued and outstanding as of June 30, 2026 and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9,449,908.467 and 9,427,168.437 shares authorized as of June 30, 2026 and December 31, 2025, respectively; no shares issued and outstanding as of June 30, 2026 and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350,000,000 shares authorized as of June 30, 2026 and December 31, 2025; 30,037,962 and 26,011,106 shares issued and outstanding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(822,373)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(126,240)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296,411 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2257425" cy="56197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2257425" cy="561975"/>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2"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04.25pt;mso-position-horizontal:left;mso-position-horizontal-relative:text">
                <v:textbox>
                  <w:txbxContent>
                    <w:p>
                      <w:pPr>
                        <w:pStyle w:val="TextBody"/>
                        <w:bidi w:val="0"/>
                        <w:spacing w:before="0" w:after="0"/>
                        <w:jc w:val="right"/>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Cartesian Therapeutics,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527"/>
        <w:gridCol w:w="1143"/>
        <w:gridCol w:w="1155"/>
        <w:gridCol w:w="244"/>
        <w:gridCol w:w="837"/>
        <w:gridCol w:w="113"/>
        <w:gridCol w:w="113"/>
        <w:gridCol w:w="113"/>
        <w:gridCol w:w="113"/>
        <w:gridCol w:w="244"/>
        <w:gridCol w:w="837"/>
        <w:gridCol w:w="113"/>
        <w:gridCol w:w="109"/>
        <w:gridCol w:w="109"/>
        <w:gridCol w:w="149"/>
        <w:gridCol w:w="149"/>
        <w:gridCol w:w="360"/>
        <w:gridCol w:w="1061"/>
        <w:gridCol w:w="149"/>
        <w:gridCol w:w="109"/>
        <w:gridCol w:w="109"/>
        <w:gridCol w:w="109"/>
        <w:gridCol w:w="270"/>
        <w:gridCol w:w="811"/>
        <w:gridCol w:w="159"/>
      </w:tblGrid>
      <w:tr>
        <w:trPr/>
        <w:tc>
          <w:tcPr>
            <w:tcW w:w="152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67" w:type="dxa"/>
            <w:gridSpan w:val="6"/>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license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change in fair value of warrant liability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embedded derivative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change in fair value of contingent value rights liability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Undistributed earnings allocable to participating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allocable to shares of common stock - basic and diluted</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allocable to common stockholders:</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29,467,130 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25,980,262 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28,142,256 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25,941,670 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29,860,880 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26,447,251 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28,142,256 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25,941,670 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drawing>
          <wp:inline distT="0" distB="0" distL="0" distR="0">
            <wp:extent cx="2257425" cy="56197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2257425" cy="561975"/>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04.25pt;mso-position-horizontal:left;mso-position-horizontal-relative:text">
                <v:textbox>
                  <w:txbxContent>
                    <w:p>
                      <w:pPr>
                        <w:pStyle w:val="TextBody"/>
                        <w:bidi w:val="0"/>
                        <w:spacing w:before="0" w:after="0"/>
                        <w:jc w:val="right"/>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Megan LeDuc</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Associate Director of Investor Relations</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megan.leduc@cartesiantx.com</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David Rosen</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Argot Partners</w:t>
      </w:r>
    </w:p>
    <w:p>
      <w:pPr>
        <w:pStyle w:val="TextBody"/>
        <w:bidi w:val="0"/>
        <w:spacing w:lineRule="auto" w:line="256"/>
        <w:jc w:val="both"/>
        <w:rPr>
          <w:rFonts w:ascii="Times New Roman;serif" w:hAnsi="Times New Roman;serif"/>
          <w:b w:val="false"/>
          <w:color w:val="000000"/>
          <w:sz w:val="20"/>
        </w:rPr>
      </w:pPr>
      <w:r>
        <w:rPr>
          <w:rFonts w:ascii="Times New Roman;serif" w:hAnsi="Times New Roman;serif"/>
          <w:b w:val="false"/>
          <w:color w:val="000000"/>
          <w:sz w:val="20"/>
        </w:rPr>
        <w:t xml:space="preserve">david.rosen@argotpartners.com </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3336</Words>
  <Characters>19453</Characters>
  <CharactersWithSpaces>22587</CharactersWithSpaces>
  <Paragraphs>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