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June 19, 2020</w:t>
      </w:r>
    </w:p>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679" w:right="49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001-37798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26-1622110</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360"/>
          </w:cols>
          <w:pgMar w:left="320" w:top="679" w:right="499" w:bottom="1440" w:gutter="0" w:footer="0" w:header="0"/>
          <w:type w:val="continuous"/>
        </w:sectPr>
      </w:pPr>
    </w:p>
    <w:p>
      <w:pPr>
        <w:spacing w:after="0" w:line="7"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65 Grove Street</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080"/>
          </w:cols>
          <w:pgMar w:left="320" w:top="679"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20" w:hanging="505"/>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920" w:hanging="505"/>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920" w:hanging="505"/>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920" w:hanging="505"/>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80"/>
          </w:cols>
          <w:pgMar w:left="320" w:top="679" w:right="499" w:bottom="1440" w:gutter="0" w:footer="0" w:header="0"/>
          <w:type w:val="continuous"/>
        </w:sectPr>
      </w:pP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Common Stock (Par Value $0.0001)</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SELB</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The Nasdaq Global Market</w:t>
      </w:r>
    </w:p>
    <w:p>
      <w:pPr>
        <w:spacing w:after="0" w:line="200" w:lineRule="exact"/>
        <w:rPr>
          <w:sz w:val="24"/>
          <w:szCs w:val="24"/>
          <w:color w:val="auto"/>
        </w:rPr>
      </w:pPr>
    </w:p>
    <w:p>
      <w:pPr>
        <w:sectPr>
          <w:pgSz w:w="11900" w:h="16838" w:orient="portrait"/>
          <w:cols w:equalWidth="0" w:num="3">
            <w:col w:w="4240" w:space="720"/>
            <w:col w:w="2120" w:space="720"/>
            <w:col w:w="3280"/>
          </w:cols>
          <w:pgMar w:left="320" w:top="679" w:right="499" w:bottom="1440" w:gutter="0" w:footer="0" w:header="0"/>
          <w:type w:val="continuous"/>
        </w:sectPr>
      </w:pPr>
    </w:p>
    <w:p>
      <w:pPr>
        <w:spacing w:after="0" w:line="11"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679" w:right="49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June 19, 2020, Stephen Smolinski notified Selecta Biosciences, Inc. (the “Company”) of his intention to resign as the Company’s Chief Commercial Officer. Mr. Smolinski’s resignation of employment will be effective August 18, 2020, or such earlier date as selected by the Company (the actual date of Mr. Smolinski’s separation of employment, the “Smolinski Separation Date”).</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connection with his resignation, the Company entered into a transition agreement and release with Mr. Smolinski (the “Smolinski Transition Agreement”) under which, if Mr. Smolinski remains continuously employed by the Company through August 18, 2020 or the Company terminates Mr. Smolinski’s employment on or prior to August 18, 2020 for reasons other than “cause” (as defined in Mr. Smolinski’s employment agreement with the Company) or Mr. Smolinski’s material breach of the Smolinski Transition Agreement, then, subject to Mr. Smolinski’s continued compliance with certain restrictive covenants and execution of a general release of claims, Mr. Smolinski will be entitled to receive (i) continued payment of his annual base salary for the 12-month period following the Smolinski Separation Date, (ii) a pro-rata portion of his annual bonus for 2020 based on actual performance for the year, (iii) direct payment of, or reimbursement for, continued medical, dental and/or vision coverage pursuant to COBRA until December 31, 2021 or, if earlier, the date that Mr. Smolinski is no longer eligible for COBRA or the date Mr. Smolinski becomes eligible for medical, dental or vision coverage from a subsequent employer, and (iv) extension of the right to exercise any vested stock options until the date that is two years following the Smolinski Separation Date. Notwithstanding the foregoing, if Mr. Smolinski at any time accepts an offer of employment from a specified biopharmaceutical company or any of its affiliates, Mr. Smolinski will not be entitled to receive any further severance payments or benefits described in clauses (i), (ii) and (iii) of the foregoing sentence and the Company may immediately cease paying or providing such severance payments and benefits.</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Smolinski Separation Date occurs prior to August 18, 2020, Mr. Smolinski will be entitled to the base salary he would have earned during the period commencing on the Smolinski Separation Date and ending on August 18, 2020.</w:t>
      </w:r>
    </w:p>
    <w:p>
      <w:pPr>
        <w:spacing w:after="0" w:line="17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Additionally, on June 19, 2020, Elona Kogan notified the Company of her intention to resign as the Company’s General Counsel and Secretary. Ms. Kogan’s resignation of employment will be effective August 18, 2020, or such earlier date as selected by the Company (the actual date of Ms. Kogan’s separation of employment, the “Kogan Separation Date”).</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her resignation, the Company entered into a transition agreement and release with Ms. Kogan (the “Kogan Transition Agreement”) under which, if Ms. Kogan remains continuously employed by the Company through August 18, 2020 or the Company terminates Ms. Kogan’s employment on or prior to August 18, 2020 for reasons other than “cause” (as defined in Ms. Kogan’s employment agreement with the Company) or Ms. Kogan’s material breach of the Kogan Transition Agreement, then, subject to Ms. Kogan’s continued compliance with certain restrictive covenants and execution of a general release of claims (the “Release”), Ms. Kogan will be entitled to receive (i) continued payment of her annual base salary for the 12-month period following the Kogan Separation Date, (ii) a pro-rata portion of her annual bonus for 2020 based on actual performance for the year, (iii) direct payment of, or reimbursement for, continued medical, dental and/or vision coverage pursuant to COBRA until December 31, 2021 or, if earlier, the date that Ms. Kogan is no longer eligible for COBRA or the date Ms. Kogan becomes eligible for medical, dental or vision coverage from a subsequent employer, (iv) extension of the right to exercise any vested stock options until the date that is two year following the Kogan Separation Date and (v) continued eligibility to vest in her outstanding performance-based restricted stock units if the performance conditions are satisfied in accordance with the terms of the documents governing such performance-based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520"/>
        <w:spacing w:after="0" w:line="277" w:lineRule="auto"/>
        <w:rPr>
          <w:sz w:val="20"/>
          <w:szCs w:val="20"/>
          <w:color w:val="auto"/>
        </w:rPr>
      </w:pPr>
      <w:r>
        <w:rPr>
          <w:rFonts w:ascii="Arial" w:cs="Arial" w:eastAsia="Arial" w:hAnsi="Arial"/>
          <w:sz w:val="18"/>
          <w:szCs w:val="18"/>
          <w:color w:val="auto"/>
        </w:rPr>
        <w:t>If the Kogan Separation Date occurs prior to August 18, 2020, Ms. Kogan will be entitled to the base salary she would have earned during the period commencing on the Kogan Separation Date and ending on August 18, 2020.</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Kogan Transition Agreement includes a 12-month post-employment non-competition covenant that will become effective on the effective date of the Release.</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foregoing descriptions of the Smolinski Transition Agreement and the Kogan Transition Agreement are qualified in their entirety by reference to the full text of the Smolinski Transition Agreement and the Kogan Transition Agreement, copies of which are filed as Exhibit 10.1 and Exhibit 10.2, respectively, to this report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34"/>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60" w:type="dxa"/>
            <w:vAlign w:val="bottom"/>
          </w:tcPr>
          <w:p>
            <w:pPr>
              <w:spacing w:after="0"/>
              <w:rPr>
                <w:sz w:val="20"/>
                <w:szCs w:val="20"/>
                <w:color w:val="auto"/>
              </w:rPr>
            </w:pPr>
          </w:p>
        </w:tc>
        <w:tc>
          <w:tcPr>
            <w:tcW w:w="10440" w:type="dxa"/>
            <w:vAlign w:val="bottom"/>
            <w:tcBorders>
              <w:bottom w:val="single" w:sz="8" w:color="auto"/>
            </w:tcBorders>
          </w:tcPr>
          <w:p>
            <w:pPr>
              <w:ind w:left="478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7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10.1</w:t>
              </w:r>
            </w:hyperlink>
          </w:p>
        </w:tc>
        <w:tc>
          <w:tcPr>
            <w:tcW w:w="10500" w:type="dxa"/>
            <w:vAlign w:val="bottom"/>
            <w:gridSpan w:val="2"/>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Transition Agreement and Release, dated June 25, 2020, between Selecta Biosciences, Inc. and Stephen Smolinski</w:t>
              </w:r>
            </w:hyperlink>
          </w:p>
        </w:tc>
      </w:tr>
      <w:tr>
        <w:trPr>
          <w:trHeight w:val="432"/>
        </w:trPr>
        <w:tc>
          <w:tcPr>
            <w:tcW w:w="7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10.2</w:t>
              </w:r>
            </w:hyperlink>
          </w:p>
        </w:tc>
        <w:tc>
          <w:tcPr>
            <w:tcW w:w="10500" w:type="dxa"/>
            <w:vAlign w:val="bottom"/>
            <w:gridSpan w:val="2"/>
          </w:tcPr>
          <w:p>
            <w:pPr>
              <w:ind w:left="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Transition Agreement and Release, dated June 25, 2020, between Selecta Biosciences, Inc. and Elona Kogan</w:t>
              </w:r>
            </w:hyperlink>
          </w:p>
        </w:tc>
      </w:tr>
      <w:tr>
        <w:trPr>
          <w:trHeight w:val="432"/>
        </w:trPr>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SELECTA BIOSCIENCES,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25, 2020</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Carsten Brunn, Ph.D.</w:t>
            </w:r>
          </w:p>
        </w:tc>
      </w:tr>
      <w:tr>
        <w:trPr>
          <w:trHeight w:val="195"/>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Carsten Brunn, Ph.D.</w:t>
            </w:r>
          </w:p>
        </w:tc>
      </w:tr>
      <w:tr>
        <w:trPr>
          <w:trHeight w:val="230"/>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Agreement and Release</w:t>
      </w:r>
    </w:p>
    <w:p>
      <w:pPr>
        <w:spacing w:after="0" w:line="22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This Transition Agreement and Release (“</w:t>
      </w:r>
      <w:r>
        <w:rPr>
          <w:rFonts w:ascii="Arial" w:cs="Arial" w:eastAsia="Arial" w:hAnsi="Arial"/>
          <w:sz w:val="16"/>
          <w:szCs w:val="16"/>
          <w:u w:val="single" w:color="auto"/>
          <w:color w:val="auto"/>
        </w:rPr>
        <w:t>Agreement</w:t>
      </w:r>
      <w:r>
        <w:rPr>
          <w:rFonts w:ascii="Arial" w:cs="Arial" w:eastAsia="Arial" w:hAnsi="Arial"/>
          <w:sz w:val="16"/>
          <w:szCs w:val="16"/>
          <w:color w:val="auto"/>
        </w:rPr>
        <w:t>”) is made by and between STEPHEN SMOLINSKI (“</w:t>
      </w:r>
      <w:r>
        <w:rPr>
          <w:rFonts w:ascii="Arial" w:cs="Arial" w:eastAsia="Arial" w:hAnsi="Arial"/>
          <w:sz w:val="16"/>
          <w:szCs w:val="16"/>
          <w:u w:val="single" w:color="auto"/>
          <w:color w:val="auto"/>
        </w:rPr>
        <w:t>Executive</w:t>
      </w:r>
      <w:r>
        <w:rPr>
          <w:rFonts w:ascii="Arial" w:cs="Arial" w:eastAsia="Arial" w:hAnsi="Arial"/>
          <w:sz w:val="16"/>
          <w:szCs w:val="16"/>
          <w:color w:val="auto"/>
        </w:rPr>
        <w:t>”) and SELECTA BIOSCIENCES, INC. (the “</w:t>
      </w:r>
      <w:r>
        <w:rPr>
          <w:rFonts w:ascii="Arial" w:cs="Arial" w:eastAsia="Arial" w:hAnsi="Arial"/>
          <w:sz w:val="16"/>
          <w:szCs w:val="16"/>
          <w:u w:val="single" w:color="auto"/>
          <w:color w:val="auto"/>
        </w:rPr>
        <w:t>Company</w:t>
      </w:r>
      <w:r>
        <w:rPr>
          <w:rFonts w:ascii="Arial" w:cs="Arial" w:eastAsia="Arial" w:hAnsi="Arial"/>
          <w:sz w:val="16"/>
          <w:szCs w:val="16"/>
          <w:color w:val="auto"/>
        </w:rPr>
        <w:t>”) (collectively referred to as the “</w:t>
      </w:r>
      <w:r>
        <w:rPr>
          <w:rFonts w:ascii="Arial" w:cs="Arial" w:eastAsia="Arial" w:hAnsi="Arial"/>
          <w:sz w:val="16"/>
          <w:szCs w:val="16"/>
          <w:u w:val="single" w:color="auto"/>
          <w:color w:val="auto"/>
        </w:rPr>
        <w:t>Parties</w:t>
      </w:r>
      <w:r>
        <w:rPr>
          <w:rFonts w:ascii="Arial" w:cs="Arial" w:eastAsia="Arial" w:hAnsi="Arial"/>
          <w:sz w:val="16"/>
          <w:szCs w:val="16"/>
          <w:color w:val="auto"/>
        </w:rPr>
        <w:t>” or individually referred to as a “</w:t>
      </w:r>
      <w:r>
        <w:rPr>
          <w:rFonts w:ascii="Arial" w:cs="Arial" w:eastAsia="Arial" w:hAnsi="Arial"/>
          <w:sz w:val="16"/>
          <w:szCs w:val="16"/>
          <w:u w:val="single" w:color="auto"/>
          <w:color w:val="auto"/>
        </w:rPr>
        <w:t>Party</w:t>
      </w:r>
      <w:r>
        <w:rPr>
          <w:rFonts w:ascii="Arial" w:cs="Arial" w:eastAsia="Arial" w:hAnsi="Arial"/>
          <w:sz w:val="16"/>
          <w:szCs w:val="16"/>
          <w:color w:val="auto"/>
        </w:rPr>
        <w:t>”) as of June 25, 2020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Capitalized terms used but not defined in this Agreement shall have the meanings set forth in the Employment Agreement (as defined below).</w:t>
      </w:r>
    </w:p>
    <w:p>
      <w:pPr>
        <w:spacing w:after="0" w:line="1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WHEREAS, the Parties have previously entered into that certain Employment Agreement, dated as of October 26, 2017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that certain Employee Nondisclosure, Noncompetition and Assignment of Intellectual Property Agreement, dated as of October 26, 2017 (the “</w:t>
      </w:r>
      <w:r>
        <w:rPr>
          <w:rFonts w:ascii="Arial" w:cs="Arial" w:eastAsia="Arial" w:hAnsi="Arial"/>
          <w:sz w:val="18"/>
          <w:szCs w:val="18"/>
          <w:u w:val="single" w:color="auto"/>
          <w:color w:val="auto"/>
        </w:rPr>
        <w:t>RCA</w:t>
      </w:r>
      <w:r>
        <w:rPr>
          <w:rFonts w:ascii="Arial" w:cs="Arial" w:eastAsia="Arial" w:hAnsi="Arial"/>
          <w:sz w:val="18"/>
          <w:szCs w:val="18"/>
          <w:color w:val="auto"/>
        </w:rPr>
        <w:t>”); and</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WHEREAS, in connection with Executive’s separation of employment with the Company,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w:t>
      </w:r>
      <w:r>
        <w:rPr>
          <w:rFonts w:ascii="Arial" w:cs="Arial" w:eastAsia="Arial" w:hAnsi="Arial"/>
          <w:sz w:val="17"/>
          <w:szCs w:val="17"/>
          <w:u w:val="single" w:color="auto"/>
          <w:color w:val="auto"/>
        </w:rPr>
        <w:t>Retained Claims</w:t>
      </w:r>
      <w:r>
        <w:rPr>
          <w:rFonts w:ascii="Arial" w:cs="Arial" w:eastAsia="Arial" w:hAnsi="Arial"/>
          <w:sz w:val="17"/>
          <w:szCs w:val="17"/>
          <w:color w:val="auto"/>
        </w:rPr>
        <w:t>”).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promises made herein, the Company and Executive hereby agree as follows:</w:t>
      </w:r>
    </w:p>
    <w:p>
      <w:pPr>
        <w:spacing w:after="0" w:line="225" w:lineRule="exact"/>
        <w:rPr>
          <w:sz w:val="20"/>
          <w:szCs w:val="20"/>
          <w:color w:val="auto"/>
        </w:rPr>
      </w:pPr>
    </w:p>
    <w:p>
      <w:pPr>
        <w:ind w:left="1100" w:hanging="444"/>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Separation; Services;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980"/>
        <w:spacing w:after="0" w:line="269" w:lineRule="auto"/>
        <w:tabs>
          <w:tab w:leader="none" w:pos="1532" w:val="left"/>
        </w:tabs>
        <w:numPr>
          <w:ilvl w:val="1"/>
          <w:numId w:val="2"/>
        </w:numPr>
        <w:rPr>
          <w:rFonts w:ascii="Arial" w:cs="Arial" w:eastAsia="Arial" w:hAnsi="Arial"/>
          <w:sz w:val="17"/>
          <w:szCs w:val="17"/>
          <w:color w:val="auto"/>
        </w:rPr>
      </w:pPr>
      <w:r>
        <w:rPr>
          <w:rFonts w:ascii="Arial" w:cs="Arial" w:eastAsia="Arial" w:hAnsi="Arial"/>
          <w:sz w:val="17"/>
          <w:szCs w:val="17"/>
          <w:color w:val="auto"/>
        </w:rPr>
        <w:t>Executive’s employment with the Company and its subsidiaries will end on (i) August 18, 2020 or (ii) such earlier date as selected by the Company in accordance with the terms of this Agreement (the actual date of Executive’s separation of employment, the “</w:t>
      </w:r>
      <w:r>
        <w:rPr>
          <w:rFonts w:ascii="Arial" w:cs="Arial" w:eastAsia="Arial" w:hAnsi="Arial"/>
          <w:sz w:val="17"/>
          <w:szCs w:val="17"/>
          <w:u w:val="single" w:color="auto"/>
          <w:color w:val="auto"/>
        </w:rPr>
        <w:t>Separation Date</w:t>
      </w:r>
      <w:r>
        <w:rPr>
          <w:rFonts w:ascii="Arial" w:cs="Arial" w:eastAsia="Arial" w:hAnsi="Arial"/>
          <w:sz w:val="17"/>
          <w:szCs w:val="17"/>
          <w:color w:val="auto"/>
        </w:rPr>
        <w:t>”), provided that if the Company selects a Separation Date that is earlier than August 18, 2020, the Company will pay Executive in Executive’s final paycheck the base salary Executive would have earned during the period commencing on the Separation Date selected by the Company and ending August 18, 2020. As of the Separation Date, Executive will cease to serve as an employee, director, officer or in any other position with the Company and its subsidiaries and will cease to exercise or convey any authority (actual, apparent or otherwise) on behalf of the Company and its subsidiaries. During the period commencing on the Effective Date and ending on the Separation Date (the “</w:t>
      </w:r>
      <w:r>
        <w:rPr>
          <w:rFonts w:ascii="Arial" w:cs="Arial" w:eastAsia="Arial" w:hAnsi="Arial"/>
          <w:sz w:val="17"/>
          <w:szCs w:val="17"/>
          <w:u w:val="single" w:color="auto"/>
          <w:color w:val="auto"/>
        </w:rPr>
        <w:t>Transition Period</w:t>
      </w:r>
      <w:r>
        <w:rPr>
          <w:rFonts w:ascii="Arial" w:cs="Arial" w:eastAsia="Arial" w:hAnsi="Arial"/>
          <w:sz w:val="17"/>
          <w:szCs w:val="17"/>
          <w:color w:val="auto"/>
        </w:rPr>
        <w:t>”), Executive will continue performing substantially the same duties and responsibilities as Executive has historically provided to the Company or as are otherwise reasonably requested by the Company from time to time, including to assist in the orderly transition of Executive’s duties to a successor. Executive will perform Executive’s duties during the Transition Period in substantially the same manner and with substantially the same effort, time commitment and level of care as Executive has historically performed duties for the Company prior to the Effective Date.</w:t>
      </w:r>
    </w:p>
    <w:p>
      <w:pPr>
        <w:spacing w:after="0" w:line="181" w:lineRule="exact"/>
        <w:rPr>
          <w:rFonts w:ascii="Arial" w:cs="Arial" w:eastAsia="Arial" w:hAnsi="Arial"/>
          <w:sz w:val="17"/>
          <w:szCs w:val="17"/>
          <w:color w:val="auto"/>
        </w:rPr>
      </w:pPr>
    </w:p>
    <w:p>
      <w:pPr>
        <w:ind w:firstLine="980"/>
        <w:spacing w:after="0" w:line="263" w:lineRule="auto"/>
        <w:tabs>
          <w:tab w:leader="none" w:pos="1497" w:val="left"/>
        </w:tabs>
        <w:numPr>
          <w:ilvl w:val="1"/>
          <w:numId w:val="2"/>
        </w:numPr>
        <w:rPr>
          <w:rFonts w:ascii="Arial" w:cs="Arial" w:eastAsia="Arial" w:hAnsi="Arial"/>
          <w:sz w:val="18"/>
          <w:szCs w:val="18"/>
          <w:color w:val="auto"/>
        </w:rPr>
      </w:pPr>
      <w:r>
        <w:rPr>
          <w:rFonts w:ascii="Arial" w:cs="Arial" w:eastAsia="Arial" w:hAnsi="Arial"/>
          <w:sz w:val="18"/>
          <w:szCs w:val="18"/>
          <w:color w:val="auto"/>
        </w:rPr>
        <w:t>During the Transition Period, Executive will continue receiving Executive’s Annual Base Salary at the same rate that applies on the Effective Date and will remain eligible to participate in the Company’s employee benefit plans to the same extent as Executive is eligible as of the Effective Date, subject to the terms and conditions of such employee benefit plans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ind w:left="-20" w:firstLine="980"/>
        <w:spacing w:after="0" w:line="259" w:lineRule="auto"/>
        <w:tabs>
          <w:tab w:leader="none" w:pos="1512" w:val="left"/>
        </w:tabs>
        <w:numPr>
          <w:ilvl w:val="1"/>
          <w:numId w:val="3"/>
        </w:numPr>
        <w:rPr>
          <w:rFonts w:ascii="Arial" w:cs="Arial" w:eastAsia="Arial" w:hAnsi="Arial"/>
          <w:sz w:val="18"/>
          <w:szCs w:val="18"/>
          <w:color w:val="auto"/>
        </w:rPr>
      </w:pPr>
      <w:r>
        <w:rPr>
          <w:rFonts w:ascii="Arial" w:cs="Arial" w:eastAsia="Arial" w:hAnsi="Arial"/>
          <w:sz w:val="18"/>
          <w:szCs w:val="18"/>
          <w:color w:val="auto"/>
        </w:rPr>
        <w:t>Executive’s employment with the Company will at all times remain terminable by either Executive or the Company at will and nothing in this Agreement confers upon Executive any right to continue to serve as an employee or other service provider of the Company or interferes with or restricts the rights of the Company to discharge or terminate the services of Executive at any time for any or no reason, with or without Cause, subject to the provisions of Section 2.</w:t>
      </w:r>
    </w:p>
    <w:p>
      <w:pPr>
        <w:spacing w:after="0" w:line="186" w:lineRule="exact"/>
        <w:rPr>
          <w:rFonts w:ascii="Arial" w:cs="Arial" w:eastAsia="Arial" w:hAnsi="Arial"/>
          <w:sz w:val="18"/>
          <w:szCs w:val="18"/>
          <w:color w:val="auto"/>
        </w:rPr>
      </w:pPr>
    </w:p>
    <w:p>
      <w:pPr>
        <w:ind w:left="1080" w:hanging="44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Severance Payments; Salary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20" w:firstLine="980"/>
        <w:spacing w:after="0" w:line="255" w:lineRule="auto"/>
        <w:tabs>
          <w:tab w:leader="none" w:pos="1467" w:val="left"/>
        </w:tabs>
        <w:numPr>
          <w:ilvl w:val="1"/>
          <w:numId w:val="4"/>
        </w:numPr>
        <w:rPr>
          <w:rFonts w:ascii="Arial" w:cs="Arial" w:eastAsia="Arial" w:hAnsi="Arial"/>
          <w:sz w:val="18"/>
          <w:szCs w:val="18"/>
          <w:color w:val="auto"/>
        </w:rPr>
      </w:pPr>
      <w:r>
        <w:rPr>
          <w:rFonts w:ascii="Arial" w:cs="Arial" w:eastAsia="Arial" w:hAnsi="Arial"/>
          <w:sz w:val="18"/>
          <w:szCs w:val="18"/>
          <w:color w:val="auto"/>
        </w:rPr>
        <w:t>Except as otherwise provided in Section 2(b), if Executive remains continuously employed by the Company through August 18, 2020 or if the Company terminates Executive’s employment on or prior to August 18, 2020 for reasons other than Cause or material breach of this Agreement, then subject to Executive’s continued compliance with the RCA and Executive’s execution and delivery to the Company of the release of claims attached hereto as Addendum 1 (the “</w:t>
      </w:r>
      <w:r>
        <w:rPr>
          <w:rFonts w:ascii="Arial" w:cs="Arial" w:eastAsia="Arial" w:hAnsi="Arial"/>
          <w:sz w:val="18"/>
          <w:szCs w:val="18"/>
          <w:u w:val="single" w:color="auto"/>
          <w:color w:val="auto"/>
        </w:rPr>
        <w:t>Bring-Down Release</w:t>
      </w:r>
      <w:r>
        <w:rPr>
          <w:rFonts w:ascii="Arial" w:cs="Arial" w:eastAsia="Arial" w:hAnsi="Arial"/>
          <w:sz w:val="18"/>
          <w:szCs w:val="18"/>
          <w:color w:val="auto"/>
        </w:rPr>
        <w:t>”) before the later of 30 days following the Separation Date and 45 days following the date this Agreement was first provided to Executive (and the Bring-Down Release becoming effective and irrevocable), Executive will be entitled to the severance payments and benefits provided in Sections 2(a)(i) – (ii).</w:t>
      </w:r>
    </w:p>
    <w:p>
      <w:pPr>
        <w:spacing w:after="0" w:line="192" w:lineRule="exact"/>
        <w:rPr>
          <w:rFonts w:ascii="Arial" w:cs="Arial" w:eastAsia="Arial" w:hAnsi="Arial"/>
          <w:sz w:val="18"/>
          <w:szCs w:val="18"/>
          <w:color w:val="auto"/>
        </w:rPr>
      </w:pPr>
    </w:p>
    <w:p>
      <w:pPr>
        <w:ind w:left="640" w:right="140" w:firstLine="1292"/>
        <w:spacing w:after="0" w:line="293" w:lineRule="auto"/>
        <w:tabs>
          <w:tab w:leader="none" w:pos="2417" w:val="left"/>
        </w:tabs>
        <w:numPr>
          <w:ilvl w:val="2"/>
          <w:numId w:val="4"/>
        </w:numPr>
        <w:rPr>
          <w:rFonts w:ascii="Arial" w:cs="Arial" w:eastAsia="Arial" w:hAnsi="Arial"/>
          <w:sz w:val="16"/>
          <w:szCs w:val="16"/>
          <w:color w:val="auto"/>
        </w:rPr>
      </w:pPr>
      <w:r>
        <w:rPr>
          <w:rFonts w:ascii="Arial" w:cs="Arial" w:eastAsia="Arial" w:hAnsi="Arial"/>
          <w:sz w:val="16"/>
          <w:szCs w:val="16"/>
          <w:color w:val="auto"/>
        </w:rPr>
        <w:t>The Company will pay or provide to Executive the severance payments and benefits described in Section 4(b) of the Employment Agreement (the “</w:t>
      </w:r>
      <w:r>
        <w:rPr>
          <w:rFonts w:ascii="Arial" w:cs="Arial" w:eastAsia="Arial" w:hAnsi="Arial"/>
          <w:sz w:val="16"/>
          <w:szCs w:val="16"/>
          <w:u w:val="single" w:color="auto"/>
          <w:color w:val="auto"/>
        </w:rPr>
        <w:t>Severance Payments</w:t>
      </w:r>
      <w:r>
        <w:rPr>
          <w:rFonts w:ascii="Arial" w:cs="Arial" w:eastAsia="Arial" w:hAnsi="Arial"/>
          <w:sz w:val="16"/>
          <w:szCs w:val="16"/>
          <w:color w:val="auto"/>
        </w:rPr>
        <w:t>”), payable at the times set forth in the Employment Agreement; provided that (A) “Payment Date” as used in the Employment Agreement shall mean the next regular payday following the effective date of the Bring-Down Release and (B) the period for COBRA-related severance benefits in Section 4(b)(iii) of the Employment Agreement will end upon the earliest of (x) December 31, 2021, (y) the date that Executive and/or Executive’s covered dependents become no longer eligible for COBRA or (z) the date Executive becomes eligible to receive medical, dental or vision coverage as applicable, from a subsequent employer; and</w:t>
      </w:r>
    </w:p>
    <w:p>
      <w:pPr>
        <w:spacing w:after="0" w:line="164" w:lineRule="exact"/>
        <w:rPr>
          <w:rFonts w:ascii="Arial" w:cs="Arial" w:eastAsia="Arial" w:hAnsi="Arial"/>
          <w:sz w:val="16"/>
          <w:szCs w:val="16"/>
          <w:color w:val="auto"/>
        </w:rPr>
      </w:pPr>
    </w:p>
    <w:p>
      <w:pPr>
        <w:ind w:left="640" w:right="20" w:firstLine="1292"/>
        <w:spacing w:after="0" w:line="257" w:lineRule="auto"/>
        <w:tabs>
          <w:tab w:leader="none" w:pos="2471" w:val="left"/>
        </w:tabs>
        <w:numPr>
          <w:ilvl w:val="2"/>
          <w:numId w:val="4"/>
        </w:numPr>
        <w:rPr>
          <w:rFonts w:ascii="Arial" w:cs="Arial" w:eastAsia="Arial" w:hAnsi="Arial"/>
          <w:sz w:val="18"/>
          <w:szCs w:val="18"/>
          <w:color w:val="auto"/>
        </w:rPr>
      </w:pPr>
      <w:r>
        <w:rPr>
          <w:rFonts w:ascii="Arial" w:cs="Arial" w:eastAsia="Arial" w:hAnsi="Arial"/>
          <w:sz w:val="18"/>
          <w:szCs w:val="18"/>
          <w:color w:val="auto"/>
        </w:rPr>
        <w:t>Each vested and exercisable option to purchase shares of the Company’s common stock held by Executive as of the Separation Date (each, a “</w:t>
      </w:r>
      <w:r>
        <w:rPr>
          <w:rFonts w:ascii="Arial" w:cs="Arial" w:eastAsia="Arial" w:hAnsi="Arial"/>
          <w:sz w:val="18"/>
          <w:szCs w:val="18"/>
          <w:u w:val="single" w:color="auto"/>
          <w:color w:val="auto"/>
        </w:rPr>
        <w:t>Vested Option</w:t>
      </w:r>
      <w:r>
        <w:rPr>
          <w:rFonts w:ascii="Arial" w:cs="Arial" w:eastAsia="Arial" w:hAnsi="Arial"/>
          <w:sz w:val="18"/>
          <w:szCs w:val="18"/>
          <w:color w:val="auto"/>
        </w:rPr>
        <w:t>”) will remain outstanding and exercisable in accordance with its terms for a period of two years following the Separation Date, provided that (A) no Vested Option will remain outstanding past the original final expiration date of the Vested Option and (B) each Vested Option will in all events remain subject to earlier termination in connection with a corporate transaction or event as set forth in the documents governing the Vested Option.</w:t>
      </w:r>
    </w:p>
    <w:p>
      <w:pPr>
        <w:spacing w:after="0" w:line="187" w:lineRule="exact"/>
        <w:rPr>
          <w:rFonts w:ascii="Arial" w:cs="Arial" w:eastAsia="Arial" w:hAnsi="Arial"/>
          <w:sz w:val="18"/>
          <w:szCs w:val="18"/>
          <w:color w:val="auto"/>
        </w:rPr>
      </w:pPr>
    </w:p>
    <w:p>
      <w:pPr>
        <w:jc w:val="both"/>
        <w:ind w:left="-20" w:right="20" w:firstLine="980"/>
        <w:spacing w:after="0" w:line="311" w:lineRule="auto"/>
        <w:tabs>
          <w:tab w:leader="none" w:pos="1522" w:val="left"/>
        </w:tabs>
        <w:numPr>
          <w:ilvl w:val="1"/>
          <w:numId w:val="4"/>
        </w:numPr>
        <w:rPr>
          <w:rFonts w:ascii="Arial" w:cs="Arial" w:eastAsia="Arial" w:hAnsi="Arial"/>
          <w:sz w:val="16"/>
          <w:szCs w:val="16"/>
          <w:color w:val="auto"/>
        </w:rPr>
      </w:pPr>
      <w:r>
        <w:rPr>
          <w:rFonts w:ascii="Arial" w:cs="Arial" w:eastAsia="Arial" w:hAnsi="Arial"/>
          <w:sz w:val="16"/>
          <w:szCs w:val="16"/>
          <w:color w:val="auto"/>
        </w:rPr>
        <w:t>Notwithstanding anything in Section 2(a) to the contrary, Executive acknowledges and agrees that if Executive at any time accepts an offer of employment from Swedish Orphan Biovitrum AB (Publ), a Swedish corporation (“</w:t>
      </w:r>
      <w:r>
        <w:rPr>
          <w:rFonts w:ascii="Arial" w:cs="Arial" w:eastAsia="Arial" w:hAnsi="Arial"/>
          <w:sz w:val="16"/>
          <w:szCs w:val="16"/>
          <w:u w:val="single" w:color="auto"/>
          <w:color w:val="auto"/>
        </w:rPr>
        <w:t>SOBI</w:t>
      </w:r>
      <w:r>
        <w:rPr>
          <w:rFonts w:ascii="Arial" w:cs="Arial" w:eastAsia="Arial" w:hAnsi="Arial"/>
          <w:sz w:val="16"/>
          <w:szCs w:val="16"/>
          <w:color w:val="auto"/>
        </w:rPr>
        <w:t>”), or any of its affiliates, Executive shall not be entitled to receive any further Severance Payments and the Company shall entitled to immediately cease paying or providing such Severance Payments.</w:t>
      </w:r>
    </w:p>
    <w:p>
      <w:pPr>
        <w:spacing w:after="0" w:line="148" w:lineRule="exact"/>
        <w:rPr>
          <w:rFonts w:ascii="Arial" w:cs="Arial" w:eastAsia="Arial" w:hAnsi="Arial"/>
          <w:sz w:val="16"/>
          <w:szCs w:val="16"/>
          <w:color w:val="auto"/>
        </w:rPr>
      </w:pPr>
    </w:p>
    <w:p>
      <w:pPr>
        <w:ind w:left="-20" w:right="180" w:firstLine="980"/>
        <w:spacing w:after="0" w:line="263" w:lineRule="auto"/>
        <w:tabs>
          <w:tab w:leader="none" w:pos="1467" w:val="left"/>
        </w:tabs>
        <w:numPr>
          <w:ilvl w:val="1"/>
          <w:numId w:val="4"/>
        </w:numPr>
        <w:rPr>
          <w:rFonts w:ascii="Arial" w:cs="Arial" w:eastAsia="Arial" w:hAnsi="Arial"/>
          <w:sz w:val="18"/>
          <w:szCs w:val="18"/>
          <w:color w:val="auto"/>
        </w:rPr>
      </w:pPr>
      <w:r>
        <w:rPr>
          <w:rFonts w:ascii="Arial" w:cs="Arial" w:eastAsia="Arial" w:hAnsi="Arial"/>
          <w:sz w:val="18"/>
          <w:szCs w:val="18"/>
          <w:color w:val="auto"/>
        </w:rPr>
        <w:t>Upon Executive’s separation of employment for any reason,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6" w:name="page7"/>
    <w:bookmarkEnd w:id="6"/>
    <w:p>
      <w:pPr>
        <w:ind w:left="-20" w:firstLine="656"/>
        <w:spacing w:after="0" w:line="289" w:lineRule="auto"/>
        <w:tabs>
          <w:tab w:leader="none" w:pos="1078"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other than with respect to the Retained Claims, and subject to the last two sentences of this Section 3,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Arial" w:cs="Arial" w:eastAsia="Arial" w:hAnsi="Arial"/>
          <w:sz w:val="16"/>
          <w:szCs w:val="16"/>
          <w:u w:val="single" w:color="auto"/>
          <w:color w:val="auto"/>
        </w:rPr>
        <w:t>Releasees</w:t>
      </w:r>
      <w:r>
        <w:rPr>
          <w:rFonts w:ascii="Arial" w:cs="Arial" w:eastAsia="Arial" w:hAnsi="Arial"/>
          <w:sz w:val="16"/>
          <w:szCs w:val="16"/>
          <w:color w:val="auto"/>
        </w:rPr>
        <w:t>”). Executive, on Executive’s own behalf and on behalf of any of Executive’s affiliated companies or entities and any of their respective heirs, family members, executors, agents, and assigns (collectively, the “</w:t>
      </w:r>
      <w:r>
        <w:rPr>
          <w:rFonts w:ascii="Arial" w:cs="Arial" w:eastAsia="Arial" w:hAnsi="Arial"/>
          <w:sz w:val="16"/>
          <w:szCs w:val="16"/>
          <w:u w:val="single" w:color="auto"/>
          <w:color w:val="auto"/>
        </w:rPr>
        <w:t>Employee Parties</w:t>
      </w:r>
      <w:r>
        <w:rPr>
          <w:rFonts w:ascii="Arial" w:cs="Arial" w:eastAsia="Arial" w:hAnsi="Arial"/>
          <w:sz w:val="16"/>
          <w:szCs w:val="16"/>
          <w:color w:val="auto"/>
        </w:rPr>
        <w:t>”), other than with respect to the Retained Claims, and except as provided in the last two sentences of this Section 3, hereby and forever releases the Releasees from any matters of any kind, whether presently known or unknown, suspected or unsuspected, that Executive may possess against any of the Releasees arising from any omissions, acts, facts, or damages that have occurred up until and including the Effective Date, including, without limitation:</w:t>
      </w:r>
    </w:p>
    <w:p>
      <w:pPr>
        <w:spacing w:after="0" w:line="166" w:lineRule="exact"/>
        <w:rPr>
          <w:rFonts w:ascii="Arial" w:cs="Arial" w:eastAsia="Arial" w:hAnsi="Arial"/>
          <w:sz w:val="16"/>
          <w:szCs w:val="16"/>
          <w:color w:val="auto"/>
        </w:rPr>
      </w:pPr>
    </w:p>
    <w:p>
      <w:pPr>
        <w:ind w:left="-20" w:right="140" w:firstLine="980"/>
        <w:spacing w:after="0" w:line="277" w:lineRule="auto"/>
        <w:tabs>
          <w:tab w:leader="none" w:pos="1467"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employment or service relationship with the Company or any of its direct or indirect subsidiaries or affiliates and the termination of that relationship;</w:t>
      </w:r>
    </w:p>
    <w:p>
      <w:pPr>
        <w:spacing w:after="0" w:line="170" w:lineRule="exact"/>
        <w:rPr>
          <w:rFonts w:ascii="Arial" w:cs="Arial" w:eastAsia="Arial" w:hAnsi="Arial"/>
          <w:sz w:val="18"/>
          <w:szCs w:val="18"/>
          <w:color w:val="auto"/>
        </w:rPr>
      </w:pPr>
    </w:p>
    <w:p>
      <w:pPr>
        <w:jc w:val="both"/>
        <w:ind w:left="-20" w:right="180" w:firstLine="980"/>
        <w:spacing w:after="0" w:line="263" w:lineRule="auto"/>
        <w:tabs>
          <w:tab w:leader="none" w:pos="1477"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83" w:lineRule="exact"/>
        <w:rPr>
          <w:rFonts w:ascii="Arial" w:cs="Arial" w:eastAsia="Arial" w:hAnsi="Arial"/>
          <w:sz w:val="18"/>
          <w:szCs w:val="18"/>
          <w:color w:val="auto"/>
        </w:rPr>
      </w:pPr>
    </w:p>
    <w:p>
      <w:pPr>
        <w:ind w:left="-20" w:right="60" w:firstLine="980"/>
        <w:spacing w:after="0" w:line="257" w:lineRule="auto"/>
        <w:tabs>
          <w:tab w:leader="none" w:pos="1467"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7" w:lineRule="exact"/>
        <w:rPr>
          <w:rFonts w:ascii="Arial" w:cs="Arial" w:eastAsia="Arial" w:hAnsi="Arial"/>
          <w:sz w:val="18"/>
          <w:szCs w:val="18"/>
          <w:color w:val="auto"/>
        </w:rPr>
      </w:pPr>
    </w:p>
    <w:p>
      <w:pPr>
        <w:ind w:left="-20" w:firstLine="980"/>
        <w:spacing w:after="0" w:line="279" w:lineRule="auto"/>
        <w:tabs>
          <w:tab w:leader="none" w:pos="1477" w:val="left"/>
        </w:tabs>
        <w:numPr>
          <w:ilvl w:val="1"/>
          <w:numId w:val="5"/>
        </w:numPr>
        <w:rPr>
          <w:rFonts w:ascii="Arial" w:cs="Arial" w:eastAsia="Arial" w:hAnsi="Arial"/>
          <w:sz w:val="17"/>
          <w:szCs w:val="17"/>
          <w:color w:val="auto"/>
        </w:rPr>
      </w:pPr>
      <w:r>
        <w:rPr>
          <w:rFonts w:ascii="Arial" w:cs="Arial" w:eastAsia="Arial" w:hAnsi="Arial"/>
          <w:sz w:val="17"/>
          <w:szCs w:val="17"/>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71" w:lineRule="exact"/>
        <w:rPr>
          <w:rFonts w:ascii="Arial" w:cs="Arial" w:eastAsia="Arial" w:hAnsi="Arial"/>
          <w:sz w:val="17"/>
          <w:szCs w:val="17"/>
          <w:color w:val="auto"/>
        </w:rPr>
      </w:pPr>
    </w:p>
    <w:p>
      <w:pPr>
        <w:ind w:left="1480" w:hanging="52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1500" w:hanging="540"/>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25" w:lineRule="exact"/>
        <w:rPr>
          <w:rFonts w:ascii="Arial" w:cs="Arial" w:eastAsia="Arial" w:hAnsi="Arial"/>
          <w:sz w:val="18"/>
          <w:szCs w:val="18"/>
          <w:color w:val="auto"/>
        </w:rPr>
      </w:pPr>
    </w:p>
    <w:p>
      <w:pPr>
        <w:ind w:left="-20" w:right="220" w:firstLine="980"/>
        <w:spacing w:after="0" w:line="277" w:lineRule="auto"/>
        <w:tabs>
          <w:tab w:leader="none" w:pos="1477"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Executive as a result of this Agreement;</w:t>
      </w:r>
    </w:p>
    <w:p>
      <w:pPr>
        <w:spacing w:after="0" w:line="170" w:lineRule="exact"/>
        <w:rPr>
          <w:rFonts w:ascii="Arial" w:cs="Arial" w:eastAsia="Arial" w:hAnsi="Arial"/>
          <w:sz w:val="18"/>
          <w:szCs w:val="18"/>
          <w:color w:val="auto"/>
        </w:rPr>
      </w:pPr>
    </w:p>
    <w:p>
      <w:pPr>
        <w:ind w:left="-20" w:right="240" w:firstLine="980"/>
        <w:spacing w:after="0" w:line="342" w:lineRule="auto"/>
        <w:tabs>
          <w:tab w:leader="none" w:pos="1477"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and all claims arising out of the wage and hour and wage payment laws and regulations of the state or states in which Executive has provided service to the Company or any of its affiliates (including without limitation the Massachusetts Payment of Wages Law);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7" w:name="page8"/>
    <w:bookmarkEnd w:id="7"/>
    <w:p>
      <w:pPr>
        <w:ind w:left="1460" w:hanging="480"/>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Executive agrees that the release set forth in this section shall be and remain in effect in all respects as a complete general release as to the matters released. Notwithstanding anything to the contrary contained in this Agreement,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of the Effective Date, pursuant to written terms of any employee benefit plan of the Company or its affiliates and Executive’s right under applicable law, claims for reimbursement of approved business expenses incurred prior to the Effective Date, rights to vested equity awards under any applicable award agreement issued pursuant to the Company’s 2016 Incentive Award Plan, rights or claims Executive may have as a shareholder of the Company, and any Retained Claims. This release further does not release claims for breach of Section 3(c), Section 4(b) or Section 4(c) of the Employment Agreement or claims arising after the Effective Date.</w:t>
      </w:r>
    </w:p>
    <w:p>
      <w:pPr>
        <w:spacing w:after="0" w:line="176" w:lineRule="exact"/>
        <w:rPr>
          <w:sz w:val="20"/>
          <w:szCs w:val="20"/>
          <w:color w:val="auto"/>
        </w:rPr>
      </w:pPr>
    </w:p>
    <w:p>
      <w:pPr>
        <w:ind w:right="20" w:firstLine="656"/>
        <w:spacing w:after="0" w:line="257" w:lineRule="auto"/>
        <w:tabs>
          <w:tab w:leader="none" w:pos="109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Executive agrees to continue to abide by the terms of the RCA, which are hereby incorporated by reference into this Agreement. Executive acknowledges that Executive’s obligations under the RCA will survive Executive’s separation of employment with the Company for the periods set forth in the RCA. Notwithstanding the foregoing, the Company acknowledges and agrees that Executive’s acceptance of an offer from, and employment with, SOBI or any of its affiliates as contemplated in Section 2(b) of this Agreement, will not be deemed a breach of the non-competition covenant set forth in Section 6 of the RCA.</w:t>
      </w:r>
    </w:p>
    <w:p>
      <w:pPr>
        <w:spacing w:after="0" w:line="187" w:lineRule="exact"/>
        <w:rPr>
          <w:rFonts w:ascii="Arial" w:cs="Arial" w:eastAsia="Arial" w:hAnsi="Arial"/>
          <w:sz w:val="18"/>
          <w:szCs w:val="18"/>
          <w:color w:val="auto"/>
        </w:rPr>
      </w:pPr>
    </w:p>
    <w:p>
      <w:pPr>
        <w:ind w:firstLine="656"/>
        <w:spacing w:after="0" w:line="275" w:lineRule="auto"/>
        <w:tabs>
          <w:tab w:leader="none" w:pos="1098"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Mutual Non-Disparagement</w:t>
      </w:r>
      <w:r>
        <w:rPr>
          <w:rFonts w:ascii="Arial" w:cs="Arial" w:eastAsia="Arial" w:hAnsi="Arial"/>
          <w:sz w:val="17"/>
          <w:szCs w:val="17"/>
          <w:color w:val="auto"/>
        </w:rPr>
        <w:t>. Executive agrees that, at all times, Executive shall refrain from making any negative, critical, or disparaging statements, implied or express, concerning the Company, its affiliates and their respective directors, officers, agents, or employees. The Company agrees that it shall instruct the members of the Board to refrain from making any negative, critical, or disparaging statements, implied or express, concerning Executive. However, nothing in this Section 5 prohibits either Party’s disclosure of information that is required to be disclosed to enforce this Agreement or to comply with applicable law or order of a court or other regulatory body of competent jurisdiction.</w:t>
      </w:r>
    </w:p>
    <w:p>
      <w:pPr>
        <w:spacing w:after="0" w:line="176" w:lineRule="exact"/>
        <w:rPr>
          <w:rFonts w:ascii="Arial" w:cs="Arial" w:eastAsia="Arial" w:hAnsi="Arial"/>
          <w:sz w:val="17"/>
          <w:szCs w:val="17"/>
          <w:color w:val="auto"/>
        </w:rPr>
      </w:pPr>
    </w:p>
    <w:p>
      <w:pPr>
        <w:ind w:right="20" w:firstLine="656"/>
        <w:spacing w:after="0" w:line="269" w:lineRule="auto"/>
        <w:tabs>
          <w:tab w:leader="none" w:pos="1098"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Trade Secrets</w:t>
      </w:r>
      <w:r>
        <w:rPr>
          <w:rFonts w:ascii="Arial" w:cs="Arial" w:eastAsia="Arial" w:hAnsi="Arial"/>
          <w:sz w:val="17"/>
          <w:szCs w:val="17"/>
          <w:color w:val="auto"/>
        </w:rPr>
        <w:t>. In accordance with 18 U.S.C. § 1833, notwithstanding anything to the contrary in this Agreement, the Employment Agreement or the RCA (together, the “</w:t>
      </w:r>
      <w:r>
        <w:rPr>
          <w:rFonts w:ascii="Arial" w:cs="Arial" w:eastAsia="Arial" w:hAnsi="Arial"/>
          <w:sz w:val="17"/>
          <w:szCs w:val="17"/>
          <w:u w:val="single" w:color="auto"/>
          <w:color w:val="auto"/>
        </w:rPr>
        <w:t>Subject Documents</w:t>
      </w:r>
      <w:r>
        <w:rPr>
          <w:rFonts w:ascii="Arial" w:cs="Arial" w:eastAsia="Arial" w:hAnsi="Arial"/>
          <w:sz w:val="17"/>
          <w:szCs w:val="17"/>
          <w:color w:val="auto"/>
        </w:rPr>
        <w:t>”): (i) Executive shall not be in breach of any Subject Document,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the Parties agree that nothing in the Subject Documents prohibits Executive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 w:name="page9"/>
    <w:bookmarkEnd w:id="8"/>
    <w:p>
      <w:pPr>
        <w:ind w:firstLine="656"/>
        <w:spacing w:after="0" w:line="263" w:lineRule="auto"/>
        <w:tabs>
          <w:tab w:leader="none" w:pos="109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3"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 Oral Modification</w:t>
      </w:r>
      <w:r>
        <w:rPr>
          <w:rFonts w:ascii="Arial" w:cs="Arial" w:eastAsia="Arial" w:hAnsi="Arial"/>
          <w:sz w:val="17"/>
          <w:szCs w:val="17"/>
          <w:color w:val="auto"/>
        </w:rPr>
        <w:t>. This Agreement may only be amended in a writing signed by Executive and a duly authorized officer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subject to the provisions of Sections 9(a) and 9(c) of the Employment Agreement.</w:t>
      </w:r>
    </w:p>
    <w:p>
      <w:pPr>
        <w:spacing w:after="0" w:line="225" w:lineRule="exact"/>
        <w:rPr>
          <w:rFonts w:ascii="Arial" w:cs="Arial" w:eastAsia="Arial" w:hAnsi="Arial"/>
          <w:sz w:val="18"/>
          <w:szCs w:val="18"/>
          <w:color w:val="auto"/>
        </w:rPr>
      </w:pPr>
    </w:p>
    <w:p>
      <w:pPr>
        <w:ind w:right="320" w:firstLine="656"/>
        <w:spacing w:after="0" w:line="254" w:lineRule="auto"/>
        <w:tabs>
          <w:tab w:leader="none" w:pos="109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WITNESS WHEREOF, the Parties have executed this Agreement on the respective dates set forth below.</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2820" w:type="dxa"/>
            <w:vAlign w:val="bottom"/>
            <w:gridSpan w:val="2"/>
          </w:tcPr>
          <w:p>
            <w:pPr>
              <w:spacing w:after="0"/>
              <w:rPr>
                <w:sz w:val="20"/>
                <w:szCs w:val="20"/>
                <w:color w:val="auto"/>
              </w:rPr>
            </w:pPr>
            <w:r>
              <w:rPr>
                <w:rFonts w:ascii="Arial" w:cs="Arial" w:eastAsia="Arial" w:hAnsi="Arial"/>
                <w:sz w:val="18"/>
                <w:szCs w:val="18"/>
                <w:color w:val="auto"/>
              </w:rPr>
              <w:t>Dated: 6/25/2020</w:t>
            </w:r>
          </w:p>
        </w:tc>
        <w:tc>
          <w:tcPr>
            <w:tcW w:w="28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 Stephen Smolinski</w:t>
            </w:r>
          </w:p>
        </w:tc>
      </w:tr>
      <w:tr>
        <w:trPr>
          <w:trHeight w:val="224"/>
        </w:trPr>
        <w:tc>
          <w:tcPr>
            <w:tcW w:w="58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2820" w:type="dxa"/>
            <w:vAlign w:val="bottom"/>
          </w:tcPr>
          <w:p>
            <w:pPr>
              <w:spacing w:after="0"/>
              <w:rPr>
                <w:sz w:val="19"/>
                <w:szCs w:val="19"/>
                <w:color w:val="auto"/>
              </w:rPr>
            </w:pPr>
          </w:p>
        </w:tc>
        <w:tc>
          <w:tcPr>
            <w:tcW w:w="5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STEPHEN SMOLINSKI</w:t>
            </w:r>
          </w:p>
        </w:tc>
      </w:tr>
      <w:tr>
        <w:trPr>
          <w:trHeight w:val="418"/>
        </w:trPr>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SELECTA BIOSCIENCES, INC.</w:t>
            </w:r>
          </w:p>
        </w:tc>
      </w:tr>
      <w:tr>
        <w:trPr>
          <w:trHeight w:val="432"/>
        </w:trPr>
        <w:tc>
          <w:tcPr>
            <w:tcW w:w="2820" w:type="dxa"/>
            <w:vAlign w:val="bottom"/>
            <w:gridSpan w:val="2"/>
          </w:tcPr>
          <w:p>
            <w:pPr>
              <w:spacing w:after="0"/>
              <w:rPr>
                <w:sz w:val="20"/>
                <w:szCs w:val="20"/>
                <w:color w:val="auto"/>
              </w:rPr>
            </w:pPr>
            <w:r>
              <w:rPr>
                <w:rFonts w:ascii="Arial" w:cs="Arial" w:eastAsia="Arial" w:hAnsi="Arial"/>
                <w:sz w:val="18"/>
                <w:szCs w:val="18"/>
                <w:color w:val="auto"/>
              </w:rPr>
              <w:t>Dated: 6/25/2020</w:t>
            </w:r>
          </w:p>
        </w:tc>
        <w:tc>
          <w:tcPr>
            <w:tcW w:w="28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 Carsten Brunn</w:t>
            </w:r>
          </w:p>
        </w:tc>
      </w:tr>
      <w:tr>
        <w:trPr>
          <w:trHeight w:val="195"/>
        </w:trPr>
        <w:tc>
          <w:tcPr>
            <w:tcW w:w="58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Carsten Brunn</w:t>
            </w:r>
          </w:p>
        </w:tc>
      </w:tr>
      <w:tr>
        <w:trPr>
          <w:trHeight w:val="230"/>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CEO</w:t>
            </w:r>
          </w:p>
        </w:tc>
      </w:tr>
      <w:tr>
        <w:trPr>
          <w:trHeight w:val="648"/>
        </w:trPr>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6</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Addendum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of Claims</w:t>
      </w:r>
    </w:p>
    <w:p>
      <w:pPr>
        <w:spacing w:after="0" w:line="229" w:lineRule="exact"/>
        <w:rPr>
          <w:sz w:val="20"/>
          <w:szCs w:val="20"/>
          <w:color w:val="auto"/>
        </w:rPr>
      </w:pPr>
    </w:p>
    <w:p>
      <w:pPr>
        <w:ind w:right="900" w:firstLine="648"/>
        <w:spacing w:after="0" w:line="342" w:lineRule="auto"/>
        <w:rPr>
          <w:sz w:val="20"/>
          <w:szCs w:val="20"/>
          <w:color w:val="auto"/>
        </w:rPr>
      </w:pPr>
      <w:r>
        <w:rPr>
          <w:rFonts w:ascii="Arial" w:cs="Arial" w:eastAsia="Arial" w:hAnsi="Arial"/>
          <w:sz w:val="16"/>
          <w:szCs w:val="16"/>
          <w:color w:val="auto"/>
        </w:rPr>
        <w:t>Reference is made to the Transition Agreement and Release, dated as of June__, 2020, to which this Release of Claims is attached (the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but not defined in this Release of Claims will have the meanings given to them in the Agreement.</w:t>
      </w:r>
    </w:p>
    <w:p>
      <w:pPr>
        <w:spacing w:after="0" w:line="12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For and in consideration of the payment to me of the benefits described in Section 2(a) of the Agreement, I, on my own behalf and on behalf of the Employee Parties, hereby and forever release the Releasees from any matters of any kind, whether presently known or unknown, suspected or unsuspected, that I may possess against any of the Releasees arising from any omissions, acts, facts, or damages that have occurred up until and including the date I execute this Release of Claims, provided that this Release of Claims does not release claims that cannot be released as a matter of law, including, but not limited to, my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my right to 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my release of claims herein bars me from recovering monetary or other individual relief from the Company or any Releasee in connection with any charge, investigation or proceeding, or any related complaint or lawsuit, filed by me or by anyone else on my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of the Separation Date, pursuant to written terms of any employee benefit plan of the Company or its affiliates and my rights under applicable law, claims for reimbursement of approved business expenses incurred prior to the Separation Date, rights to vested equity awards under any applicable award agreement issued pursuant to the Company’s 2016 Incentive Award Plan, rights or claims I may have as a shareholder of the Company, and any Retained Claims (collectively, the “</w:t>
      </w:r>
      <w:r>
        <w:rPr>
          <w:rFonts w:ascii="Arial" w:cs="Arial" w:eastAsia="Arial" w:hAnsi="Arial"/>
          <w:sz w:val="16"/>
          <w:szCs w:val="16"/>
          <w:u w:val="single" w:color="auto"/>
          <w:color w:val="auto"/>
        </w:rPr>
        <w:t>Executive’s Retained Claims</w:t>
      </w:r>
      <w:r>
        <w:rPr>
          <w:rFonts w:ascii="Arial" w:cs="Arial" w:eastAsia="Arial" w:hAnsi="Arial"/>
          <w:sz w:val="16"/>
          <w:szCs w:val="16"/>
          <w:color w:val="auto"/>
        </w:rPr>
        <w:t>”).</w:t>
      </w:r>
    </w:p>
    <w:p>
      <w:pPr>
        <w:spacing w:after="0" w:line="17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u w:val="single" w:color="auto"/>
          <w:color w:val="auto"/>
        </w:rPr>
        <w:t>Acknowledgement of Waiver of Claims Under ADEA</w:t>
      </w:r>
      <w:r>
        <w:rPr>
          <w:rFonts w:ascii="Arial" w:cs="Arial" w:eastAsia="Arial" w:hAnsi="Arial"/>
          <w:sz w:val="17"/>
          <w:szCs w:val="17"/>
          <w:color w:val="auto"/>
        </w:rPr>
        <w:t>. I have read this Release of Claims carefully and have been advised to consult with any attorney and any other advisors of my choice prior to executing this Release of Claims, and I fully understand that by signing below I am voluntarily giving up any right which I may have to sue or bring any claims against the Releasees other than the Executive’s Retained Claims. I understand and acknowledge that I am waiving and releasing any rights that I may have under the Age Discrimination in Employment Act of 1967 (the “</w:t>
      </w:r>
      <w:r>
        <w:rPr>
          <w:rFonts w:ascii="Arial" w:cs="Arial" w:eastAsia="Arial" w:hAnsi="Arial"/>
          <w:sz w:val="17"/>
          <w:szCs w:val="17"/>
          <w:u w:val="single" w:color="auto"/>
          <w:color w:val="auto"/>
        </w:rPr>
        <w:t>ADEA</w:t>
      </w:r>
      <w:r>
        <w:rPr>
          <w:rFonts w:ascii="Arial" w:cs="Arial" w:eastAsia="Arial" w:hAnsi="Arial"/>
          <w:sz w:val="17"/>
          <w:szCs w:val="17"/>
          <w:color w:val="auto"/>
        </w:rPr>
        <w:t>”), and that this waiver and release is knowing and voluntary. I understand and agree that this Release of Claims does not apply to any rights or claims that may arise under the ADEA after the date I sign this Release of Claims. I understand and acknowledge that the consideration given for this Release of Claims is in addition to anything of value to which I was already entitled. I further understand and acknowledge that I have been advised by this writing that: (a) I have 45 days within which to consider this Release of Claims and the Demographic Notice provided herewith and I expressly agree that such time period to review these documents shall not be extended upon any material or immaterial changes to this Release of Claims; (b) I have 7 business days following my execution of this Release of Claims to revoke this Release of Claims by delivering written notice to the Company’s Vice President, Human Resources; (c) this Release of Claims will not be effective until after the foregoing revocation period has expired; and (d) nothing in this Release of Claims prevents or precludes me from challenging or seeking a determination in good faith of the validity of this waiver under the ADEA, nor does it impose any condition precedent, penalties, or costs for doing so, unless specifically authorized by federal law. In the event that I sign this Release of Claims and return it to the Company in less than the 45 day period identified above, I hereby acknowledge that I have freely and voluntarily chosen to waive the time period allotted for considering this Release of Claims. I have not been forced or pressured in any manner to sign this Release of Claims, and I agree to all of its terms voluntarily.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ind w:firstLine="648"/>
        <w:spacing w:after="0" w:line="263" w:lineRule="auto"/>
        <w:rPr>
          <w:sz w:val="20"/>
          <w:szCs w:val="20"/>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I acknowledge and agree that I have 7 business days after I sign this Release of Claims to revoke it, and this Release of Claims will become effective on the 8th business day after I sign this Release of Claims, so long as it has been signed by the Parties and has not been revoked by either Party before such date.</w:t>
      </w:r>
    </w:p>
    <w:p>
      <w:pPr>
        <w:spacing w:after="0" w:line="18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u w:val="single" w:color="auto"/>
          <w:color w:val="auto"/>
        </w:rPr>
        <w:t>Voluntary Execution of Release of Claims</w:t>
      </w:r>
      <w:r>
        <w:rPr>
          <w:rFonts w:ascii="Arial" w:cs="Arial" w:eastAsia="Arial" w:hAnsi="Arial"/>
          <w:sz w:val="16"/>
          <w:szCs w:val="16"/>
          <w:color w:val="auto"/>
        </w:rPr>
        <w:t>. I understand and agree that I executed this Release of Claims voluntarily, without any duress or undue influence on the part or behalf of the Company or any third party, with the full intent of releasing all of my claims against the Company and any of the other Releasees. I acknowledge that: (a) I have read this Release of Claims; (b) I have not relied upon any representations or statements made by the Company that are not specifically set forth in this Release of Claims; (c) I have been represented in the preparation, negotiation, and execution of this Release of Claims by legal counsel of my own choice or have elected not to retain legal counsel; (d) I understand the terms and consequences of this Release of Claims and of the releases it contains; and (e) I am fully aware of the legal and binding effect of this Release of Claims.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Release of Claims is final and binding and may only be amended in a writing signed by me and a duly authorized officer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subject to the provisions of Sections 9(a) and 9(c) of the Employment Agreement.</w:t>
      </w:r>
    </w:p>
    <w:p>
      <w:pPr>
        <w:spacing w:after="0" w:line="21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For the avoidance of doubt, this Release of Claims does not replace or in any way limit the general release and waiver in Section 3 of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___________ __,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STEPHEN SMOLINSKI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Agreement and Release</w:t>
      </w:r>
    </w:p>
    <w:p>
      <w:pPr>
        <w:spacing w:after="0" w:line="22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This Transition Agreement and Release (“</w:t>
      </w:r>
      <w:r>
        <w:rPr>
          <w:rFonts w:ascii="Arial" w:cs="Arial" w:eastAsia="Arial" w:hAnsi="Arial"/>
          <w:sz w:val="16"/>
          <w:szCs w:val="16"/>
          <w:u w:val="single" w:color="auto"/>
          <w:color w:val="auto"/>
        </w:rPr>
        <w:t>Agreement</w:t>
      </w:r>
      <w:r>
        <w:rPr>
          <w:rFonts w:ascii="Arial" w:cs="Arial" w:eastAsia="Arial" w:hAnsi="Arial"/>
          <w:sz w:val="16"/>
          <w:szCs w:val="16"/>
          <w:color w:val="auto"/>
        </w:rPr>
        <w:t>”) is made by and between ELONA KOGAN, J.D. (“</w:t>
      </w:r>
      <w:r>
        <w:rPr>
          <w:rFonts w:ascii="Arial" w:cs="Arial" w:eastAsia="Arial" w:hAnsi="Arial"/>
          <w:sz w:val="16"/>
          <w:szCs w:val="16"/>
          <w:u w:val="single" w:color="auto"/>
          <w:color w:val="auto"/>
        </w:rPr>
        <w:t>Executive</w:t>
      </w:r>
      <w:r>
        <w:rPr>
          <w:rFonts w:ascii="Arial" w:cs="Arial" w:eastAsia="Arial" w:hAnsi="Arial"/>
          <w:sz w:val="16"/>
          <w:szCs w:val="16"/>
          <w:color w:val="auto"/>
        </w:rPr>
        <w:t>”) and SELECTA BIOSCIENCES, INC. (the “</w:t>
      </w:r>
      <w:r>
        <w:rPr>
          <w:rFonts w:ascii="Arial" w:cs="Arial" w:eastAsia="Arial" w:hAnsi="Arial"/>
          <w:sz w:val="16"/>
          <w:szCs w:val="16"/>
          <w:u w:val="single" w:color="auto"/>
          <w:color w:val="auto"/>
        </w:rPr>
        <w:t>Company</w:t>
      </w:r>
      <w:r>
        <w:rPr>
          <w:rFonts w:ascii="Arial" w:cs="Arial" w:eastAsia="Arial" w:hAnsi="Arial"/>
          <w:sz w:val="16"/>
          <w:szCs w:val="16"/>
          <w:color w:val="auto"/>
        </w:rPr>
        <w:t>”) (collectively referred to as the “</w:t>
      </w:r>
      <w:r>
        <w:rPr>
          <w:rFonts w:ascii="Arial" w:cs="Arial" w:eastAsia="Arial" w:hAnsi="Arial"/>
          <w:sz w:val="16"/>
          <w:szCs w:val="16"/>
          <w:u w:val="single" w:color="auto"/>
          <w:color w:val="auto"/>
        </w:rPr>
        <w:t>Parties</w:t>
      </w:r>
      <w:r>
        <w:rPr>
          <w:rFonts w:ascii="Arial" w:cs="Arial" w:eastAsia="Arial" w:hAnsi="Arial"/>
          <w:sz w:val="16"/>
          <w:szCs w:val="16"/>
          <w:color w:val="auto"/>
        </w:rPr>
        <w:t>” or individually referred to as a “</w:t>
      </w:r>
      <w:r>
        <w:rPr>
          <w:rFonts w:ascii="Arial" w:cs="Arial" w:eastAsia="Arial" w:hAnsi="Arial"/>
          <w:sz w:val="16"/>
          <w:szCs w:val="16"/>
          <w:u w:val="single" w:color="auto"/>
          <w:color w:val="auto"/>
        </w:rPr>
        <w:t>Party</w:t>
      </w:r>
      <w:r>
        <w:rPr>
          <w:rFonts w:ascii="Arial" w:cs="Arial" w:eastAsia="Arial" w:hAnsi="Arial"/>
          <w:sz w:val="16"/>
          <w:szCs w:val="16"/>
          <w:color w:val="auto"/>
        </w:rPr>
        <w:t>”) as of June 25, 2020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Capitalized terms used but not defined in this Agreement shall have the meanings set forth in the Employment Agreement (as defined below).</w:t>
      </w:r>
    </w:p>
    <w:p>
      <w:pPr>
        <w:spacing w:after="0" w:line="14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WHEREAS, the Parties have previously entered into that certain Employment Agreement, dated as of March 19, 2019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that certain Employee Nondisclosure, Noncompetition and Assignment of Intellectual Property Agreement, dated as of March 20, 2019 (the “</w:t>
      </w:r>
      <w:r>
        <w:rPr>
          <w:rFonts w:ascii="Arial" w:cs="Arial" w:eastAsia="Arial" w:hAnsi="Arial"/>
          <w:sz w:val="18"/>
          <w:szCs w:val="18"/>
          <w:u w:val="single" w:color="auto"/>
          <w:color w:val="auto"/>
        </w:rPr>
        <w:t>RCA</w:t>
      </w:r>
      <w:r>
        <w:rPr>
          <w:rFonts w:ascii="Arial" w:cs="Arial" w:eastAsia="Arial" w:hAnsi="Arial"/>
          <w:sz w:val="18"/>
          <w:szCs w:val="18"/>
          <w:color w:val="auto"/>
        </w:rPr>
        <w:t>”); and</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WHEREAS, in connection with Executive’s separation of employment with the Company,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w:t>
      </w:r>
      <w:r>
        <w:rPr>
          <w:rFonts w:ascii="Arial" w:cs="Arial" w:eastAsia="Arial" w:hAnsi="Arial"/>
          <w:sz w:val="17"/>
          <w:szCs w:val="17"/>
          <w:u w:val="single" w:color="auto"/>
          <w:color w:val="auto"/>
        </w:rPr>
        <w:t>Retained Claims</w:t>
      </w:r>
      <w:r>
        <w:rPr>
          <w:rFonts w:ascii="Arial" w:cs="Arial" w:eastAsia="Arial" w:hAnsi="Arial"/>
          <w:sz w:val="17"/>
          <w:szCs w:val="17"/>
          <w:color w:val="auto"/>
        </w:rPr>
        <w:t>”).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promises made herein, the Company and Executive hereby agree as follows:</w:t>
      </w:r>
    </w:p>
    <w:p>
      <w:pPr>
        <w:spacing w:after="0" w:line="225" w:lineRule="exact"/>
        <w:rPr>
          <w:sz w:val="20"/>
          <w:szCs w:val="20"/>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Separation; Services;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980"/>
        <w:spacing w:after="0" w:line="269" w:lineRule="auto"/>
        <w:tabs>
          <w:tab w:leader="none" w:pos="1532" w:val="left"/>
        </w:tabs>
        <w:numPr>
          <w:ilvl w:val="1"/>
          <w:numId w:val="9"/>
        </w:numPr>
        <w:rPr>
          <w:rFonts w:ascii="Arial" w:cs="Arial" w:eastAsia="Arial" w:hAnsi="Arial"/>
          <w:sz w:val="17"/>
          <w:szCs w:val="17"/>
          <w:color w:val="auto"/>
        </w:rPr>
      </w:pPr>
      <w:r>
        <w:rPr>
          <w:rFonts w:ascii="Arial" w:cs="Arial" w:eastAsia="Arial" w:hAnsi="Arial"/>
          <w:sz w:val="17"/>
          <w:szCs w:val="17"/>
          <w:color w:val="auto"/>
        </w:rPr>
        <w:t>Executive’s employment with the Company and its subsidiaries will end on (i) August 18, 2020 or (ii) such earlier date as selected by the Company in accordance with the terms of this Agreement (the actual date of Executive’s separation of employment, the “</w:t>
      </w:r>
      <w:r>
        <w:rPr>
          <w:rFonts w:ascii="Arial" w:cs="Arial" w:eastAsia="Arial" w:hAnsi="Arial"/>
          <w:sz w:val="17"/>
          <w:szCs w:val="17"/>
          <w:u w:val="single" w:color="auto"/>
          <w:color w:val="auto"/>
        </w:rPr>
        <w:t>Separation Date</w:t>
      </w:r>
      <w:r>
        <w:rPr>
          <w:rFonts w:ascii="Arial" w:cs="Arial" w:eastAsia="Arial" w:hAnsi="Arial"/>
          <w:sz w:val="17"/>
          <w:szCs w:val="17"/>
          <w:color w:val="auto"/>
        </w:rPr>
        <w:t>”), provided that if the Company selects a Separation Date that is earlier than August 18, 2020, the Company will pay Executive in Executive’s final paycheck the base salary Executive would have earned during the period commencing on the Separation Date selected by the Company and ending August 18, 2020. As of the Separation Date, Executive will cease to serve as an employee, director, officer or in any other position with the Company and its subsidiaries and will cease to exercise or convey any authority (actual, apparent or otherwise) on behalf of the Company and its subsidiaries. During the period commencing on the Effective Date and ending on the Separation Date (the “</w:t>
      </w:r>
      <w:r>
        <w:rPr>
          <w:rFonts w:ascii="Arial" w:cs="Arial" w:eastAsia="Arial" w:hAnsi="Arial"/>
          <w:sz w:val="17"/>
          <w:szCs w:val="17"/>
          <w:u w:val="single" w:color="auto"/>
          <w:color w:val="auto"/>
        </w:rPr>
        <w:t>Transition Period</w:t>
      </w:r>
      <w:r>
        <w:rPr>
          <w:rFonts w:ascii="Arial" w:cs="Arial" w:eastAsia="Arial" w:hAnsi="Arial"/>
          <w:sz w:val="17"/>
          <w:szCs w:val="17"/>
          <w:color w:val="auto"/>
        </w:rPr>
        <w:t>”), Executive will continue performing substantially the same duties and responsibilities as Executive has historically provided to the Company or as are otherwise reasonably requested by the Company from time to time, including to assist in the orderly transition of Executive’s duties to a successor. Executive will perform Executive’s duties during the Transition Period in substantially the same manner and with substantially the same effort, time commitment and level of care as Executive has historically performed duties for the Company prior to the Effective Date.</w:t>
      </w:r>
    </w:p>
    <w:p>
      <w:pPr>
        <w:spacing w:after="0" w:line="181" w:lineRule="exact"/>
        <w:rPr>
          <w:rFonts w:ascii="Arial" w:cs="Arial" w:eastAsia="Arial" w:hAnsi="Arial"/>
          <w:sz w:val="17"/>
          <w:szCs w:val="17"/>
          <w:color w:val="auto"/>
        </w:rPr>
      </w:pPr>
    </w:p>
    <w:p>
      <w:pPr>
        <w:ind w:right="60" w:firstLine="980"/>
        <w:spacing w:after="0" w:line="301" w:lineRule="auto"/>
        <w:tabs>
          <w:tab w:leader="none" w:pos="1497" w:val="left"/>
        </w:tabs>
        <w:numPr>
          <w:ilvl w:val="1"/>
          <w:numId w:val="9"/>
        </w:numPr>
        <w:rPr>
          <w:rFonts w:ascii="Arial" w:cs="Arial" w:eastAsia="Arial" w:hAnsi="Arial"/>
          <w:sz w:val="16"/>
          <w:szCs w:val="16"/>
          <w:color w:val="auto"/>
        </w:rPr>
      </w:pPr>
      <w:r>
        <w:rPr>
          <w:rFonts w:ascii="Arial" w:cs="Arial" w:eastAsia="Arial" w:hAnsi="Arial"/>
          <w:sz w:val="16"/>
          <w:szCs w:val="16"/>
          <w:color w:val="auto"/>
        </w:rPr>
        <w:t>During the Transition Period, (i) Executive will continue receiving Executive’s Annual Base Salary at the same rate that applies on the Effective Date, (ii) any equity awards of the Company held by Executive as of the Effective Date will continue to vest and, if applicable, become exercisable in accordance with their terms and (iii) Executive will remain eligible to participate in the Company’s employee benefit plans to the same extent as Executive is eligible as of the Effective Date, subject to the terms and conditions of such employee benefit plans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left="-20" w:firstLine="980"/>
        <w:spacing w:after="0" w:line="259" w:lineRule="auto"/>
        <w:tabs>
          <w:tab w:leader="none" w:pos="15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Executive’s employment with the Company will at all times remain terminable by either Executive or the Company at will and nothing in this Agreement confers upon Executive any right to continue to serve as an employee or other service provider of the Company or interferes with or restricts the rights of the Company to discharge or terminate the services of Executive at any time for any or no reason, with or without Cause, subject to the provisions of Section 2.</w:t>
      </w:r>
    </w:p>
    <w:p>
      <w:pPr>
        <w:spacing w:after="0" w:line="186" w:lineRule="exact"/>
        <w:rPr>
          <w:rFonts w:ascii="Arial" w:cs="Arial" w:eastAsia="Arial" w:hAnsi="Arial"/>
          <w:sz w:val="18"/>
          <w:szCs w:val="18"/>
          <w:color w:val="auto"/>
        </w:rPr>
      </w:pPr>
    </w:p>
    <w:p>
      <w:pPr>
        <w:ind w:left="1220" w:hanging="584"/>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Severance Payments; Salary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20" w:firstLine="980"/>
        <w:spacing w:after="0" w:line="255" w:lineRule="auto"/>
        <w:tabs>
          <w:tab w:leader="none" w:pos="14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Executive remains continuously employed by the Company through August 18, 2020 or if the Company terminates Executive’s employment on or prior to August 18, 2020 for reasons other than Cause or material breach of this Agreement, then subject to Executive’s continued compliance with the RCA and Executive’s execution and delivery to the Company of the release of claims attached hereto as Addendum 1 (the “</w:t>
      </w:r>
      <w:r>
        <w:rPr>
          <w:rFonts w:ascii="Arial" w:cs="Arial" w:eastAsia="Arial" w:hAnsi="Arial"/>
          <w:sz w:val="18"/>
          <w:szCs w:val="18"/>
          <w:u w:val="single" w:color="auto"/>
          <w:color w:val="auto"/>
        </w:rPr>
        <w:t>Bring-Down Release</w:t>
      </w:r>
      <w:r>
        <w:rPr>
          <w:rFonts w:ascii="Arial" w:cs="Arial" w:eastAsia="Arial" w:hAnsi="Arial"/>
          <w:sz w:val="18"/>
          <w:szCs w:val="18"/>
          <w:color w:val="auto"/>
        </w:rPr>
        <w:t>”) before the later of 30 days following the Separation Date and 45 days following the date this Agreement was first provided to Executive (and the Bring-Down Release becoming effective and irrevocable), Executive will be entitled to the severance payments and benefits provided in Sections 2(a)(i) – (iii).</w:t>
      </w:r>
    </w:p>
    <w:p>
      <w:pPr>
        <w:spacing w:after="0" w:line="192" w:lineRule="exact"/>
        <w:rPr>
          <w:rFonts w:ascii="Arial" w:cs="Arial" w:eastAsia="Arial" w:hAnsi="Arial"/>
          <w:sz w:val="18"/>
          <w:szCs w:val="18"/>
          <w:color w:val="auto"/>
        </w:rPr>
      </w:pPr>
    </w:p>
    <w:p>
      <w:pPr>
        <w:ind w:left="-20" w:right="20" w:firstLine="1304"/>
        <w:spacing w:after="0" w:line="255" w:lineRule="auto"/>
        <w:tabs>
          <w:tab w:leader="none" w:pos="1757"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Company will pay or provide to Executive the severance payments and benefits described in Section 4(b) of the Employment Agreement (the “</w:t>
      </w:r>
      <w:r>
        <w:rPr>
          <w:rFonts w:ascii="Arial" w:cs="Arial" w:eastAsia="Arial" w:hAnsi="Arial"/>
          <w:sz w:val="18"/>
          <w:szCs w:val="18"/>
          <w:u w:val="single" w:color="auto"/>
          <w:color w:val="auto"/>
        </w:rPr>
        <w:t>Severance Payments</w:t>
      </w:r>
      <w:r>
        <w:rPr>
          <w:rFonts w:ascii="Arial" w:cs="Arial" w:eastAsia="Arial" w:hAnsi="Arial"/>
          <w:sz w:val="18"/>
          <w:szCs w:val="18"/>
          <w:color w:val="auto"/>
        </w:rPr>
        <w:t>”), payable at the times set forth in the Employment Agreement; provided that (A) “Payment Date” as used in the Employment Agreement shall mean the next regular payday following the effective date of the Bring-Down Release and (B) the period for COBRA-related severance benefits in Section 4(b)(iii) of the Employment Agreement will end upon the earliest of (x) December 31, 2021, (y) the date that Executive and/or Executive’s covered dependents become no longer eligible for COBRA or (z) the date Executive becomes eligible to receive medical, dental or vision coverage as applicable, from a subsequent employer;</w:t>
      </w:r>
    </w:p>
    <w:p>
      <w:pPr>
        <w:spacing w:after="0" w:line="192" w:lineRule="exact"/>
        <w:rPr>
          <w:rFonts w:ascii="Arial" w:cs="Arial" w:eastAsia="Arial" w:hAnsi="Arial"/>
          <w:sz w:val="18"/>
          <w:szCs w:val="18"/>
          <w:color w:val="auto"/>
        </w:rPr>
      </w:pPr>
    </w:p>
    <w:p>
      <w:pPr>
        <w:ind w:left="-20" w:firstLine="1304"/>
        <w:spacing w:after="0" w:line="257" w:lineRule="auto"/>
        <w:tabs>
          <w:tab w:leader="none" w:pos="1811" w:val="left"/>
        </w:tabs>
        <w:numPr>
          <w:ilvl w:val="2"/>
          <w:numId w:val="11"/>
        </w:numPr>
        <w:rPr>
          <w:rFonts w:ascii="Arial" w:cs="Arial" w:eastAsia="Arial" w:hAnsi="Arial"/>
          <w:sz w:val="18"/>
          <w:szCs w:val="18"/>
          <w:color w:val="auto"/>
        </w:rPr>
      </w:pPr>
      <w:r>
        <w:rPr>
          <w:rFonts w:ascii="Arial" w:cs="Arial" w:eastAsia="Arial" w:hAnsi="Arial"/>
          <w:sz w:val="18"/>
          <w:szCs w:val="18"/>
          <w:color w:val="auto"/>
        </w:rPr>
        <w:t>Each vested and exercisable option to purchase shares of the Company’s common stock held by Executive as of the Separation Date (each, a “</w:t>
      </w:r>
      <w:r>
        <w:rPr>
          <w:rFonts w:ascii="Arial" w:cs="Arial" w:eastAsia="Arial" w:hAnsi="Arial"/>
          <w:sz w:val="18"/>
          <w:szCs w:val="18"/>
          <w:u w:val="single" w:color="auto"/>
          <w:color w:val="auto"/>
        </w:rPr>
        <w:t>Vested Option</w:t>
      </w:r>
      <w:r>
        <w:rPr>
          <w:rFonts w:ascii="Arial" w:cs="Arial" w:eastAsia="Arial" w:hAnsi="Arial"/>
          <w:sz w:val="18"/>
          <w:szCs w:val="18"/>
          <w:color w:val="auto"/>
        </w:rPr>
        <w:t>”) will remain outstanding and exercisable in accordance with its terms for a period of two years following the Separation Date, provided that (A) no Vested Option will remain outstanding past the original final expiration date of the Vested Option and (B) each Vested Option will in all events remain subject to earlier termination in connection with a corporate transaction or event as set forth in the documents governing the Vested Option; and</w:t>
      </w:r>
    </w:p>
    <w:p>
      <w:pPr>
        <w:spacing w:after="0" w:line="187" w:lineRule="exact"/>
        <w:rPr>
          <w:rFonts w:ascii="Arial" w:cs="Arial" w:eastAsia="Arial" w:hAnsi="Arial"/>
          <w:sz w:val="18"/>
          <w:szCs w:val="18"/>
          <w:color w:val="auto"/>
        </w:rPr>
      </w:pPr>
    </w:p>
    <w:p>
      <w:pPr>
        <w:ind w:left="-20" w:right="300" w:firstLine="1304"/>
        <w:spacing w:after="0" w:line="296" w:lineRule="auto"/>
        <w:tabs>
          <w:tab w:leader="none" w:pos="1857"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performance-based restricted stock units covering shares of the Company’s common stock held by Executive as of the Separation Date (the “</w:t>
      </w:r>
      <w:r>
        <w:rPr>
          <w:rFonts w:ascii="Arial" w:cs="Arial" w:eastAsia="Arial" w:hAnsi="Arial"/>
          <w:sz w:val="16"/>
          <w:szCs w:val="16"/>
          <w:u w:val="single" w:color="auto"/>
          <w:color w:val="auto"/>
        </w:rPr>
        <w:t>PSUs</w:t>
      </w:r>
      <w:r>
        <w:rPr>
          <w:rFonts w:ascii="Arial" w:cs="Arial" w:eastAsia="Arial" w:hAnsi="Arial"/>
          <w:sz w:val="16"/>
          <w:szCs w:val="16"/>
          <w:color w:val="auto"/>
        </w:rPr>
        <w:t>”) will remain eligible to vest in accordance with their terms, notwithstanding the requirement that Executive remain in continuous service with the Company through the applicable vesting date, if the Administrator (as such term is defined in the documents governing the PSUs) determines on or prior to December 31, 2020 that the top-line results are obtained for the Company’s Phase 2 head-to-head (COMPARE) clinical trial of SEL-212 against Krystexxa, and shall otherwise remain subject to the terms and conditions of the documents governing the PSUs.</w:t>
      </w:r>
    </w:p>
    <w:p>
      <w:pPr>
        <w:spacing w:after="0" w:line="161" w:lineRule="exact"/>
        <w:rPr>
          <w:rFonts w:ascii="Arial" w:cs="Arial" w:eastAsia="Arial" w:hAnsi="Arial"/>
          <w:sz w:val="16"/>
          <w:szCs w:val="16"/>
          <w:color w:val="auto"/>
        </w:rPr>
      </w:pPr>
    </w:p>
    <w:p>
      <w:pPr>
        <w:ind w:left="-20" w:right="140" w:firstLine="980"/>
        <w:spacing w:after="0" w:line="263" w:lineRule="auto"/>
        <w:tabs>
          <w:tab w:leader="none" w:pos="1522" w:val="left"/>
        </w:tabs>
        <w:numPr>
          <w:ilvl w:val="1"/>
          <w:numId w:val="11"/>
        </w:numPr>
        <w:rPr>
          <w:rFonts w:ascii="Arial" w:cs="Arial" w:eastAsia="Arial" w:hAnsi="Arial"/>
          <w:sz w:val="18"/>
          <w:szCs w:val="18"/>
          <w:color w:val="auto"/>
        </w:rPr>
      </w:pPr>
      <w:r>
        <w:rPr>
          <w:rFonts w:ascii="Arial" w:cs="Arial" w:eastAsia="Arial" w:hAnsi="Arial"/>
          <w:sz w:val="18"/>
          <w:szCs w:val="18"/>
          <w:color w:val="auto"/>
        </w:rPr>
        <w:t>Upon Executive’s separation of employment for any reason,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4" w:name="page15"/>
    <w:bookmarkEnd w:id="14"/>
    <w:p>
      <w:pPr>
        <w:ind w:left="-20" w:firstLine="656"/>
        <w:spacing w:after="0" w:line="289" w:lineRule="auto"/>
        <w:tabs>
          <w:tab w:leader="none" w:pos="107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other than with respect to the Retained Claims, and subject to the last two sentences of this Section 3,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Arial" w:cs="Arial" w:eastAsia="Arial" w:hAnsi="Arial"/>
          <w:sz w:val="16"/>
          <w:szCs w:val="16"/>
          <w:u w:val="single" w:color="auto"/>
          <w:color w:val="auto"/>
        </w:rPr>
        <w:t>Releasees</w:t>
      </w:r>
      <w:r>
        <w:rPr>
          <w:rFonts w:ascii="Arial" w:cs="Arial" w:eastAsia="Arial" w:hAnsi="Arial"/>
          <w:sz w:val="16"/>
          <w:szCs w:val="16"/>
          <w:color w:val="auto"/>
        </w:rPr>
        <w:t>”). Executive, on Executive’s own behalf and on behalf of any of Executive’s affiliated companies or entities and any of their respective heirs, family members, executors, agents, and assigns (collectively, the “</w:t>
      </w:r>
      <w:r>
        <w:rPr>
          <w:rFonts w:ascii="Arial" w:cs="Arial" w:eastAsia="Arial" w:hAnsi="Arial"/>
          <w:sz w:val="16"/>
          <w:szCs w:val="16"/>
          <w:u w:val="single" w:color="auto"/>
          <w:color w:val="auto"/>
        </w:rPr>
        <w:t>Employee Parties</w:t>
      </w:r>
      <w:r>
        <w:rPr>
          <w:rFonts w:ascii="Arial" w:cs="Arial" w:eastAsia="Arial" w:hAnsi="Arial"/>
          <w:sz w:val="16"/>
          <w:szCs w:val="16"/>
          <w:color w:val="auto"/>
        </w:rPr>
        <w:t>”), other than with respect to the Retained Claims, and except as provided in the last two sentences of this Section 3, hereby and forever releases the Releasees from any matters of any kind, whether presently known or unknown, suspected or unsuspected, that Executive may possess against any of the Releasees arising from any omissions, acts, facts, or damages that have occurred up until and including the Effective Date, including, without limitation:</w:t>
      </w:r>
    </w:p>
    <w:p>
      <w:pPr>
        <w:spacing w:after="0" w:line="166" w:lineRule="exact"/>
        <w:rPr>
          <w:rFonts w:ascii="Arial" w:cs="Arial" w:eastAsia="Arial" w:hAnsi="Arial"/>
          <w:sz w:val="16"/>
          <w:szCs w:val="16"/>
          <w:color w:val="auto"/>
        </w:rPr>
      </w:pPr>
    </w:p>
    <w:p>
      <w:pPr>
        <w:ind w:left="-20" w:right="140" w:firstLine="980"/>
        <w:spacing w:after="0" w:line="277" w:lineRule="auto"/>
        <w:tabs>
          <w:tab w:leader="none" w:pos="14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employment or service relationship with the Company or any of its direct or indirect subsidiaries or affiliates and the termination of that relationship;</w:t>
      </w:r>
    </w:p>
    <w:p>
      <w:pPr>
        <w:spacing w:after="0" w:line="170" w:lineRule="exact"/>
        <w:rPr>
          <w:rFonts w:ascii="Arial" w:cs="Arial" w:eastAsia="Arial" w:hAnsi="Arial"/>
          <w:sz w:val="18"/>
          <w:szCs w:val="18"/>
          <w:color w:val="auto"/>
        </w:rPr>
      </w:pPr>
    </w:p>
    <w:p>
      <w:pPr>
        <w:jc w:val="both"/>
        <w:ind w:left="-20" w:right="180" w:firstLine="980"/>
        <w:spacing w:after="0" w:line="263" w:lineRule="auto"/>
        <w:tabs>
          <w:tab w:leader="none" w:pos="147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83" w:lineRule="exact"/>
        <w:rPr>
          <w:rFonts w:ascii="Arial" w:cs="Arial" w:eastAsia="Arial" w:hAnsi="Arial"/>
          <w:sz w:val="18"/>
          <w:szCs w:val="18"/>
          <w:color w:val="auto"/>
        </w:rPr>
      </w:pPr>
    </w:p>
    <w:p>
      <w:pPr>
        <w:ind w:left="-20" w:right="60" w:firstLine="980"/>
        <w:spacing w:after="0" w:line="257" w:lineRule="auto"/>
        <w:tabs>
          <w:tab w:leader="none" w:pos="14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7" w:lineRule="exact"/>
        <w:rPr>
          <w:rFonts w:ascii="Arial" w:cs="Arial" w:eastAsia="Arial" w:hAnsi="Arial"/>
          <w:sz w:val="18"/>
          <w:szCs w:val="18"/>
          <w:color w:val="auto"/>
        </w:rPr>
      </w:pPr>
    </w:p>
    <w:p>
      <w:pPr>
        <w:ind w:left="-20" w:firstLine="980"/>
        <w:spacing w:after="0" w:line="279" w:lineRule="auto"/>
        <w:tabs>
          <w:tab w:leader="none" w:pos="1477"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71" w:lineRule="exact"/>
        <w:rPr>
          <w:rFonts w:ascii="Arial" w:cs="Arial" w:eastAsia="Arial" w:hAnsi="Arial"/>
          <w:sz w:val="17"/>
          <w:szCs w:val="17"/>
          <w:color w:val="auto"/>
        </w:rPr>
      </w:pPr>
    </w:p>
    <w:p>
      <w:pPr>
        <w:ind w:left="1480" w:hanging="520"/>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1500" w:hanging="540"/>
        <w:spacing w:after="0"/>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25" w:lineRule="exact"/>
        <w:rPr>
          <w:rFonts w:ascii="Arial" w:cs="Arial" w:eastAsia="Arial" w:hAnsi="Arial"/>
          <w:sz w:val="18"/>
          <w:szCs w:val="18"/>
          <w:color w:val="auto"/>
        </w:rPr>
      </w:pPr>
    </w:p>
    <w:p>
      <w:pPr>
        <w:ind w:left="-20" w:right="220" w:firstLine="980"/>
        <w:spacing w:after="0" w:line="277" w:lineRule="auto"/>
        <w:tabs>
          <w:tab w:leader="none" w:pos="147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Executive as a result of this Agreement;</w:t>
      </w:r>
    </w:p>
    <w:p>
      <w:pPr>
        <w:spacing w:after="0" w:line="170" w:lineRule="exact"/>
        <w:rPr>
          <w:rFonts w:ascii="Arial" w:cs="Arial" w:eastAsia="Arial" w:hAnsi="Arial"/>
          <w:sz w:val="18"/>
          <w:szCs w:val="18"/>
          <w:color w:val="auto"/>
        </w:rPr>
      </w:pPr>
    </w:p>
    <w:p>
      <w:pPr>
        <w:ind w:left="-20" w:right="240" w:firstLine="980"/>
        <w:spacing w:after="0" w:line="342" w:lineRule="auto"/>
        <w:tabs>
          <w:tab w:leader="none" w:pos="1477"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and all claims arising out of the wage and hour and wage payment laws and regulations of the state or states in which Executive has provided service to the Company or any of its affiliates (including without limitation the Massachusetts Payment of Wages Law);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 w:name="page16"/>
    <w:bookmarkEnd w:id="15"/>
    <w:p>
      <w:pPr>
        <w:ind w:left="1460" w:hanging="48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Executive agrees that the release set forth in this section shall be and remain in effect in all respects as a complete general release as to the matters released. Notwithstanding anything to the contrary contained in this Agreement,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of the Effective Date, pursuant to written terms of any employee benefit plan of the Company or its affiliates and Executive’s right under applicable law, claims for reimbursement of approved business expenses incurred prior to the Effective Date, rights to vested equity awards under any applicable award agreement issued pursuant to the Company’s 2016 Incentive Award Plan, rights or claims Executive may have as a shareholder of the Company, and any Retained Claims. This release further does not release claims for breach of Section 3(c), Section 4(b) or Section 4(c) of the Employment Agreement or claims arising after the Effective Date.</w:t>
      </w:r>
    </w:p>
    <w:p>
      <w:pPr>
        <w:spacing w:after="0" w:line="176" w:lineRule="exact"/>
        <w:rPr>
          <w:sz w:val="20"/>
          <w:szCs w:val="20"/>
          <w:color w:val="auto"/>
        </w:rPr>
      </w:pPr>
    </w:p>
    <w:p>
      <w:pPr>
        <w:ind w:left="1100" w:hanging="444"/>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80"/>
        <w:spacing w:after="0" w:line="293" w:lineRule="auto"/>
        <w:tabs>
          <w:tab w:leader="none" w:pos="148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Executive acknowledges and agrees that the restrictive covenants and other post-service obligations set forth in the RCA, including without limitation Executive’s obligations relating to confidentiality, non-use and non-disclosure of Confidential Information (as defined in the RCA), non-solicitation, cooperation, and return of property, are hereby incorporated by reference and shall remain in full force and effect pursuant to their terms to the maximum extent permitted by applicable law, except that the parties expressly agree to modify the RCA, effective as of the effective date of the Bring-Down Release, by removing Section 6(a) of the RCA, which shall be of no further force or effect upon the effective date of the Bring-Down Release. Executive represents and warrants that Executive has complied with all provisions of the RCA at all times through the Effective Date.</w:t>
      </w:r>
    </w:p>
    <w:p>
      <w:pPr>
        <w:spacing w:after="0" w:line="164" w:lineRule="exact"/>
        <w:rPr>
          <w:rFonts w:ascii="Arial" w:cs="Arial" w:eastAsia="Arial" w:hAnsi="Arial"/>
          <w:sz w:val="16"/>
          <w:szCs w:val="16"/>
          <w:color w:val="auto"/>
        </w:rPr>
      </w:pPr>
    </w:p>
    <w:p>
      <w:pPr>
        <w:ind w:firstLine="980"/>
        <w:spacing w:after="0" w:line="268" w:lineRule="auto"/>
        <w:tabs>
          <w:tab w:leader="none" w:pos="1497"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 consideration for the severance payments and benefits set forth in Section 2 of this Agreement, Executive agrees for a period of 12 months after the effective date of the Bring-Down Release (the “</w:t>
      </w:r>
      <w:r>
        <w:rPr>
          <w:rFonts w:ascii="Arial" w:cs="Arial" w:eastAsia="Arial" w:hAnsi="Arial"/>
          <w:sz w:val="17"/>
          <w:szCs w:val="17"/>
          <w:u w:val="single" w:color="auto"/>
          <w:color w:val="auto"/>
        </w:rPr>
        <w:t>Noncompetition Restricted Period</w:t>
      </w:r>
      <w:r>
        <w:rPr>
          <w:rFonts w:ascii="Arial" w:cs="Arial" w:eastAsia="Arial" w:hAnsi="Arial"/>
          <w:sz w:val="17"/>
          <w:szCs w:val="17"/>
          <w:color w:val="auto"/>
        </w:rPr>
        <w:t>”) to not directly or indirectly, on Executive’s own behalf or for the benefit of any other individual or entity: (i) operate, conduct, engage in, or own (except as a holder of not more than three percent (3%) of the stock of a publicly held company), or prepare to operate, conduct, engage in, or own any business that develops, markets, distributes, plans, sells or otherwise provides, or is preparing to develop, market, distribute, plan, sell or otherwise provide, any product or service that is in competition with any of the products or services related to chronic refractory gout being developed, marketed, distributed, planned, sold or otherwise provided by the Company or its affiliates at the time of, or during the 12 months preceding, Executive’s separation from the Company (a “</w:t>
      </w:r>
      <w:r>
        <w:rPr>
          <w:rFonts w:ascii="Arial" w:cs="Arial" w:eastAsia="Arial" w:hAnsi="Arial"/>
          <w:sz w:val="17"/>
          <w:szCs w:val="17"/>
          <w:u w:val="single" w:color="auto"/>
          <w:color w:val="auto"/>
        </w:rPr>
        <w:t>Competing Business</w:t>
      </w:r>
      <w:r>
        <w:rPr>
          <w:rFonts w:ascii="Arial" w:cs="Arial" w:eastAsia="Arial" w:hAnsi="Arial"/>
          <w:sz w:val="17"/>
          <w:szCs w:val="17"/>
          <w:color w:val="auto"/>
        </w:rPr>
        <w:t>”) or (ii) participate in, render services to, or assist any individual or entity that engages in a Competing Business in any capacity (whether as an employee, manager, consultant, director, officer, contractor, or otherwise) (A) which involve the same or similar types of services Executive performed for the Company at any time during the last two years of Executive’s employment with the Company or (B) in which Executive could reasonably be expected to use or disclose Confidential Information, in each case (i) and (ii) limited to each city, county, state, territory and country in which (x) Executive provided services or had a material presence or influence at any time during Executive’s last two years of employment with the Company or (y) the Company is engaged in or has plans to engage in the Competing Business as of the Separation Date. Without limiting the Company’s ability to seek other remedies available in law or equity, if Executive violates this Section 4(b), the Noncompetition Restricted Period shall be extended by one day for each day that Executive is in violation of such provisions, up to a maximum extension equal to the length of the Noncompetition Restricted Period, so as to give the Company the full benefit of the bargained-for length of forbearance.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20" w:right="60" w:firstLine="980"/>
        <w:spacing w:after="0" w:line="273" w:lineRule="auto"/>
        <w:tabs>
          <w:tab w:leader="none" w:pos="1467" w:val="left"/>
        </w:tabs>
        <w:numPr>
          <w:ilvl w:val="1"/>
          <w:numId w:val="15"/>
        </w:numPr>
        <w:rPr>
          <w:rFonts w:ascii="Arial" w:cs="Arial" w:eastAsia="Arial" w:hAnsi="Arial"/>
          <w:sz w:val="17"/>
          <w:szCs w:val="17"/>
          <w:color w:val="auto"/>
        </w:rPr>
      </w:pPr>
      <w:r>
        <w:rPr>
          <w:rFonts w:ascii="Arial" w:cs="Arial" w:eastAsia="Arial" w:hAnsi="Arial"/>
          <w:sz w:val="17"/>
          <w:szCs w:val="17"/>
          <w:color w:val="auto"/>
        </w:rPr>
        <w:t>Executive’s continued compliance with the terms of the RCA (as modified in Section 4(a) above) and the noncompetition obligations set forth in Section 4(b) above (collectively, the “</w:t>
      </w:r>
      <w:r>
        <w:rPr>
          <w:rFonts w:ascii="Arial" w:cs="Arial" w:eastAsia="Arial" w:hAnsi="Arial"/>
          <w:sz w:val="17"/>
          <w:szCs w:val="17"/>
          <w:u w:val="single" w:color="auto"/>
          <w:color w:val="auto"/>
        </w:rPr>
        <w:t>Restrictive Covenants</w:t>
      </w:r>
      <w:r>
        <w:rPr>
          <w:rFonts w:ascii="Arial" w:cs="Arial" w:eastAsia="Arial" w:hAnsi="Arial"/>
          <w:sz w:val="17"/>
          <w:szCs w:val="17"/>
          <w:color w:val="auto"/>
        </w:rPr>
        <w:t>”) is a material condition to receipt of the severance payments and benefits set forth in Section 2 of this Agreement. In the event Executive breaches any part of such Restrictive Covenants, then, in addition to any remedies and enforcement mechanisms set forth in the RCA and this Agreement and any other remedies available to the Company (including equitable and injunctive remedies), Executive shall forfeit any additional consideration owing and shall be obligated to promptly return to the Company (within two (2) business days of any breach) the full gross amount of all severance payments and benefits provided.</w:t>
      </w:r>
    </w:p>
    <w:p>
      <w:pPr>
        <w:spacing w:after="0" w:line="177" w:lineRule="exact"/>
        <w:rPr>
          <w:rFonts w:ascii="Arial" w:cs="Arial" w:eastAsia="Arial" w:hAnsi="Arial"/>
          <w:sz w:val="17"/>
          <w:szCs w:val="17"/>
          <w:color w:val="auto"/>
        </w:rPr>
      </w:pPr>
    </w:p>
    <w:p>
      <w:pPr>
        <w:ind w:left="-20" w:right="480" w:firstLine="980"/>
        <w:spacing w:after="0" w:line="311" w:lineRule="auto"/>
        <w:tabs>
          <w:tab w:leader="none" w:pos="1477"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any provision of the Restrictive Covenants shall be determined to be unenforceable by any court of competent jurisdiction or arbitrator by reason of its extending for too great a period of time or over too large a geographic area or over too great a range of activities, it shall be interpreted to extend only over the maximum period of time, geographic area or range of activities as to which it may be enforceable.</w:t>
      </w:r>
    </w:p>
    <w:p>
      <w:pPr>
        <w:spacing w:after="0" w:line="148" w:lineRule="exact"/>
        <w:rPr>
          <w:rFonts w:ascii="Arial" w:cs="Arial" w:eastAsia="Arial" w:hAnsi="Arial"/>
          <w:sz w:val="16"/>
          <w:szCs w:val="16"/>
          <w:color w:val="auto"/>
        </w:rPr>
      </w:pPr>
    </w:p>
    <w:p>
      <w:pPr>
        <w:ind w:left="-20" w:firstLine="656"/>
        <w:spacing w:after="0" w:line="275" w:lineRule="auto"/>
        <w:tabs>
          <w:tab w:leader="none" w:pos="107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Mutual Non-Disparagement</w:t>
      </w:r>
      <w:r>
        <w:rPr>
          <w:rFonts w:ascii="Arial" w:cs="Arial" w:eastAsia="Arial" w:hAnsi="Arial"/>
          <w:sz w:val="17"/>
          <w:szCs w:val="17"/>
          <w:color w:val="auto"/>
        </w:rPr>
        <w:t>. Executive agrees that, at all times, Executive shall refrain from making any negative, critical, or disparaging statements, implied or express, concerning the Company, its affiliates and their respective directors, officers, agents, or employees. The Company agrees that it shall instruct the members of the Board to refrain from making any negative, critical, or disparaging statements, implied or express, concerning Executive. However, nothing in this Section 5 prohibits either Party’s disclosure of information that is required to be disclosed to enforce this Agreement or to comply with applicable law or order of a court or other regulatory body of competent jurisdiction.</w:t>
      </w:r>
    </w:p>
    <w:p>
      <w:pPr>
        <w:spacing w:after="0" w:line="176" w:lineRule="exact"/>
        <w:rPr>
          <w:rFonts w:ascii="Arial" w:cs="Arial" w:eastAsia="Arial" w:hAnsi="Arial"/>
          <w:sz w:val="17"/>
          <w:szCs w:val="17"/>
          <w:color w:val="auto"/>
        </w:rPr>
      </w:pPr>
    </w:p>
    <w:p>
      <w:pPr>
        <w:ind w:left="-20" w:right="20" w:firstLine="656"/>
        <w:spacing w:after="0" w:line="269" w:lineRule="auto"/>
        <w:tabs>
          <w:tab w:leader="none" w:pos="107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Trade Secrets</w:t>
      </w:r>
      <w:r>
        <w:rPr>
          <w:rFonts w:ascii="Arial" w:cs="Arial" w:eastAsia="Arial" w:hAnsi="Arial"/>
          <w:sz w:val="17"/>
          <w:szCs w:val="17"/>
          <w:color w:val="auto"/>
        </w:rPr>
        <w:t>. In accordance with 18 U.S.C. § 1833, notwithstanding anything to the contrary in this Agreement, the Employment Agreement or the RCA (together, the “</w:t>
      </w:r>
      <w:r>
        <w:rPr>
          <w:rFonts w:ascii="Arial" w:cs="Arial" w:eastAsia="Arial" w:hAnsi="Arial"/>
          <w:sz w:val="17"/>
          <w:szCs w:val="17"/>
          <w:u w:val="single" w:color="auto"/>
          <w:color w:val="auto"/>
        </w:rPr>
        <w:t>Subject Documents</w:t>
      </w:r>
      <w:r>
        <w:rPr>
          <w:rFonts w:ascii="Arial" w:cs="Arial" w:eastAsia="Arial" w:hAnsi="Arial"/>
          <w:sz w:val="17"/>
          <w:szCs w:val="17"/>
          <w:color w:val="auto"/>
        </w:rPr>
        <w:t>”): (i) Executive shall not be in breach of any Subject Document,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the Parties agree that nothing in the Subject Documents prohibits Executive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7" w:name="page18"/>
    <w:bookmarkEnd w:id="17"/>
    <w:p>
      <w:pPr>
        <w:ind w:firstLine="656"/>
        <w:spacing w:after="0" w:line="263" w:lineRule="auto"/>
        <w:tabs>
          <w:tab w:leader="none" w:pos="109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3" w:lineRule="exact"/>
        <w:rPr>
          <w:rFonts w:ascii="Arial" w:cs="Arial" w:eastAsia="Arial" w:hAnsi="Arial"/>
          <w:sz w:val="18"/>
          <w:szCs w:val="18"/>
          <w:color w:val="auto"/>
        </w:rPr>
      </w:pPr>
    </w:p>
    <w:p>
      <w:pPr>
        <w:ind w:left="1100" w:hanging="444"/>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No Oral Modification</w:t>
      </w:r>
      <w:r>
        <w:rPr>
          <w:rFonts w:ascii="Arial" w:cs="Arial" w:eastAsia="Arial" w:hAnsi="Arial"/>
          <w:sz w:val="17"/>
          <w:szCs w:val="17"/>
          <w:color w:val="auto"/>
        </w:rPr>
        <w:t>. This Agreement may only be amended in a writing signed by Executive and a duly authorized officer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1100" w:hanging="44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subject to the provisions of Sections 9(a) and 9(c) of the Employment Agreement.</w:t>
      </w:r>
    </w:p>
    <w:p>
      <w:pPr>
        <w:spacing w:after="0" w:line="225" w:lineRule="exact"/>
        <w:rPr>
          <w:rFonts w:ascii="Arial" w:cs="Arial" w:eastAsia="Arial" w:hAnsi="Arial"/>
          <w:sz w:val="18"/>
          <w:szCs w:val="18"/>
          <w:color w:val="auto"/>
        </w:rPr>
      </w:pPr>
    </w:p>
    <w:p>
      <w:pPr>
        <w:ind w:right="320" w:firstLine="656"/>
        <w:spacing w:after="0" w:line="254" w:lineRule="auto"/>
        <w:tabs>
          <w:tab w:leader="none" w:pos="109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on the respective dates set forth below.</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2820" w:type="dxa"/>
            <w:vAlign w:val="bottom"/>
            <w:gridSpan w:val="2"/>
          </w:tcPr>
          <w:p>
            <w:pPr>
              <w:spacing w:after="0"/>
              <w:rPr>
                <w:sz w:val="20"/>
                <w:szCs w:val="20"/>
                <w:color w:val="auto"/>
              </w:rPr>
            </w:pPr>
            <w:r>
              <w:rPr>
                <w:rFonts w:ascii="Arial" w:cs="Arial" w:eastAsia="Arial" w:hAnsi="Arial"/>
                <w:sz w:val="18"/>
                <w:szCs w:val="18"/>
                <w:color w:val="auto"/>
              </w:rPr>
              <w:t>Dated: 6/25/20</w:t>
            </w:r>
          </w:p>
        </w:tc>
        <w:tc>
          <w:tcPr>
            <w:tcW w:w="28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 Elona Kogan, J.D.</w:t>
            </w:r>
          </w:p>
        </w:tc>
      </w:tr>
      <w:tr>
        <w:trPr>
          <w:trHeight w:val="224"/>
        </w:trPr>
        <w:tc>
          <w:tcPr>
            <w:tcW w:w="58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2820" w:type="dxa"/>
            <w:vAlign w:val="bottom"/>
          </w:tcPr>
          <w:p>
            <w:pPr>
              <w:spacing w:after="0"/>
              <w:rPr>
                <w:sz w:val="19"/>
                <w:szCs w:val="19"/>
                <w:color w:val="auto"/>
              </w:rPr>
            </w:pPr>
          </w:p>
        </w:tc>
        <w:tc>
          <w:tcPr>
            <w:tcW w:w="5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ELONA KOGAN, J.D.</w:t>
            </w:r>
          </w:p>
        </w:tc>
      </w:tr>
      <w:tr>
        <w:trPr>
          <w:trHeight w:val="418"/>
        </w:trPr>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SELECTA BIOSCIENCES, INC.</w:t>
            </w:r>
          </w:p>
        </w:tc>
      </w:tr>
      <w:tr>
        <w:trPr>
          <w:trHeight w:val="432"/>
        </w:trPr>
        <w:tc>
          <w:tcPr>
            <w:tcW w:w="2820" w:type="dxa"/>
            <w:vAlign w:val="bottom"/>
            <w:gridSpan w:val="2"/>
          </w:tcPr>
          <w:p>
            <w:pPr>
              <w:spacing w:after="0"/>
              <w:rPr>
                <w:sz w:val="20"/>
                <w:szCs w:val="20"/>
                <w:color w:val="auto"/>
              </w:rPr>
            </w:pPr>
            <w:r>
              <w:rPr>
                <w:rFonts w:ascii="Arial" w:cs="Arial" w:eastAsia="Arial" w:hAnsi="Arial"/>
                <w:sz w:val="18"/>
                <w:szCs w:val="18"/>
                <w:color w:val="auto"/>
              </w:rPr>
              <w:t>Dated: 6/25/20</w:t>
            </w:r>
          </w:p>
        </w:tc>
        <w:tc>
          <w:tcPr>
            <w:tcW w:w="28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 Carsten Brunn</w:t>
            </w:r>
          </w:p>
        </w:tc>
      </w:tr>
      <w:tr>
        <w:trPr>
          <w:trHeight w:val="195"/>
        </w:trPr>
        <w:tc>
          <w:tcPr>
            <w:tcW w:w="58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Carsten Brunn</w:t>
            </w:r>
          </w:p>
        </w:tc>
      </w:tr>
      <w:tr>
        <w:trPr>
          <w:trHeight w:val="230"/>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CEO</w:t>
            </w:r>
          </w:p>
        </w:tc>
      </w:tr>
      <w:tr>
        <w:trPr>
          <w:trHeight w:val="648"/>
        </w:trPr>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7</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Addendum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of Claims</w:t>
      </w:r>
    </w:p>
    <w:p>
      <w:pPr>
        <w:spacing w:after="0" w:line="229" w:lineRule="exact"/>
        <w:rPr>
          <w:sz w:val="20"/>
          <w:szCs w:val="20"/>
          <w:color w:val="auto"/>
        </w:rPr>
      </w:pPr>
    </w:p>
    <w:p>
      <w:pPr>
        <w:ind w:right="900" w:firstLine="648"/>
        <w:spacing w:after="0" w:line="342" w:lineRule="auto"/>
        <w:rPr>
          <w:sz w:val="20"/>
          <w:szCs w:val="20"/>
          <w:color w:val="auto"/>
        </w:rPr>
      </w:pPr>
      <w:r>
        <w:rPr>
          <w:rFonts w:ascii="Arial" w:cs="Arial" w:eastAsia="Arial" w:hAnsi="Arial"/>
          <w:sz w:val="16"/>
          <w:szCs w:val="16"/>
          <w:color w:val="auto"/>
        </w:rPr>
        <w:t>Reference is made to the Transition Agreement and Release, dated as of June__, 2020, to which this Release of Claims is attached (the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but not defined in this Release of Claims will have the meanings given to them in the Agreement.</w:t>
      </w:r>
    </w:p>
    <w:p>
      <w:pPr>
        <w:spacing w:after="0" w:line="12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For and in consideration of the payment to me of the benefits described in Section 2 of the Agreement, I, on my own behalf and on behalf of the Employee Parties, hereby and forever release the Releasees from any matters of any kind, whether presently known or unknown, suspected or unsuspected, that I may possess against any of the Releasees arising from any omissions, acts, facts, or damages that have occurred up until and including the date I execute this Release of Claims, provided that this Release of Claims does not release claims that cannot be released as a matter of law, including, but not limited to, my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my right to 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my release of claims herein bars me from recovering monetary or other individual relief from the Company or any Releasee in connection with any charge, investigation or proceeding, or any related complaint or lawsuit, filed by me or by anyone else on my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of the Separation Date, pursuant to written terms of any employee benefit plan of the Company or its affiliates and my rights under applicable law, claims for reimbursement of approved business expenses incurred prior to the Separation Date, rights to vested equity awards under any applicable award agreement issued pursuant to the Company’s 2016 Incentive Award Plan, rights or claims I may have as a shareholder of the Company, and any Retained Claims (collectively, the “</w:t>
      </w:r>
      <w:r>
        <w:rPr>
          <w:rFonts w:ascii="Arial" w:cs="Arial" w:eastAsia="Arial" w:hAnsi="Arial"/>
          <w:sz w:val="16"/>
          <w:szCs w:val="16"/>
          <w:u w:val="single" w:color="auto"/>
          <w:color w:val="auto"/>
        </w:rPr>
        <w:t>Executive’s Retained Claims</w:t>
      </w:r>
      <w:r>
        <w:rPr>
          <w:rFonts w:ascii="Arial" w:cs="Arial" w:eastAsia="Arial" w:hAnsi="Arial"/>
          <w:sz w:val="16"/>
          <w:szCs w:val="16"/>
          <w:color w:val="auto"/>
        </w:rPr>
        <w:t>”).</w:t>
      </w:r>
    </w:p>
    <w:p>
      <w:pPr>
        <w:spacing w:after="0" w:line="17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u w:val="single" w:color="auto"/>
          <w:color w:val="auto"/>
        </w:rPr>
        <w:t>Acknowledgement of Waiver of Claims Under ADEA</w:t>
      </w:r>
      <w:r>
        <w:rPr>
          <w:rFonts w:ascii="Arial" w:cs="Arial" w:eastAsia="Arial" w:hAnsi="Arial"/>
          <w:sz w:val="17"/>
          <w:szCs w:val="17"/>
          <w:color w:val="auto"/>
        </w:rPr>
        <w:t>. I have read this Release of Claims carefully and have been advised to consult with any attorney and any other advisors of my choice prior to executing this Release of Claims, and I fully understand that by signing below I am voluntarily giving up any right which I may have to sue or bring any claims against the Releasees other than the Executive’s Retained Claims. I understand and acknowledge that I am waiving and releasing any rights that I may have under the Age Discrimination in Employment Act of 1967 (the “</w:t>
      </w:r>
      <w:r>
        <w:rPr>
          <w:rFonts w:ascii="Arial" w:cs="Arial" w:eastAsia="Arial" w:hAnsi="Arial"/>
          <w:sz w:val="17"/>
          <w:szCs w:val="17"/>
          <w:u w:val="single" w:color="auto"/>
          <w:color w:val="auto"/>
        </w:rPr>
        <w:t>ADEA</w:t>
      </w:r>
      <w:r>
        <w:rPr>
          <w:rFonts w:ascii="Arial" w:cs="Arial" w:eastAsia="Arial" w:hAnsi="Arial"/>
          <w:sz w:val="17"/>
          <w:szCs w:val="17"/>
          <w:color w:val="auto"/>
        </w:rPr>
        <w:t>”), and that this waiver and release is knowing and voluntary. I understand and agree that this Release of Claims does not apply to any rights or claims that may arise under the ADEA after the date I sign this Release of Claims. I understand and acknowledge that the consideration given for this Release of Claims is in addition to anything of value to which I was already entitled. I further understand and acknowledge that I have been advised by this writing that: (a) I have 45 days within which to consider this Release of Claims and the Demographic Notice provided herewith and I expressly agree that such time period to review these documents shall not be extended upon any material or immaterial changes to this Release of Claims; (b) I have 7 business days following my execution of this Release of Claims to revoke this Release of Claims by delivering written notice to the Company’s Vice President, Human Resources; (c) this Release of Claims will not be effective until after the foregoing revocation period has expired; and (d) nothing in this Release of Claims prevents or precludes me from challenging or seeking a determination in good faith of the validity of this waiver under the ADEA, nor does it impose any condition precedent, penalties, or costs for doing so, unless specifically authorized by federal law. In the event that I sign this Release of Claims and return it to the Company in less than the 45 day period identified above, I hereby acknowledge that I have freely and voluntarily chosen to waive the time period allotted for considering this Release of Claims. I have not been forced or pressured in any manner to sign this Release of Claims, and I agree to all of its terms voluntarily.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firstLine="648"/>
        <w:spacing w:after="0" w:line="273" w:lineRule="auto"/>
        <w:rPr>
          <w:sz w:val="20"/>
          <w:szCs w:val="20"/>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I acknowledge and agree that I have 7 business days after I sign this Release of Claims to revoke it, and this Release of Claims will become effective on the 8th business day after I sign this Release of Claims, so long as it has been signed by the Parties and has not been revoked by either Party before such date. For the avoidance of doubt, I acknowledge and agree that if I revoke this Release of Claims as provided herein, the Parties’ modification to the RCA set forth in Section 4(a) of the Agreement shall be void and of no effect. Unless the Company has elected or elects to expressly waive my noncompetition obligations set forth in Section 6(a) of the RCA (as amended by the Agreement), the RCA, including without limitation Section 6 of the RCA (as amended by the Agreement), shall remain in full force and effect.</w:t>
      </w:r>
    </w:p>
    <w:p>
      <w:pPr>
        <w:spacing w:after="0" w:line="17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u w:val="single" w:color="auto"/>
          <w:color w:val="auto"/>
        </w:rPr>
        <w:t>Voluntary Execution of Release of Claims</w:t>
      </w:r>
      <w:r>
        <w:rPr>
          <w:rFonts w:ascii="Arial" w:cs="Arial" w:eastAsia="Arial" w:hAnsi="Arial"/>
          <w:sz w:val="16"/>
          <w:szCs w:val="16"/>
          <w:color w:val="auto"/>
        </w:rPr>
        <w:t>. I understand and agree that I executed this Release of Claims voluntarily, without any duress or undue influence on the part or behalf of the Company or any third party, with the full intent of releasing all of my claims against the Company and any of the other Releasees. I acknowledge that: (a) I have read this Release of Claims; (b) I have not relied upon any representations or statements made by the Company that are not specifically set forth in this Release of Claims; (c) I have been represented in the preparation, negotiation, and execution of this Release of Claims by legal counsel of my own choice or have elected not to retain legal counsel; (d) I understand the terms and consequences of this Release of Claims and of the releases it contains; and (e) I am fully aware of the legal and binding effect of this Release of Claims.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Release of Claims is final and binding and may only be amended in a writing signed by me and a duly authorized officer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subject to the provisions of Sections 9(a) and 9(c) of the Employment Agreement.</w:t>
      </w:r>
    </w:p>
    <w:p>
      <w:pPr>
        <w:spacing w:after="0" w:line="21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For the avoidance of doubt, this Release of Claims does not replace or in any way limit the general release and waiver in Section 3 of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___________ __,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ELONA KOGAN,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
    <w:nsid w:val="216231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
    <w:nsid w:val="1F16E9E8"/>
    <w:multiLevelType w:val="hybridMultilevel"/>
    <w:lvl w:ilvl="0">
      <w:lvlJc w:val="left"/>
      <w:lvlText w:val="%1."/>
      <w:numFmt w:val="decimal"/>
      <w:start w:val="3"/>
    </w:lvl>
    <w:lvl w:ilvl="1">
      <w:lvlJc w:val="left"/>
      <w:lvlText w:val="(%2)"/>
      <w:numFmt w:val="lowerLetter"/>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1"/>
    </w:lvl>
    <w:lvl w:ilvl="1">
      <w:lvlJc w:val="left"/>
      <w:lvlText w:val="(%2)"/>
      <w:numFmt w:val="lowerLetter"/>
      <w:start w:val="1"/>
    </w:lvl>
  </w:abstractNum>
  <w:abstractNum w:abstractNumId="9">
    <w:nsid w:val="109CF92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
    <w:nsid w:val="DED726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
    <w:nsid w:val="7FDCC233"/>
    <w:multiLevelType w:val="hybridMultilevel"/>
    <w:lvl w:ilvl="0">
      <w:lvlJc w:val="left"/>
      <w:lvlText w:val="%1."/>
      <w:numFmt w:val="decimal"/>
      <w:start w:val="3"/>
    </w:lvl>
    <w:lvl w:ilvl="1">
      <w:lvlJc w:val="left"/>
      <w:lvlText w:val="(%2)"/>
      <w:numFmt w:val="lowerLetter"/>
      <w:start w:val="1"/>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1."/>
      <w:numFmt w:val="decimal"/>
      <w:start w:val="4"/>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3"/>
    </w:lvl>
  </w:abstractNum>
  <w:abstractNum w:abstractNumId="15">
    <w:nsid w:val="4E6AFB66"/>
    <w:multiLevelType w:val="hybridMultilevel"/>
    <w:lvl w:ilvl="0">
      <w:lvlJc w:val="left"/>
      <w:lvlText w:val="%1."/>
      <w:numFmt w:val="decimal"/>
      <w:start w:val="5"/>
    </w:lvl>
    <w:lvl w:ilvl="1">
      <w:lvlJc w:val="left"/>
      <w:lvlText w:val="%2"/>
      <w:numFmt w:val="lowerLetter"/>
      <w:start w:val="1"/>
    </w:lvl>
  </w:abstractNum>
  <w:abstractNum w:abstractNumId="16">
    <w:nsid w:val="25E45D3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2020-06-25T15:32:03Z</dcterms:created>
  <dcterms:modified xsi:type="dcterms:W3CDTF">2020-06-25T15:32:03Z</dcterms:modified>
</cp:coreProperties>
</file>