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SCHEDULE 13G</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(Amendment No. 1)</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Selecta Biosciences, Inc.</w:t>
      </w:r>
    </w:p>
    <w:p>
      <w:pPr>
        <w:spacing w:after="0" w:line="60"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(Name of Issuer)</w:t>
      </w:r>
    </w:p>
    <w:p>
      <w:pPr>
        <w:spacing w:after="0" w:line="31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Common Stock, $0.0001 par value per share</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(Title of Class of Securities)</w:t>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816212104</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(CUSIP Number)</w:t>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December 31, 2020</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(Date of Event Which Requires Filing of this Statement)</w:t>
      </w:r>
    </w:p>
    <w:p>
      <w:pPr>
        <w:spacing w:after="0" w:line="30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10"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13d-1(b)</w:t>
      </w:r>
    </w:p>
    <w:p>
      <w:pPr>
        <w:spacing w:after="0" w:line="216"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13d-1(c)</w:t>
      </w:r>
    </w:p>
    <w:p>
      <w:pPr>
        <w:spacing w:after="0" w:line="222" w:lineRule="exact"/>
        <w:rPr>
          <w:sz w:val="24"/>
          <w:szCs w:val="24"/>
          <w:color w:val="auto"/>
        </w:rPr>
      </w:pPr>
    </w:p>
    <w:p>
      <w:pPr>
        <w:ind w:left="780" w:hanging="124"/>
        <w:spacing w:after="0"/>
        <w:tabs>
          <w:tab w:leader="none" w:pos="780" w:val="left"/>
        </w:tabs>
        <w:numPr>
          <w:ilvl w:val="1"/>
          <w:numId w:val="1"/>
        </w:numPr>
        <w:rPr>
          <w:rFonts w:ascii="Arial" w:cs="Arial" w:eastAsia="Arial" w:hAnsi="Arial"/>
          <w:sz w:val="20"/>
          <w:szCs w:val="20"/>
          <w:color w:val="auto"/>
        </w:rPr>
      </w:pPr>
      <w:r>
        <w:rPr>
          <w:rFonts w:ascii="Arial" w:cs="Arial" w:eastAsia="Arial" w:hAnsi="Arial"/>
          <w:sz w:val="20"/>
          <w:szCs w:val="20"/>
          <w:color w:val="auto"/>
        </w:rPr>
        <w:t>]    Rule 13d-1(d)</w:t>
      </w:r>
    </w:p>
    <w:p>
      <w:pPr>
        <w:spacing w:after="0" w:line="215" w:lineRule="exact"/>
        <w:rPr>
          <w:rFonts w:ascii="Arial" w:cs="Arial" w:eastAsia="Arial" w:hAnsi="Arial"/>
          <w:sz w:val="20"/>
          <w:szCs w:val="20"/>
          <w:color w:val="auto"/>
        </w:rPr>
      </w:pPr>
    </w:p>
    <w:p>
      <w:pPr>
        <w:ind w:right="340"/>
        <w:spacing w:after="0" w:line="316" w:lineRule="auto"/>
        <w:rPr>
          <w:rFonts w:ascii="Arial" w:cs="Arial" w:eastAsia="Arial" w:hAnsi="Arial"/>
          <w:sz w:val="20"/>
          <w:szCs w:val="20"/>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0"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ind w:right="280"/>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816212104</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LLC</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9"/>
                <w:szCs w:val="9"/>
                <w:color w:val="auto"/>
              </w:rPr>
            </w:pPr>
          </w:p>
        </w:tc>
        <w:tc>
          <w:tcPr>
            <w:tcW w:w="8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2,298,850</w:t>
            </w:r>
          </w:p>
        </w:tc>
        <w:tc>
          <w:tcPr>
            <w:tcW w:w="0" w:type="dxa"/>
            <w:vAlign w:val="bottom"/>
          </w:tcPr>
          <w:p>
            <w:pPr>
              <w:spacing w:after="0"/>
              <w:rPr>
                <w:sz w:val="1"/>
                <w:szCs w:val="1"/>
                <w:color w:val="auto"/>
              </w:rPr>
            </w:pPr>
          </w:p>
        </w:tc>
      </w:tr>
      <w:tr>
        <w:trPr>
          <w:trHeight w:val="152"/>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60" w:type="dxa"/>
            <w:vAlign w:val="bottom"/>
            <w:vMerge w:val="continue"/>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6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60" w:type="dxa"/>
            <w:vAlign w:val="bottom"/>
            <w:vMerge w:val="continue"/>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2,298,850</w:t>
            </w:r>
          </w:p>
        </w:tc>
        <w:tc>
          <w:tcPr>
            <w:tcW w:w="0" w:type="dxa"/>
            <w:vAlign w:val="bottom"/>
          </w:tcPr>
          <w:p>
            <w:pPr>
              <w:spacing w:after="0"/>
              <w:rPr>
                <w:sz w:val="1"/>
                <w:szCs w:val="1"/>
                <w:color w:val="auto"/>
              </w:rPr>
            </w:pPr>
          </w:p>
        </w:tc>
      </w:tr>
      <w:tr>
        <w:trPr>
          <w:trHeight w:val="16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2,298,850</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2.1%</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816212104</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Oleg Nodelman</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5"/>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United States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9"/>
                <w:szCs w:val="9"/>
                <w:color w:val="auto"/>
              </w:rPr>
            </w:pPr>
          </w:p>
        </w:tc>
        <w:tc>
          <w:tcPr>
            <w:tcW w:w="8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2,298,850</w:t>
            </w:r>
          </w:p>
        </w:tc>
        <w:tc>
          <w:tcPr>
            <w:tcW w:w="0" w:type="dxa"/>
            <w:vAlign w:val="bottom"/>
          </w:tcPr>
          <w:p>
            <w:pPr>
              <w:spacing w:after="0"/>
              <w:rPr>
                <w:sz w:val="1"/>
                <w:szCs w:val="1"/>
                <w:color w:val="auto"/>
              </w:rPr>
            </w:pPr>
          </w:p>
        </w:tc>
      </w:tr>
      <w:tr>
        <w:trPr>
          <w:trHeight w:val="152"/>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60" w:type="dxa"/>
            <w:vAlign w:val="bottom"/>
            <w:vMerge w:val="continue"/>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6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60" w:type="dxa"/>
            <w:vAlign w:val="bottom"/>
            <w:vMerge w:val="continue"/>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2,298,850</w:t>
            </w:r>
          </w:p>
        </w:tc>
        <w:tc>
          <w:tcPr>
            <w:tcW w:w="0" w:type="dxa"/>
            <w:vAlign w:val="bottom"/>
          </w:tcPr>
          <w:p>
            <w:pPr>
              <w:spacing w:after="0"/>
              <w:rPr>
                <w:sz w:val="1"/>
                <w:szCs w:val="1"/>
                <w:color w:val="auto"/>
              </w:rPr>
            </w:pPr>
          </w:p>
        </w:tc>
      </w:tr>
      <w:tr>
        <w:trPr>
          <w:trHeight w:val="16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2,298,850</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2.1%</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816212104</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Fund Qualified,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860" w:hanging="204"/>
        <w:spacing w:after="0"/>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160" w:type="dxa"/>
            <w:vAlign w:val="bottom"/>
            <w:vMerge w:val="continue"/>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1,945,551</w:t>
            </w:r>
          </w:p>
        </w:tc>
        <w:tc>
          <w:tcPr>
            <w:tcW w:w="0" w:type="dxa"/>
            <w:vAlign w:val="bottom"/>
          </w:tcPr>
          <w:p>
            <w:pPr>
              <w:spacing w:after="0"/>
              <w:rPr>
                <w:sz w:val="1"/>
                <w:szCs w:val="1"/>
                <w:color w:val="auto"/>
              </w:rPr>
            </w:pPr>
          </w:p>
        </w:tc>
      </w:tr>
      <w:tr>
        <w:trPr>
          <w:trHeight w:val="137"/>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Borders>
              <w:bottom w:val="single" w:sz="8" w:color="auto"/>
            </w:tcBorders>
            <w:vMerge w:val="continue"/>
          </w:tcPr>
          <w:p>
            <w:pPr>
              <w:spacing w:after="0"/>
              <w:rPr>
                <w:sz w:val="11"/>
                <w:szCs w:val="11"/>
                <w:color w:val="auto"/>
              </w:rPr>
            </w:pPr>
          </w:p>
        </w:tc>
        <w:tc>
          <w:tcPr>
            <w:tcW w:w="88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97"/>
        </w:trPr>
        <w:tc>
          <w:tcPr>
            <w:tcW w:w="2160" w:type="dxa"/>
            <w:vAlign w:val="bottom"/>
          </w:tcPr>
          <w:p>
            <w:pPr>
              <w:ind w:left="100"/>
              <w:spacing w:after="0" w:line="173" w:lineRule="exact"/>
              <w:rPr>
                <w:sz w:val="20"/>
                <w:szCs w:val="20"/>
                <w:color w:val="auto"/>
              </w:rPr>
            </w:pPr>
            <w:r>
              <w:rPr>
                <w:rFonts w:ascii="Arial" w:cs="Arial" w:eastAsia="Arial" w:hAnsi="Arial"/>
                <w:sz w:val="19"/>
                <w:szCs w:val="19"/>
                <w:color w:val="auto"/>
              </w:rPr>
              <w:t>Each Reporting</w:t>
            </w:r>
          </w:p>
        </w:tc>
        <w:tc>
          <w:tcPr>
            <w:tcW w:w="260" w:type="dxa"/>
            <w:vAlign w:val="bottom"/>
            <w:tcBorders>
              <w:bottom w:val="single" w:sz="8" w:color="auto"/>
            </w:tcBorders>
            <w:vMerge w:val="continue"/>
          </w:tcPr>
          <w:p>
            <w:pPr>
              <w:spacing w:after="0"/>
              <w:rPr>
                <w:sz w:val="16"/>
                <w:szCs w:val="16"/>
                <w:color w:val="auto"/>
              </w:rPr>
            </w:pPr>
          </w:p>
        </w:tc>
        <w:tc>
          <w:tcPr>
            <w:tcW w:w="8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1,945,551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1,945,551</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1.8%</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816212104</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w:t>
      </w:r>
      <w:r>
        <w:rPr>
          <w:sz w:val="20"/>
          <w:szCs w:val="20"/>
          <w:color w:val="auto"/>
        </w:rPr>
        <w:tab/>
      </w:r>
      <w:r>
        <w:rPr>
          <w:rFonts w:ascii="Arial" w:cs="Arial" w:eastAsia="Arial" w:hAnsi="Arial"/>
          <w:sz w:val="20"/>
          <w:szCs w:val="20"/>
          <w:b w:val="1"/>
          <w:bCs w:val="1"/>
          <w:color w:val="auto"/>
        </w:rPr>
        <w:t>1.</w:t>
      </w:r>
    </w:p>
    <w:p>
      <w:pPr>
        <w:spacing w:after="0" w:line="222"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Selecta Biosciences, Inc.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65 Grove Street, Watertown, MA 02472</w:t>
      </w: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w:t>
      </w:r>
      <w:r>
        <w:rPr>
          <w:sz w:val="20"/>
          <w:szCs w:val="20"/>
          <w:color w:val="auto"/>
        </w:rPr>
        <w:tab/>
      </w:r>
      <w:r>
        <w:rPr>
          <w:rFonts w:ascii="Arial" w:cs="Arial" w:eastAsia="Arial" w:hAnsi="Arial"/>
          <w:sz w:val="20"/>
          <w:szCs w:val="20"/>
          <w:b w:val="1"/>
          <w:bCs w:val="1"/>
          <w:color w:val="auto"/>
        </w:rPr>
        <w:t>2.</w:t>
      </w:r>
    </w:p>
    <w:p>
      <w:pPr>
        <w:spacing w:after="0" w:line="222"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names of the persons filing this statement are:</w:t>
      </w:r>
    </w:p>
    <w:p>
      <w:pPr>
        <w:spacing w:after="0" w:line="223" w:lineRule="exact"/>
        <w:rPr>
          <w:rFonts w:ascii="Arial" w:cs="Arial" w:eastAsia="Arial" w:hAnsi="Arial"/>
          <w:sz w:val="20"/>
          <w:szCs w:val="20"/>
          <w:color w:val="auto"/>
        </w:rPr>
      </w:pPr>
    </w:p>
    <w:p>
      <w:pPr>
        <w:ind w:left="1300" w:right="52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EcoR1 Capital Fund Qualified, L.P. (“Qualified Fund”); EcoR1 Capital, LLC (“EcoR1”) and Oleg Nodelman (“Nodelman”) (collectively, the “Filers”).</w:t>
      </w:r>
    </w:p>
    <w:p>
      <w:pPr>
        <w:spacing w:after="0" w:line="176" w:lineRule="exact"/>
        <w:rPr>
          <w:rFonts w:ascii="Arial" w:cs="Arial" w:eastAsia="Arial" w:hAnsi="Arial"/>
          <w:sz w:val="20"/>
          <w:szCs w:val="20"/>
          <w:color w:val="auto"/>
        </w:rPr>
      </w:pPr>
    </w:p>
    <w:p>
      <w:pPr>
        <w:ind w:left="1300"/>
        <w:spacing w:after="0" w:line="265" w:lineRule="auto"/>
        <w:rPr>
          <w:rFonts w:ascii="Arial" w:cs="Arial" w:eastAsia="Arial" w:hAnsi="Arial"/>
          <w:sz w:val="20"/>
          <w:szCs w:val="20"/>
          <w:color w:val="auto"/>
        </w:rPr>
      </w:pPr>
      <w:r>
        <w:rPr>
          <w:rFonts w:ascii="Arial" w:cs="Arial" w:eastAsia="Arial" w:hAnsi="Arial"/>
          <w:sz w:val="19"/>
          <w:szCs w:val="19"/>
          <w:b w:val="1"/>
          <w:bCs w:val="1"/>
          <w:color w:val="auto"/>
        </w:rPr>
        <w:t>Qualified Fund is filing this statement jointly with the other Filers, but not as a member of a group and it expressly disclaims membership in a group. In addition, filing this Schedule 13G on behalf of Qualified Fund should not be construed as an admission that it is, and it disclaims that it is, a beneficial owner, as defined in Rule 13d-3 under the Act, of any of the Stock covered by this Schedule 13G.</w:t>
      </w:r>
    </w:p>
    <w:p>
      <w:pPr>
        <w:spacing w:after="0" w:line="182" w:lineRule="exact"/>
        <w:rPr>
          <w:rFonts w:ascii="Arial" w:cs="Arial" w:eastAsia="Arial" w:hAnsi="Arial"/>
          <w:sz w:val="20"/>
          <w:szCs w:val="20"/>
          <w:color w:val="auto"/>
        </w:rPr>
      </w:pPr>
    </w:p>
    <w:p>
      <w:pPr>
        <w:ind w:left="1300" w:right="18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Each Filer also disclaims beneficial ownership of the Stock except to the extent of that person’s pecuniary interest therein.</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principal business office of the Filers is located at:</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357 Tehama Street #3, San Francisco, CA 94103</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For citizenship of Filers, see Item 4 of the cover sheet for each Filer.</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This statement relates to the Issuer’s </w:t>
      </w:r>
      <w:r>
        <w:rPr>
          <w:rFonts w:ascii="Arial" w:cs="Arial" w:eastAsia="Arial" w:hAnsi="Arial"/>
          <w:sz w:val="20"/>
          <w:szCs w:val="20"/>
          <w:b w:val="1"/>
          <w:bCs w:val="1"/>
          <w:color w:val="auto"/>
        </w:rPr>
        <w:t>Common Stock, $0.0001 par value per share</w:t>
      </w:r>
      <w:r>
        <w:rPr>
          <w:rFonts w:ascii="Arial" w:cs="Arial" w:eastAsia="Arial" w:hAnsi="Arial"/>
          <w:sz w:val="20"/>
          <w:szCs w:val="20"/>
          <w:color w:val="auto"/>
        </w:rPr>
        <w:t xml:space="preserve"> (the “Stock”).</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CUSIP number of the Issuer is: </w:t>
      </w:r>
      <w:r>
        <w:rPr>
          <w:rFonts w:ascii="Arial" w:cs="Arial" w:eastAsia="Arial" w:hAnsi="Arial"/>
          <w:sz w:val="20"/>
          <w:szCs w:val="20"/>
          <w:b w:val="1"/>
          <w:bCs w:val="1"/>
          <w:color w:val="auto"/>
        </w:rPr>
        <w:t>816212104.</w:t>
      </w:r>
    </w:p>
    <w:p>
      <w:pPr>
        <w:spacing w:after="0" w:line="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233" w:right="5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816212104</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pacing w:after="0" w:line="222" w:lineRule="exact"/>
        <w:rPr>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Broker or dealer registered under section 15 of the Act (15 U.S.C. 78o).</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Bank as defined in section 3(a)(6) of the Act (15 U.S.C. 78c).</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Insurance company as defined in section 3(a)(19) of the Act (15 U.S.C. 78c).</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 ] An investment adviser in accordance with section 240.13d-1(b)(1)(ii)(E) as to EcoR1.</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section 240.13d-1(b)(1)(ii)(F).</w:t>
      </w:r>
    </w:p>
    <w:p>
      <w:pPr>
        <w:spacing w:after="0" w:line="215" w:lineRule="exact"/>
        <w:rPr>
          <w:rFonts w:ascii="Arial" w:cs="Arial" w:eastAsia="Arial" w:hAnsi="Arial"/>
          <w:sz w:val="20"/>
          <w:szCs w:val="20"/>
          <w:color w:val="auto"/>
        </w:rPr>
      </w:pPr>
    </w:p>
    <w:p>
      <w:pPr>
        <w:ind w:left="1300" w:right="2480" w:hanging="644"/>
        <w:spacing w:after="0" w:line="260" w:lineRule="auto"/>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 ] A parent holding company or control person in accordance with 240.13d-1(b)(1)(ii)(G) as to Mr. Nodelman.</w:t>
      </w:r>
    </w:p>
    <w:p>
      <w:pPr>
        <w:spacing w:after="0" w:line="176"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227" w:lineRule="exact"/>
        <w:rPr>
          <w:rFonts w:ascii="Arial" w:cs="Arial" w:eastAsia="Arial" w:hAnsi="Arial"/>
          <w:sz w:val="19"/>
          <w:szCs w:val="19"/>
          <w:color w:val="auto"/>
        </w:rPr>
      </w:pPr>
    </w:p>
    <w:p>
      <w:pPr>
        <w:ind w:left="1960" w:right="500" w:hanging="1304"/>
        <w:spacing w:after="0" w:line="260" w:lineRule="auto"/>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spacing w:after="0" w:line="176"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Group, in accordance with section 240.13d-1(b)(1)(ii)(J).</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20"/>
          <w:szCs w:val="20"/>
          <w:b w:val="1"/>
          <w:bCs w:val="1"/>
          <w:color w:val="auto"/>
        </w:rPr>
        <w:t>X</w:t>
      </w:r>
      <w:r>
        <w:rPr>
          <w:rFonts w:ascii="Arial" w:cs="Arial" w:eastAsia="Arial" w:hAnsi="Arial"/>
          <w:sz w:val="20"/>
          <w:szCs w:val="20"/>
          <w:color w:val="auto"/>
        </w:rPr>
        <w:t>].</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funds managed by EcoR1, including Qualified Fund, hold the Stock for the benefit of their investors and have the right to receive or the power to direct the receipt of dividends from, or the proceeds from the sale of, the Stock.</w:t>
      </w:r>
    </w:p>
    <w:p>
      <w:pPr>
        <w:spacing w:after="0" w:line="171" w:lineRule="exact"/>
        <w:rPr>
          <w:sz w:val="20"/>
          <w:szCs w:val="20"/>
          <w:color w:val="auto"/>
        </w:rPr>
      </w:pPr>
    </w:p>
    <w:p>
      <w:pPr>
        <w:ind w:left="1300" w:right="240" w:hanging="1295"/>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2"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EcoR1 is the general partner and investment adviser of investment funds, including Qualified Fund. Mr. Nodelman is the control person of EcoR1.</w:t>
      </w:r>
    </w:p>
    <w:p>
      <w:pPr>
        <w:spacing w:after="0" w:line="200" w:lineRule="exact"/>
        <w:rPr>
          <w:sz w:val="20"/>
          <w:szCs w:val="20"/>
          <w:color w:val="auto"/>
        </w:rPr>
      </w:pP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EcoR1 and Mr. Nodelman:</w:t>
      </w:r>
    </w:p>
    <w:p>
      <w:pPr>
        <w:spacing w:after="0" w:line="235" w:lineRule="exact"/>
        <w:rPr>
          <w:sz w:val="20"/>
          <w:szCs w:val="20"/>
          <w:color w:val="auto"/>
        </w:rPr>
      </w:pPr>
    </w:p>
    <w:p>
      <w:pPr>
        <w:ind w:left="660" w:right="520"/>
        <w:spacing w:after="0" w:line="246"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Qualified Fund:</w:t>
      </w:r>
    </w:p>
    <w:p>
      <w:pPr>
        <w:spacing w:after="0" w:line="235" w:lineRule="exact"/>
        <w:rPr>
          <w:sz w:val="20"/>
          <w:szCs w:val="20"/>
          <w:color w:val="auto"/>
        </w:rPr>
      </w:pPr>
    </w:p>
    <w:p>
      <w:pPr>
        <w:ind w:left="660" w:right="600"/>
        <w:spacing w:after="0" w:line="291"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SIGNATURE</w:t>
      </w:r>
    </w:p>
    <w:p>
      <w:pPr>
        <w:sectPr>
          <w:pgSz w:w="11900" w:h="16838" w:orient="portrait"/>
          <w:cols w:equalWidth="0" w:num="1">
            <w:col w:w="11100"/>
          </w:cols>
          <w:pgMar w:left="320" w:top="233" w:right="479" w:bottom="99" w:gutter="0" w:footer="0" w:header="0"/>
        </w:sectPr>
      </w:pPr>
    </w:p>
    <w:bookmarkStart w:id="6" w:name="page7"/>
    <w:bookmarkEnd w:id="6"/>
    <w:p>
      <w:pPr>
        <w:spacing w:after="0" w:line="261"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p>
      <w:pPr>
        <w:jc w:val="right"/>
        <w:ind w:right="9140"/>
        <w:spacing w:after="0"/>
        <w:rPr>
          <w:sz w:val="20"/>
          <w:szCs w:val="20"/>
          <w:color w:val="auto"/>
        </w:rPr>
      </w:pPr>
      <w:r>
        <w:rPr>
          <w:rFonts w:ascii="Arial" w:cs="Arial" w:eastAsia="Arial" w:hAnsi="Arial"/>
          <w:sz w:val="16"/>
          <w:szCs w:val="16"/>
          <w:color w:val="auto"/>
        </w:rPr>
        <w:t>Dated: February 12, 2021</w:t>
      </w:r>
    </w:p>
    <w:p>
      <w:pPr>
        <w:spacing w:after="0" w:line="188" w:lineRule="exact"/>
        <w:rPr>
          <w:sz w:val="20"/>
          <w:szCs w:val="20"/>
          <w:color w:val="auto"/>
        </w:rPr>
      </w:pPr>
    </w:p>
    <w:p>
      <w:pPr>
        <w:jc w:val="right"/>
        <w:ind w:right="9080"/>
        <w:spacing w:after="0"/>
        <w:rPr>
          <w:sz w:val="20"/>
          <w:szCs w:val="20"/>
          <w:color w:val="auto"/>
        </w:rPr>
      </w:pPr>
      <w:r>
        <w:rPr>
          <w:rFonts w:ascii="Arial" w:cs="Arial" w:eastAsia="Arial" w:hAnsi="Arial"/>
          <w:sz w:val="20"/>
          <w:szCs w:val="20"/>
          <w:b w:val="1"/>
          <w:bCs w:val="1"/>
          <w:color w:val="auto"/>
        </w:rPr>
        <w:t>EcoR1 CAPITAL, LLC</w:t>
      </w:r>
    </w:p>
    <w:p>
      <w:pPr>
        <w:spacing w:after="0" w:line="200" w:lineRule="exact"/>
        <w:rPr>
          <w:sz w:val="20"/>
          <w:szCs w:val="20"/>
          <w:color w:val="auto"/>
        </w:rPr>
      </w:pPr>
    </w:p>
    <w:p>
      <w:pPr>
        <w:spacing w:after="0" w:line="265" w:lineRule="exact"/>
        <w:rPr>
          <w:sz w:val="20"/>
          <w:szCs w:val="20"/>
          <w:color w:val="auto"/>
        </w:rPr>
      </w:pPr>
    </w:p>
    <w:p>
      <w:pPr>
        <w:ind w:left="100"/>
        <w:spacing w:after="0"/>
        <w:tabs>
          <w:tab w:leader="none" w:pos="5480" w:val="left"/>
        </w:tabs>
        <w:rPr>
          <w:sz w:val="20"/>
          <w:szCs w:val="20"/>
          <w:color w:val="auto"/>
        </w:rPr>
      </w:pPr>
      <w:r>
        <w:rPr>
          <w:rFonts w:ascii="Arial" w:cs="Arial" w:eastAsia="Arial" w:hAnsi="Arial"/>
          <w:sz w:val="20"/>
          <w:szCs w:val="20"/>
          <w:color w:val="auto"/>
        </w:rPr>
        <w:t>By: /s/ Oleg Nodelman, Manager</w:t>
      </w:r>
      <w:r>
        <w:rPr>
          <w:sz w:val="20"/>
          <w:szCs w:val="20"/>
          <w:color w:val="auto"/>
        </w:rPr>
        <w:tab/>
      </w:r>
      <w:r>
        <w:rPr>
          <w:rFonts w:ascii="Arial" w:cs="Arial" w:eastAsia="Arial" w:hAnsi="Arial"/>
          <w:sz w:val="18"/>
          <w:szCs w:val="18"/>
          <w:color w:val="auto"/>
        </w:rPr>
        <w:t>/s/ Oleg Nodelman</w:t>
      </w:r>
    </w:p>
    <w:p>
      <w:pPr>
        <w:spacing w:after="0" w:line="200" w:lineRule="exact"/>
        <w:rPr>
          <w:sz w:val="20"/>
          <w:szCs w:val="20"/>
          <w:color w:val="auto"/>
        </w:rPr>
      </w:pPr>
    </w:p>
    <w:p>
      <w:pPr>
        <w:spacing w:after="0" w:line="25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FUND QUALIFIED,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EcoR1 Capital, LLC, General Partner</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/s/ Oleg Nodelman, Manager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816212104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common stock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68" w:lineRule="exact"/>
        <w:rPr>
          <w:sz w:val="20"/>
          <w:szCs w:val="20"/>
          <w:color w:val="auto"/>
        </w:rPr>
      </w:pPr>
    </w:p>
    <w:p>
      <w:pPr>
        <w:jc w:val="right"/>
        <w:ind w:right="9200"/>
        <w:spacing w:after="0"/>
        <w:rPr>
          <w:sz w:val="20"/>
          <w:szCs w:val="20"/>
          <w:color w:val="auto"/>
        </w:rPr>
      </w:pPr>
      <w:r>
        <w:rPr>
          <w:rFonts w:ascii="Arial" w:cs="Arial" w:eastAsia="Arial" w:hAnsi="Arial"/>
          <w:sz w:val="16"/>
          <w:szCs w:val="16"/>
          <w:color w:val="auto"/>
        </w:rPr>
        <w:t>Dated: February 12, 2021</w:t>
      </w:r>
    </w:p>
    <w:p>
      <w:pPr>
        <w:spacing w:after="0" w:line="188" w:lineRule="exact"/>
        <w:rPr>
          <w:sz w:val="20"/>
          <w:szCs w:val="20"/>
          <w:color w:val="auto"/>
        </w:rPr>
      </w:pPr>
    </w:p>
    <w:p>
      <w:pPr>
        <w:jc w:val="right"/>
        <w:ind w:right="9140"/>
        <w:spacing w:after="0"/>
        <w:rPr>
          <w:sz w:val="20"/>
          <w:szCs w:val="20"/>
          <w:color w:val="auto"/>
        </w:rPr>
      </w:pPr>
      <w:r>
        <w:rPr>
          <w:rFonts w:ascii="Arial" w:cs="Arial" w:eastAsia="Arial" w:hAnsi="Arial"/>
          <w:sz w:val="20"/>
          <w:szCs w:val="20"/>
          <w:b w:val="1"/>
          <w:bCs w:val="1"/>
          <w:color w:val="auto"/>
        </w:rPr>
        <w:t>EcoR1 CAPITAL, LLC</w:t>
      </w:r>
    </w:p>
    <w:p>
      <w:pPr>
        <w:spacing w:after="0" w:line="200" w:lineRule="exact"/>
        <w:rPr>
          <w:sz w:val="20"/>
          <w:szCs w:val="20"/>
          <w:color w:val="auto"/>
        </w:rPr>
      </w:pPr>
    </w:p>
    <w:p>
      <w:pPr>
        <w:spacing w:after="0" w:line="265" w:lineRule="exact"/>
        <w:rPr>
          <w:sz w:val="20"/>
          <w:szCs w:val="20"/>
          <w:color w:val="auto"/>
        </w:rPr>
      </w:pPr>
    </w:p>
    <w:p>
      <w:pPr>
        <w:ind w:left="100"/>
        <w:spacing w:after="0"/>
        <w:tabs>
          <w:tab w:leader="none" w:pos="5480" w:val="left"/>
        </w:tabs>
        <w:rPr>
          <w:sz w:val="20"/>
          <w:szCs w:val="20"/>
          <w:color w:val="auto"/>
        </w:rPr>
      </w:pPr>
      <w:r>
        <w:rPr>
          <w:rFonts w:ascii="Arial" w:cs="Arial" w:eastAsia="Arial" w:hAnsi="Arial"/>
          <w:sz w:val="20"/>
          <w:szCs w:val="20"/>
          <w:color w:val="auto"/>
        </w:rPr>
        <w:t>By: /s/ Oleg Nodelman, Manager</w:t>
      </w:r>
      <w:r>
        <w:rPr>
          <w:sz w:val="20"/>
          <w:szCs w:val="20"/>
          <w:color w:val="auto"/>
        </w:rPr>
        <w:tab/>
      </w:r>
      <w:r>
        <w:rPr>
          <w:rFonts w:ascii="Arial" w:cs="Arial" w:eastAsia="Arial" w:hAnsi="Arial"/>
          <w:sz w:val="18"/>
          <w:szCs w:val="18"/>
          <w:color w:val="auto"/>
        </w:rPr>
        <w:t>/s/ Oleg Nodelman</w:t>
      </w:r>
    </w:p>
    <w:p>
      <w:pPr>
        <w:spacing w:after="0" w:line="200" w:lineRule="exact"/>
        <w:rPr>
          <w:sz w:val="20"/>
          <w:szCs w:val="20"/>
          <w:color w:val="auto"/>
        </w:rPr>
      </w:pPr>
    </w:p>
    <w:p>
      <w:pPr>
        <w:spacing w:after="0" w:line="25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FUND QUALIFIED,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EcoR1 Capital, LLC, General Partner</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/s/ Oleg Nodelman, Manager</w:t>
      </w: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decimal"/>
      <w:start w:val="1"/>
    </w:lvl>
    <w:lvl w:ilvl="1">
      <w:lvlJc w:val="left"/>
      <w:lvlText w:val="(%2)"/>
      <w:numFmt w:val="lowerLetter"/>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9"/>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2021-02-12T16:28:18Z</dcterms:created>
  <dcterms:modified xsi:type="dcterms:W3CDTF">2021-02-12T16:28:18Z</dcterms:modified>
</cp:coreProperties>
</file>