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143" w:lineRule="exact"/>
        <w:rPr>
          <w:sz w:val="24"/>
          <w:szCs w:val="24"/>
          <w:color w:val="auto"/>
        </w:rPr>
      </w:pPr>
    </w:p>
    <w:p>
      <w:pPr>
        <w:jc w:val="center"/>
        <w:ind w:right="-79"/>
        <w:spacing w:after="0"/>
        <w:rPr>
          <w:sz w:val="20"/>
          <w:szCs w:val="20"/>
          <w:color w:val="auto"/>
        </w:rPr>
      </w:pPr>
      <w:r>
        <w:rPr>
          <w:rFonts w:ascii="Arial" w:cs="Arial" w:eastAsia="Arial" w:hAnsi="Arial"/>
          <w:sz w:val="21"/>
          <w:szCs w:val="21"/>
          <w:b w:val="1"/>
          <w:bCs w:val="1"/>
          <w:color w:val="auto"/>
        </w:rPr>
        <w:t>SECURITIES AND EXCHANGE COMMISSION</w:t>
      </w:r>
    </w:p>
    <w:p>
      <w:pPr>
        <w:spacing w:after="0" w:line="30" w:lineRule="exact"/>
        <w:rPr>
          <w:sz w:val="24"/>
          <w:szCs w:val="24"/>
          <w:color w:val="auto"/>
        </w:rPr>
      </w:pPr>
    </w:p>
    <w:p>
      <w:pPr>
        <w:jc w:val="center"/>
        <w:ind w:right="-79"/>
        <w:spacing w:after="0"/>
        <w:rPr>
          <w:sz w:val="20"/>
          <w:szCs w:val="20"/>
          <w:color w:val="auto"/>
        </w:rPr>
      </w:pPr>
      <w:r>
        <w:rPr>
          <w:rFonts w:ascii="Arial" w:cs="Arial" w:eastAsia="Arial" w:hAnsi="Arial"/>
          <w:sz w:val="12"/>
          <w:szCs w:val="12"/>
          <w:b w:val="1"/>
          <w:bCs w:val="1"/>
          <w:color w:val="auto"/>
        </w:rPr>
        <w:t>Washington, D.C. 20549</w:t>
      </w:r>
    </w:p>
    <w:p>
      <w:pPr>
        <w:spacing w:after="0" w:line="131"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FORM 8-K</w:t>
      </w:r>
    </w:p>
    <w:p>
      <w:pPr>
        <w:spacing w:after="0" w:line="89"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CURRENT REPORT</w:t>
      </w:r>
    </w:p>
    <w:p>
      <w:pPr>
        <w:spacing w:after="0" w:line="9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Pursuant to Section 13 or 15(d) of</w:t>
      </w:r>
    </w:p>
    <w:p>
      <w:pPr>
        <w:spacing w:after="0" w:line="25"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the Securities Exchange Act of 1934</w:t>
      </w:r>
    </w:p>
    <w:p>
      <w:pPr>
        <w:spacing w:after="0" w:line="139" w:lineRule="exact"/>
        <w:rPr>
          <w:sz w:val="24"/>
          <w:szCs w:val="24"/>
          <w:color w:val="auto"/>
        </w:rPr>
      </w:pPr>
    </w:p>
    <w:p>
      <w:pPr>
        <w:jc w:val="center"/>
        <w:ind w:right="-79"/>
        <w:spacing w:after="0"/>
        <w:rPr>
          <w:sz w:val="20"/>
          <w:szCs w:val="20"/>
          <w:color w:val="auto"/>
        </w:rPr>
      </w:pPr>
      <w:r>
        <w:rPr>
          <w:rFonts w:ascii="Arial" w:cs="Arial" w:eastAsia="Arial" w:hAnsi="Arial"/>
          <w:sz w:val="12"/>
          <w:szCs w:val="12"/>
          <w:color w:val="auto"/>
        </w:rPr>
        <w:t>Date of Report (Date of earliest event reported): January 13, 2020</w:t>
      </w:r>
    </w:p>
    <w:p>
      <w:pPr>
        <w:spacing w:after="0" w:line="78"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SELECTA BIOSCIENCES, INC.</w:t>
      </w:r>
    </w:p>
    <w:p>
      <w:pPr>
        <w:spacing w:after="0" w:line="19" w:lineRule="exact"/>
        <w:rPr>
          <w:sz w:val="24"/>
          <w:szCs w:val="24"/>
          <w:color w:val="auto"/>
        </w:rPr>
      </w:pPr>
    </w:p>
    <w:p>
      <w:pPr>
        <w:jc w:val="center"/>
        <w:ind w:right="-79"/>
        <w:spacing w:after="0"/>
        <w:rPr>
          <w:sz w:val="20"/>
          <w:szCs w:val="20"/>
          <w:color w:val="auto"/>
        </w:rPr>
      </w:pPr>
      <w:r>
        <w:rPr>
          <w:rFonts w:ascii="Arial" w:cs="Arial" w:eastAsia="Arial" w:hAnsi="Arial"/>
          <w:sz w:val="12"/>
          <w:szCs w:val="12"/>
          <w:color w:val="auto"/>
        </w:rPr>
        <w:t>(Exact name of registrant as specified in its charter)</w:t>
      </w:r>
    </w:p>
    <w:p>
      <w:pPr>
        <w:sectPr>
          <w:pgSz w:w="11900" w:h="16838" w:orient="portrait"/>
          <w:cols w:equalWidth="0" w:num="1">
            <w:col w:w="11380"/>
          </w:cols>
          <w:pgMar w:left="220" w:top="193" w:right="299" w:bottom="1440" w:gutter="0" w:footer="0" w:header="0"/>
        </w:sectPr>
      </w:pPr>
    </w:p>
    <w:p>
      <w:pPr>
        <w:spacing w:after="0" w:line="181" w:lineRule="exact"/>
        <w:rPr>
          <w:sz w:val="24"/>
          <w:szCs w:val="24"/>
          <w:color w:val="auto"/>
        </w:rPr>
      </w:pPr>
    </w:p>
    <w:p>
      <w:pPr>
        <w:ind w:left="1480"/>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jc w:val="center"/>
        <w:ind w:right="2760"/>
        <w:spacing w:after="0"/>
        <w:rPr>
          <w:sz w:val="20"/>
          <w:szCs w:val="20"/>
          <w:color w:val="auto"/>
        </w:rPr>
      </w:pPr>
      <w:r>
        <w:rPr>
          <w:rFonts w:ascii="Arial" w:cs="Arial" w:eastAsia="Arial" w:hAnsi="Arial"/>
          <w:sz w:val="10"/>
          <w:szCs w:val="10"/>
          <w:b w:val="1"/>
          <w:bCs w:val="1"/>
          <w:color w:val="auto"/>
        </w:rPr>
        <w:t>001-37798</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26-1622110</w:t>
      </w:r>
    </w:p>
    <w:p>
      <w:pPr>
        <w:spacing w:after="0" w:line="69" w:lineRule="exact"/>
        <w:rPr>
          <w:sz w:val="24"/>
          <w:szCs w:val="24"/>
          <w:color w:val="auto"/>
        </w:rPr>
      </w:pPr>
    </w:p>
    <w:p>
      <w:pPr>
        <w:sectPr>
          <w:pgSz w:w="11900" w:h="16838" w:orient="portrait"/>
          <w:cols w:equalWidth="0" w:num="3">
            <w:col w:w="4700" w:space="720"/>
            <w:col w:w="3280" w:space="720"/>
            <w:col w:w="1960"/>
          </w:cols>
          <w:pgMar w:left="220" w:top="193" w:right="299" w:bottom="1440" w:gutter="0" w:footer="0" w:header="0"/>
          <w:type w:val="continuous"/>
        </w:sectPr>
      </w:pPr>
    </w:p>
    <w:p>
      <w:pPr>
        <w:jc w:val="center"/>
        <w:ind w:right="1220"/>
        <w:spacing w:after="0"/>
        <w:rPr>
          <w:sz w:val="20"/>
          <w:szCs w:val="20"/>
          <w:color w:val="auto"/>
        </w:rPr>
      </w:pPr>
      <w:r>
        <w:rPr>
          <w:rFonts w:ascii="Arial" w:cs="Arial" w:eastAsia="Arial" w:hAnsi="Arial"/>
          <w:sz w:val="11"/>
          <w:szCs w:val="11"/>
          <w:color w:val="auto"/>
        </w:rPr>
        <w:t>(State or other jurisdiction</w:t>
      </w:r>
    </w:p>
    <w:p>
      <w:pPr>
        <w:spacing w:after="0" w:line="26" w:lineRule="exact"/>
        <w:rPr>
          <w:sz w:val="24"/>
          <w:szCs w:val="24"/>
          <w:color w:val="auto"/>
        </w:rPr>
      </w:pPr>
    </w:p>
    <w:p>
      <w:pPr>
        <w:jc w:val="center"/>
        <w:ind w:right="1220"/>
        <w:spacing w:after="0"/>
        <w:rPr>
          <w:sz w:val="20"/>
          <w:szCs w:val="20"/>
          <w:color w:val="auto"/>
        </w:rPr>
      </w:pPr>
      <w:r>
        <w:rPr>
          <w:rFonts w:ascii="Arial" w:cs="Arial" w:eastAsia="Arial" w:hAnsi="Arial"/>
          <w:sz w:val="12"/>
          <w:szCs w:val="12"/>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(Commission</w:t>
      </w:r>
    </w:p>
    <w:p>
      <w:pPr>
        <w:spacing w:after="0" w:line="38" w:lineRule="exact"/>
        <w:rPr>
          <w:sz w:val="24"/>
          <w:szCs w:val="24"/>
          <w:color w:val="auto"/>
        </w:rPr>
      </w:pPr>
    </w:p>
    <w:p>
      <w:pPr>
        <w:spacing w:after="0"/>
        <w:rPr>
          <w:sz w:val="20"/>
          <w:szCs w:val="20"/>
          <w:color w:val="auto"/>
        </w:rPr>
      </w:pPr>
      <w:r>
        <w:rPr>
          <w:rFonts w:ascii="Arial" w:cs="Arial" w:eastAsia="Arial" w:hAnsi="Arial"/>
          <w:sz w:val="11"/>
          <w:szCs w:val="11"/>
          <w:color w:val="auto"/>
        </w:rPr>
        <w:t>File Number)</w:t>
      </w:r>
    </w:p>
    <w:p>
      <w:pPr>
        <w:spacing w:after="0" w:line="20" w:lineRule="exact"/>
        <w:rPr>
          <w:sz w:val="24"/>
          <w:szCs w:val="24"/>
          <w:color w:val="auto"/>
        </w:rPr>
      </w:pPr>
      <w:r>
        <w:rPr>
          <w:sz w:val="24"/>
          <w:szCs w:val="24"/>
          <w:color w:val="auto"/>
        </w:rPr>
        <w:br w:type="column"/>
      </w:r>
    </w:p>
    <w:p>
      <w:pPr>
        <w:jc w:val="center"/>
        <w:ind w:right="1240"/>
        <w:spacing w:after="0"/>
        <w:rPr>
          <w:sz w:val="20"/>
          <w:szCs w:val="20"/>
          <w:color w:val="auto"/>
        </w:rPr>
      </w:pPr>
      <w:r>
        <w:rPr>
          <w:rFonts w:ascii="Arial" w:cs="Arial" w:eastAsia="Arial" w:hAnsi="Arial"/>
          <w:sz w:val="12"/>
          <w:szCs w:val="12"/>
          <w:color w:val="auto"/>
        </w:rPr>
        <w:t>(IRS Employer</w:t>
      </w:r>
    </w:p>
    <w:p>
      <w:pPr>
        <w:spacing w:after="0" w:line="15" w:lineRule="exact"/>
        <w:rPr>
          <w:sz w:val="24"/>
          <w:szCs w:val="24"/>
          <w:color w:val="auto"/>
        </w:rPr>
      </w:pPr>
    </w:p>
    <w:p>
      <w:pPr>
        <w:jc w:val="center"/>
        <w:ind w:right="1240"/>
        <w:spacing w:after="0"/>
        <w:rPr>
          <w:sz w:val="20"/>
          <w:szCs w:val="20"/>
          <w:color w:val="auto"/>
        </w:rPr>
      </w:pPr>
      <w:r>
        <w:rPr>
          <w:rFonts w:ascii="Arial" w:cs="Arial" w:eastAsia="Arial" w:hAnsi="Arial"/>
          <w:sz w:val="11"/>
          <w:szCs w:val="11"/>
          <w:color w:val="auto"/>
        </w:rPr>
        <w:t>Identification No.)</w:t>
      </w:r>
    </w:p>
    <w:p>
      <w:pPr>
        <w:spacing w:after="0" w:line="103" w:lineRule="exact"/>
        <w:rPr>
          <w:sz w:val="24"/>
          <w:szCs w:val="24"/>
          <w:color w:val="auto"/>
        </w:rPr>
      </w:pPr>
    </w:p>
    <w:p>
      <w:pPr>
        <w:sectPr>
          <w:pgSz w:w="11900" w:h="16838" w:orient="portrait"/>
          <w:cols w:equalWidth="0" w:num="3">
            <w:col w:w="4640" w:space="720"/>
            <w:col w:w="3180" w:space="720"/>
            <w:col w:w="2120"/>
          </w:cols>
          <w:pgMar w:left="220" w:top="193" w:right="299" w:bottom="1440" w:gutter="0" w:footer="0" w:header="0"/>
          <w:type w:val="continuous"/>
        </w:sectPr>
      </w:pPr>
    </w:p>
    <w:p>
      <w:pPr>
        <w:ind w:left="5300"/>
        <w:spacing w:after="0"/>
        <w:rPr>
          <w:sz w:val="20"/>
          <w:szCs w:val="20"/>
          <w:color w:val="auto"/>
        </w:rPr>
      </w:pPr>
      <w:r>
        <w:rPr>
          <w:rFonts w:ascii="Arial" w:cs="Arial" w:eastAsia="Arial" w:hAnsi="Arial"/>
          <w:sz w:val="12"/>
          <w:szCs w:val="12"/>
          <w:b w:val="1"/>
          <w:bCs w:val="1"/>
          <w:color w:val="auto"/>
        </w:rPr>
        <w:t>480 Arsenal Way</w:t>
      </w:r>
    </w:p>
    <w:p>
      <w:pPr>
        <w:spacing w:after="0" w:line="19" w:lineRule="exact"/>
        <w:rPr>
          <w:sz w:val="24"/>
          <w:szCs w:val="24"/>
          <w:color w:val="auto"/>
        </w:rPr>
      </w:pPr>
    </w:p>
    <w:p>
      <w:pPr>
        <w:ind w:left="5160"/>
        <w:spacing w:after="0"/>
        <w:rPr>
          <w:sz w:val="20"/>
          <w:szCs w:val="20"/>
          <w:color w:val="auto"/>
        </w:rPr>
      </w:pPr>
      <w:r>
        <w:rPr>
          <w:rFonts w:ascii="Arial" w:cs="Arial" w:eastAsia="Arial" w:hAnsi="Arial"/>
          <w:sz w:val="12"/>
          <w:szCs w:val="12"/>
          <w:b w:val="1"/>
          <w:bCs w:val="1"/>
          <w:color w:val="auto"/>
        </w:rPr>
        <w:t>Watertown, MA 02472</w:t>
      </w:r>
    </w:p>
    <w:p>
      <w:pPr>
        <w:spacing w:after="0" w:line="6" w:lineRule="exact"/>
        <w:rPr>
          <w:sz w:val="24"/>
          <w:szCs w:val="24"/>
          <w:color w:val="auto"/>
        </w:rPr>
      </w:pPr>
    </w:p>
    <w:p>
      <w:pPr>
        <w:ind w:left="4600"/>
        <w:spacing w:after="0"/>
        <w:rPr>
          <w:sz w:val="20"/>
          <w:szCs w:val="20"/>
          <w:color w:val="auto"/>
        </w:rPr>
      </w:pPr>
      <w:r>
        <w:rPr>
          <w:rFonts w:ascii="Arial" w:cs="Arial" w:eastAsia="Arial" w:hAnsi="Arial"/>
          <w:sz w:val="11"/>
          <w:szCs w:val="11"/>
          <w:color w:val="auto"/>
        </w:rPr>
        <w:t>(Address of principal executive offices) (Zip Code)</w:t>
      </w:r>
    </w:p>
    <w:p>
      <w:pPr>
        <w:spacing w:after="0" w:line="149" w:lineRule="exact"/>
        <w:rPr>
          <w:sz w:val="24"/>
          <w:szCs w:val="24"/>
          <w:color w:val="auto"/>
        </w:rPr>
      </w:pPr>
    </w:p>
    <w:p>
      <w:pPr>
        <w:jc w:val="center"/>
        <w:ind w:right="-99"/>
        <w:spacing w:after="0"/>
        <w:rPr>
          <w:sz w:val="20"/>
          <w:szCs w:val="20"/>
          <w:color w:val="auto"/>
        </w:rPr>
      </w:pPr>
      <w:r>
        <w:rPr>
          <w:rFonts w:ascii="Arial" w:cs="Arial" w:eastAsia="Arial" w:hAnsi="Arial"/>
          <w:sz w:val="12"/>
          <w:szCs w:val="12"/>
          <w:b w:val="1"/>
          <w:bCs w:val="1"/>
          <w:color w:val="auto"/>
        </w:rPr>
        <w:t>(617) 923-1400</w:t>
      </w:r>
    </w:p>
    <w:p>
      <w:pPr>
        <w:spacing w:after="0" w:line="19" w:lineRule="exact"/>
        <w:rPr>
          <w:sz w:val="24"/>
          <w:szCs w:val="24"/>
          <w:color w:val="auto"/>
        </w:rPr>
      </w:pPr>
    </w:p>
    <w:p>
      <w:pPr>
        <w:jc w:val="center"/>
        <w:ind w:right="-139"/>
        <w:spacing w:after="0"/>
        <w:rPr>
          <w:sz w:val="20"/>
          <w:szCs w:val="20"/>
          <w:color w:val="auto"/>
        </w:rPr>
      </w:pPr>
      <w:r>
        <w:rPr>
          <w:rFonts w:ascii="Arial" w:cs="Arial" w:eastAsia="Arial" w:hAnsi="Arial"/>
          <w:sz w:val="12"/>
          <w:szCs w:val="12"/>
          <w:color w:val="auto"/>
        </w:rPr>
        <w:t>Registrant’s telephone number, including area code</w:t>
      </w:r>
    </w:p>
    <w:p>
      <w:pPr>
        <w:spacing w:after="0" w:line="137" w:lineRule="exact"/>
        <w:rPr>
          <w:sz w:val="24"/>
          <w:szCs w:val="24"/>
          <w:color w:val="auto"/>
        </w:rPr>
      </w:pPr>
    </w:p>
    <w:p>
      <w:pPr>
        <w:jc w:val="center"/>
        <w:ind w:right="-99"/>
        <w:spacing w:after="0"/>
        <w:rPr>
          <w:sz w:val="20"/>
          <w:szCs w:val="20"/>
          <w:color w:val="auto"/>
        </w:rPr>
      </w:pPr>
      <w:r>
        <w:rPr>
          <w:rFonts w:ascii="Arial" w:cs="Arial" w:eastAsia="Arial" w:hAnsi="Arial"/>
          <w:sz w:val="12"/>
          <w:szCs w:val="12"/>
          <w:b w:val="1"/>
          <w:bCs w:val="1"/>
          <w:color w:val="auto"/>
        </w:rPr>
        <w:t>N/A</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0"/>
          <w:szCs w:val="10"/>
          <w:color w:val="auto"/>
        </w:rPr>
        <w:t>(Former name or former address, if changed since last report)</w:t>
      </w:r>
    </w:p>
    <w:p>
      <w:pPr>
        <w:sectPr>
          <w:pgSz w:w="11900" w:h="16838" w:orient="portrait"/>
          <w:cols w:equalWidth="0" w:num="1">
            <w:col w:w="11380"/>
          </w:cols>
          <w:pgMar w:left="220" w:top="193" w:right="299" w:bottom="1440" w:gutter="0" w:footer="0" w:header="0"/>
          <w:type w:val="continuous"/>
        </w:sectPr>
      </w:pPr>
    </w:p>
    <w:p>
      <w:pPr>
        <w:spacing w:after="0" w:line="164" w:lineRule="exact"/>
        <w:rPr>
          <w:sz w:val="24"/>
          <w:szCs w:val="24"/>
          <w:color w:val="auto"/>
        </w:rPr>
      </w:pPr>
    </w:p>
    <w:p>
      <w:pPr>
        <w:spacing w:after="0"/>
        <w:rPr>
          <w:sz w:val="20"/>
          <w:szCs w:val="20"/>
          <w:color w:val="auto"/>
        </w:rPr>
      </w:pPr>
      <w:r>
        <w:rPr>
          <w:rFonts w:ascii="Arial" w:cs="Arial" w:eastAsia="Arial" w:hAnsi="Arial"/>
          <w:sz w:val="11"/>
          <w:szCs w:val="11"/>
          <w:color w:val="auto"/>
        </w:rPr>
        <w:t>Check the appropriate box below if the Form 8-K filing is intended to simultaneously satisfy the filing obligation of the registrant under any of the following provisions:</w:t>
      </w:r>
    </w:p>
    <w:p>
      <w:pPr>
        <w:spacing w:after="0" w:line="129" w:lineRule="exact"/>
        <w:rPr>
          <w:sz w:val="24"/>
          <w:szCs w:val="24"/>
          <w:color w:val="auto"/>
        </w:rPr>
      </w:pPr>
    </w:p>
    <w:p>
      <w:pPr>
        <w:ind w:left="1380" w:hanging="902"/>
        <w:spacing w:after="0"/>
        <w:tabs>
          <w:tab w:leader="none" w:pos="1380" w:val="left"/>
        </w:tabs>
        <w:numPr>
          <w:ilvl w:val="0"/>
          <w:numId w:val="1"/>
        </w:numPr>
        <w:rPr>
          <w:rFonts w:ascii="Arial" w:cs="Arial" w:eastAsia="Arial" w:hAnsi="Arial"/>
          <w:sz w:val="11"/>
          <w:szCs w:val="11"/>
          <w:color w:val="auto"/>
        </w:rPr>
      </w:pPr>
      <w:r>
        <w:rPr>
          <w:rFonts w:ascii="Arial" w:cs="Arial" w:eastAsia="Arial" w:hAnsi="Arial"/>
          <w:sz w:val="11"/>
          <w:szCs w:val="11"/>
          <w:color w:val="auto"/>
        </w:rPr>
        <w:t>Written communications pursuant to Rule 425 under the Securities Act (17 CFR 230.425)</w:t>
      </w:r>
    </w:p>
    <w:p>
      <w:pPr>
        <w:spacing w:after="0" w:line="125" w:lineRule="exact"/>
        <w:rPr>
          <w:rFonts w:ascii="Arial" w:cs="Arial" w:eastAsia="Arial" w:hAnsi="Arial"/>
          <w:sz w:val="11"/>
          <w:szCs w:val="11"/>
          <w:color w:val="auto"/>
        </w:rPr>
      </w:pPr>
    </w:p>
    <w:p>
      <w:pPr>
        <w:ind w:left="1380" w:hanging="902"/>
        <w:spacing w:after="0"/>
        <w:tabs>
          <w:tab w:leader="none" w:pos="1380" w:val="left"/>
        </w:tabs>
        <w:numPr>
          <w:ilvl w:val="0"/>
          <w:numId w:val="1"/>
        </w:numPr>
        <w:rPr>
          <w:rFonts w:ascii="Arial" w:cs="Arial" w:eastAsia="Arial" w:hAnsi="Arial"/>
          <w:sz w:val="11"/>
          <w:szCs w:val="11"/>
          <w:color w:val="auto"/>
        </w:rPr>
      </w:pPr>
      <w:r>
        <w:rPr>
          <w:rFonts w:ascii="Arial" w:cs="Arial" w:eastAsia="Arial" w:hAnsi="Arial"/>
          <w:sz w:val="11"/>
          <w:szCs w:val="11"/>
          <w:color w:val="auto"/>
        </w:rPr>
        <w:t>Soliciting material pursuant to Rule 14a-12 under the Exchange Act (17 CFR 240.14a-12)</w:t>
      </w:r>
    </w:p>
    <w:p>
      <w:pPr>
        <w:spacing w:after="0" w:line="125" w:lineRule="exact"/>
        <w:rPr>
          <w:rFonts w:ascii="Arial" w:cs="Arial" w:eastAsia="Arial" w:hAnsi="Arial"/>
          <w:sz w:val="11"/>
          <w:szCs w:val="11"/>
          <w:color w:val="auto"/>
        </w:rPr>
      </w:pPr>
    </w:p>
    <w:p>
      <w:pPr>
        <w:ind w:left="1380" w:hanging="902"/>
        <w:spacing w:after="0"/>
        <w:tabs>
          <w:tab w:leader="none" w:pos="1380" w:val="left"/>
        </w:tabs>
        <w:numPr>
          <w:ilvl w:val="0"/>
          <w:numId w:val="1"/>
        </w:numPr>
        <w:rPr>
          <w:rFonts w:ascii="Arial" w:cs="Arial" w:eastAsia="Arial" w:hAnsi="Arial"/>
          <w:sz w:val="11"/>
          <w:szCs w:val="11"/>
          <w:color w:val="auto"/>
        </w:rPr>
      </w:pPr>
      <w:r>
        <w:rPr>
          <w:rFonts w:ascii="Arial" w:cs="Arial" w:eastAsia="Arial" w:hAnsi="Arial"/>
          <w:sz w:val="11"/>
          <w:szCs w:val="11"/>
          <w:color w:val="auto"/>
        </w:rPr>
        <w:t>Pre-commencement communications pursuant to Rule 14d-2(b) under the Exchange Act (17 CFR 240.14d-2(b))</w:t>
      </w:r>
    </w:p>
    <w:p>
      <w:pPr>
        <w:spacing w:after="0" w:line="125" w:lineRule="exact"/>
        <w:rPr>
          <w:rFonts w:ascii="Arial" w:cs="Arial" w:eastAsia="Arial" w:hAnsi="Arial"/>
          <w:sz w:val="11"/>
          <w:szCs w:val="11"/>
          <w:color w:val="auto"/>
        </w:rPr>
      </w:pPr>
    </w:p>
    <w:p>
      <w:pPr>
        <w:ind w:left="1380" w:hanging="902"/>
        <w:spacing w:after="0"/>
        <w:tabs>
          <w:tab w:leader="none" w:pos="1380" w:val="left"/>
        </w:tabs>
        <w:numPr>
          <w:ilvl w:val="0"/>
          <w:numId w:val="1"/>
        </w:numPr>
        <w:rPr>
          <w:rFonts w:ascii="Arial" w:cs="Arial" w:eastAsia="Arial" w:hAnsi="Arial"/>
          <w:sz w:val="11"/>
          <w:szCs w:val="11"/>
          <w:color w:val="auto"/>
        </w:rPr>
      </w:pPr>
      <w:r>
        <w:rPr>
          <w:rFonts w:ascii="Arial" w:cs="Arial" w:eastAsia="Arial" w:hAnsi="Arial"/>
          <w:sz w:val="11"/>
          <w:szCs w:val="11"/>
          <w:color w:val="auto"/>
        </w:rPr>
        <w:t>Pre-commencement communications pursuant to Rule 13e-4(c) under the Exchange Act (17 CFR 240.13e-4(c))</w:t>
      </w:r>
    </w:p>
    <w:p>
      <w:pPr>
        <w:spacing w:after="0" w:line="289" w:lineRule="exact"/>
        <w:rPr>
          <w:sz w:val="24"/>
          <w:szCs w:val="24"/>
          <w:color w:val="auto"/>
        </w:rPr>
      </w:pPr>
    </w:p>
    <w:p>
      <w:pPr>
        <w:jc w:val="center"/>
        <w:ind w:right="-79"/>
        <w:spacing w:after="0"/>
        <w:rPr>
          <w:sz w:val="20"/>
          <w:szCs w:val="20"/>
          <w:color w:val="auto"/>
        </w:rPr>
      </w:pPr>
      <w:r>
        <w:rPr>
          <w:rFonts w:ascii="Arial" w:cs="Arial" w:eastAsia="Arial" w:hAnsi="Arial"/>
          <w:sz w:val="12"/>
          <w:szCs w:val="12"/>
          <w:b w:val="1"/>
          <w:bCs w:val="1"/>
          <w:color w:val="auto"/>
        </w:rPr>
        <w:t>Securities registered pursuant to Section 12(b) of the Act:</w:t>
      </w:r>
    </w:p>
    <w:p>
      <w:pPr>
        <w:sectPr>
          <w:pgSz w:w="11900" w:h="16838" w:orient="portrait"/>
          <w:cols w:equalWidth="0" w:num="1">
            <w:col w:w="11380"/>
          </w:cols>
          <w:pgMar w:left="220" w:top="193" w:right="299" w:bottom="1440" w:gutter="0" w:footer="0" w:header="0"/>
          <w:type w:val="continuous"/>
        </w:sectPr>
      </w:pPr>
    </w:p>
    <w:p>
      <w:pPr>
        <w:spacing w:after="0" w:line="127" w:lineRule="exact"/>
        <w:rPr>
          <w:sz w:val="24"/>
          <w:szCs w:val="24"/>
          <w:color w:val="auto"/>
        </w:rPr>
      </w:pPr>
    </w:p>
    <w:p>
      <w:pPr>
        <w:jc w:val="center"/>
        <w:ind w:left="60"/>
        <w:spacing w:after="0"/>
        <w:rPr>
          <w:sz w:val="20"/>
          <w:szCs w:val="20"/>
          <w:color w:val="auto"/>
        </w:rPr>
      </w:pPr>
      <w:r>
        <w:rPr>
          <w:rFonts w:ascii="Arial" w:cs="Arial" w:eastAsia="Arial" w:hAnsi="Arial"/>
          <w:sz w:val="10"/>
          <w:szCs w:val="10"/>
          <w:color w:val="auto"/>
        </w:rPr>
        <w:t>Title of each class</w:t>
      </w:r>
    </w:p>
    <w:p>
      <w:pPr>
        <w:spacing w:after="0" w:line="65" w:lineRule="exact"/>
        <w:rPr>
          <w:sz w:val="24"/>
          <w:szCs w:val="24"/>
          <w:color w:val="auto"/>
        </w:rPr>
      </w:pPr>
    </w:p>
    <w:p>
      <w:pPr>
        <w:jc w:val="center"/>
        <w:ind w:left="60"/>
        <w:spacing w:after="0"/>
        <w:rPr>
          <w:sz w:val="20"/>
          <w:szCs w:val="20"/>
          <w:color w:val="auto"/>
        </w:rPr>
      </w:pPr>
      <w:r>
        <w:rPr>
          <w:rFonts w:ascii="Arial" w:cs="Arial" w:eastAsia="Arial" w:hAnsi="Arial"/>
          <w:sz w:val="12"/>
          <w:szCs w:val="12"/>
          <w:color w:val="auto"/>
        </w:rPr>
        <w:t>Common Stock,</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ind w:right="1200"/>
        <w:spacing w:after="0"/>
        <w:rPr>
          <w:sz w:val="20"/>
          <w:szCs w:val="20"/>
          <w:color w:val="auto"/>
        </w:rPr>
      </w:pPr>
      <w:r>
        <w:rPr>
          <w:rFonts w:ascii="Arial" w:cs="Arial" w:eastAsia="Arial" w:hAnsi="Arial"/>
          <w:sz w:val="11"/>
          <w:szCs w:val="11"/>
          <w:color w:val="auto"/>
        </w:rPr>
        <w:t>Trading Symbol(s)</w:t>
      </w:r>
    </w:p>
    <w:p>
      <w:pPr>
        <w:spacing w:after="0" w:line="54" w:lineRule="exact"/>
        <w:rPr>
          <w:sz w:val="24"/>
          <w:szCs w:val="24"/>
          <w:color w:val="auto"/>
        </w:rPr>
      </w:pPr>
    </w:p>
    <w:p>
      <w:pPr>
        <w:jc w:val="center"/>
        <w:ind w:right="1200"/>
        <w:spacing w:after="0"/>
        <w:rPr>
          <w:sz w:val="20"/>
          <w:szCs w:val="20"/>
          <w:color w:val="auto"/>
        </w:rPr>
      </w:pPr>
      <w:r>
        <w:rPr>
          <w:rFonts w:ascii="Arial" w:cs="Arial" w:eastAsia="Arial" w:hAnsi="Arial"/>
          <w:sz w:val="12"/>
          <w:szCs w:val="12"/>
          <w:color w:val="auto"/>
        </w:rPr>
        <w:t>SELB</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ind w:right="1200"/>
        <w:spacing w:after="0"/>
        <w:rPr>
          <w:sz w:val="20"/>
          <w:szCs w:val="20"/>
          <w:color w:val="auto"/>
        </w:rPr>
      </w:pPr>
      <w:r>
        <w:rPr>
          <w:rFonts w:ascii="Arial" w:cs="Arial" w:eastAsia="Arial" w:hAnsi="Arial"/>
          <w:sz w:val="10"/>
          <w:szCs w:val="10"/>
          <w:color w:val="auto"/>
        </w:rPr>
        <w:t>Name of each exchange on which registered</w:t>
      </w:r>
    </w:p>
    <w:p>
      <w:pPr>
        <w:spacing w:after="0" w:line="65" w:lineRule="exact"/>
        <w:rPr>
          <w:sz w:val="24"/>
          <w:szCs w:val="24"/>
          <w:color w:val="auto"/>
        </w:rPr>
      </w:pPr>
    </w:p>
    <w:p>
      <w:pPr>
        <w:jc w:val="center"/>
        <w:ind w:right="1200"/>
        <w:spacing w:after="0"/>
        <w:rPr>
          <w:sz w:val="20"/>
          <w:szCs w:val="20"/>
          <w:color w:val="auto"/>
        </w:rPr>
      </w:pPr>
      <w:r>
        <w:rPr>
          <w:rFonts w:ascii="Arial" w:cs="Arial" w:eastAsia="Arial" w:hAnsi="Arial"/>
          <w:sz w:val="12"/>
          <w:szCs w:val="12"/>
          <w:color w:val="auto"/>
        </w:rPr>
        <w:t>Nasdaq Global Market</w:t>
      </w:r>
    </w:p>
    <w:p>
      <w:pPr>
        <w:spacing w:after="0" w:line="42" w:lineRule="exact"/>
        <w:rPr>
          <w:sz w:val="24"/>
          <w:szCs w:val="24"/>
          <w:color w:val="auto"/>
        </w:rPr>
      </w:pPr>
    </w:p>
    <w:p>
      <w:pPr>
        <w:sectPr>
          <w:pgSz w:w="11900" w:h="16838" w:orient="portrait"/>
          <w:cols w:equalWidth="0" w:num="3">
            <w:col w:w="4520" w:space="720"/>
            <w:col w:w="2100" w:space="720"/>
            <w:col w:w="3320"/>
          </w:cols>
          <w:pgMar w:left="220" w:top="193" w:right="299" w:bottom="1440" w:gutter="0" w:footer="0" w:header="0"/>
          <w:type w:val="continuous"/>
        </w:sectPr>
      </w:pPr>
    </w:p>
    <w:p>
      <w:pPr>
        <w:ind w:left="1620"/>
        <w:spacing w:after="0"/>
        <w:rPr>
          <w:sz w:val="20"/>
          <w:szCs w:val="20"/>
          <w:color w:val="auto"/>
        </w:rPr>
      </w:pPr>
      <w:r>
        <w:rPr>
          <w:rFonts w:ascii="Arial" w:cs="Arial" w:eastAsia="Arial" w:hAnsi="Arial"/>
          <w:sz w:val="10"/>
          <w:szCs w:val="10"/>
          <w:color w:val="auto"/>
        </w:rPr>
        <w:t>$0.0001 par value per share</w:t>
      </w:r>
    </w:p>
    <w:p>
      <w:pPr>
        <w:sectPr>
          <w:pgSz w:w="11900" w:h="16838" w:orient="portrait"/>
          <w:cols w:equalWidth="0" w:num="1">
            <w:col w:w="11380"/>
          </w:cols>
          <w:pgMar w:left="220" w:top="193" w:right="299" w:bottom="1440" w:gutter="0" w:footer="0" w:header="0"/>
          <w:type w:val="continuous"/>
        </w:sectPr>
      </w:pPr>
    </w:p>
    <w:p>
      <w:pPr>
        <w:spacing w:after="0" w:line="128" w:lineRule="exact"/>
        <w:rPr>
          <w:sz w:val="24"/>
          <w:szCs w:val="24"/>
          <w:color w:val="auto"/>
        </w:rPr>
      </w:pPr>
    </w:p>
    <w:p>
      <w:pPr>
        <w:ind w:right="240"/>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3"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73" w:lineRule="exact"/>
        <w:rPr>
          <w:sz w:val="24"/>
          <w:szCs w:val="24"/>
          <w:color w:val="auto"/>
        </w:rPr>
      </w:pPr>
    </w:p>
    <w:p>
      <w:pPr>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101600</wp:posOffset>
            </wp:positionV>
            <wp:extent cx="72923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380"/>
          </w:cols>
          <w:pgMar w:left="220" w:top="193"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Item 7.01. Regulation FD Disclosure.</w:t>
      </w:r>
    </w:p>
    <w:p>
      <w:pPr>
        <w:spacing w:after="0" w:line="244" w:lineRule="exact"/>
        <w:rPr>
          <w:sz w:val="20"/>
          <w:szCs w:val="20"/>
          <w:color w:val="auto"/>
        </w:rPr>
      </w:pPr>
    </w:p>
    <w:p>
      <w:pPr>
        <w:ind w:right="120"/>
        <w:spacing w:after="0" w:line="323" w:lineRule="auto"/>
        <w:rPr>
          <w:sz w:val="20"/>
          <w:szCs w:val="20"/>
          <w:color w:val="auto"/>
        </w:rPr>
      </w:pPr>
      <w:r>
        <w:rPr>
          <w:rFonts w:ascii="Arial" w:cs="Arial" w:eastAsia="Arial" w:hAnsi="Arial"/>
          <w:sz w:val="11"/>
          <w:szCs w:val="11"/>
          <w:color w:val="auto"/>
        </w:rPr>
        <w:t>Selecta Biosciences, Inc. (the “Company”) from time to time presents and/or distributes to the investment community at various industry and other conferences slide presentations to provide updates and summaries of its business. A copy of its current corporate slide presentation is attached to this Current Report on Form 8-K as Exhibit 99.1. The Company undertakes no obligation to update, supplement or amend the materials attached hereto as Exhibit 99.1.</w:t>
      </w:r>
    </w:p>
    <w:p>
      <w:pPr>
        <w:spacing w:after="0" w:line="92" w:lineRule="exact"/>
        <w:rPr>
          <w:sz w:val="20"/>
          <w:szCs w:val="20"/>
          <w:color w:val="auto"/>
        </w:rPr>
      </w:pPr>
    </w:p>
    <w:p>
      <w:pPr>
        <w:ind w:right="80"/>
        <w:spacing w:after="0" w:line="323" w:lineRule="auto"/>
        <w:rPr>
          <w:sz w:val="20"/>
          <w:szCs w:val="20"/>
          <w:color w:val="auto"/>
        </w:rPr>
      </w:pPr>
      <w:r>
        <w:rPr>
          <w:rFonts w:ascii="Arial" w:cs="Arial" w:eastAsia="Arial" w:hAnsi="Arial"/>
          <w:sz w:val="11"/>
          <w:szCs w:val="11"/>
          <w:color w:val="auto"/>
        </w:rPr>
        <w:t>The information in Item 7.01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280" w:lineRule="exact"/>
        <w:rPr>
          <w:sz w:val="20"/>
          <w:szCs w:val="20"/>
          <w:color w:val="auto"/>
        </w:rPr>
      </w:pPr>
    </w:p>
    <w:p>
      <w:pPr>
        <w:ind w:left="580"/>
        <w:spacing w:after="0"/>
        <w:rPr>
          <w:sz w:val="20"/>
          <w:szCs w:val="20"/>
          <w:color w:val="auto"/>
        </w:rPr>
      </w:pPr>
      <w:r>
        <w:rPr>
          <w:rFonts w:ascii="Arial" w:cs="Arial" w:eastAsia="Arial" w:hAnsi="Arial"/>
          <w:sz w:val="12"/>
          <w:szCs w:val="12"/>
          <w:color w:val="auto"/>
        </w:rPr>
        <w:t>(d) Exhibits</w:t>
      </w:r>
    </w:p>
    <w:p>
      <w:pPr>
        <w:spacing w:after="0" w:line="276" w:lineRule="exact"/>
        <w:rPr>
          <w:sz w:val="20"/>
          <w:szCs w:val="20"/>
          <w:color w:val="auto"/>
        </w:rPr>
      </w:pPr>
    </w:p>
    <w:p>
      <w:pPr>
        <w:spacing w:after="0"/>
        <w:rPr>
          <w:sz w:val="20"/>
          <w:szCs w:val="20"/>
          <w:color w:val="auto"/>
        </w:rPr>
      </w:pPr>
      <w:r>
        <w:rPr>
          <w:rFonts w:ascii="Arial" w:cs="Arial" w:eastAsia="Arial" w:hAnsi="Arial"/>
          <w:sz w:val="12"/>
          <w:szCs w:val="12"/>
          <w:color w:val="auto"/>
        </w:rPr>
        <w:t>The following exhibit relating to Item 7.01 shall be deemed to be furnished, and not filed.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280" w:type="dxa"/>
            <w:vAlign w:val="bottom"/>
            <w:gridSpan w:val="4"/>
          </w:tcPr>
          <w:p>
            <w:pPr>
              <w:ind w:left="20"/>
              <w:spacing w:after="0"/>
              <w:rPr>
                <w:sz w:val="20"/>
                <w:szCs w:val="20"/>
                <w:color w:val="auto"/>
              </w:rPr>
            </w:pPr>
            <w:r>
              <w:rPr>
                <w:rFonts w:ascii="Arial" w:cs="Arial" w:eastAsia="Arial" w:hAnsi="Arial"/>
                <w:sz w:val="10"/>
                <w:szCs w:val="10"/>
                <w:b w:val="1"/>
                <w:bCs w:val="1"/>
                <w:color w:val="auto"/>
              </w:rPr>
              <w:t>Exhibit</w:t>
            </w:r>
          </w:p>
        </w:tc>
        <w:tc>
          <w:tcPr>
            <w:tcW w:w="2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5500" w:type="dxa"/>
            <w:vAlign w:val="bottom"/>
          </w:tcPr>
          <w:p>
            <w:pPr>
              <w:spacing w:after="0"/>
              <w:rPr>
                <w:sz w:val="10"/>
                <w:szCs w:val="10"/>
                <w:color w:val="auto"/>
              </w:rPr>
            </w:pPr>
          </w:p>
        </w:tc>
      </w:tr>
      <w:tr>
        <w:trPr>
          <w:trHeight w:val="146"/>
        </w:trPr>
        <w:tc>
          <w:tcPr>
            <w:tcW w:w="2280" w:type="dxa"/>
            <w:vAlign w:val="bottom"/>
            <w:gridSpan w:val="4"/>
          </w:tcPr>
          <w:p>
            <w:pPr>
              <w:ind w:left="20"/>
              <w:spacing w:after="0"/>
              <w:rPr>
                <w:sz w:val="20"/>
                <w:szCs w:val="20"/>
                <w:color w:val="auto"/>
              </w:rPr>
            </w:pPr>
            <w:r>
              <w:rPr>
                <w:rFonts w:ascii="Arial" w:cs="Arial" w:eastAsia="Arial" w:hAnsi="Arial"/>
                <w:sz w:val="10"/>
                <w:szCs w:val="10"/>
                <w:b w:val="1"/>
                <w:bCs w:val="1"/>
                <w:color w:val="auto"/>
              </w:rPr>
              <w:t>No.</w:t>
            </w:r>
          </w:p>
        </w:tc>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5500" w:type="dxa"/>
            <w:vAlign w:val="bottom"/>
          </w:tcPr>
          <w:p>
            <w:pPr>
              <w:ind w:left="660"/>
              <w:spacing w:after="0"/>
              <w:rPr>
                <w:sz w:val="20"/>
                <w:szCs w:val="20"/>
                <w:color w:val="auto"/>
              </w:rPr>
            </w:pPr>
            <w:r>
              <w:rPr>
                <w:rFonts w:ascii="Arial" w:cs="Arial" w:eastAsia="Arial" w:hAnsi="Arial"/>
                <w:sz w:val="10"/>
                <w:szCs w:val="10"/>
                <w:b w:val="1"/>
                <w:bCs w:val="1"/>
                <w:color w:val="auto"/>
              </w:rPr>
              <w:t>Description</w:t>
            </w:r>
          </w:p>
        </w:tc>
      </w:tr>
      <w:tr>
        <w:trPr>
          <w:trHeight w:val="128"/>
        </w:trPr>
        <w:tc>
          <w:tcPr>
            <w:tcW w:w="900" w:type="dxa"/>
            <w:vAlign w:val="bottom"/>
            <w:tcBorders>
              <w:top w:val="single" w:sz="8" w:color="auto"/>
            </w:tcBorders>
            <w:gridSpan w:val="2"/>
          </w:tcPr>
          <w:p>
            <w:pPr>
              <w:jc w:val="right"/>
              <w:spacing w:after="0" w:line="128" w:lineRule="exact"/>
              <w:rPr>
                <w:rFonts w:ascii="Arial" w:cs="Arial" w:eastAsia="Arial" w:hAnsi="Arial"/>
                <w:sz w:val="12"/>
                <w:szCs w:val="12"/>
                <w:color w:val="0000FF"/>
              </w:rPr>
            </w:pPr>
            <w:hyperlink w:anchor="page4">
              <w:r>
                <w:rPr>
                  <w:rFonts w:ascii="Arial" w:cs="Arial" w:eastAsia="Arial" w:hAnsi="Arial"/>
                  <w:sz w:val="12"/>
                  <w:szCs w:val="12"/>
                  <w:color w:val="0000FF"/>
                </w:rPr>
                <w:t>99.</w:t>
              </w:r>
              <w:r>
                <w:rPr>
                  <w:rFonts w:ascii="Arial" w:cs="Arial" w:eastAsia="Arial" w:hAnsi="Arial"/>
                  <w:sz w:val="12"/>
                  <w:szCs w:val="12"/>
                  <w:u w:val="single" w:color="auto"/>
                  <w:color w:val="0000FF"/>
                </w:rPr>
                <w:t>1</w:t>
              </w:r>
            </w:hyperlink>
          </w:p>
        </w:tc>
        <w:tc>
          <w:tcPr>
            <w:tcW w:w="700" w:type="dxa"/>
            <w:vAlign w:val="bottom"/>
            <w:tcBorders>
              <w:top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9200" w:type="dxa"/>
            <w:vAlign w:val="bottom"/>
            <w:tcBorders>
              <w:top w:val="single" w:sz="8" w:color="auto"/>
            </w:tcBorders>
            <w:gridSpan w:val="3"/>
          </w:tcPr>
          <w:p>
            <w:pPr>
              <w:ind w:left="20"/>
              <w:spacing w:after="0" w:line="128" w:lineRule="exact"/>
              <w:rPr>
                <w:rFonts w:ascii="Arial" w:cs="Arial" w:eastAsia="Arial" w:hAnsi="Arial"/>
                <w:sz w:val="12"/>
                <w:szCs w:val="12"/>
                <w:color w:val="0000FF"/>
              </w:rPr>
            </w:pPr>
            <w:hyperlink w:anchor="page4">
              <w:r>
                <w:rPr>
                  <w:rFonts w:ascii="Arial" w:cs="Arial" w:eastAsia="Arial" w:hAnsi="Arial"/>
                  <w:sz w:val="12"/>
                  <w:szCs w:val="12"/>
                  <w:color w:val="0000FF"/>
                </w:rPr>
                <w:t>Corporate slide presentation of Selecta Biosciences, Inc. dated January 2020</w:t>
              </w:r>
            </w:hyperlink>
          </w:p>
        </w:tc>
      </w:tr>
      <w:tr>
        <w:trPr>
          <w:trHeight w:val="20"/>
        </w:trPr>
        <w:tc>
          <w:tcPr>
            <w:tcW w:w="7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80" w:type="dxa"/>
            <w:vAlign w:val="bottom"/>
            <w:shd w:val="clear" w:color="auto" w:fill="0000FF"/>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r>
    </w:tbl>
    <w:p>
      <w:pPr>
        <w:sectPr>
          <w:pgSz w:w="11900" w:h="16838" w:orient="portrait"/>
          <w:cols w:equalWidth="0" w:num="1">
            <w:col w:w="11480"/>
          </w:cols>
          <w:pgMar w:left="220" w:top="307" w:right="199" w:bottom="1440" w:gutter="0" w:footer="0" w:header="0"/>
        </w:sectPr>
      </w:pPr>
    </w:p>
    <w:bookmarkStart w:id="2" w:name="page3"/>
    <w:bookmarkEnd w:id="2"/>
    <w:p>
      <w:pPr>
        <w:jc w:val="center"/>
        <w:spacing w:after="0"/>
        <w:rPr>
          <w:sz w:val="20"/>
          <w:szCs w:val="20"/>
          <w:color w:val="auto"/>
        </w:rPr>
      </w:pPr>
      <w:r>
        <w:rPr>
          <w:rFonts w:ascii="Arial" w:cs="Arial" w:eastAsia="Arial" w:hAnsi="Arial"/>
          <w:sz w:val="12"/>
          <w:szCs w:val="12"/>
          <w:b w:val="1"/>
          <w:bCs w:val="1"/>
          <w:color w:val="auto"/>
        </w:rPr>
        <w:t>SIGNATURES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153"/>
        </w:trPr>
        <w:tc>
          <w:tcPr>
            <w:tcW w:w="3360" w:type="dxa"/>
            <w:vAlign w:val="bottom"/>
          </w:tcPr>
          <w:p>
            <w:pPr>
              <w:spacing w:after="0"/>
              <w:rPr>
                <w:sz w:val="13"/>
                <w:szCs w:val="13"/>
                <w:color w:val="auto"/>
              </w:rPr>
            </w:pPr>
          </w:p>
        </w:tc>
        <w:tc>
          <w:tcPr>
            <w:tcW w:w="8100" w:type="dxa"/>
            <w:vAlign w:val="bottom"/>
            <w:gridSpan w:val="2"/>
          </w:tcPr>
          <w:p>
            <w:pPr>
              <w:ind w:left="2260"/>
              <w:spacing w:after="0"/>
              <w:rPr>
                <w:sz w:val="20"/>
                <w:szCs w:val="20"/>
                <w:color w:val="auto"/>
              </w:rPr>
            </w:pPr>
            <w:r>
              <w:rPr>
                <w:rFonts w:ascii="Arial" w:cs="Arial" w:eastAsia="Arial" w:hAnsi="Arial"/>
                <w:sz w:val="12"/>
                <w:szCs w:val="12"/>
                <w:color w:val="auto"/>
              </w:rPr>
              <w:t>SELECTA BIOSCIENCES, INC.</w:t>
            </w:r>
          </w:p>
        </w:tc>
      </w:tr>
      <w:tr>
        <w:trPr>
          <w:trHeight w:val="549"/>
        </w:trPr>
        <w:tc>
          <w:tcPr>
            <w:tcW w:w="3360" w:type="dxa"/>
            <w:vAlign w:val="bottom"/>
          </w:tcPr>
          <w:p>
            <w:pPr>
              <w:spacing w:after="0"/>
              <w:rPr>
                <w:sz w:val="20"/>
                <w:szCs w:val="20"/>
                <w:color w:val="auto"/>
              </w:rPr>
            </w:pPr>
            <w:r>
              <w:rPr>
                <w:rFonts w:ascii="Arial" w:cs="Arial" w:eastAsia="Arial" w:hAnsi="Arial"/>
                <w:sz w:val="12"/>
                <w:szCs w:val="12"/>
                <w:color w:val="auto"/>
              </w:rPr>
              <w:t>Date: January 13, 2020</w:t>
            </w:r>
          </w:p>
        </w:tc>
        <w:tc>
          <w:tcPr>
            <w:tcW w:w="2820" w:type="dxa"/>
            <w:vAlign w:val="bottom"/>
          </w:tcPr>
          <w:p>
            <w:pPr>
              <w:ind w:left="2260"/>
              <w:spacing w:after="0"/>
              <w:rPr>
                <w:sz w:val="20"/>
                <w:szCs w:val="20"/>
                <w:color w:val="auto"/>
              </w:rPr>
            </w:pPr>
            <w:r>
              <w:rPr>
                <w:rFonts w:ascii="Arial" w:cs="Arial" w:eastAsia="Arial" w:hAnsi="Arial"/>
                <w:sz w:val="12"/>
                <w:szCs w:val="12"/>
                <w:color w:val="auto"/>
              </w:rPr>
              <w:t>By:</w:t>
            </w:r>
          </w:p>
        </w:tc>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Carsten Brunn, Ph.D.</w:t>
            </w:r>
          </w:p>
        </w:tc>
      </w:tr>
      <w:tr>
        <w:trPr>
          <w:trHeight w:val="160"/>
        </w:trPr>
        <w:tc>
          <w:tcPr>
            <w:tcW w:w="336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5280" w:type="dxa"/>
            <w:vAlign w:val="bottom"/>
          </w:tcPr>
          <w:p>
            <w:pPr>
              <w:ind w:left="20"/>
              <w:spacing w:after="0"/>
              <w:rPr>
                <w:sz w:val="20"/>
                <w:szCs w:val="20"/>
                <w:color w:val="auto"/>
              </w:rPr>
            </w:pPr>
            <w:r>
              <w:rPr>
                <w:rFonts w:ascii="Arial" w:cs="Arial" w:eastAsia="Arial" w:hAnsi="Arial"/>
                <w:sz w:val="12"/>
                <w:szCs w:val="12"/>
                <w:color w:val="auto"/>
              </w:rPr>
              <w:t>Carsten Brunn, Ph.D.</w:t>
            </w:r>
          </w:p>
        </w:tc>
      </w:tr>
      <w:tr>
        <w:trPr>
          <w:trHeight w:val="180"/>
        </w:trPr>
        <w:tc>
          <w:tcPr>
            <w:tcW w:w="336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5280" w:type="dxa"/>
            <w:vAlign w:val="bottom"/>
          </w:tcPr>
          <w:p>
            <w:pPr>
              <w:ind w:left="20"/>
              <w:spacing w:after="0"/>
              <w:rPr>
                <w:sz w:val="20"/>
                <w:szCs w:val="20"/>
                <w:color w:val="auto"/>
              </w:rPr>
            </w:pPr>
            <w:r>
              <w:rPr>
                <w:rFonts w:ascii="Arial" w:cs="Arial" w:eastAsia="Arial" w:hAnsi="Arial"/>
                <w:sz w:val="12"/>
                <w:szCs w:val="12"/>
                <w:color w:val="auto"/>
              </w:rPr>
              <w:t>President and Chief Executive Officer</w:t>
            </w:r>
          </w:p>
        </w:tc>
      </w:tr>
    </w:tbl>
    <w:p>
      <w:pPr>
        <w:sectPr>
          <w:pgSz w:w="11900" w:h="16838" w:orient="portrait"/>
          <w:cols w:equalWidth="0" w:num="1">
            <w:col w:w="11480"/>
          </w:cols>
          <w:pgMar w:left="220" w:top="271" w:right="19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271780</wp:posOffset>
            </wp:positionV>
            <wp:extent cx="7244715" cy="4504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161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4715" cy="4516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4860925</wp:posOffset>
            </wp:positionV>
            <wp:extent cx="7244715" cy="18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47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2020-01-13T07:17:32Z</dcterms:created>
  <dcterms:modified xsi:type="dcterms:W3CDTF">2020-01-13T07:17:32Z</dcterms:modified>
</cp:coreProperties>
</file>