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t>UNITED STATES</w:t>
      </w:r>
    </w:p>
    <w:p>
      <w:pPr>
        <w:spacing w:after="0" w:line="226"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4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200" w:lineRule="exact"/>
        <w:rPr>
          <w:sz w:val="24"/>
          <w:szCs w:val="24"/>
          <w:color w:val="auto"/>
        </w:rPr>
      </w:pPr>
    </w:p>
    <w:p>
      <w:pPr>
        <w:spacing w:after="0" w:line="212"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8-K</w:t>
      </w:r>
    </w:p>
    <w:p>
      <w:pPr>
        <w:spacing w:after="0" w:line="200" w:lineRule="exact"/>
        <w:rPr>
          <w:sz w:val="24"/>
          <w:szCs w:val="24"/>
          <w:color w:val="auto"/>
        </w:rPr>
      </w:pPr>
    </w:p>
    <w:p>
      <w:pPr>
        <w:spacing w:after="0" w:line="200" w:lineRule="exact"/>
        <w:rPr>
          <w:sz w:val="24"/>
          <w:szCs w:val="24"/>
          <w:color w:val="auto"/>
        </w:rPr>
      </w:pPr>
    </w:p>
    <w:p>
      <w:pPr>
        <w:spacing w:after="0" w:line="272"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CURRENT REPORT</w:t>
      </w:r>
    </w:p>
    <w:p>
      <w:pPr>
        <w:spacing w:after="0" w:line="220"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Pursuant to Section 13 or 15(d) of</w:t>
      </w:r>
    </w:p>
    <w:p>
      <w:pPr>
        <w:spacing w:after="0" w:line="28"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95"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Date of report (Date of earliest event reported): August 8, 2018</w:t>
      </w:r>
    </w:p>
    <w:p>
      <w:pPr>
        <w:spacing w:after="0" w:line="200" w:lineRule="exact"/>
        <w:rPr>
          <w:sz w:val="24"/>
          <w:szCs w:val="24"/>
          <w:color w:val="auto"/>
        </w:rPr>
      </w:pPr>
    </w:p>
    <w:p>
      <w:pPr>
        <w:spacing w:after="0" w:line="228"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SELECTA BIOSCIENCES, INC.</w:t>
      </w:r>
    </w:p>
    <w:p>
      <w:pPr>
        <w:spacing w:after="0" w:line="40"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360"/>
          </w:cols>
          <w:pgMar w:left="240" w:top="220" w:right="299" w:bottom="1440" w:gutter="0" w:footer="0" w:header="0"/>
        </w:sectPr>
      </w:pPr>
    </w:p>
    <w:p>
      <w:pPr>
        <w:spacing w:after="0" w:line="367" w:lineRule="exact"/>
        <w:rPr>
          <w:sz w:val="24"/>
          <w:szCs w:val="24"/>
          <w:color w:val="auto"/>
        </w:rPr>
      </w:pPr>
    </w:p>
    <w:p>
      <w:pPr>
        <w:ind w:left="136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347" w:lineRule="exact"/>
        <w:rPr>
          <w:sz w:val="24"/>
          <w:szCs w:val="24"/>
          <w:color w:val="auto"/>
        </w:rPr>
      </w:pPr>
    </w:p>
    <w:p>
      <w:pPr>
        <w:jc w:val="center"/>
        <w:ind w:right="2440"/>
        <w:spacing w:after="0"/>
        <w:rPr>
          <w:sz w:val="20"/>
          <w:szCs w:val="20"/>
          <w:color w:val="auto"/>
        </w:rPr>
      </w:pPr>
      <w:r>
        <w:rPr>
          <w:rFonts w:ascii="Arial" w:cs="Arial" w:eastAsia="Arial" w:hAnsi="Arial"/>
          <w:sz w:val="16"/>
          <w:szCs w:val="16"/>
          <w:b w:val="1"/>
          <w:bCs w:val="1"/>
          <w:color w:val="auto"/>
        </w:rPr>
        <w:t>001-37798</w:t>
      </w:r>
    </w:p>
    <w:p>
      <w:pPr>
        <w:spacing w:after="0" w:line="20" w:lineRule="exact"/>
        <w:rPr>
          <w:sz w:val="24"/>
          <w:szCs w:val="24"/>
          <w:color w:val="auto"/>
        </w:rPr>
      </w:pPr>
      <w:r>
        <w:rPr>
          <w:sz w:val="24"/>
          <w:szCs w:val="24"/>
          <w:color w:val="auto"/>
        </w:rPr>
        <w:br w:type="column"/>
      </w:r>
    </w:p>
    <w:p>
      <w:pPr>
        <w:spacing w:after="0" w:line="34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26-1622110</w:t>
      </w:r>
    </w:p>
    <w:p>
      <w:pPr>
        <w:spacing w:after="0" w:line="90" w:lineRule="exact"/>
        <w:rPr>
          <w:sz w:val="24"/>
          <w:szCs w:val="24"/>
          <w:color w:val="auto"/>
        </w:rPr>
      </w:pPr>
    </w:p>
    <w:p>
      <w:pPr>
        <w:sectPr>
          <w:pgSz w:w="11900" w:h="16838" w:orient="portrait"/>
          <w:cols w:equalWidth="0" w:num="3">
            <w:col w:w="4560" w:space="720"/>
            <w:col w:w="3220" w:space="720"/>
            <w:col w:w="2140"/>
          </w:cols>
          <w:pgMar w:left="240" w:top="220" w:right="299" w:bottom="1440" w:gutter="0" w:footer="0" w:header="0"/>
          <w:type w:val="continuous"/>
        </w:sectPr>
      </w:pPr>
    </w:p>
    <w:p>
      <w:pPr>
        <w:ind w:left="680"/>
        <w:spacing w:after="0"/>
        <w:rPr>
          <w:sz w:val="20"/>
          <w:szCs w:val="20"/>
          <w:color w:val="auto"/>
        </w:rPr>
      </w:pPr>
      <w:r>
        <w:rPr>
          <w:rFonts w:ascii="Arial" w:cs="Arial" w:eastAsia="Arial" w:hAnsi="Arial"/>
          <w:sz w:val="16"/>
          <w:szCs w:val="16"/>
          <w:color w:val="auto"/>
        </w:rPr>
        <w:t>(State or other jurisdiction of</w:t>
      </w:r>
    </w:p>
    <w:p>
      <w:pPr>
        <w:spacing w:after="0" w:line="46" w:lineRule="exact"/>
        <w:rPr>
          <w:sz w:val="24"/>
          <w:szCs w:val="24"/>
          <w:color w:val="auto"/>
        </w:rPr>
      </w:pPr>
    </w:p>
    <w:p>
      <w:pPr>
        <w:ind w:left="640"/>
        <w:spacing w:after="0"/>
        <w:rPr>
          <w:sz w:val="20"/>
          <w:szCs w:val="20"/>
          <w:color w:val="auto"/>
        </w:rPr>
      </w:pPr>
      <w:r>
        <w:rPr>
          <w:rFonts w:ascii="Arial" w:cs="Arial" w:eastAsia="Arial" w:hAnsi="Arial"/>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(Commission</w:t>
      </w:r>
    </w:p>
    <w:p>
      <w:pPr>
        <w:spacing w:after="0" w:line="46" w:lineRule="exact"/>
        <w:rPr>
          <w:sz w:val="24"/>
          <w:szCs w:val="24"/>
          <w:color w:val="auto"/>
        </w:rPr>
      </w:pPr>
    </w:p>
    <w:p>
      <w:pPr>
        <w:spacing w:after="0"/>
        <w:rPr>
          <w:sz w:val="20"/>
          <w:szCs w:val="20"/>
          <w:color w:val="auto"/>
        </w:rPr>
      </w:pPr>
      <w:r>
        <w:rPr>
          <w:rFonts w:ascii="Arial" w:cs="Arial" w:eastAsia="Arial" w:hAnsi="Arial"/>
          <w:sz w:val="16"/>
          <w:szCs w:val="16"/>
          <w:color w:val="auto"/>
        </w:rPr>
        <w:t>File Number)</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Arial" w:cs="Arial" w:eastAsia="Arial" w:hAnsi="Arial"/>
          <w:sz w:val="17"/>
          <w:szCs w:val="17"/>
          <w:color w:val="auto"/>
        </w:rPr>
        <w:t>(I.R.S. Employer</w:t>
      </w:r>
    </w:p>
    <w:p>
      <w:pPr>
        <w:spacing w:after="0" w:line="35" w:lineRule="exact"/>
        <w:rPr>
          <w:sz w:val="24"/>
          <w:szCs w:val="24"/>
          <w:color w:val="auto"/>
        </w:rPr>
      </w:pPr>
    </w:p>
    <w:p>
      <w:pPr>
        <w:spacing w:after="0"/>
        <w:rPr>
          <w:sz w:val="20"/>
          <w:szCs w:val="20"/>
          <w:color w:val="auto"/>
        </w:rPr>
      </w:pPr>
      <w:r>
        <w:rPr>
          <w:rFonts w:ascii="Arial" w:cs="Arial" w:eastAsia="Arial" w:hAnsi="Arial"/>
          <w:sz w:val="17"/>
          <w:szCs w:val="17"/>
          <w:color w:val="auto"/>
        </w:rPr>
        <w:t>Identification No.)</w:t>
      </w:r>
    </w:p>
    <w:p>
      <w:pPr>
        <w:spacing w:after="0" w:line="200" w:lineRule="exact"/>
        <w:rPr>
          <w:sz w:val="24"/>
          <w:szCs w:val="24"/>
          <w:color w:val="auto"/>
        </w:rPr>
      </w:pPr>
    </w:p>
    <w:p>
      <w:pPr>
        <w:sectPr>
          <w:pgSz w:w="11900" w:h="16838" w:orient="portrait"/>
          <w:cols w:equalWidth="0" w:num="3">
            <w:col w:w="4460" w:space="720"/>
            <w:col w:w="3080" w:space="720"/>
            <w:col w:w="2380"/>
          </w:cols>
          <w:pgMar w:left="240" w:top="220" w:right="299" w:bottom="1440" w:gutter="0" w:footer="0" w:header="0"/>
          <w:type w:val="continuous"/>
        </w:sectPr>
      </w:pPr>
    </w:p>
    <w:p>
      <w:pPr>
        <w:spacing w:after="0" w:line="45" w:lineRule="exact"/>
        <w:rPr>
          <w:sz w:val="24"/>
          <w:szCs w:val="24"/>
          <w:color w:val="auto"/>
        </w:rPr>
      </w:pPr>
    </w:p>
    <w:p>
      <w:pPr>
        <w:ind w:left="5060"/>
        <w:spacing w:after="0"/>
        <w:rPr>
          <w:sz w:val="20"/>
          <w:szCs w:val="20"/>
          <w:color w:val="auto"/>
        </w:rPr>
      </w:pPr>
      <w:r>
        <w:rPr>
          <w:rFonts w:ascii="Arial" w:cs="Arial" w:eastAsia="Arial" w:hAnsi="Arial"/>
          <w:sz w:val="18"/>
          <w:szCs w:val="18"/>
          <w:b w:val="1"/>
          <w:bCs w:val="1"/>
          <w:color w:val="auto"/>
        </w:rPr>
        <w:t>480 Arsenal Way</w:t>
      </w:r>
    </w:p>
    <w:p>
      <w:pPr>
        <w:spacing w:after="0" w:line="27" w:lineRule="exact"/>
        <w:rPr>
          <w:sz w:val="24"/>
          <w:szCs w:val="24"/>
          <w:color w:val="auto"/>
        </w:rPr>
      </w:pPr>
    </w:p>
    <w:p>
      <w:pPr>
        <w:ind w:left="4840"/>
        <w:spacing w:after="0"/>
        <w:rPr>
          <w:sz w:val="20"/>
          <w:szCs w:val="20"/>
          <w:color w:val="auto"/>
        </w:rPr>
      </w:pPr>
      <w:r>
        <w:rPr>
          <w:rFonts w:ascii="Arial" w:cs="Arial" w:eastAsia="Arial" w:hAnsi="Arial"/>
          <w:sz w:val="18"/>
          <w:szCs w:val="18"/>
          <w:b w:val="1"/>
          <w:bCs w:val="1"/>
          <w:color w:val="auto"/>
        </w:rPr>
        <w:t>Watertown, MA 02472</w:t>
      </w:r>
    </w:p>
    <w:p>
      <w:pPr>
        <w:spacing w:after="0" w:line="9" w:lineRule="exact"/>
        <w:rPr>
          <w:sz w:val="24"/>
          <w:szCs w:val="24"/>
          <w:color w:val="auto"/>
        </w:rPr>
      </w:pPr>
    </w:p>
    <w:p>
      <w:pPr>
        <w:ind w:left="4000"/>
        <w:spacing w:after="0"/>
        <w:rPr>
          <w:sz w:val="20"/>
          <w:szCs w:val="20"/>
          <w:color w:val="auto"/>
        </w:rPr>
      </w:pPr>
      <w:r>
        <w:rPr>
          <w:rFonts w:ascii="Arial" w:cs="Arial" w:eastAsia="Arial" w:hAnsi="Arial"/>
          <w:sz w:val="18"/>
          <w:szCs w:val="18"/>
          <w:color w:val="auto"/>
        </w:rPr>
        <w:t>(Address of principal executive offices) (Zip Code)</w:t>
      </w:r>
    </w:p>
    <w:p>
      <w:pPr>
        <w:spacing w:after="0" w:line="20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(617) 923-1400</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(Registrant’s telephone number, include area code)</w:t>
      </w:r>
    </w:p>
    <w:p>
      <w:pPr>
        <w:spacing w:after="0" w:line="20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6"/>
          <w:szCs w:val="16"/>
          <w:color w:val="auto"/>
        </w:rPr>
        <w:t>(Former Name or Former Address, if Changed Since Last Report)</w:t>
      </w:r>
    </w:p>
    <w:p>
      <w:pPr>
        <w:sectPr>
          <w:pgSz w:w="11900" w:h="16838" w:orient="portrait"/>
          <w:cols w:equalWidth="0" w:num="1">
            <w:col w:w="11360"/>
          </w:cols>
          <w:pgMar w:left="240" w:top="220" w:right="299" w:bottom="1440" w:gutter="0" w:footer="0" w:header="0"/>
          <w:type w:val="continuous"/>
        </w:sectPr>
      </w:pPr>
    </w:p>
    <w:p>
      <w:pPr>
        <w:spacing w:after="0" w:line="200" w:lineRule="exact"/>
        <w:rPr>
          <w:sz w:val="24"/>
          <w:szCs w:val="24"/>
          <w:color w:val="auto"/>
        </w:rPr>
      </w:pPr>
    </w:p>
    <w:p>
      <w:pPr>
        <w:spacing w:after="0" w:line="250"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21" w:lineRule="exact"/>
        <w:rPr>
          <w:sz w:val="24"/>
          <w:szCs w:val="24"/>
          <w:color w:val="auto"/>
        </w:rPr>
      </w:pPr>
    </w:p>
    <w:p>
      <w:pPr>
        <w:ind w:left="1420" w:hanging="1027"/>
        <w:spacing w:after="0"/>
        <w:tabs>
          <w:tab w:leader="none" w:pos="1420" w:val="left"/>
        </w:tabs>
        <w:numPr>
          <w:ilvl w:val="0"/>
          <w:numId w:val="1"/>
        </w:numPr>
        <w:rPr>
          <w:rFonts w:ascii="Arial" w:cs="Arial" w:eastAsia="Arial" w:hAnsi="Arial"/>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194" w:lineRule="exact"/>
        <w:rPr>
          <w:rFonts w:ascii="Arial" w:cs="Arial" w:eastAsia="Arial" w:hAnsi="Arial"/>
          <w:sz w:val="16"/>
          <w:szCs w:val="16"/>
          <w:color w:val="auto"/>
        </w:rPr>
      </w:pPr>
    </w:p>
    <w:p>
      <w:pPr>
        <w:ind w:left="1420" w:hanging="1027"/>
        <w:spacing w:after="0"/>
        <w:tabs>
          <w:tab w:leader="none" w:pos="1420" w:val="left"/>
        </w:tabs>
        <w:numPr>
          <w:ilvl w:val="0"/>
          <w:numId w:val="1"/>
        </w:numPr>
        <w:rPr>
          <w:rFonts w:ascii="Arial" w:cs="Arial" w:eastAsia="Arial" w:hAnsi="Arial"/>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194" w:lineRule="exact"/>
        <w:rPr>
          <w:rFonts w:ascii="Arial" w:cs="Arial" w:eastAsia="Arial" w:hAnsi="Arial"/>
          <w:sz w:val="16"/>
          <w:szCs w:val="16"/>
          <w:color w:val="auto"/>
        </w:rPr>
      </w:pPr>
    </w:p>
    <w:p>
      <w:pPr>
        <w:ind w:left="1420" w:hanging="1027"/>
        <w:spacing w:after="0"/>
        <w:tabs>
          <w:tab w:leader="none" w:pos="1420" w:val="left"/>
        </w:tabs>
        <w:numPr>
          <w:ilvl w:val="0"/>
          <w:numId w:val="1"/>
        </w:numPr>
        <w:rPr>
          <w:rFonts w:ascii="Arial" w:cs="Arial" w:eastAsia="Arial" w:hAnsi="Arial"/>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194" w:lineRule="exact"/>
        <w:rPr>
          <w:rFonts w:ascii="Arial" w:cs="Arial" w:eastAsia="Arial" w:hAnsi="Arial"/>
          <w:sz w:val="16"/>
          <w:szCs w:val="16"/>
          <w:color w:val="auto"/>
        </w:rPr>
      </w:pPr>
    </w:p>
    <w:p>
      <w:pPr>
        <w:ind w:left="1420" w:hanging="1027"/>
        <w:spacing w:after="0"/>
        <w:tabs>
          <w:tab w:leader="none" w:pos="1420" w:val="left"/>
        </w:tabs>
        <w:numPr>
          <w:ilvl w:val="0"/>
          <w:numId w:val="1"/>
        </w:numPr>
        <w:rPr>
          <w:rFonts w:ascii="Arial" w:cs="Arial" w:eastAsia="Arial" w:hAnsi="Arial"/>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379"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8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ectPr>
          <w:pgSz w:w="11900" w:h="16838" w:orient="portrait"/>
          <w:cols w:equalWidth="0" w:num="1">
            <w:col w:w="11360"/>
          </w:cols>
          <w:pgMar w:left="240" w:top="220" w:right="29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29" w:lineRule="exact"/>
        <w:rPr>
          <w:sz w:val="20"/>
          <w:szCs w:val="20"/>
          <w:color w:val="auto"/>
        </w:rPr>
      </w:pPr>
    </w:p>
    <w:p>
      <w:pPr>
        <w:ind w:right="220" w:firstLine="648"/>
        <w:spacing w:after="0" w:line="342" w:lineRule="auto"/>
        <w:rPr>
          <w:sz w:val="20"/>
          <w:szCs w:val="20"/>
          <w:color w:val="auto"/>
        </w:rPr>
      </w:pPr>
      <w:r>
        <w:rPr>
          <w:rFonts w:ascii="Arial" w:cs="Arial" w:eastAsia="Arial" w:hAnsi="Arial"/>
          <w:sz w:val="16"/>
          <w:szCs w:val="16"/>
          <w:color w:val="auto"/>
        </w:rPr>
        <w:t>On August 8, 2018, Selecta Biosciences, Inc. (the “Company”) announced its financial results for the quarter ended June 30, 2018. The full text of the press release issued in connection with the announcement is furnished as Exhibit 99.1 to this Current Report on Form 8-K (the "Current Report").</w:t>
      </w:r>
    </w:p>
    <w:p>
      <w:pPr>
        <w:spacing w:after="0" w:line="124"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The information contained in Item 2.02 of this Form 8-K (including Exhibit 99.1 attached hereto)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(the “Securities Act”), or the Exchange Act, except as expressly provided by specific reference in such a filing.</w:t>
      </w:r>
    </w:p>
    <w:p>
      <w:pPr>
        <w:spacing w:after="0" w:line="18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(d) 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 relating to Item 2.02 shall be deemed to be furnished, and not filed:</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40" w:type="dxa"/>
            <w:vAlign w:val="bottom"/>
            <w:gridSpan w:val="4"/>
          </w:tcPr>
          <w:p>
            <w:pPr>
              <w:ind w:left="40"/>
              <w:spacing w:after="0"/>
              <w:rPr>
                <w:sz w:val="20"/>
                <w:szCs w:val="20"/>
                <w:color w:val="auto"/>
              </w:rPr>
            </w:pPr>
            <w:r>
              <w:rPr>
                <w:rFonts w:ascii="Arial" w:cs="Arial" w:eastAsia="Arial" w:hAnsi="Arial"/>
                <w:sz w:val="14"/>
                <w:szCs w:val="14"/>
                <w:b w:val="1"/>
                <w:bCs w:val="1"/>
                <w:color w:val="auto"/>
              </w:rPr>
              <w:t>Exhibit</w:t>
            </w:r>
          </w:p>
        </w:tc>
        <w:tc>
          <w:tcPr>
            <w:tcW w:w="4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6700" w:type="dxa"/>
            <w:vAlign w:val="bottom"/>
            <w:vMerge w:val="restart"/>
          </w:tcPr>
          <w:p>
            <w:pPr>
              <w:ind w:left="156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92"/>
        </w:trPr>
        <w:tc>
          <w:tcPr>
            <w:tcW w:w="1840" w:type="dxa"/>
            <w:vAlign w:val="bottom"/>
            <w:gridSpan w:val="4"/>
          </w:tcPr>
          <w:p>
            <w:pPr>
              <w:ind w:left="40"/>
              <w:spacing w:after="0"/>
              <w:rPr>
                <w:sz w:val="20"/>
                <w:szCs w:val="20"/>
                <w:color w:val="auto"/>
              </w:rPr>
            </w:pPr>
            <w:r>
              <w:rPr>
                <w:rFonts w:ascii="Arial" w:cs="Arial" w:eastAsia="Arial" w:hAnsi="Arial"/>
                <w:sz w:val="14"/>
                <w:szCs w:val="14"/>
                <w:b w:val="1"/>
                <w:bCs w:val="1"/>
                <w:color w:val="auto"/>
              </w:rPr>
              <w:t>No.</w:t>
            </w:r>
          </w:p>
        </w:tc>
        <w:tc>
          <w:tcPr>
            <w:tcW w:w="4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6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472"/>
        </w:trPr>
        <w:tc>
          <w:tcPr>
            <w:tcW w:w="92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jc w:val="right"/>
              <w:spacing w:after="0"/>
              <w:rPr>
                <w:rFonts w:ascii="Arial" w:cs="Arial" w:eastAsia="Arial" w:hAnsi="Arial"/>
                <w:sz w:val="18"/>
                <w:szCs w:val="18"/>
                <w:color w:val="0000FF"/>
                <w:w w:val="85"/>
              </w:rPr>
            </w:pPr>
            <w:hyperlink w:anchor="page4">
              <w:r>
                <w:rPr>
                  <w:rFonts w:ascii="Arial" w:cs="Arial" w:eastAsia="Arial" w:hAnsi="Arial"/>
                  <w:sz w:val="18"/>
                  <w:szCs w:val="18"/>
                  <w:color w:val="0000FF"/>
                  <w:w w:val="85"/>
                </w:rPr>
                <w:t>99.</w:t>
              </w:r>
              <w:r>
                <w:rPr>
                  <w:rFonts w:ascii="Arial" w:cs="Arial" w:eastAsia="Arial" w:hAnsi="Arial"/>
                  <w:sz w:val="18"/>
                  <w:szCs w:val="18"/>
                  <w:u w:val="single" w:color="auto"/>
                  <w:color w:val="0000FF"/>
                  <w:w w:val="85"/>
                </w:rPr>
                <w:t>1</w:t>
              </w:r>
            </w:hyperlink>
          </w:p>
        </w:tc>
        <w:tc>
          <w:tcPr>
            <w:tcW w:w="20" w:type="dxa"/>
            <w:vAlign w:val="bottom"/>
            <w:tcBorders>
              <w:top w:val="single" w:sz="8" w:color="auto"/>
            </w:tcBorders>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9540" w:type="dxa"/>
            <w:vAlign w:val="bottom"/>
            <w:tcBorders>
              <w:top w:val="single" w:sz="8" w:color="auto"/>
            </w:tcBorders>
            <w:gridSpan w:val="2"/>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Press Release issued on August 8, 2018</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40" w:type="dxa"/>
            <w:vAlign w:val="bottom"/>
            <w:shd w:val="clear" w:color="auto" w:fill="0000FF"/>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364" w:right="239" w:bottom="1440" w:gutter="0" w:footer="0" w:header="0"/>
        </w:sectPr>
      </w:pPr>
    </w:p>
    <w:bookmarkStart w:id="2" w:name="page3"/>
    <w:bookmarkEnd w:id="2"/>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3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SELECTA BIOSCIENCES, INC.</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0"/>
        <w:spacing w:after="0"/>
        <w:tabs>
          <w:tab w:leader="none" w:pos="5620" w:val="left"/>
          <w:tab w:leader="none" w:pos="6180" w:val="left"/>
        </w:tabs>
        <w:rPr>
          <w:sz w:val="20"/>
          <w:szCs w:val="20"/>
          <w:color w:val="auto"/>
        </w:rPr>
      </w:pPr>
      <w:r>
        <w:rPr>
          <w:rFonts w:ascii="Arial" w:cs="Arial" w:eastAsia="Arial" w:hAnsi="Arial"/>
          <w:sz w:val="18"/>
          <w:szCs w:val="18"/>
          <w:color w:val="auto"/>
        </w:rPr>
        <w:t>Date: August 8,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Werner Cautreels,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33274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5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Werner Cautreels, Ph.D.</w:t>
      </w:r>
    </w:p>
    <w:p>
      <w:pPr>
        <w:spacing w:after="0" w:line="6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220"/>
          </w:cols>
          <w:pgMar w:left="240" w:top="364" w:right="4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17145</wp:posOffset>
            </wp:positionV>
            <wp:extent cx="1783715" cy="4457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783715"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Selecta Biosciences Announces Second Quarter 2018</w:t>
      </w:r>
    </w:p>
    <w:p>
      <w:pPr>
        <w:spacing w:after="0" w:line="5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Financial Results and Provides Corporate Update</w:t>
      </w:r>
    </w:p>
    <w:p>
      <w:pPr>
        <w:spacing w:after="0" w:line="200" w:lineRule="exact"/>
        <w:rPr>
          <w:sz w:val="20"/>
          <w:szCs w:val="20"/>
          <w:color w:val="auto"/>
        </w:rPr>
      </w:pPr>
    </w:p>
    <w:p>
      <w:pPr>
        <w:spacing w:after="0" w:line="233" w:lineRule="exact"/>
        <w:rPr>
          <w:sz w:val="20"/>
          <w:szCs w:val="20"/>
          <w:color w:val="auto"/>
        </w:rPr>
      </w:pPr>
    </w:p>
    <w:p>
      <w:pPr>
        <w:ind w:left="660" w:right="260" w:hanging="328"/>
        <w:spacing w:after="0" w:line="250" w:lineRule="auto"/>
        <w:tabs>
          <w:tab w:leader="none" w:pos="660" w:val="left"/>
        </w:tabs>
        <w:numPr>
          <w:ilvl w:val="0"/>
          <w:numId w:val="2"/>
        </w:numPr>
        <w:rPr>
          <w:rFonts w:ascii="Arial" w:cs="Arial" w:eastAsia="Arial" w:hAnsi="Arial"/>
          <w:sz w:val="18"/>
          <w:szCs w:val="18"/>
          <w:i w:val="1"/>
          <w:iCs w:val="1"/>
          <w:color w:val="auto"/>
        </w:rPr>
      </w:pPr>
      <w:r>
        <w:rPr>
          <w:rFonts w:ascii="Arial" w:cs="Arial" w:eastAsia="Arial" w:hAnsi="Arial"/>
          <w:sz w:val="20"/>
          <w:szCs w:val="20"/>
          <w:i w:val="1"/>
          <w:iCs w:val="1"/>
          <w:color w:val="auto"/>
        </w:rPr>
        <w:t>Expanded three-month Phase 2 data presented at EULAR 2018 continue to indicate that SEL-212 product profile may provide better and more sustained serum uric acid control, fewer flares and less frequent dosing compared with data reported for current FDA-approved uricase therapy</w:t>
      </w:r>
    </w:p>
    <w:p>
      <w:pPr>
        <w:spacing w:after="0" w:line="132" w:lineRule="exact"/>
        <w:rPr>
          <w:rFonts w:ascii="Arial" w:cs="Arial" w:eastAsia="Arial" w:hAnsi="Arial"/>
          <w:sz w:val="18"/>
          <w:szCs w:val="18"/>
          <w:i w:val="1"/>
          <w:iCs w:val="1"/>
          <w:color w:val="auto"/>
        </w:rPr>
      </w:pPr>
    </w:p>
    <w:p>
      <w:pPr>
        <w:ind w:left="660" w:right="120" w:hanging="328"/>
        <w:spacing w:after="0" w:line="260" w:lineRule="auto"/>
        <w:tabs>
          <w:tab w:leader="none" w:pos="660" w:val="left"/>
        </w:tabs>
        <w:numPr>
          <w:ilvl w:val="0"/>
          <w:numId w:val="2"/>
        </w:numPr>
        <w:rPr>
          <w:rFonts w:ascii="Arial" w:cs="Arial" w:eastAsia="Arial" w:hAnsi="Arial"/>
          <w:sz w:val="20"/>
          <w:szCs w:val="20"/>
          <w:i w:val="1"/>
          <w:iCs w:val="1"/>
          <w:color w:val="auto"/>
        </w:rPr>
      </w:pPr>
      <w:r>
        <w:rPr>
          <w:rFonts w:ascii="Arial" w:cs="Arial" w:eastAsia="Arial" w:hAnsi="Arial"/>
          <w:sz w:val="20"/>
          <w:szCs w:val="20"/>
          <w:i w:val="1"/>
          <w:iCs w:val="1"/>
          <w:color w:val="auto"/>
        </w:rPr>
        <w:t>Data from patients receiving five monthly doses of SEL-212 expected to be presented at the American College of Rheumatology (ACR) Annual Meeting in October 2018</w:t>
      </w:r>
    </w:p>
    <w:p>
      <w:pPr>
        <w:spacing w:after="0" w:line="122" w:lineRule="exact"/>
        <w:rPr>
          <w:rFonts w:ascii="Arial" w:cs="Arial" w:eastAsia="Arial" w:hAnsi="Arial"/>
          <w:sz w:val="20"/>
          <w:szCs w:val="20"/>
          <w:i w:val="1"/>
          <w:iCs w:val="1"/>
          <w:color w:val="auto"/>
        </w:rPr>
      </w:pPr>
    </w:p>
    <w:p>
      <w:pPr>
        <w:ind w:left="660" w:right="420" w:hanging="328"/>
        <w:spacing w:after="0" w:line="260"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20"/>
          <w:szCs w:val="20"/>
          <w:i w:val="1"/>
          <w:iCs w:val="1"/>
          <w:color w:val="auto"/>
        </w:rPr>
        <w:t>SEL-212 Phase 3 pivotal program expected to begin in Q4 2018 with a planned head-to-head trial against Krystexxa conducted in parallel</w:t>
      </w:r>
    </w:p>
    <w:p>
      <w:pPr>
        <w:spacing w:after="0" w:line="122" w:lineRule="exact"/>
        <w:rPr>
          <w:rFonts w:ascii="Arial" w:cs="Arial" w:eastAsia="Arial" w:hAnsi="Arial"/>
          <w:sz w:val="18"/>
          <w:szCs w:val="18"/>
          <w:color w:val="auto"/>
        </w:rPr>
      </w:pPr>
    </w:p>
    <w:p>
      <w:pPr>
        <w:ind w:left="660" w:right="140" w:hanging="328"/>
        <w:spacing w:after="0" w:line="260" w:lineRule="auto"/>
        <w:tabs>
          <w:tab w:leader="none" w:pos="660" w:val="left"/>
        </w:tabs>
        <w:numPr>
          <w:ilvl w:val="0"/>
          <w:numId w:val="2"/>
        </w:numPr>
        <w:rPr>
          <w:rFonts w:ascii="Arial" w:cs="Arial" w:eastAsia="Arial" w:hAnsi="Arial"/>
          <w:sz w:val="20"/>
          <w:szCs w:val="20"/>
          <w:i w:val="1"/>
          <w:iCs w:val="1"/>
          <w:color w:val="auto"/>
        </w:rPr>
      </w:pPr>
      <w:r>
        <w:rPr>
          <w:rFonts w:ascii="Arial" w:cs="Arial" w:eastAsia="Arial" w:hAnsi="Arial"/>
          <w:sz w:val="20"/>
          <w:szCs w:val="20"/>
          <w:i w:val="1"/>
          <w:iCs w:val="1"/>
          <w:color w:val="auto"/>
        </w:rPr>
        <w:t>Enrollment ongoing for SEL-403 Phase 1 trial for mesothelioma, company working with NCI to potentially expand clinical studies for treatment in pancreatic cancer</w:t>
      </w:r>
    </w:p>
    <w:p>
      <w:pPr>
        <w:spacing w:after="0" w:line="122" w:lineRule="exact"/>
        <w:rPr>
          <w:rFonts w:ascii="Arial" w:cs="Arial" w:eastAsia="Arial" w:hAnsi="Arial"/>
          <w:sz w:val="20"/>
          <w:szCs w:val="20"/>
          <w:i w:val="1"/>
          <w:iCs w:val="1"/>
          <w:color w:val="auto"/>
        </w:rPr>
      </w:pPr>
    </w:p>
    <w:p>
      <w:pPr>
        <w:ind w:left="660" w:hanging="328"/>
        <w:spacing w:after="0"/>
        <w:tabs>
          <w:tab w:leader="none" w:pos="660" w:val="left"/>
        </w:tabs>
        <w:numPr>
          <w:ilvl w:val="0"/>
          <w:numId w:val="2"/>
        </w:numPr>
        <w:rPr>
          <w:rFonts w:ascii="Arial" w:cs="Arial" w:eastAsia="Arial" w:hAnsi="Arial"/>
          <w:sz w:val="20"/>
          <w:szCs w:val="20"/>
          <w:i w:val="1"/>
          <w:iCs w:val="1"/>
          <w:color w:val="auto"/>
        </w:rPr>
      </w:pPr>
      <w:r>
        <w:rPr>
          <w:rFonts w:ascii="Arial" w:cs="Arial" w:eastAsia="Arial" w:hAnsi="Arial"/>
          <w:sz w:val="20"/>
          <w:szCs w:val="20"/>
          <w:i w:val="1"/>
          <w:iCs w:val="1"/>
          <w:color w:val="auto"/>
        </w:rPr>
        <w:t>Company to host conference call today at 8:30 a.m. ET</w:t>
      </w:r>
    </w:p>
    <w:p>
      <w:pPr>
        <w:spacing w:after="0" w:line="372" w:lineRule="exact"/>
        <w:rPr>
          <w:sz w:val="20"/>
          <w:szCs w:val="20"/>
          <w:color w:val="auto"/>
        </w:rPr>
      </w:pPr>
    </w:p>
    <w:p>
      <w:pPr>
        <w:ind w:right="420"/>
        <w:spacing w:after="0" w:line="253" w:lineRule="auto"/>
        <w:rPr>
          <w:sz w:val="20"/>
          <w:szCs w:val="20"/>
          <w:color w:val="auto"/>
        </w:rPr>
      </w:pPr>
      <w:r>
        <w:rPr>
          <w:rFonts w:ascii="Arial" w:cs="Arial" w:eastAsia="Arial" w:hAnsi="Arial"/>
          <w:sz w:val="20"/>
          <w:szCs w:val="20"/>
          <w:b w:val="1"/>
          <w:bCs w:val="1"/>
          <w:color w:val="auto"/>
        </w:rPr>
        <w:t xml:space="preserve">Watertown, Mass., Aug. 8, 2018 </w:t>
      </w:r>
      <w:r>
        <w:rPr>
          <w:rFonts w:ascii="Arial" w:cs="Arial" w:eastAsia="Arial" w:hAnsi="Arial"/>
          <w:sz w:val="20"/>
          <w:szCs w:val="20"/>
          <w:color w:val="auto"/>
        </w:rPr>
        <w:t>-</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0000FF"/>
        </w:rPr>
        <w:t>Selecta Biosciences, Inc.</w:t>
      </w:r>
      <w:r>
        <w:rPr>
          <w:rFonts w:ascii="Arial" w:cs="Arial" w:eastAsia="Arial" w:hAnsi="Arial"/>
          <w:sz w:val="20"/>
          <w:szCs w:val="20"/>
          <w:b w:val="1"/>
          <w:bCs w:val="1"/>
          <w:color w:val="auto"/>
        </w:rPr>
        <w:t xml:space="preserve"> </w:t>
      </w:r>
      <w:r>
        <w:rPr>
          <w:rFonts w:ascii="Arial" w:cs="Arial" w:eastAsia="Arial" w:hAnsi="Arial"/>
          <w:sz w:val="20"/>
          <w:szCs w:val="20"/>
          <w:color w:val="auto"/>
        </w:rPr>
        <w:t>(Nasdaq: SELB), a clinical-stage biopharmaceutical company focused on</w:t>
      </w:r>
      <w:r>
        <w:rPr>
          <w:rFonts w:ascii="Arial" w:cs="Arial" w:eastAsia="Arial" w:hAnsi="Arial"/>
          <w:sz w:val="20"/>
          <w:szCs w:val="20"/>
          <w:b w:val="1"/>
          <w:bCs w:val="1"/>
          <w:color w:val="auto"/>
        </w:rPr>
        <w:t xml:space="preserve"> </w:t>
      </w:r>
      <w:r>
        <w:rPr>
          <w:rFonts w:ascii="Arial" w:cs="Arial" w:eastAsia="Arial" w:hAnsi="Arial"/>
          <w:sz w:val="20"/>
          <w:szCs w:val="20"/>
          <w:color w:val="auto"/>
        </w:rPr>
        <w:t>unlocking the full potential of biologic therapies by mitigating unwanted immune responses, today reported financial results for the second quarter ended June 30, 2018 and provided a corporate update.</w:t>
      </w:r>
    </w:p>
    <w:p>
      <w:pPr>
        <w:spacing w:after="0" w:line="184" w:lineRule="exact"/>
        <w:rPr>
          <w:sz w:val="20"/>
          <w:szCs w:val="20"/>
          <w:color w:val="auto"/>
        </w:rPr>
      </w:pPr>
    </w:p>
    <w:p>
      <w:pPr>
        <w:ind w:right="20"/>
        <w:spacing w:after="0" w:line="243" w:lineRule="auto"/>
        <w:rPr>
          <w:sz w:val="20"/>
          <w:szCs w:val="20"/>
          <w:color w:val="auto"/>
        </w:rPr>
      </w:pPr>
      <w:r>
        <w:rPr>
          <w:rFonts w:ascii="Arial" w:cs="Arial" w:eastAsia="Arial" w:hAnsi="Arial"/>
          <w:sz w:val="20"/>
          <w:szCs w:val="20"/>
          <w:color w:val="auto"/>
        </w:rPr>
        <w:t>“The continued improvement in clinical activity observed in the expanded patient data set recently presented at the EULAR conference in June further demonstrates the benefit SEL-212 may provide to chronic severe gout patients and its potential ability to change the current treatment paradigm in these patients with high medical need,” said Werner Cautreels, Ph.D., President and CEO of Selecta. “We look forward to presenting data from patients receiving five monthly doses of SEL-212 at the upcoming ACR meeting in October and expect to initiate the Phase 3 program for SEL-212 in the fourth quarter of this year. In addition, we plan to conduct a head-to-head clinical trial against Krystexxa in parallel with our Phase 3 program.</w:t>
      </w:r>
      <w:r>
        <w:rPr>
          <w:rFonts w:ascii="Arial" w:cs="Arial" w:eastAsia="Arial" w:hAnsi="Arial"/>
          <w:sz w:val="20"/>
          <w:szCs w:val="20"/>
          <w:i w:val="1"/>
          <w:iCs w:val="1"/>
          <w:color w:val="auto"/>
        </w:rPr>
        <w:t>"</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Recent Highlights and Anticipated Upcoming Milestones</w:t>
      </w:r>
    </w:p>
    <w:p>
      <w:pPr>
        <w:spacing w:after="0" w:line="216" w:lineRule="exact"/>
        <w:rPr>
          <w:sz w:val="20"/>
          <w:szCs w:val="20"/>
          <w:color w:val="auto"/>
        </w:rPr>
      </w:pPr>
    </w:p>
    <w:p>
      <w:pPr>
        <w:ind w:left="660" w:right="60" w:hanging="328"/>
        <w:spacing w:after="0" w:line="277" w:lineRule="auto"/>
        <w:tabs>
          <w:tab w:leader="none" w:pos="660" w:val="left"/>
        </w:tabs>
        <w:numPr>
          <w:ilvl w:val="0"/>
          <w:numId w:val="3"/>
        </w:numPr>
        <w:rPr>
          <w:rFonts w:ascii="Arial" w:cs="Arial" w:eastAsia="Arial" w:hAnsi="Arial"/>
          <w:sz w:val="16"/>
          <w:szCs w:val="16"/>
          <w:color w:val="auto"/>
        </w:rPr>
      </w:pPr>
      <w:r>
        <w:rPr>
          <w:rFonts w:ascii="Arial" w:cs="Arial" w:eastAsia="Arial" w:hAnsi="Arial"/>
          <w:sz w:val="18"/>
          <w:szCs w:val="18"/>
          <w:b w:val="1"/>
          <w:bCs w:val="1"/>
          <w:color w:val="auto"/>
        </w:rPr>
        <w:t xml:space="preserve">Presented New Expansion Data from Ongoing Phase 2 Trial of SEL-212 at the European League Against Rheumatism (EULAR) 2018 in June: </w:t>
      </w:r>
      <w:r>
        <w:rPr>
          <w:rFonts w:ascii="Arial" w:cs="Arial" w:eastAsia="Arial" w:hAnsi="Arial"/>
          <w:sz w:val="18"/>
          <w:szCs w:val="18"/>
          <w:color w:val="auto"/>
        </w:rPr>
        <w:t>In June 2018, Selecta presented new expansion data from patients receiving SEL-212 for the treatment of</w:t>
      </w:r>
      <w:r>
        <w:rPr>
          <w:rFonts w:ascii="Arial" w:cs="Arial" w:eastAsia="Arial" w:hAnsi="Arial"/>
          <w:sz w:val="18"/>
          <w:szCs w:val="18"/>
          <w:b w:val="1"/>
          <w:bCs w:val="1"/>
          <w:color w:val="auto"/>
        </w:rPr>
        <w:t xml:space="preserve"> </w:t>
      </w:r>
      <w:r>
        <w:rPr>
          <w:rFonts w:ascii="Arial" w:cs="Arial" w:eastAsia="Arial" w:hAnsi="Arial"/>
          <w:sz w:val="18"/>
          <w:szCs w:val="18"/>
          <w:color w:val="auto"/>
        </w:rPr>
        <w:t>chronic severe gout at EULAR 2018 in Amsterdam, the Netherlands. The data was from patients receiving three monthly doses of SEL-212, up to 0.15 mg/kg of SVP-Rapamycin in combination with 0.2 or 0.4 mg/kg of pegsiticase, followed by two monthly doses of pegsiticase alone. Approximately 80% of evaluable patients (n=27) had serum uric acid control below 6 mg/dl at week 12. In a separately conducted and designed study of the only FDA-approved uricase therapy, 44% of evaluable</w:t>
      </w:r>
    </w:p>
    <w:p>
      <w:pPr>
        <w:spacing w:after="0" w:line="200" w:lineRule="exact"/>
        <w:rPr>
          <w:sz w:val="20"/>
          <w:szCs w:val="20"/>
          <w:color w:val="auto"/>
        </w:rPr>
      </w:pPr>
    </w:p>
    <w:p>
      <w:pPr>
        <w:spacing w:after="0" w:line="21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580" w:right="239" w:bottom="1440" w:gutter="0" w:footer="0" w:header="0"/>
        </w:sectPr>
      </w:pPr>
    </w:p>
    <w:bookmarkStart w:id="4" w:name="page5"/>
    <w:bookmarkEnd w:id="4"/>
    <w:p>
      <w:pPr>
        <w:ind w:left="328" w:right="180"/>
        <w:spacing w:after="0" w:line="273" w:lineRule="auto"/>
        <w:rPr>
          <w:sz w:val="20"/>
          <w:szCs w:val="20"/>
          <w:color w:val="auto"/>
        </w:rPr>
      </w:pPr>
      <w:r>
        <w:rPr>
          <w:rFonts w:ascii="Arial" w:cs="Arial" w:eastAsia="Arial" w:hAnsi="Arial"/>
          <w:sz w:val="20"/>
          <w:szCs w:val="20"/>
          <w:color w:val="auto"/>
        </w:rPr>
        <w:t>patients had serum uric acid control below 6 mg/dl at week 16. 33% of the patient population represented by our EULAR data, and only 27% of all current patients in the SEL-212 Phase 2 trial, experienced gout flares during the first month after treatment with continued reduction of gout flare rates over months two to five. This reduced rate of gout flares appears to be substantially lower than the incidence of gout flares reported in clinical trials involving the current FDA-approved uricase and other uric acid lowering therapies.</w:t>
      </w:r>
    </w:p>
    <w:p>
      <w:pPr>
        <w:spacing w:after="0" w:line="172" w:lineRule="exact"/>
        <w:rPr>
          <w:sz w:val="20"/>
          <w:szCs w:val="20"/>
          <w:color w:val="auto"/>
        </w:rPr>
      </w:pPr>
    </w:p>
    <w:p>
      <w:pPr>
        <w:ind w:left="328" w:hanging="328"/>
        <w:spacing w:after="0" w:line="246" w:lineRule="auto"/>
        <w:tabs>
          <w:tab w:leader="none" w:pos="328" w:val="left"/>
        </w:tabs>
        <w:numPr>
          <w:ilvl w:val="0"/>
          <w:numId w:val="4"/>
        </w:numPr>
        <w:rPr>
          <w:rFonts w:ascii="Arial" w:cs="Arial" w:eastAsia="Arial" w:hAnsi="Arial"/>
          <w:sz w:val="18"/>
          <w:szCs w:val="18"/>
          <w:color w:val="auto"/>
        </w:rPr>
      </w:pPr>
      <w:r>
        <w:rPr>
          <w:rFonts w:ascii="Arial" w:cs="Arial" w:eastAsia="Arial" w:hAnsi="Arial"/>
          <w:sz w:val="20"/>
          <w:szCs w:val="20"/>
          <w:b w:val="1"/>
          <w:bCs w:val="1"/>
          <w:color w:val="auto"/>
        </w:rPr>
        <w:t xml:space="preserve">Data from Cohorts Receiving Five Combination Doses in Ongoing Phase 2 Trial of SEL-212 to be Presented at the ACR Annual Meeting scheduled for October 19-24, 2018: </w:t>
      </w:r>
      <w:r>
        <w:rPr>
          <w:rFonts w:ascii="Arial" w:cs="Arial" w:eastAsia="Arial" w:hAnsi="Arial"/>
          <w:sz w:val="20"/>
          <w:szCs w:val="20"/>
          <w:color w:val="auto"/>
        </w:rPr>
        <w:t>The company expects to present data from new cohorts of patients in the ongoing Phase</w:t>
      </w:r>
      <w:r>
        <w:rPr>
          <w:rFonts w:ascii="Arial" w:cs="Arial" w:eastAsia="Arial" w:hAnsi="Arial"/>
          <w:sz w:val="20"/>
          <w:szCs w:val="20"/>
          <w:b w:val="1"/>
          <w:bCs w:val="1"/>
          <w:color w:val="auto"/>
        </w:rPr>
        <w:t xml:space="preserve"> </w:t>
      </w:r>
      <w:r>
        <w:rPr>
          <w:rFonts w:ascii="Arial" w:cs="Arial" w:eastAsia="Arial" w:hAnsi="Arial"/>
          <w:sz w:val="20"/>
          <w:szCs w:val="20"/>
          <w:color w:val="auto"/>
        </w:rPr>
        <w:t>2 trial who are receiving five monthly doses of SVP-Rapamycin in combination with pegsiticase at the upcoming ACR meeting scheduled for October 19-24, 2018. These patients are receiving SVP-Rapamycin doses ranging from 0.10 - 0.15mg/kg in combination with 0.2mg/kg of pegsiticase.</w:t>
      </w:r>
    </w:p>
    <w:p>
      <w:pPr>
        <w:spacing w:after="0" w:line="185" w:lineRule="exact"/>
        <w:rPr>
          <w:rFonts w:ascii="Arial" w:cs="Arial" w:eastAsia="Arial" w:hAnsi="Arial"/>
          <w:sz w:val="18"/>
          <w:szCs w:val="18"/>
          <w:color w:val="auto"/>
        </w:rPr>
      </w:pPr>
    </w:p>
    <w:p>
      <w:pPr>
        <w:ind w:left="328" w:right="60" w:hanging="328"/>
        <w:spacing w:after="0" w:line="245" w:lineRule="auto"/>
        <w:tabs>
          <w:tab w:leader="none" w:pos="328" w:val="left"/>
        </w:tabs>
        <w:numPr>
          <w:ilvl w:val="0"/>
          <w:numId w:val="4"/>
        </w:numPr>
        <w:rPr>
          <w:rFonts w:ascii="Arial" w:cs="Arial" w:eastAsia="Arial" w:hAnsi="Arial"/>
          <w:sz w:val="18"/>
          <w:szCs w:val="18"/>
          <w:color w:val="auto"/>
        </w:rPr>
      </w:pPr>
      <w:r>
        <w:rPr>
          <w:rFonts w:ascii="Arial" w:cs="Arial" w:eastAsia="Arial" w:hAnsi="Arial"/>
          <w:sz w:val="20"/>
          <w:szCs w:val="20"/>
          <w:b w:val="1"/>
          <w:bCs w:val="1"/>
          <w:color w:val="auto"/>
        </w:rPr>
        <w:t xml:space="preserve">Active Preparations Underway for SEL-212 Phase 3 Clinical Program and Expected Initiation of Patient Enrollment in Fourth Quarter of 2018: </w:t>
      </w:r>
      <w:r>
        <w:rPr>
          <w:rFonts w:ascii="Arial" w:cs="Arial" w:eastAsia="Arial" w:hAnsi="Arial"/>
          <w:sz w:val="20"/>
          <w:szCs w:val="20"/>
          <w:color w:val="auto"/>
        </w:rPr>
        <w:t>Selecta is actively preparing for the start of a pivotal Phase 3 program for SEL-212, and plans to initiate patient</w:t>
      </w:r>
      <w:r>
        <w:rPr>
          <w:rFonts w:ascii="Arial" w:cs="Arial" w:eastAsia="Arial" w:hAnsi="Arial"/>
          <w:sz w:val="20"/>
          <w:szCs w:val="20"/>
          <w:b w:val="1"/>
          <w:bCs w:val="1"/>
          <w:color w:val="auto"/>
        </w:rPr>
        <w:t xml:space="preserve"> </w:t>
      </w:r>
      <w:r>
        <w:rPr>
          <w:rFonts w:ascii="Arial" w:cs="Arial" w:eastAsia="Arial" w:hAnsi="Arial"/>
          <w:sz w:val="20"/>
          <w:szCs w:val="20"/>
          <w:color w:val="auto"/>
        </w:rPr>
        <w:t>enrollment in the fourth quarter of 2018 in a couple of clinical trial sites. The company expects to evaluate maintenance of serum uric acid control below 6 mg/dl at month three and month six as the primary clinical endpoint in two placebo-controlled clinical trials. The company’s end-of-Phase 2 meeting with the U.S. Food and Drug Administration (FDA) will define the company’s design for the Phase 3 program.</w:t>
      </w:r>
    </w:p>
    <w:p>
      <w:pPr>
        <w:spacing w:after="0" w:line="198" w:lineRule="exact"/>
        <w:rPr>
          <w:rFonts w:ascii="Arial" w:cs="Arial" w:eastAsia="Arial" w:hAnsi="Arial"/>
          <w:sz w:val="18"/>
          <w:szCs w:val="18"/>
          <w:color w:val="auto"/>
        </w:rPr>
      </w:pPr>
    </w:p>
    <w:p>
      <w:pPr>
        <w:ind w:left="328" w:right="60" w:hanging="328"/>
        <w:spacing w:after="0" w:line="285" w:lineRule="auto"/>
        <w:tabs>
          <w:tab w:leader="none" w:pos="328" w:val="left"/>
        </w:tabs>
        <w:numPr>
          <w:ilvl w:val="0"/>
          <w:numId w:val="4"/>
        </w:numPr>
        <w:rPr>
          <w:rFonts w:ascii="Arial" w:cs="Arial" w:eastAsia="Arial" w:hAnsi="Arial"/>
          <w:sz w:val="16"/>
          <w:szCs w:val="16"/>
          <w:color w:val="auto"/>
        </w:rPr>
      </w:pPr>
      <w:r>
        <w:rPr>
          <w:rFonts w:ascii="Arial" w:cs="Arial" w:eastAsia="Arial" w:hAnsi="Arial"/>
          <w:sz w:val="18"/>
          <w:szCs w:val="18"/>
          <w:b w:val="1"/>
          <w:bCs w:val="1"/>
          <w:color w:val="auto"/>
        </w:rPr>
        <w:t xml:space="preserve">Active Preparations Underway for Head-to-Head Trial of SEL-212 Versus the Current FDA-Approved Uricase Therapy, Krystexxa: </w:t>
      </w:r>
      <w:r>
        <w:rPr>
          <w:rFonts w:ascii="Arial" w:cs="Arial" w:eastAsia="Arial" w:hAnsi="Arial"/>
          <w:sz w:val="18"/>
          <w:szCs w:val="18"/>
          <w:color w:val="auto"/>
        </w:rPr>
        <w:t>The company is actively preparing to start a head-to-head clinical trial of SEL-212 compared to the current FDA-approved</w:t>
      </w:r>
      <w:r>
        <w:rPr>
          <w:rFonts w:ascii="Arial" w:cs="Arial" w:eastAsia="Arial" w:hAnsi="Arial"/>
          <w:sz w:val="18"/>
          <w:szCs w:val="18"/>
          <w:b w:val="1"/>
          <w:bCs w:val="1"/>
          <w:color w:val="auto"/>
        </w:rPr>
        <w:t xml:space="preserve"> </w:t>
      </w:r>
      <w:r>
        <w:rPr>
          <w:rFonts w:ascii="Arial" w:cs="Arial" w:eastAsia="Arial" w:hAnsi="Arial"/>
          <w:sz w:val="18"/>
          <w:szCs w:val="18"/>
          <w:color w:val="auto"/>
        </w:rPr>
        <w:t>uricase therapy, Krystexxa, which will be designed to have the potential to demonstrate superiority. Selecta plans to initiate this trial in parallel with the Phase 3 program and expects to report clinical data at both the three month and six month time points in 2019.</w:t>
      </w:r>
    </w:p>
    <w:p>
      <w:pPr>
        <w:spacing w:after="0" w:line="151" w:lineRule="exact"/>
        <w:rPr>
          <w:rFonts w:ascii="Arial" w:cs="Arial" w:eastAsia="Arial" w:hAnsi="Arial"/>
          <w:sz w:val="16"/>
          <w:szCs w:val="16"/>
          <w:color w:val="auto"/>
        </w:rPr>
      </w:pPr>
    </w:p>
    <w:p>
      <w:pPr>
        <w:ind w:left="328" w:right="60" w:hanging="328"/>
        <w:spacing w:after="0" w:line="275" w:lineRule="auto"/>
        <w:tabs>
          <w:tab w:leader="none" w:pos="328" w:val="left"/>
        </w:tabs>
        <w:numPr>
          <w:ilvl w:val="0"/>
          <w:numId w:val="4"/>
        </w:numPr>
        <w:rPr>
          <w:rFonts w:ascii="Arial" w:cs="Arial" w:eastAsia="Arial" w:hAnsi="Arial"/>
          <w:sz w:val="16"/>
          <w:szCs w:val="16"/>
          <w:color w:val="auto"/>
        </w:rPr>
      </w:pPr>
      <w:r>
        <w:rPr>
          <w:rFonts w:ascii="Arial" w:cs="Arial" w:eastAsia="Arial" w:hAnsi="Arial"/>
          <w:sz w:val="18"/>
          <w:szCs w:val="18"/>
          <w:b w:val="1"/>
          <w:bCs w:val="1"/>
          <w:color w:val="auto"/>
        </w:rPr>
        <w:t xml:space="preserve">Patient Enrollment Ongoing for SEL-403 Phase 1 Trial for Mesothelioma: </w:t>
      </w:r>
      <w:r>
        <w:rPr>
          <w:rFonts w:ascii="Arial" w:cs="Arial" w:eastAsia="Arial" w:hAnsi="Arial"/>
          <w:sz w:val="18"/>
          <w:szCs w:val="18"/>
          <w:color w:val="auto"/>
        </w:rPr>
        <w:t>The company is actively dosing patients in an open-label dose-finding Phase 1 clinical trial of SEL-403, Selecta’s combination product candidate consisting of SVP-Rapamycin and LMB-100, for the treatment of patients with malignant pleural or peritoneal mesothelioma who have undergone at least one regimen of chemotherapy. The trial is being conducted in cooperation with the National Cancer Institute (NCI), part of the National Institutes of Health, and will evaluate the safety and tolerability of this treatment and provide data on pharmacokinetics, anti-drug antibody levels, as well as an objective response rate assessment. The company is also working with investigators at the NCI to potentially conduct a Phase 1 study of SEL-403 in patients with pancreatic cancer, and is further exploring additional studies in other cancers.</w:t>
      </w:r>
    </w:p>
    <w:p>
      <w:pPr>
        <w:spacing w:after="0" w:line="176" w:lineRule="exact"/>
        <w:rPr>
          <w:rFonts w:ascii="Arial" w:cs="Arial" w:eastAsia="Arial" w:hAnsi="Arial"/>
          <w:sz w:val="16"/>
          <w:szCs w:val="16"/>
          <w:color w:val="auto"/>
        </w:rPr>
      </w:pPr>
    </w:p>
    <w:p>
      <w:pPr>
        <w:ind w:left="328" w:right="40" w:hanging="328"/>
        <w:spacing w:after="0" w:line="330" w:lineRule="auto"/>
        <w:tabs>
          <w:tab w:leader="none" w:pos="328" w:val="left"/>
        </w:tabs>
        <w:numPr>
          <w:ilvl w:val="0"/>
          <w:numId w:val="4"/>
        </w:numPr>
        <w:rPr>
          <w:rFonts w:ascii="Arial" w:cs="Arial" w:eastAsia="Arial" w:hAnsi="Arial"/>
          <w:sz w:val="15"/>
          <w:szCs w:val="15"/>
          <w:color w:val="auto"/>
        </w:rPr>
      </w:pPr>
      <w:r>
        <w:rPr>
          <w:rFonts w:ascii="Arial" w:cs="Arial" w:eastAsia="Arial" w:hAnsi="Arial"/>
          <w:sz w:val="16"/>
          <w:szCs w:val="16"/>
          <w:b w:val="1"/>
          <w:bCs w:val="1"/>
          <w:color w:val="auto"/>
        </w:rPr>
        <w:t>Preclinical Work Continues in Gene Therapy</w:t>
      </w:r>
      <w:r>
        <w:rPr>
          <w:rFonts w:ascii="Arial" w:cs="Arial" w:eastAsia="Arial" w:hAnsi="Arial"/>
          <w:sz w:val="16"/>
          <w:szCs w:val="16"/>
          <w:color w:val="auto"/>
        </w:rPr>
        <w:t>: Previously presented data from the 2017 annual meetings of the American Society of</w:t>
      </w:r>
      <w:r>
        <w:rPr>
          <w:rFonts w:ascii="Arial" w:cs="Arial" w:eastAsia="Arial" w:hAnsi="Arial"/>
          <w:sz w:val="16"/>
          <w:szCs w:val="16"/>
          <w:b w:val="1"/>
          <w:bCs w:val="1"/>
          <w:color w:val="auto"/>
        </w:rPr>
        <w:t xml:space="preserve"> </w:t>
      </w:r>
      <w:r>
        <w:rPr>
          <w:rFonts w:ascii="Arial" w:cs="Arial" w:eastAsia="Arial" w:hAnsi="Arial"/>
          <w:sz w:val="16"/>
          <w:szCs w:val="16"/>
          <w:color w:val="auto"/>
        </w:rPr>
        <w:t>Gene &amp; Cell Therapy and the European Society of Gene and Cell Therapy have provided evidence for the potential of SVP-Rapamycin to unlock the full potential of this novel modality. The company continues to engage in preclinical work focused on its proprietary product candidate for the treatment of methylmalonic acidemia, as well as in support of its collaboration with Spark Therapeutics.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88"/>
          </w:cols>
          <w:pgMar w:left="572" w:top="595" w:right="239" w:bottom="1440" w:gutter="0" w:footer="0" w:header="0"/>
        </w:sectPr>
      </w:pPr>
    </w:p>
    <w:bookmarkStart w:id="5" w:name="page6"/>
    <w:bookmarkEnd w:id="5"/>
    <w:p>
      <w:pPr>
        <w:spacing w:after="0"/>
        <w:rPr>
          <w:sz w:val="20"/>
          <w:szCs w:val="20"/>
          <w:color w:val="auto"/>
        </w:rPr>
      </w:pPr>
      <w:r>
        <w:rPr>
          <w:rFonts w:ascii="Arial" w:cs="Arial" w:eastAsia="Arial" w:hAnsi="Arial"/>
          <w:sz w:val="20"/>
          <w:szCs w:val="20"/>
          <w:b w:val="1"/>
          <w:bCs w:val="1"/>
          <w:color w:val="auto"/>
        </w:rPr>
        <w:t>Second Quarter 2018 Financial Results:</w:t>
      </w:r>
    </w:p>
    <w:p>
      <w:pPr>
        <w:spacing w:after="0" w:line="222" w:lineRule="exact"/>
        <w:rPr>
          <w:sz w:val="20"/>
          <w:szCs w:val="20"/>
          <w:color w:val="auto"/>
        </w:rPr>
      </w:pPr>
    </w:p>
    <w:p>
      <w:pPr>
        <w:ind w:left="340" w:right="380" w:hanging="332"/>
        <w:spacing w:after="0" w:line="316" w:lineRule="auto"/>
        <w:tabs>
          <w:tab w:leader="none" w:pos="340" w:val="left"/>
        </w:tabs>
        <w:numPr>
          <w:ilvl w:val="0"/>
          <w:numId w:val="5"/>
        </w:numPr>
        <w:rPr>
          <w:rFonts w:ascii="Arial" w:cs="Arial" w:eastAsia="Arial" w:hAnsi="Arial"/>
          <w:sz w:val="16"/>
          <w:szCs w:val="16"/>
          <w:color w:val="auto"/>
        </w:rPr>
      </w:pPr>
      <w:r>
        <w:rPr>
          <w:rFonts w:ascii="Arial" w:cs="Arial" w:eastAsia="Arial" w:hAnsi="Arial"/>
          <w:sz w:val="18"/>
          <w:szCs w:val="18"/>
          <w:u w:val="single" w:color="auto"/>
          <w:color w:val="auto"/>
        </w:rPr>
        <w:t>Revenue</w:t>
      </w:r>
      <w:r>
        <w:rPr>
          <w:rFonts w:ascii="Arial" w:cs="Arial" w:eastAsia="Arial" w:hAnsi="Arial"/>
          <w:sz w:val="18"/>
          <w:szCs w:val="18"/>
          <w:color w:val="auto"/>
        </w:rPr>
        <w:t>: For the second quarter of 2018, the company recognized no revenue, which compares to less than $0.1 million for the second quarter of 2017. The decline is the result of reduced revenue recognized from the company’s grants and collaborations.</w:t>
      </w:r>
    </w:p>
    <w:p>
      <w:pPr>
        <w:spacing w:after="0" w:line="130" w:lineRule="exact"/>
        <w:rPr>
          <w:rFonts w:ascii="Arial" w:cs="Arial" w:eastAsia="Arial" w:hAnsi="Arial"/>
          <w:sz w:val="16"/>
          <w:szCs w:val="16"/>
          <w:color w:val="auto"/>
        </w:rPr>
      </w:pPr>
    </w:p>
    <w:p>
      <w:pPr>
        <w:ind w:left="340" w:right="20" w:hanging="332"/>
        <w:spacing w:after="0" w:line="342" w:lineRule="auto"/>
        <w:tabs>
          <w:tab w:leader="none" w:pos="340" w:val="left"/>
        </w:tabs>
        <w:numPr>
          <w:ilvl w:val="0"/>
          <w:numId w:val="5"/>
        </w:numPr>
        <w:rPr>
          <w:rFonts w:ascii="Arial" w:cs="Arial" w:eastAsia="Arial" w:hAnsi="Arial"/>
          <w:sz w:val="15"/>
          <w:szCs w:val="15"/>
          <w:color w:val="auto"/>
        </w:rPr>
      </w:pPr>
      <w:r>
        <w:rPr>
          <w:rFonts w:ascii="Arial" w:cs="Arial" w:eastAsia="Arial" w:hAnsi="Arial"/>
          <w:sz w:val="16"/>
          <w:szCs w:val="16"/>
          <w:u w:val="single" w:color="auto"/>
          <w:color w:val="auto"/>
        </w:rPr>
        <w:t>Research and Development Expenses</w:t>
      </w:r>
      <w:r>
        <w:rPr>
          <w:rFonts w:ascii="Arial" w:cs="Arial" w:eastAsia="Arial" w:hAnsi="Arial"/>
          <w:sz w:val="16"/>
          <w:szCs w:val="16"/>
          <w:color w:val="auto"/>
        </w:rPr>
        <w:t>: Research and development expenses for the second quarter of 2018 were $14.4 million, which compares to $11.0 million for the second quarter of 2017. The increase is primarily the result of higher clinical costs related to the company’s Phase 2 trial of SEL-212, preparation for the start of the SEL-212 Phase 3 program and incremental headcount-related expenses.</w:t>
      </w:r>
    </w:p>
    <w:p>
      <w:pPr>
        <w:spacing w:after="0" w:line="118" w:lineRule="exact"/>
        <w:rPr>
          <w:rFonts w:ascii="Arial" w:cs="Arial" w:eastAsia="Arial" w:hAnsi="Arial"/>
          <w:sz w:val="15"/>
          <w:szCs w:val="15"/>
          <w:color w:val="auto"/>
        </w:rPr>
      </w:pPr>
    </w:p>
    <w:p>
      <w:pPr>
        <w:ind w:left="340" w:right="80" w:hanging="332"/>
        <w:spacing w:after="0" w:line="250"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20"/>
          <w:szCs w:val="20"/>
          <w:u w:val="single" w:color="auto"/>
          <w:color w:val="auto"/>
        </w:rPr>
        <w:t>General and Administrative Expenses</w:t>
      </w:r>
      <w:r>
        <w:rPr>
          <w:rFonts w:ascii="Arial" w:cs="Arial" w:eastAsia="Arial" w:hAnsi="Arial"/>
          <w:sz w:val="20"/>
          <w:szCs w:val="20"/>
          <w:color w:val="auto"/>
        </w:rPr>
        <w:t>: General and administrative expenses for the second quarter of 2018 were $4.4 million, which compares with $4.9 million for the second quarter of 2017. The reduction in costs is primarily the result of reduced patent related costs and contract license fees associated with collaborations.</w:t>
      </w:r>
    </w:p>
    <w:p>
      <w:pPr>
        <w:spacing w:after="0" w:line="199" w:lineRule="exact"/>
        <w:rPr>
          <w:rFonts w:ascii="Arial" w:cs="Arial" w:eastAsia="Arial" w:hAnsi="Arial"/>
          <w:sz w:val="18"/>
          <w:szCs w:val="18"/>
          <w:color w:val="auto"/>
        </w:rPr>
      </w:pPr>
    </w:p>
    <w:p>
      <w:pPr>
        <w:ind w:left="340" w:right="460" w:hanging="332"/>
        <w:spacing w:after="0" w:line="260"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20"/>
          <w:szCs w:val="20"/>
          <w:u w:val="single" w:color="auto"/>
          <w:color w:val="auto"/>
        </w:rPr>
        <w:t>Net Loss</w:t>
      </w:r>
      <w:r>
        <w:rPr>
          <w:rFonts w:ascii="Arial" w:cs="Arial" w:eastAsia="Arial" w:hAnsi="Arial"/>
          <w:sz w:val="20"/>
          <w:szCs w:val="20"/>
          <w:color w:val="auto"/>
        </w:rPr>
        <w:t>: For the second quarter of 2018, Selecta reported a net loss of $(18.8) million, or $(0.84) per share, compared to a net loss of $(16.0) million, or $(0.85) per share, for the same period in 2017.</w:t>
      </w:r>
    </w:p>
    <w:p>
      <w:pPr>
        <w:spacing w:after="0" w:line="176" w:lineRule="exact"/>
        <w:rPr>
          <w:rFonts w:ascii="Arial" w:cs="Arial" w:eastAsia="Arial" w:hAnsi="Arial"/>
          <w:sz w:val="18"/>
          <w:szCs w:val="18"/>
          <w:color w:val="auto"/>
        </w:rPr>
      </w:pPr>
    </w:p>
    <w:p>
      <w:pPr>
        <w:ind w:left="340" w:right="20" w:hanging="332"/>
        <w:spacing w:after="0" w:line="276" w:lineRule="auto"/>
        <w:tabs>
          <w:tab w:leader="none" w:pos="340" w:val="left"/>
        </w:tabs>
        <w:numPr>
          <w:ilvl w:val="0"/>
          <w:numId w:val="5"/>
        </w:numPr>
        <w:rPr>
          <w:rFonts w:ascii="Arial" w:cs="Arial" w:eastAsia="Arial" w:hAnsi="Arial"/>
          <w:sz w:val="16"/>
          <w:szCs w:val="16"/>
          <w:color w:val="auto"/>
        </w:rPr>
      </w:pPr>
      <w:r>
        <w:rPr>
          <w:rFonts w:ascii="Arial" w:cs="Arial" w:eastAsia="Arial" w:hAnsi="Arial"/>
          <w:sz w:val="18"/>
          <w:szCs w:val="18"/>
          <w:u w:val="single" w:color="auto"/>
          <w:color w:val="auto"/>
        </w:rPr>
        <w:t>Cash Position</w:t>
      </w:r>
      <w:r>
        <w:rPr>
          <w:rFonts w:ascii="Arial" w:cs="Arial" w:eastAsia="Arial" w:hAnsi="Arial"/>
          <w:sz w:val="18"/>
          <w:szCs w:val="18"/>
          <w:color w:val="auto"/>
        </w:rPr>
        <w:t>: Selecta had $66.2 million in cash, cash equivalents, short-term deposits and investments as of June 30, 2018, which compares with a balance of $83.1 million at March 31, 2018. Selecta expects that its cash, cash equivalents, short-term deposits and investments will be sufficient to fund the company’s operating expenses and capital expenditure requirements through the end of the third quarter of 2019. The current operating plan accounts for funding in preparation for the planned Phase 3 clinical trial for SEL-212 and initial patient enrollment into a couple of Phase 3 clinical trial sites, but the company will require an additional equity offering or other external sources of capital to expand enrollment in the Phase 3 trial and to conduct the planned head-to-head trial against Krystexxa</w:t>
      </w:r>
      <w:r>
        <w:rPr>
          <w:rFonts w:ascii="Arial" w:cs="Arial" w:eastAsia="Arial" w:hAnsi="Arial"/>
          <w:sz w:val="16"/>
          <w:szCs w:val="16"/>
          <w:color w:val="auto"/>
        </w:rPr>
        <w:t>.</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Conference Call Reminder</w:t>
      </w:r>
    </w:p>
    <w:p>
      <w:pPr>
        <w:spacing w:after="0" w:line="22" w:lineRule="exact"/>
        <w:rPr>
          <w:sz w:val="20"/>
          <w:szCs w:val="20"/>
          <w:color w:val="auto"/>
        </w:rPr>
      </w:pPr>
    </w:p>
    <w:p>
      <w:pPr>
        <w:ind w:right="20"/>
        <w:spacing w:after="0"/>
        <w:rPr>
          <w:sz w:val="20"/>
          <w:szCs w:val="20"/>
          <w:color w:val="auto"/>
        </w:rPr>
      </w:pPr>
      <w:r>
        <w:rPr>
          <w:rFonts w:ascii="Arial" w:cs="Arial" w:eastAsia="Arial" w:hAnsi="Arial"/>
          <w:sz w:val="20"/>
          <w:szCs w:val="20"/>
          <w:color w:val="auto"/>
        </w:rPr>
        <w:t xml:space="preserve">Selecta management will host a conference call at 8:30 a.m. ET today to review the company’s second quarter financial results. Investors and the public can access a live and archived webcast of this call via the Investors &amp; Media section of the company’s website, </w:t>
      </w:r>
      <w:r>
        <w:rPr>
          <w:rFonts w:ascii="Arial" w:cs="Arial" w:eastAsia="Arial" w:hAnsi="Arial"/>
          <w:sz w:val="20"/>
          <w:szCs w:val="20"/>
          <w:u w:val="single" w:color="auto"/>
          <w:color w:val="0000FF"/>
        </w:rPr>
        <w:t>http://selectabio.com</w:t>
      </w:r>
      <w:r>
        <w:rPr>
          <w:rFonts w:ascii="Arial" w:cs="Arial" w:eastAsia="Arial" w:hAnsi="Arial"/>
          <w:sz w:val="20"/>
          <w:szCs w:val="20"/>
          <w:color w:val="auto"/>
        </w:rPr>
        <w:t>. Individuals may also participate in the live call via telephone by dialing (844) 845-4170 (domestic) or (412) 717-9621 (international) and may access a teleconference replay for one week by dialing (877) 344-7529 (domestic) or (412) 317-0088 (international) and using confirmation code 10122287.</w:t>
      </w:r>
    </w:p>
    <w:p>
      <w:pPr>
        <w:spacing w:after="0" w:line="20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Selecta Biosciences, Inc.</w:t>
      </w:r>
    </w:p>
    <w:p>
      <w:pPr>
        <w:spacing w:after="0" w:line="2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Selecta Biosciences, Inc. is a clinical-stage biopharmaceutical company that is focused on unlocking the full potential of biologic therapies by mitigating unwanted immune responses. Selecta plans to combine its tolerogenic Synthetic Vaccine Particles (SVP</w:t>
      </w:r>
      <w:r>
        <w:rPr>
          <w:rFonts w:ascii="Arial" w:cs="Arial" w:eastAsia="Arial" w:hAnsi="Arial"/>
          <w:sz w:val="23"/>
          <w:szCs w:val="23"/>
          <w:color w:val="auto"/>
          <w:vertAlign w:val="superscript"/>
        </w:rPr>
        <w:t>TM</w:t>
      </w:r>
      <w:r>
        <w:rPr>
          <w:rFonts w:ascii="Arial" w:cs="Arial" w:eastAsia="Arial" w:hAnsi="Arial"/>
          <w:sz w:val="18"/>
          <w:szCs w:val="18"/>
          <w:color w:val="auto"/>
        </w:rPr>
        <w:t>) with a range of biologics for rare and serious diseases that require new treatment options. The company's current proprietary pipeline includes SVP-enabled enzyme, oncology and gene therapies. SEL-212, the company's lead candidate in Phase 2, is being developed to treat severe gout patients and resolve their debilitating symptoms, including flares and gouty arthritis. Selecta's SEL-403 product candidate, a combination therapy consisting of SVP-Rapamycin and LMB-100, recently entered a Phase 1 trial in 2018 for the treatment of patients with malignant pleural or peritoneal mesothelioma. Selecta's proprietary gene therapy product candidates are being developed for</w:t>
      </w:r>
    </w:p>
    <w:p>
      <w:pPr>
        <w:spacing w:after="0" w:line="200" w:lineRule="exact"/>
        <w:rPr>
          <w:sz w:val="20"/>
          <w:szCs w:val="20"/>
          <w:color w:val="auto"/>
        </w:rPr>
      </w:pPr>
    </w:p>
    <w:p>
      <w:pPr>
        <w:spacing w:after="0" w:line="2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805" w:right="239" w:bottom="1440" w:gutter="0" w:footer="0" w:header="0"/>
        </w:sectPr>
      </w:pPr>
    </w:p>
    <w:bookmarkStart w:id="6" w:name="page7"/>
    <w:bookmarkEnd w:id="6"/>
    <w:p>
      <w:pPr>
        <w:jc w:val="both"/>
        <w:ind w:right="60"/>
        <w:spacing w:after="0" w:line="250" w:lineRule="auto"/>
        <w:rPr>
          <w:sz w:val="20"/>
          <w:szCs w:val="20"/>
          <w:color w:val="auto"/>
        </w:rPr>
      </w:pPr>
      <w:r>
        <w:rPr>
          <w:rFonts w:ascii="Arial" w:cs="Arial" w:eastAsia="Arial" w:hAnsi="Arial"/>
          <w:sz w:val="20"/>
          <w:szCs w:val="20"/>
          <w:color w:val="auto"/>
        </w:rPr>
        <w:t>rare inborn errors of metabolism and have the potential to enable repeat administration. The use of SVP also holds potential in the development of vaccines and treatments for allergies and autoimmune diseases. Selecta is based in Watertown, Massachusetts. For more information, please visit http://selectabio.com and follow @SelectaBio on Twitter.</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Forward-Looking Statements</w:t>
      </w:r>
    </w:p>
    <w:p>
      <w:pPr>
        <w:spacing w:after="0" w:line="22" w:lineRule="exact"/>
        <w:rPr>
          <w:sz w:val="20"/>
          <w:szCs w:val="20"/>
          <w:color w:val="auto"/>
        </w:rPr>
      </w:pPr>
    </w:p>
    <w:p>
      <w:pPr>
        <w:ind w:right="20"/>
        <w:spacing w:after="0" w:line="267" w:lineRule="auto"/>
        <w:rPr>
          <w:sz w:val="20"/>
          <w:szCs w:val="20"/>
          <w:color w:val="auto"/>
        </w:rPr>
      </w:pPr>
      <w:r>
        <w:rPr>
          <w:rFonts w:ascii="Arial" w:cs="Arial" w:eastAsia="Arial" w:hAnsi="Arial"/>
          <w:sz w:val="18"/>
          <w:szCs w:val="18"/>
          <w:i w:val="1"/>
          <w:iCs w:val="1"/>
          <w:color w:val="auto"/>
        </w:rPr>
        <w:t xml:space="preserve">Any statements in this press release about the future expectations, plans and prospects of Selecta Biosciences, Inc. (“the company”), including without limitation, statements regarding the progress of the Phase 2 clinical trial of SEL-212, the anticipated timing for reporting further data from the Phase 2 trial, conducting an End-of-Phase 2 meeting (if at all) and advancing into Phase 3 (if at all), the potential for patient data from the SEL-212 Phase 2 trial to continue to show improved clinical activity, the company’s ability to define its design for the Phase 3 program with the FDA at its End-of-Phase 2 meeting or at all, statements regarding the design and potential significance of a head-to-head trial of SEL-212 and Krystexxa and the company’s expectations surrounding the timing of initiating and reporting data from the head-to-head trial (if at all), statements regarding the progress and enrollment of the Phase 1 trial for SEL-403 in mesothelioma, the potential Phase 1 study of SEL-403 in patients with pancreatic cancer in cooperation with NCI, and the potential of SEL-403 to treat other cancers, statements regarding the company’s proprietary product candidate for the treatment of methylmalonic acidemia, statements regarding the company’s ability to unlock the full potential of biologic therapies by mitigating unwanted immune responses, the ability of the company’s SVP platform, including SVP-Rapamycin, to enable new therapies or to improve the efficacy or safety of existing biologics by mitigating immune response, the potential of SEL-212 to treat severe gout patients, resolve their debilitating symptoms, and to change the chronic severe gout treatment paradigm, the potential of SEL-403 to treat mesothelioma, the potential treatment applications for products utilizing the SVP platform in areas such as enzyme therapy, gene therapy, oncology therapy, vaccines and treatments for allergies and autoimmune diseases, </w:t>
      </w:r>
      <w:r>
        <w:rPr>
          <w:rFonts w:ascii="Arial" w:cs="Arial" w:eastAsia="Arial" w:hAnsi="Arial"/>
          <w:sz w:val="18"/>
          <w:szCs w:val="18"/>
          <w:i w:val="1"/>
          <w:iCs w:val="1"/>
          <w:color w:val="333333"/>
        </w:rPr>
        <w:t>the company’s plan to</w:t>
      </w:r>
      <w:r>
        <w:rPr>
          <w:rFonts w:ascii="Arial" w:cs="Arial" w:eastAsia="Arial" w:hAnsi="Arial"/>
          <w:sz w:val="18"/>
          <w:szCs w:val="18"/>
          <w:i w:val="1"/>
          <w:iCs w:val="1"/>
          <w:color w:val="auto"/>
        </w:rPr>
        <w:t xml:space="preserve"> </w:t>
      </w:r>
      <w:r>
        <w:rPr>
          <w:rFonts w:ascii="Arial" w:cs="Arial" w:eastAsia="Arial" w:hAnsi="Arial"/>
          <w:sz w:val="18"/>
          <w:szCs w:val="18"/>
          <w:i w:val="1"/>
          <w:iCs w:val="1"/>
          <w:color w:val="333333"/>
        </w:rPr>
        <w:t xml:space="preserve">apply its SVP platform to a range of biologics for rare and serious diseases, </w:t>
      </w:r>
      <w:r>
        <w:rPr>
          <w:rFonts w:ascii="Arial" w:cs="Arial" w:eastAsia="Arial" w:hAnsi="Arial"/>
          <w:sz w:val="18"/>
          <w:szCs w:val="18"/>
          <w:i w:val="1"/>
          <w:iCs w:val="1"/>
          <w:color w:val="000000"/>
        </w:rPr>
        <w:t>the potential of the company’s two gene therapy product</w:t>
      </w:r>
      <w:r>
        <w:rPr>
          <w:rFonts w:ascii="Arial" w:cs="Arial" w:eastAsia="Arial" w:hAnsi="Arial"/>
          <w:sz w:val="18"/>
          <w:szCs w:val="18"/>
          <w:i w:val="1"/>
          <w:iCs w:val="1"/>
          <w:color w:val="333333"/>
        </w:rPr>
        <w:t xml:space="preserve"> </w:t>
      </w:r>
      <w:r>
        <w:rPr>
          <w:rFonts w:ascii="Arial" w:cs="Arial" w:eastAsia="Arial" w:hAnsi="Arial"/>
          <w:sz w:val="18"/>
          <w:szCs w:val="18"/>
          <w:i w:val="1"/>
          <w:iCs w:val="1"/>
          <w:color w:val="000000"/>
        </w:rPr>
        <w:t>candidates to enable repeat administration, the potential of the SVP-Rapamycin platform to unlock the full potential of gene therapy as a treatment modality, the sufficiency of the company’s capital resources to fund its operating expenses and capital expenditure requirements through the third quarter of 2019, and other statements containing the words “anticipate,” “believe,” “continue,” “could,” “estimate,” “expect,” “hypothesize,” “intend,” “may,” “plan,” “potential,” “predict,” “project,” “should,” “target,” “would,” and similar expressions, constitute forward-looking statements within the meaning of The Private Securities Litigation Reform Act of 1995. Actual results may differ materially from those indicated by such forward-looking statements as a result of various important factors, including, but not limited to, the following: the uncertainties inherent in the initiation, completion and cost of clinical trials including their uncertain outcomes, the availability and timing of data from ongoing and future clinical trials and the results of such trials, whether preliminary results from a particular clinical trial will be predictive of the final results of that trial or whether results of early clinical trials will be indicative of the results of later clinical trials, the unproven approach of the company’s SVP technology, potential delays in enrollment of patients, undesirable side effects of the company’s product candidates, its reliance on third parties to manufacture its product candidates and to conduct its clinical trials, the company’s inability to maintain its existing or future collaborations or licenses, its inability to protect its proprietary technology and intellectual property, potential delays in regulatory approvals, the availability of funding sufficient for its foreseeable and unforeseeable operating expenses and capital expenditure requirements, substantial fluctuation in the price of its common stock, and other important factors discussed in the “Risk Factors” section of the company’s Quarterly Report on Form 10-Q filed with the Securities and Exchange Commission, or SEC, on May 9, 2018, and in other filings that the company makes with the SEC. In addition, any forward-looking statements included in this press release represent the company’s views only as of the date of its publication and should not be relied</w:t>
      </w:r>
    </w:p>
    <w:p>
      <w:pPr>
        <w:spacing w:after="0" w:line="200" w:lineRule="exact"/>
        <w:rPr>
          <w:sz w:val="20"/>
          <w:szCs w:val="20"/>
          <w:color w:val="auto"/>
        </w:rPr>
      </w:pPr>
    </w:p>
    <w:p>
      <w:pPr>
        <w:spacing w:after="0" w:line="22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582" w:right="239" w:bottom="1440" w:gutter="0" w:footer="0" w:header="0"/>
        </w:sectPr>
      </w:pPr>
    </w:p>
    <w:bookmarkStart w:id="7" w:name="page8"/>
    <w:bookmarkEnd w:id="7"/>
    <w:p>
      <w:pPr>
        <w:ind w:right="380"/>
        <w:spacing w:after="0" w:line="260" w:lineRule="auto"/>
        <w:rPr>
          <w:sz w:val="20"/>
          <w:szCs w:val="20"/>
          <w:color w:val="auto"/>
        </w:rPr>
      </w:pPr>
      <w:r>
        <w:rPr>
          <w:rFonts w:ascii="Arial" w:cs="Arial" w:eastAsia="Arial" w:hAnsi="Arial"/>
          <w:sz w:val="20"/>
          <w:szCs w:val="20"/>
          <w:i w:val="1"/>
          <w:iCs w:val="1"/>
          <w:color w:val="auto"/>
        </w:rPr>
        <w:t>upon as representing its views as of any subsequent date. The company specifically disclaims any obligation to update any forward-looking statements included in this press release.</w:t>
      </w:r>
    </w:p>
    <w:p>
      <w:pPr>
        <w:spacing w:after="0" w:line="200" w:lineRule="exact"/>
        <w:rPr>
          <w:sz w:val="20"/>
          <w:szCs w:val="20"/>
          <w:color w:val="auto"/>
        </w:rPr>
      </w:pPr>
    </w:p>
    <w:p>
      <w:pPr>
        <w:spacing w:after="0" w:line="2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582" w:right="239" w:bottom="1440" w:gutter="0" w:footer="0" w:header="0"/>
        </w:sectPr>
      </w:pPr>
    </w:p>
    <w:bookmarkStart w:id="8" w:name="page9"/>
    <w:bookmarkEnd w:id="8"/>
    <w:p>
      <w:pPr>
        <w:jc w:val="center"/>
        <w:ind w:right="40"/>
        <w:spacing w:after="0"/>
        <w:rPr>
          <w:sz w:val="20"/>
          <w:szCs w:val="20"/>
          <w:color w:val="auto"/>
        </w:rPr>
      </w:pPr>
      <w:r>
        <w:rPr>
          <w:rFonts w:ascii="Arial" w:cs="Arial" w:eastAsia="Arial" w:hAnsi="Arial"/>
          <w:sz w:val="18"/>
          <w:szCs w:val="18"/>
          <w:b w:val="1"/>
          <w:bCs w:val="1"/>
          <w:color w:val="auto"/>
        </w:rPr>
        <w:t>Selecta Biosciences, Inc. and Subsidiaries</w:t>
      </w:r>
    </w:p>
    <w:p>
      <w:pPr>
        <w:spacing w:after="0" w:line="6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Balance Sheets</w:t>
      </w:r>
    </w:p>
    <w:p>
      <w:pPr>
        <w:spacing w:after="0" w:line="6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 except for shares and par value)</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20" w:type="dxa"/>
            <w:vAlign w:val="bottom"/>
          </w:tcPr>
          <w:p>
            <w:pPr>
              <w:spacing w:after="0"/>
              <w:rPr>
                <w:sz w:val="16"/>
                <w:szCs w:val="16"/>
                <w:color w:val="auto"/>
              </w:rPr>
            </w:pPr>
          </w:p>
        </w:tc>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June 30, 2018</w:t>
            </w:r>
          </w:p>
        </w:tc>
        <w:tc>
          <w:tcPr>
            <w:tcW w:w="120" w:type="dxa"/>
            <w:vAlign w:val="bottom"/>
          </w:tcPr>
          <w:p>
            <w:pPr>
              <w:spacing w:after="0"/>
              <w:rPr>
                <w:sz w:val="16"/>
                <w:szCs w:val="16"/>
                <w:color w:val="auto"/>
              </w:rPr>
            </w:pPr>
          </w:p>
        </w:tc>
        <w:tc>
          <w:tcPr>
            <w:tcW w:w="180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rPr>
              <w:t>December 31, 2017</w:t>
            </w:r>
          </w:p>
        </w:tc>
        <w:tc>
          <w:tcPr>
            <w:tcW w:w="0" w:type="dxa"/>
            <w:vAlign w:val="bottom"/>
          </w:tcPr>
          <w:p>
            <w:pPr>
              <w:spacing w:after="0"/>
              <w:rPr>
                <w:sz w:val="1"/>
                <w:szCs w:val="1"/>
                <w:color w:val="auto"/>
              </w:rPr>
            </w:pPr>
          </w:p>
        </w:tc>
      </w:tr>
      <w:tr>
        <w:trPr>
          <w:trHeight w:val="177"/>
        </w:trPr>
        <w:tc>
          <w:tcPr>
            <w:tcW w:w="7620" w:type="dxa"/>
            <w:vAlign w:val="bottom"/>
          </w:tcPr>
          <w:p>
            <w:pPr>
              <w:spacing w:after="0"/>
              <w:rPr>
                <w:sz w:val="20"/>
                <w:szCs w:val="20"/>
                <w:color w:val="auto"/>
              </w:rPr>
            </w:pPr>
            <w:r>
              <w:rPr>
                <w:rFonts w:ascii="Arial" w:cs="Arial" w:eastAsia="Arial" w:hAnsi="Arial"/>
                <w:sz w:val="14"/>
                <w:szCs w:val="14"/>
                <w:b w:val="1"/>
                <w:bCs w:val="1"/>
                <w:color w:val="auto"/>
              </w:rPr>
              <w:t>Assets</w:t>
            </w:r>
          </w:p>
        </w:tc>
        <w:tc>
          <w:tcPr>
            <w:tcW w:w="19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5"/>
              </w:rPr>
              <w:t>(Unaudited)</w:t>
            </w:r>
          </w:p>
        </w:tc>
        <w:tc>
          <w:tcPr>
            <w:tcW w:w="1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8"/>
        </w:trPr>
        <w:tc>
          <w:tcPr>
            <w:tcW w:w="7620" w:type="dxa"/>
            <w:vAlign w:val="bottom"/>
          </w:tcPr>
          <w:p>
            <w:pPr>
              <w:spacing w:after="0"/>
              <w:rPr>
                <w:sz w:val="5"/>
                <w:szCs w:val="5"/>
                <w:color w:val="auto"/>
              </w:rPr>
            </w:pPr>
          </w:p>
        </w:tc>
        <w:tc>
          <w:tcPr>
            <w:tcW w:w="1960" w:type="dxa"/>
            <w:vAlign w:val="bottom"/>
            <w:gridSpan w:val="2"/>
            <w:vMerge w:val="continue"/>
          </w:tcPr>
          <w:p>
            <w:pPr>
              <w:spacing w:after="0"/>
              <w:rPr>
                <w:sz w:val="5"/>
                <w:szCs w:val="5"/>
                <w:color w:val="auto"/>
              </w:rPr>
            </w:pPr>
          </w:p>
        </w:tc>
        <w:tc>
          <w:tcPr>
            <w:tcW w:w="1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7620" w:type="dxa"/>
            <w:vAlign w:val="bottom"/>
          </w:tcPr>
          <w:p>
            <w:pPr>
              <w:spacing w:after="0"/>
              <w:rPr>
                <w:sz w:val="20"/>
                <w:szCs w:val="20"/>
                <w:color w:val="auto"/>
              </w:rPr>
            </w:pPr>
            <w:r>
              <w:rPr>
                <w:rFonts w:ascii="Arial" w:cs="Arial" w:eastAsia="Arial" w:hAnsi="Arial"/>
                <w:sz w:val="14"/>
                <w:szCs w:val="14"/>
                <w:b w:val="1"/>
                <w:bCs w:val="1"/>
                <w:color w:val="auto"/>
              </w:rPr>
              <w:t>Current assets:</w:t>
            </w:r>
          </w:p>
        </w:tc>
        <w:tc>
          <w:tcPr>
            <w:tcW w:w="1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88" w:lineRule="exact"/>
        <w:rPr>
          <w:sz w:val="20"/>
          <w:szCs w:val="20"/>
          <w:color w:val="auto"/>
        </w:rPr>
      </w:pPr>
    </w:p>
    <w:p>
      <w:pPr>
        <w:sectPr>
          <w:pgSz w:w="11900" w:h="16838" w:orient="portrait"/>
          <w:cols w:equalWidth="0" w:num="1">
            <w:col w:w="11380"/>
          </w:cols>
          <w:pgMar w:left="280" w:top="850" w:right="239" w:bottom="1440" w:gutter="0" w:footer="0" w:header="0"/>
        </w:sectPr>
      </w:pPr>
    </w:p>
    <w:p>
      <w:pPr>
        <w:spacing w:after="0"/>
        <w:rPr>
          <w:sz w:val="20"/>
          <w:szCs w:val="20"/>
          <w:color w:val="auto"/>
        </w:rPr>
      </w:pPr>
      <w:r>
        <w:rPr>
          <w:rFonts w:ascii="Arial" w:cs="Arial" w:eastAsia="Arial" w:hAnsi="Arial"/>
          <w:sz w:val="12"/>
          <w:szCs w:val="12"/>
          <w:color w:val="auto"/>
        </w:rPr>
        <w:t>Cash, cash equivalents, and restricted cash</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color w:val="auto"/>
        </w:rPr>
        <w:t>Short-term deposits and investments</w:t>
      </w:r>
    </w:p>
    <w:p>
      <w:pPr>
        <w:spacing w:after="0" w:line="109" w:lineRule="exact"/>
        <w:rPr>
          <w:sz w:val="20"/>
          <w:szCs w:val="20"/>
          <w:color w:val="auto"/>
        </w:rPr>
      </w:pPr>
    </w:p>
    <w:p>
      <w:pPr>
        <w:spacing w:after="0"/>
        <w:rPr>
          <w:sz w:val="20"/>
          <w:szCs w:val="20"/>
          <w:color w:val="auto"/>
        </w:rPr>
      </w:pPr>
      <w:r>
        <w:rPr>
          <w:rFonts w:ascii="Arial" w:cs="Arial" w:eastAsia="Arial" w:hAnsi="Arial"/>
          <w:sz w:val="12"/>
          <w:szCs w:val="12"/>
          <w:color w:val="auto"/>
        </w:rPr>
        <w:t>Prepaid expenses and other current assets</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color w:val="auto"/>
        </w:rPr>
        <w:t>Total current assets</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Property and equipment, net</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Restricted cash and other assets</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Total assets</w:t>
      </w:r>
    </w:p>
    <w:p>
      <w:pPr>
        <w:spacing w:after="0" w:line="10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Liabilities and stockholders’ equity</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Current liabilities:</w:t>
      </w:r>
    </w:p>
    <w:p>
      <w:pPr>
        <w:spacing w:after="0" w:line="113" w:lineRule="exact"/>
        <w:rPr>
          <w:sz w:val="20"/>
          <w:szCs w:val="20"/>
          <w:color w:val="auto"/>
        </w:rPr>
      </w:pPr>
    </w:p>
    <w:p>
      <w:pPr>
        <w:spacing w:after="0"/>
        <w:rPr>
          <w:sz w:val="20"/>
          <w:szCs w:val="20"/>
          <w:color w:val="auto"/>
        </w:rPr>
      </w:pPr>
      <w:r>
        <w:rPr>
          <w:rFonts w:ascii="Arial" w:cs="Arial" w:eastAsia="Arial" w:hAnsi="Arial"/>
          <w:sz w:val="14"/>
          <w:szCs w:val="14"/>
          <w:color w:val="auto"/>
        </w:rPr>
        <w:t>Accounts payable</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Accrued expenses</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Deferred revenue, current portion</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Total current liabilities</w:t>
      </w:r>
    </w:p>
    <w:p>
      <w:pPr>
        <w:spacing w:after="0" w:line="109" w:lineRule="exact"/>
        <w:rPr>
          <w:sz w:val="20"/>
          <w:szCs w:val="20"/>
          <w:color w:val="auto"/>
        </w:rPr>
      </w:pPr>
    </w:p>
    <w:p>
      <w:pPr>
        <w:spacing w:after="0" w:line="161" w:lineRule="exact"/>
        <w:rPr>
          <w:sz w:val="20"/>
          <w:szCs w:val="20"/>
          <w:color w:val="auto"/>
        </w:rPr>
      </w:pPr>
      <w:r>
        <w:rPr>
          <w:rFonts w:ascii="Arial" w:cs="Arial" w:eastAsia="Arial" w:hAnsi="Arial"/>
          <w:sz w:val="14"/>
          <w:szCs w:val="14"/>
          <w:color w:val="auto"/>
        </w:rPr>
        <w:t>Non</w:t>
      </w:r>
      <w:r>
        <w:rPr>
          <w:rFonts w:ascii="MS PGothic" w:cs="MS PGothic" w:eastAsia="MS PGothic" w:hAnsi="MS PGothic"/>
          <w:sz w:val="14"/>
          <w:szCs w:val="14"/>
          <w:color w:val="auto"/>
        </w:rPr>
        <w:t>‑</w:t>
      </w:r>
      <w:r>
        <w:rPr>
          <w:rFonts w:ascii="Arial" w:cs="Arial" w:eastAsia="Arial" w:hAnsi="Arial"/>
          <w:sz w:val="14"/>
          <w:szCs w:val="14"/>
          <w:color w:val="auto"/>
        </w:rPr>
        <w:t>current liabilities:</w:t>
      </w:r>
    </w:p>
    <w:p>
      <w:pPr>
        <w:spacing w:after="0" w:line="20" w:lineRule="exact"/>
        <w:rPr>
          <w:sz w:val="20"/>
          <w:szCs w:val="20"/>
          <w:color w:val="auto"/>
        </w:rPr>
      </w:pPr>
      <w:r>
        <w:rPr>
          <w:sz w:val="20"/>
          <w:szCs w:val="20"/>
          <w:color w:val="auto"/>
        </w:rPr>
        <w:br w:type="column"/>
      </w:r>
    </w:p>
    <w:p>
      <w:pPr>
        <w:spacing w:after="0" w:line="4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2"/>
        </w:trPr>
        <w:tc>
          <w:tcPr>
            <w:tcW w:w="720" w:type="dxa"/>
            <w:vAlign w:val="bottom"/>
          </w:tcPr>
          <w:p>
            <w:pPr>
              <w:jc w:val="right"/>
              <w:ind w:right="54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60,237</w:t>
            </w:r>
          </w:p>
        </w:tc>
        <w:tc>
          <w:tcPr>
            <w:tcW w:w="120" w:type="dxa"/>
            <w:vAlign w:val="bottom"/>
          </w:tcPr>
          <w:p>
            <w:pPr>
              <w:spacing w:after="0"/>
              <w:rPr>
                <w:sz w:val="15"/>
                <w:szCs w:val="15"/>
                <w:color w:val="auto"/>
              </w:rPr>
            </w:pPr>
          </w:p>
        </w:tc>
        <w:tc>
          <w:tcPr>
            <w:tcW w:w="660" w:type="dxa"/>
            <w:vAlign w:val="bottom"/>
          </w:tcPr>
          <w:p>
            <w:pPr>
              <w:jc w:val="right"/>
              <w:ind w:right="508"/>
              <w:spacing w:after="0"/>
              <w:rPr>
                <w:sz w:val="20"/>
                <w:szCs w:val="20"/>
                <w:color w:val="auto"/>
              </w:rPr>
            </w:pPr>
            <w:r>
              <w:rPr>
                <w:rFonts w:ascii="Arial" w:cs="Arial" w:eastAsia="Arial" w:hAnsi="Arial"/>
                <w:sz w:val="14"/>
                <w:szCs w:val="14"/>
                <w:color w:val="auto"/>
                <w:w w:val="76"/>
              </w:rPr>
              <w:t>$</w:t>
            </w: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70,698</w:t>
            </w:r>
          </w:p>
        </w:tc>
      </w:tr>
      <w:tr>
        <w:trPr>
          <w:trHeight w:val="270"/>
        </w:trPr>
        <w:tc>
          <w:tcPr>
            <w:tcW w:w="72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5,991</w:t>
            </w: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25,940</w:t>
            </w:r>
          </w:p>
        </w:tc>
      </w:tr>
      <w:tr>
        <w:trPr>
          <w:trHeight w:val="276"/>
        </w:trPr>
        <w:tc>
          <w:tcPr>
            <w:tcW w:w="7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2,607</w:t>
            </w:r>
          </w:p>
        </w:tc>
        <w:tc>
          <w:tcPr>
            <w:tcW w:w="120" w:type="dxa"/>
            <w:vAlign w:val="bottom"/>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2,042</w:t>
            </w:r>
          </w:p>
        </w:tc>
      </w:tr>
      <w:tr>
        <w:trPr>
          <w:trHeight w:val="244"/>
        </w:trPr>
        <w:tc>
          <w:tcPr>
            <w:tcW w:w="720" w:type="dxa"/>
            <w:vAlign w:val="bottom"/>
          </w:tcPr>
          <w:p>
            <w:pPr>
              <w:spacing w:after="0"/>
              <w:rPr>
                <w:sz w:val="21"/>
                <w:szCs w:val="21"/>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68,835</w:t>
            </w: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98,680</w:t>
            </w:r>
          </w:p>
        </w:tc>
      </w:tr>
      <w:tr>
        <w:trPr>
          <w:trHeight w:val="270"/>
        </w:trPr>
        <w:tc>
          <w:tcPr>
            <w:tcW w:w="72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2,137</w:t>
            </w: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2,091</w:t>
            </w:r>
          </w:p>
        </w:tc>
      </w:tr>
      <w:tr>
        <w:trPr>
          <w:trHeight w:val="276"/>
        </w:trPr>
        <w:tc>
          <w:tcPr>
            <w:tcW w:w="7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2,465</w:t>
            </w:r>
          </w:p>
        </w:tc>
        <w:tc>
          <w:tcPr>
            <w:tcW w:w="120" w:type="dxa"/>
            <w:vAlign w:val="bottom"/>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329</w:t>
            </w:r>
          </w:p>
        </w:tc>
      </w:tr>
      <w:tr>
        <w:trPr>
          <w:trHeight w:val="237"/>
        </w:trPr>
        <w:tc>
          <w:tcPr>
            <w:tcW w:w="72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73,437</w:t>
            </w:r>
          </w:p>
        </w:tc>
        <w:tc>
          <w:tcPr>
            <w:tcW w:w="120" w:type="dxa"/>
            <w:vAlign w:val="bottom"/>
          </w:tcPr>
          <w:p>
            <w:pPr>
              <w:spacing w:after="0"/>
              <w:rPr>
                <w:sz w:val="20"/>
                <w:szCs w:val="20"/>
                <w:color w:val="auto"/>
              </w:rPr>
            </w:pPr>
          </w:p>
        </w:tc>
        <w:tc>
          <w:tcPr>
            <w:tcW w:w="66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101,100</w:t>
            </w:r>
          </w:p>
        </w:tc>
      </w:tr>
      <w:tr>
        <w:trPr>
          <w:trHeight w:val="20"/>
        </w:trPr>
        <w:tc>
          <w:tcPr>
            <w:tcW w:w="7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758"/>
        </w:trPr>
        <w:tc>
          <w:tcPr>
            <w:tcW w:w="720" w:type="dxa"/>
            <w:vAlign w:val="bottom"/>
          </w:tcPr>
          <w:p>
            <w:pPr>
              <w:jc w:val="right"/>
              <w:ind w:right="54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1,789</w:t>
            </w:r>
          </w:p>
        </w:tc>
        <w:tc>
          <w:tcPr>
            <w:tcW w:w="120" w:type="dxa"/>
            <w:vAlign w:val="bottom"/>
          </w:tcPr>
          <w:p>
            <w:pPr>
              <w:spacing w:after="0"/>
              <w:rPr>
                <w:sz w:val="24"/>
                <w:szCs w:val="24"/>
                <w:color w:val="auto"/>
              </w:rPr>
            </w:pPr>
          </w:p>
        </w:tc>
        <w:tc>
          <w:tcPr>
            <w:tcW w:w="660" w:type="dxa"/>
            <w:vAlign w:val="bottom"/>
          </w:tcPr>
          <w:p>
            <w:pPr>
              <w:jc w:val="right"/>
              <w:ind w:right="508"/>
              <w:spacing w:after="0"/>
              <w:rPr>
                <w:sz w:val="20"/>
                <w:szCs w:val="20"/>
                <w:color w:val="auto"/>
              </w:rPr>
            </w:pPr>
            <w:r>
              <w:rPr>
                <w:rFonts w:ascii="Arial" w:cs="Arial" w:eastAsia="Arial" w:hAnsi="Arial"/>
                <w:sz w:val="14"/>
                <w:szCs w:val="14"/>
                <w:color w:val="auto"/>
                <w:w w:val="76"/>
              </w:rPr>
              <w:t>$</w:t>
            </w: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1,606</w:t>
            </w:r>
          </w:p>
        </w:tc>
      </w:tr>
      <w:tr>
        <w:trPr>
          <w:trHeight w:val="270"/>
        </w:trPr>
        <w:tc>
          <w:tcPr>
            <w:tcW w:w="72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10,184</w:t>
            </w: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8,580</w:t>
            </w:r>
          </w:p>
        </w:tc>
      </w:tr>
      <w:tr>
        <w:trPr>
          <w:trHeight w:val="276"/>
        </w:trPr>
        <w:tc>
          <w:tcPr>
            <w:tcW w:w="7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1,918</w:t>
            </w:r>
          </w:p>
        </w:tc>
        <w:tc>
          <w:tcPr>
            <w:tcW w:w="120" w:type="dxa"/>
            <w:vAlign w:val="bottom"/>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787</w:t>
            </w:r>
          </w:p>
        </w:tc>
      </w:tr>
      <w:tr>
        <w:trPr>
          <w:trHeight w:val="244"/>
        </w:trPr>
        <w:tc>
          <w:tcPr>
            <w:tcW w:w="720" w:type="dxa"/>
            <w:vAlign w:val="bottom"/>
          </w:tcPr>
          <w:p>
            <w:pPr>
              <w:spacing w:after="0"/>
              <w:rPr>
                <w:sz w:val="21"/>
                <w:szCs w:val="21"/>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13,891</w:t>
            </w: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10,973</w:t>
            </w:r>
          </w:p>
        </w:tc>
      </w:tr>
    </w:tbl>
    <w:p>
      <w:pPr>
        <w:spacing w:after="0" w:line="290" w:lineRule="exact"/>
        <w:rPr>
          <w:sz w:val="20"/>
          <w:szCs w:val="20"/>
          <w:color w:val="auto"/>
        </w:rPr>
      </w:pPr>
    </w:p>
    <w:p>
      <w:pPr>
        <w:sectPr>
          <w:pgSz w:w="11900" w:h="16838" w:orient="portrait"/>
          <w:cols w:equalWidth="0" w:num="2">
            <w:col w:w="6900" w:space="720"/>
            <w:col w:w="3760"/>
          </w:cols>
          <w:pgMar w:left="280" w:top="850" w:right="239" w:bottom="1440" w:gutter="0" w:footer="0" w:header="0"/>
          <w:type w:val="continuous"/>
        </w:sectPr>
      </w:pPr>
    </w:p>
    <w:tbl>
      <w:tblPr>
        <w:tblLayout w:type="fixed"/>
        <w:tblInd w:w="0" w:type="dxa"/>
        <w:tblCellMar>
          <w:top w:w="0" w:type="dxa"/>
          <w:left w:w="0" w:type="dxa"/>
          <w:bottom w:w="0" w:type="dxa"/>
          <w:right w:w="0" w:type="dxa"/>
        </w:tblCellMar>
      </w:tblPr>
      <w:tr>
        <w:trPr>
          <w:trHeight w:val="182"/>
        </w:trPr>
        <w:tc>
          <w:tcPr>
            <w:tcW w:w="7620" w:type="dxa"/>
            <w:vAlign w:val="bottom"/>
          </w:tcPr>
          <w:p>
            <w:pPr>
              <w:spacing w:after="0"/>
              <w:rPr>
                <w:sz w:val="20"/>
                <w:szCs w:val="20"/>
                <w:color w:val="auto"/>
              </w:rPr>
            </w:pPr>
            <w:r>
              <w:rPr>
                <w:rFonts w:ascii="Arial" w:cs="Arial" w:eastAsia="Arial" w:hAnsi="Arial"/>
                <w:sz w:val="14"/>
                <w:szCs w:val="14"/>
                <w:color w:val="auto"/>
              </w:rPr>
              <w:t>Deferred rent and lease incentive</w:t>
            </w:r>
          </w:p>
        </w:tc>
        <w:tc>
          <w:tcPr>
            <w:tcW w:w="660" w:type="dxa"/>
            <w:vAlign w:val="bottom"/>
          </w:tcPr>
          <w:p>
            <w:pPr>
              <w:spacing w:after="0"/>
              <w:rPr>
                <w:sz w:val="15"/>
                <w:szCs w:val="15"/>
                <w:color w:val="auto"/>
              </w:rPr>
            </w:pPr>
          </w:p>
        </w:tc>
        <w:tc>
          <w:tcPr>
            <w:tcW w:w="1180" w:type="dxa"/>
            <w:vAlign w:val="bottom"/>
            <w:vMerge w:val="restart"/>
          </w:tcPr>
          <w:p>
            <w:pPr>
              <w:jc w:val="right"/>
              <w:ind w:right="28"/>
              <w:spacing w:after="0"/>
              <w:rPr>
                <w:sz w:val="20"/>
                <w:szCs w:val="20"/>
                <w:color w:val="auto"/>
              </w:rPr>
            </w:pPr>
            <w:r>
              <w:rPr>
                <w:rFonts w:ascii="Arial" w:cs="Arial" w:eastAsia="Arial" w:hAnsi="Arial"/>
                <w:sz w:val="14"/>
                <w:szCs w:val="14"/>
                <w:color w:val="auto"/>
              </w:rPr>
              <w:t>98</w:t>
            </w: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160" w:type="dxa"/>
            <w:vAlign w:val="bottom"/>
            <w:vMerge w:val="restart"/>
          </w:tcPr>
          <w:p>
            <w:pPr>
              <w:jc w:val="right"/>
              <w:ind w:right="28"/>
              <w:spacing w:after="0"/>
              <w:rPr>
                <w:sz w:val="20"/>
                <w:szCs w:val="20"/>
                <w:color w:val="auto"/>
              </w:rPr>
            </w:pPr>
            <w:r>
              <w:rPr>
                <w:rFonts w:ascii="Arial" w:cs="Arial" w:eastAsia="Arial" w:hAnsi="Arial"/>
                <w:sz w:val="14"/>
                <w:szCs w:val="14"/>
                <w:color w:val="auto"/>
              </w:rPr>
              <w:t>151</w:t>
            </w:r>
          </w:p>
        </w:tc>
        <w:tc>
          <w:tcPr>
            <w:tcW w:w="0" w:type="dxa"/>
            <w:vAlign w:val="bottom"/>
          </w:tcPr>
          <w:p>
            <w:pPr>
              <w:spacing w:after="0"/>
              <w:rPr>
                <w:sz w:val="1"/>
                <w:szCs w:val="1"/>
                <w:color w:val="auto"/>
              </w:rPr>
            </w:pPr>
          </w:p>
        </w:tc>
      </w:tr>
      <w:tr>
        <w:trPr>
          <w:trHeight w:val="68"/>
        </w:trPr>
        <w:tc>
          <w:tcPr>
            <w:tcW w:w="7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7620" w:type="dxa"/>
            <w:vAlign w:val="bottom"/>
          </w:tcPr>
          <w:p>
            <w:pPr>
              <w:spacing w:after="0"/>
              <w:rPr>
                <w:sz w:val="20"/>
                <w:szCs w:val="20"/>
                <w:color w:val="auto"/>
              </w:rPr>
            </w:pPr>
            <w:r>
              <w:rPr>
                <w:rFonts w:ascii="Arial" w:cs="Arial" w:eastAsia="Arial" w:hAnsi="Arial"/>
                <w:sz w:val="14"/>
                <w:szCs w:val="14"/>
                <w:color w:val="auto"/>
              </w:rPr>
              <w:t>Loan payable</w:t>
            </w:r>
          </w:p>
        </w:tc>
        <w:tc>
          <w:tcPr>
            <w:tcW w:w="660" w:type="dxa"/>
            <w:vAlign w:val="bottom"/>
          </w:tcPr>
          <w:p>
            <w:pPr>
              <w:spacing w:after="0"/>
              <w:rPr>
                <w:sz w:val="17"/>
                <w:szCs w:val="17"/>
                <w:color w:val="auto"/>
              </w:rPr>
            </w:pPr>
          </w:p>
        </w:tc>
        <w:tc>
          <w:tcPr>
            <w:tcW w:w="1180" w:type="dxa"/>
            <w:vAlign w:val="bottom"/>
            <w:vMerge w:val="restart"/>
          </w:tcPr>
          <w:p>
            <w:pPr>
              <w:jc w:val="right"/>
              <w:ind w:right="28"/>
              <w:spacing w:after="0"/>
              <w:rPr>
                <w:sz w:val="20"/>
                <w:szCs w:val="20"/>
                <w:color w:val="auto"/>
              </w:rPr>
            </w:pPr>
            <w:r>
              <w:rPr>
                <w:rFonts w:ascii="Arial" w:cs="Arial" w:eastAsia="Arial" w:hAnsi="Arial"/>
                <w:sz w:val="14"/>
                <w:szCs w:val="14"/>
                <w:color w:val="auto"/>
              </w:rPr>
              <w:t>21,212</w:t>
            </w: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60" w:type="dxa"/>
            <w:vAlign w:val="bottom"/>
            <w:vMerge w:val="restart"/>
          </w:tcPr>
          <w:p>
            <w:pPr>
              <w:jc w:val="right"/>
              <w:ind w:right="28"/>
              <w:spacing w:after="0"/>
              <w:rPr>
                <w:sz w:val="20"/>
                <w:szCs w:val="20"/>
                <w:color w:val="auto"/>
              </w:rPr>
            </w:pPr>
            <w:r>
              <w:rPr>
                <w:rFonts w:ascii="Arial" w:cs="Arial" w:eastAsia="Arial" w:hAnsi="Arial"/>
                <w:sz w:val="14"/>
                <w:szCs w:val="14"/>
                <w:color w:val="auto"/>
              </w:rPr>
              <w:t>21,042</w:t>
            </w:r>
          </w:p>
        </w:tc>
        <w:tc>
          <w:tcPr>
            <w:tcW w:w="0" w:type="dxa"/>
            <w:vAlign w:val="bottom"/>
          </w:tcPr>
          <w:p>
            <w:pPr>
              <w:spacing w:after="0"/>
              <w:rPr>
                <w:sz w:val="1"/>
                <w:szCs w:val="1"/>
                <w:color w:val="auto"/>
              </w:rPr>
            </w:pPr>
          </w:p>
        </w:tc>
      </w:tr>
      <w:tr>
        <w:trPr>
          <w:trHeight w:val="68"/>
        </w:trPr>
        <w:tc>
          <w:tcPr>
            <w:tcW w:w="7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7620" w:type="dxa"/>
            <w:vAlign w:val="bottom"/>
          </w:tcPr>
          <w:p>
            <w:pPr>
              <w:spacing w:after="0"/>
              <w:rPr>
                <w:sz w:val="20"/>
                <w:szCs w:val="20"/>
                <w:color w:val="auto"/>
              </w:rPr>
            </w:pPr>
            <w:r>
              <w:rPr>
                <w:rFonts w:ascii="Arial" w:cs="Arial" w:eastAsia="Arial" w:hAnsi="Arial"/>
                <w:sz w:val="14"/>
                <w:szCs w:val="14"/>
                <w:color w:val="auto"/>
              </w:rPr>
              <w:t>Deferred revenue, net of current portion</w:t>
            </w:r>
          </w:p>
        </w:tc>
        <w:tc>
          <w:tcPr>
            <w:tcW w:w="660" w:type="dxa"/>
            <w:vAlign w:val="bottom"/>
          </w:tcPr>
          <w:p>
            <w:pPr>
              <w:spacing w:after="0"/>
              <w:rPr>
                <w:sz w:val="17"/>
                <w:szCs w:val="17"/>
                <w:color w:val="auto"/>
              </w:rPr>
            </w:pPr>
          </w:p>
        </w:tc>
        <w:tc>
          <w:tcPr>
            <w:tcW w:w="1180" w:type="dxa"/>
            <w:vAlign w:val="bottom"/>
            <w:vMerge w:val="restart"/>
          </w:tcPr>
          <w:p>
            <w:pPr>
              <w:jc w:val="right"/>
              <w:ind w:right="28"/>
              <w:spacing w:after="0"/>
              <w:rPr>
                <w:sz w:val="20"/>
                <w:szCs w:val="20"/>
                <w:color w:val="auto"/>
              </w:rPr>
            </w:pPr>
            <w:r>
              <w:rPr>
                <w:rFonts w:ascii="Arial" w:cs="Arial" w:eastAsia="Arial" w:hAnsi="Arial"/>
                <w:sz w:val="14"/>
                <w:szCs w:val="14"/>
                <w:color w:val="auto"/>
              </w:rPr>
              <w:t>12,870</w:t>
            </w: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60" w:type="dxa"/>
            <w:vAlign w:val="bottom"/>
            <w:vMerge w:val="restart"/>
          </w:tcPr>
          <w:p>
            <w:pPr>
              <w:jc w:val="right"/>
              <w:ind w:right="28"/>
              <w:spacing w:after="0"/>
              <w:rPr>
                <w:sz w:val="20"/>
                <w:szCs w:val="20"/>
                <w:color w:val="auto"/>
              </w:rPr>
            </w:pPr>
            <w:r>
              <w:rPr>
                <w:rFonts w:ascii="Arial" w:cs="Arial" w:eastAsia="Arial" w:hAnsi="Arial"/>
                <w:sz w:val="14"/>
                <w:szCs w:val="14"/>
                <w:color w:val="auto"/>
              </w:rPr>
              <w:t>15,919</w:t>
            </w:r>
          </w:p>
        </w:tc>
        <w:tc>
          <w:tcPr>
            <w:tcW w:w="0" w:type="dxa"/>
            <w:vAlign w:val="bottom"/>
          </w:tcPr>
          <w:p>
            <w:pPr>
              <w:spacing w:after="0"/>
              <w:rPr>
                <w:sz w:val="1"/>
                <w:szCs w:val="1"/>
                <w:color w:val="auto"/>
              </w:rPr>
            </w:pPr>
          </w:p>
        </w:tc>
      </w:tr>
      <w:tr>
        <w:trPr>
          <w:trHeight w:val="68"/>
        </w:trPr>
        <w:tc>
          <w:tcPr>
            <w:tcW w:w="7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7620" w:type="dxa"/>
            <w:vAlign w:val="bottom"/>
          </w:tcPr>
          <w:p>
            <w:pPr>
              <w:spacing w:after="0" w:line="161" w:lineRule="exact"/>
              <w:rPr>
                <w:sz w:val="20"/>
                <w:szCs w:val="20"/>
                <w:color w:val="auto"/>
              </w:rPr>
            </w:pPr>
            <w:r>
              <w:rPr>
                <w:rFonts w:ascii="Arial" w:cs="Arial" w:eastAsia="Arial" w:hAnsi="Arial"/>
                <w:sz w:val="14"/>
                <w:szCs w:val="14"/>
                <w:color w:val="auto"/>
              </w:rPr>
              <w:t>Other long</w:t>
            </w:r>
            <w:r>
              <w:rPr>
                <w:rFonts w:ascii="MS PGothic" w:cs="MS PGothic" w:eastAsia="MS PGothic" w:hAnsi="MS PGothic"/>
                <w:sz w:val="14"/>
                <w:szCs w:val="14"/>
                <w:color w:val="auto"/>
              </w:rPr>
              <w:t>‑</w:t>
            </w:r>
            <w:r>
              <w:rPr>
                <w:rFonts w:ascii="Arial" w:cs="Arial" w:eastAsia="Arial" w:hAnsi="Arial"/>
                <w:sz w:val="14"/>
                <w:szCs w:val="14"/>
                <w:color w:val="auto"/>
              </w:rPr>
              <w:t>term liabilities</w:t>
            </w:r>
          </w:p>
        </w:tc>
        <w:tc>
          <w:tcPr>
            <w:tcW w:w="660" w:type="dxa"/>
            <w:vAlign w:val="bottom"/>
          </w:tcPr>
          <w:p>
            <w:pPr>
              <w:spacing w:after="0"/>
              <w:rPr>
                <w:sz w:val="17"/>
                <w:szCs w:val="17"/>
                <w:color w:val="auto"/>
              </w:rPr>
            </w:pPr>
          </w:p>
        </w:tc>
        <w:tc>
          <w:tcPr>
            <w:tcW w:w="1180" w:type="dxa"/>
            <w:vAlign w:val="bottom"/>
            <w:vMerge w:val="restart"/>
          </w:tcPr>
          <w:p>
            <w:pPr>
              <w:jc w:val="right"/>
              <w:ind w:right="28"/>
              <w:spacing w:after="0"/>
              <w:rPr>
                <w:sz w:val="20"/>
                <w:szCs w:val="20"/>
                <w:color w:val="auto"/>
              </w:rPr>
            </w:pPr>
            <w:r>
              <w:rPr>
                <w:rFonts w:ascii="Arial" w:cs="Arial" w:eastAsia="Arial" w:hAnsi="Arial"/>
                <w:sz w:val="14"/>
                <w:szCs w:val="14"/>
                <w:color w:val="auto"/>
              </w:rPr>
              <w:t>1,104</w:t>
            </w: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60" w:type="dxa"/>
            <w:vAlign w:val="bottom"/>
            <w:vMerge w:val="restart"/>
          </w:tcPr>
          <w:p>
            <w:pPr>
              <w:jc w:val="right"/>
              <w:ind w:right="28"/>
              <w:spacing w:after="0"/>
              <w:rPr>
                <w:sz w:val="20"/>
                <w:szCs w:val="20"/>
                <w:color w:val="auto"/>
              </w:rPr>
            </w:pPr>
            <w:r>
              <w:rPr>
                <w:rFonts w:ascii="Arial" w:cs="Arial" w:eastAsia="Arial" w:hAnsi="Arial"/>
                <w:sz w:val="14"/>
                <w:szCs w:val="14"/>
                <w:color w:val="auto"/>
              </w:rPr>
              <w:t>1,201</w:t>
            </w:r>
          </w:p>
        </w:tc>
        <w:tc>
          <w:tcPr>
            <w:tcW w:w="0" w:type="dxa"/>
            <w:vAlign w:val="bottom"/>
          </w:tcPr>
          <w:p>
            <w:pPr>
              <w:spacing w:after="0"/>
              <w:rPr>
                <w:sz w:val="1"/>
                <w:szCs w:val="1"/>
                <w:color w:val="auto"/>
              </w:rPr>
            </w:pPr>
          </w:p>
        </w:tc>
      </w:tr>
      <w:tr>
        <w:trPr>
          <w:trHeight w:val="73"/>
        </w:trPr>
        <w:tc>
          <w:tcPr>
            <w:tcW w:w="7620" w:type="dxa"/>
            <w:vAlign w:val="bottom"/>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vMerge w:val="continue"/>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116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7620" w:type="dxa"/>
            <w:vAlign w:val="bottom"/>
          </w:tcPr>
          <w:p>
            <w:pPr>
              <w:spacing w:after="0"/>
              <w:rPr>
                <w:sz w:val="20"/>
                <w:szCs w:val="20"/>
                <w:color w:val="auto"/>
              </w:rPr>
            </w:pPr>
            <w:r>
              <w:rPr>
                <w:rFonts w:ascii="Arial" w:cs="Arial" w:eastAsia="Arial" w:hAnsi="Arial"/>
                <w:sz w:val="14"/>
                <w:szCs w:val="14"/>
                <w:color w:val="auto"/>
              </w:rPr>
              <w:t>Total liabilities</w:t>
            </w:r>
          </w:p>
        </w:tc>
        <w:tc>
          <w:tcPr>
            <w:tcW w:w="660" w:type="dxa"/>
            <w:vAlign w:val="bottom"/>
          </w:tcPr>
          <w:p>
            <w:pPr>
              <w:spacing w:after="0"/>
              <w:rPr>
                <w:sz w:val="15"/>
                <w:szCs w:val="15"/>
                <w:color w:val="auto"/>
              </w:rPr>
            </w:pPr>
          </w:p>
        </w:tc>
        <w:tc>
          <w:tcPr>
            <w:tcW w:w="1180" w:type="dxa"/>
            <w:vAlign w:val="bottom"/>
            <w:vMerge w:val="restart"/>
          </w:tcPr>
          <w:p>
            <w:pPr>
              <w:jc w:val="right"/>
              <w:ind w:right="28"/>
              <w:spacing w:after="0"/>
              <w:rPr>
                <w:sz w:val="20"/>
                <w:szCs w:val="20"/>
                <w:color w:val="auto"/>
              </w:rPr>
            </w:pPr>
            <w:r>
              <w:rPr>
                <w:rFonts w:ascii="Arial" w:cs="Arial" w:eastAsia="Arial" w:hAnsi="Arial"/>
                <w:sz w:val="14"/>
                <w:szCs w:val="14"/>
                <w:color w:val="auto"/>
              </w:rPr>
              <w:t>49,175</w:t>
            </w: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160" w:type="dxa"/>
            <w:vAlign w:val="bottom"/>
            <w:vMerge w:val="restart"/>
          </w:tcPr>
          <w:p>
            <w:pPr>
              <w:jc w:val="right"/>
              <w:ind w:right="28"/>
              <w:spacing w:after="0"/>
              <w:rPr>
                <w:sz w:val="20"/>
                <w:szCs w:val="20"/>
                <w:color w:val="auto"/>
              </w:rPr>
            </w:pPr>
            <w:r>
              <w:rPr>
                <w:rFonts w:ascii="Arial" w:cs="Arial" w:eastAsia="Arial" w:hAnsi="Arial"/>
                <w:sz w:val="14"/>
                <w:szCs w:val="14"/>
                <w:color w:val="auto"/>
              </w:rPr>
              <w:t>49,286</w:t>
            </w:r>
          </w:p>
        </w:tc>
        <w:tc>
          <w:tcPr>
            <w:tcW w:w="0" w:type="dxa"/>
            <w:vAlign w:val="bottom"/>
          </w:tcPr>
          <w:p>
            <w:pPr>
              <w:spacing w:after="0"/>
              <w:rPr>
                <w:sz w:val="1"/>
                <w:szCs w:val="1"/>
                <w:color w:val="auto"/>
              </w:rPr>
            </w:pPr>
          </w:p>
        </w:tc>
      </w:tr>
      <w:tr>
        <w:trPr>
          <w:trHeight w:val="73"/>
        </w:trPr>
        <w:tc>
          <w:tcPr>
            <w:tcW w:w="7620" w:type="dxa"/>
            <w:vAlign w:val="bottom"/>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vMerge w:val="continue"/>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116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7620" w:type="dxa"/>
            <w:vAlign w:val="bottom"/>
          </w:tcPr>
          <w:p>
            <w:pPr>
              <w:spacing w:after="0"/>
              <w:rPr>
                <w:sz w:val="20"/>
                <w:szCs w:val="20"/>
                <w:color w:val="auto"/>
              </w:rPr>
            </w:pPr>
            <w:r>
              <w:rPr>
                <w:rFonts w:ascii="Arial" w:cs="Arial" w:eastAsia="Arial" w:hAnsi="Arial"/>
                <w:sz w:val="14"/>
                <w:szCs w:val="14"/>
                <w:b w:val="1"/>
                <w:bCs w:val="1"/>
                <w:color w:val="auto"/>
              </w:rPr>
              <w:t>Stockholders’ equity:</w:t>
            </w:r>
          </w:p>
        </w:tc>
        <w:tc>
          <w:tcPr>
            <w:tcW w:w="6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7620" w:type="dxa"/>
            <w:vAlign w:val="bottom"/>
          </w:tcPr>
          <w:p>
            <w:pPr>
              <w:spacing w:after="0"/>
              <w:rPr>
                <w:sz w:val="20"/>
                <w:szCs w:val="20"/>
                <w:color w:val="auto"/>
              </w:rPr>
            </w:pPr>
            <w:r>
              <w:rPr>
                <w:rFonts w:ascii="Arial" w:cs="Arial" w:eastAsia="Arial" w:hAnsi="Arial"/>
                <w:sz w:val="14"/>
                <w:szCs w:val="14"/>
                <w:color w:val="auto"/>
                <w:w w:val="99"/>
              </w:rPr>
              <w:t>Preferred stock, $0.0001 par value; 10,000,000 shares authorized; no shares issued and outstanding at June 30, 2018 and</w:t>
            </w:r>
          </w:p>
        </w:tc>
        <w:tc>
          <w:tcPr>
            <w:tcW w:w="6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7620" w:type="dxa"/>
            <w:vAlign w:val="bottom"/>
          </w:tcPr>
          <w:p>
            <w:pPr>
              <w:spacing w:after="0"/>
              <w:rPr>
                <w:sz w:val="20"/>
                <w:szCs w:val="20"/>
                <w:color w:val="auto"/>
              </w:rPr>
            </w:pPr>
            <w:r>
              <w:rPr>
                <w:rFonts w:ascii="Arial" w:cs="Arial" w:eastAsia="Arial" w:hAnsi="Arial"/>
                <w:sz w:val="14"/>
                <w:szCs w:val="14"/>
                <w:color w:val="auto"/>
              </w:rPr>
              <w:t>December 31, 2017, respectively</w:t>
            </w:r>
          </w:p>
        </w:tc>
        <w:tc>
          <w:tcPr>
            <w:tcW w:w="660" w:type="dxa"/>
            <w:vAlign w:val="bottom"/>
          </w:tcPr>
          <w:p>
            <w:pPr>
              <w:spacing w:after="0"/>
              <w:rPr>
                <w:sz w:val="15"/>
                <w:szCs w:val="15"/>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40" w:type="dxa"/>
            <w:vAlign w:val="bottom"/>
          </w:tcPr>
          <w:p>
            <w:pPr>
              <w:spacing w:after="0"/>
              <w:rPr>
                <w:sz w:val="15"/>
                <w:szCs w:val="15"/>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9"/>
        </w:trPr>
        <w:tc>
          <w:tcPr>
            <w:tcW w:w="7620" w:type="dxa"/>
            <w:vAlign w:val="bottom"/>
          </w:tcPr>
          <w:p>
            <w:pPr>
              <w:spacing w:after="0"/>
              <w:rPr>
                <w:sz w:val="20"/>
                <w:szCs w:val="20"/>
                <w:color w:val="auto"/>
              </w:rPr>
            </w:pPr>
            <w:r>
              <w:rPr>
                <w:rFonts w:ascii="Arial" w:cs="Arial" w:eastAsia="Arial" w:hAnsi="Arial"/>
                <w:sz w:val="14"/>
                <w:szCs w:val="14"/>
                <w:color w:val="auto"/>
                <w:w w:val="94"/>
              </w:rPr>
              <w:t>Common stock, $0.0001 par value; 200,000,000 shares authorized; 22,396,183 and 22,343,254 shares issued and outstanding as</w:t>
            </w:r>
          </w:p>
        </w:tc>
        <w:tc>
          <w:tcPr>
            <w:tcW w:w="6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7620" w:type="dxa"/>
            <w:vAlign w:val="bottom"/>
          </w:tcPr>
          <w:p>
            <w:pPr>
              <w:spacing w:after="0"/>
              <w:rPr>
                <w:sz w:val="20"/>
                <w:szCs w:val="20"/>
                <w:color w:val="auto"/>
              </w:rPr>
            </w:pPr>
            <w:r>
              <w:rPr>
                <w:rFonts w:ascii="Arial" w:cs="Arial" w:eastAsia="Arial" w:hAnsi="Arial"/>
                <w:sz w:val="14"/>
                <w:szCs w:val="14"/>
                <w:color w:val="auto"/>
              </w:rPr>
              <w:t>of June 30, 2018 and December 31, 2017, respectively</w:t>
            </w:r>
          </w:p>
        </w:tc>
        <w:tc>
          <w:tcPr>
            <w:tcW w:w="660" w:type="dxa"/>
            <w:vAlign w:val="bottom"/>
          </w:tcPr>
          <w:p>
            <w:pPr>
              <w:spacing w:after="0"/>
              <w:rPr>
                <w:sz w:val="15"/>
                <w:szCs w:val="15"/>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203"/>
        </w:trPr>
        <w:tc>
          <w:tcPr>
            <w:tcW w:w="7620" w:type="dxa"/>
            <w:vAlign w:val="bottom"/>
          </w:tcPr>
          <w:p>
            <w:pPr>
              <w:spacing w:after="0"/>
              <w:rPr>
                <w:sz w:val="20"/>
                <w:szCs w:val="20"/>
                <w:color w:val="auto"/>
              </w:rPr>
            </w:pPr>
            <w:r>
              <w:rPr>
                <w:rFonts w:ascii="Arial" w:cs="Arial" w:eastAsia="Arial" w:hAnsi="Arial"/>
                <w:sz w:val="14"/>
                <w:szCs w:val="14"/>
                <w:color w:val="auto"/>
              </w:rPr>
              <w:t>Additional paid-in capital</w:t>
            </w:r>
          </w:p>
        </w:tc>
        <w:tc>
          <w:tcPr>
            <w:tcW w:w="660" w:type="dxa"/>
            <w:vAlign w:val="bottom"/>
          </w:tcPr>
          <w:p>
            <w:pPr>
              <w:spacing w:after="0"/>
              <w:rPr>
                <w:sz w:val="17"/>
                <w:szCs w:val="17"/>
                <w:color w:val="auto"/>
              </w:rPr>
            </w:pPr>
          </w:p>
        </w:tc>
        <w:tc>
          <w:tcPr>
            <w:tcW w:w="1180" w:type="dxa"/>
            <w:vAlign w:val="bottom"/>
            <w:vMerge w:val="restart"/>
          </w:tcPr>
          <w:p>
            <w:pPr>
              <w:jc w:val="right"/>
              <w:ind w:right="28"/>
              <w:spacing w:after="0"/>
              <w:rPr>
                <w:sz w:val="20"/>
                <w:szCs w:val="20"/>
                <w:color w:val="auto"/>
              </w:rPr>
            </w:pPr>
            <w:r>
              <w:rPr>
                <w:rFonts w:ascii="Arial" w:cs="Arial" w:eastAsia="Arial" w:hAnsi="Arial"/>
                <w:sz w:val="14"/>
                <w:szCs w:val="14"/>
                <w:color w:val="auto"/>
              </w:rPr>
              <w:t>275,888</w:t>
            </w: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60" w:type="dxa"/>
            <w:vAlign w:val="bottom"/>
            <w:vMerge w:val="restart"/>
          </w:tcPr>
          <w:p>
            <w:pPr>
              <w:jc w:val="right"/>
              <w:ind w:right="28"/>
              <w:spacing w:after="0"/>
              <w:rPr>
                <w:sz w:val="20"/>
                <w:szCs w:val="20"/>
                <w:color w:val="auto"/>
              </w:rPr>
            </w:pPr>
            <w:r>
              <w:rPr>
                <w:rFonts w:ascii="Arial" w:cs="Arial" w:eastAsia="Arial" w:hAnsi="Arial"/>
                <w:sz w:val="14"/>
                <w:szCs w:val="14"/>
                <w:color w:val="auto"/>
              </w:rPr>
              <w:t>273,128</w:t>
            </w:r>
          </w:p>
        </w:tc>
        <w:tc>
          <w:tcPr>
            <w:tcW w:w="0" w:type="dxa"/>
            <w:vAlign w:val="bottom"/>
          </w:tcPr>
          <w:p>
            <w:pPr>
              <w:spacing w:after="0"/>
              <w:rPr>
                <w:sz w:val="1"/>
                <w:szCs w:val="1"/>
                <w:color w:val="auto"/>
              </w:rPr>
            </w:pPr>
          </w:p>
        </w:tc>
      </w:tr>
      <w:tr>
        <w:trPr>
          <w:trHeight w:val="68"/>
        </w:trPr>
        <w:tc>
          <w:tcPr>
            <w:tcW w:w="7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7620" w:type="dxa"/>
            <w:vAlign w:val="bottom"/>
          </w:tcPr>
          <w:p>
            <w:pPr>
              <w:spacing w:after="0"/>
              <w:rPr>
                <w:sz w:val="20"/>
                <w:szCs w:val="20"/>
                <w:color w:val="auto"/>
              </w:rPr>
            </w:pPr>
            <w:r>
              <w:rPr>
                <w:rFonts w:ascii="Arial" w:cs="Arial" w:eastAsia="Arial" w:hAnsi="Arial"/>
                <w:sz w:val="14"/>
                <w:szCs w:val="14"/>
                <w:color w:val="auto"/>
              </w:rPr>
              <w:t>Accumulated deficit</w:t>
            </w:r>
          </w:p>
        </w:tc>
        <w:tc>
          <w:tcPr>
            <w:tcW w:w="660" w:type="dxa"/>
            <w:vAlign w:val="bottom"/>
          </w:tcPr>
          <w:p>
            <w:pPr>
              <w:spacing w:after="0"/>
              <w:rPr>
                <w:sz w:val="17"/>
                <w:szCs w:val="17"/>
                <w:color w:val="auto"/>
              </w:rPr>
            </w:pPr>
          </w:p>
        </w:tc>
        <w:tc>
          <w:tcPr>
            <w:tcW w:w="1180" w:type="dxa"/>
            <w:vAlign w:val="bottom"/>
            <w:vMerge w:val="restart"/>
          </w:tcPr>
          <w:p>
            <w:pPr>
              <w:jc w:val="right"/>
              <w:spacing w:after="0"/>
              <w:rPr>
                <w:sz w:val="20"/>
                <w:szCs w:val="20"/>
                <w:color w:val="auto"/>
              </w:rPr>
            </w:pPr>
            <w:r>
              <w:rPr>
                <w:rFonts w:ascii="Arial" w:cs="Arial" w:eastAsia="Arial" w:hAnsi="Arial"/>
                <w:sz w:val="14"/>
                <w:szCs w:val="14"/>
                <w:color w:val="auto"/>
              </w:rPr>
              <w:t>(247,153)</w:t>
            </w: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60" w:type="dxa"/>
            <w:vAlign w:val="bottom"/>
            <w:vMerge w:val="restart"/>
          </w:tcPr>
          <w:p>
            <w:pPr>
              <w:jc w:val="right"/>
              <w:spacing w:after="0"/>
              <w:rPr>
                <w:sz w:val="20"/>
                <w:szCs w:val="20"/>
                <w:color w:val="auto"/>
              </w:rPr>
            </w:pPr>
            <w:r>
              <w:rPr>
                <w:rFonts w:ascii="Arial" w:cs="Arial" w:eastAsia="Arial" w:hAnsi="Arial"/>
                <w:sz w:val="14"/>
                <w:szCs w:val="14"/>
                <w:color w:val="auto"/>
              </w:rPr>
              <w:t>(216,897)</w:t>
            </w:r>
          </w:p>
        </w:tc>
        <w:tc>
          <w:tcPr>
            <w:tcW w:w="0" w:type="dxa"/>
            <w:vAlign w:val="bottom"/>
          </w:tcPr>
          <w:p>
            <w:pPr>
              <w:spacing w:after="0"/>
              <w:rPr>
                <w:sz w:val="1"/>
                <w:szCs w:val="1"/>
                <w:color w:val="auto"/>
              </w:rPr>
            </w:pPr>
          </w:p>
        </w:tc>
      </w:tr>
      <w:tr>
        <w:trPr>
          <w:trHeight w:val="68"/>
        </w:trPr>
        <w:tc>
          <w:tcPr>
            <w:tcW w:w="7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7620" w:type="dxa"/>
            <w:vAlign w:val="bottom"/>
          </w:tcPr>
          <w:p>
            <w:pPr>
              <w:spacing w:after="0"/>
              <w:rPr>
                <w:sz w:val="20"/>
                <w:szCs w:val="20"/>
                <w:color w:val="auto"/>
              </w:rPr>
            </w:pPr>
            <w:r>
              <w:rPr>
                <w:rFonts w:ascii="Arial" w:cs="Arial" w:eastAsia="Arial" w:hAnsi="Arial"/>
                <w:sz w:val="14"/>
                <w:szCs w:val="14"/>
                <w:color w:val="auto"/>
              </w:rPr>
              <w:t>Accumulated other comprehensive loss</w:t>
            </w:r>
          </w:p>
        </w:tc>
        <w:tc>
          <w:tcPr>
            <w:tcW w:w="660" w:type="dxa"/>
            <w:vAlign w:val="bottom"/>
          </w:tcPr>
          <w:p>
            <w:pPr>
              <w:spacing w:after="0"/>
              <w:rPr>
                <w:sz w:val="17"/>
                <w:szCs w:val="17"/>
                <w:color w:val="auto"/>
              </w:rPr>
            </w:pPr>
          </w:p>
        </w:tc>
        <w:tc>
          <w:tcPr>
            <w:tcW w:w="1180" w:type="dxa"/>
            <w:vAlign w:val="bottom"/>
            <w:vMerge w:val="restart"/>
          </w:tcPr>
          <w:p>
            <w:pPr>
              <w:jc w:val="right"/>
              <w:spacing w:after="0"/>
              <w:rPr>
                <w:sz w:val="20"/>
                <w:szCs w:val="20"/>
                <w:color w:val="auto"/>
              </w:rPr>
            </w:pPr>
            <w:r>
              <w:rPr>
                <w:rFonts w:ascii="Arial" w:cs="Arial" w:eastAsia="Arial" w:hAnsi="Arial"/>
                <w:sz w:val="14"/>
                <w:szCs w:val="14"/>
                <w:color w:val="auto"/>
              </w:rPr>
              <w:t>(4,476)</w:t>
            </w: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60" w:type="dxa"/>
            <w:vAlign w:val="bottom"/>
            <w:vMerge w:val="restart"/>
          </w:tcPr>
          <w:p>
            <w:pPr>
              <w:jc w:val="right"/>
              <w:spacing w:after="0"/>
              <w:rPr>
                <w:sz w:val="20"/>
                <w:szCs w:val="20"/>
                <w:color w:val="auto"/>
              </w:rPr>
            </w:pPr>
            <w:r>
              <w:rPr>
                <w:rFonts w:ascii="Arial" w:cs="Arial" w:eastAsia="Arial" w:hAnsi="Arial"/>
                <w:sz w:val="14"/>
                <w:szCs w:val="14"/>
                <w:color w:val="auto"/>
              </w:rPr>
              <w:t>(4,420)</w:t>
            </w:r>
          </w:p>
        </w:tc>
        <w:tc>
          <w:tcPr>
            <w:tcW w:w="0" w:type="dxa"/>
            <w:vAlign w:val="bottom"/>
          </w:tcPr>
          <w:p>
            <w:pPr>
              <w:spacing w:after="0"/>
              <w:rPr>
                <w:sz w:val="1"/>
                <w:szCs w:val="1"/>
                <w:color w:val="auto"/>
              </w:rPr>
            </w:pPr>
          </w:p>
        </w:tc>
      </w:tr>
      <w:tr>
        <w:trPr>
          <w:trHeight w:val="73"/>
        </w:trPr>
        <w:tc>
          <w:tcPr>
            <w:tcW w:w="7620" w:type="dxa"/>
            <w:vAlign w:val="bottom"/>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vMerge w:val="continue"/>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116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7620" w:type="dxa"/>
            <w:vAlign w:val="bottom"/>
          </w:tcPr>
          <w:p>
            <w:pPr>
              <w:spacing w:after="0"/>
              <w:rPr>
                <w:sz w:val="20"/>
                <w:szCs w:val="20"/>
                <w:color w:val="auto"/>
              </w:rPr>
            </w:pPr>
            <w:r>
              <w:rPr>
                <w:rFonts w:ascii="Arial" w:cs="Arial" w:eastAsia="Arial" w:hAnsi="Arial"/>
                <w:sz w:val="14"/>
                <w:szCs w:val="14"/>
                <w:color w:val="auto"/>
              </w:rPr>
              <w:t>Total stockholders’ equity</w:t>
            </w:r>
          </w:p>
        </w:tc>
        <w:tc>
          <w:tcPr>
            <w:tcW w:w="660" w:type="dxa"/>
            <w:vAlign w:val="bottom"/>
          </w:tcPr>
          <w:p>
            <w:pPr>
              <w:spacing w:after="0"/>
              <w:rPr>
                <w:sz w:val="15"/>
                <w:szCs w:val="15"/>
                <w:color w:val="auto"/>
              </w:rPr>
            </w:pPr>
          </w:p>
        </w:tc>
        <w:tc>
          <w:tcPr>
            <w:tcW w:w="1180" w:type="dxa"/>
            <w:vAlign w:val="bottom"/>
            <w:vMerge w:val="restart"/>
          </w:tcPr>
          <w:p>
            <w:pPr>
              <w:jc w:val="right"/>
              <w:ind w:right="28"/>
              <w:spacing w:after="0"/>
              <w:rPr>
                <w:sz w:val="20"/>
                <w:szCs w:val="20"/>
                <w:color w:val="auto"/>
              </w:rPr>
            </w:pPr>
            <w:r>
              <w:rPr>
                <w:rFonts w:ascii="Arial" w:cs="Arial" w:eastAsia="Arial" w:hAnsi="Arial"/>
                <w:sz w:val="14"/>
                <w:szCs w:val="14"/>
                <w:color w:val="auto"/>
              </w:rPr>
              <w:t>24,262</w:t>
            </w: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160" w:type="dxa"/>
            <w:vAlign w:val="bottom"/>
            <w:vMerge w:val="restart"/>
          </w:tcPr>
          <w:p>
            <w:pPr>
              <w:jc w:val="right"/>
              <w:ind w:right="28"/>
              <w:spacing w:after="0"/>
              <w:rPr>
                <w:sz w:val="20"/>
                <w:szCs w:val="20"/>
                <w:color w:val="auto"/>
              </w:rPr>
            </w:pPr>
            <w:r>
              <w:rPr>
                <w:rFonts w:ascii="Arial" w:cs="Arial" w:eastAsia="Arial" w:hAnsi="Arial"/>
                <w:sz w:val="14"/>
                <w:szCs w:val="14"/>
                <w:color w:val="auto"/>
              </w:rPr>
              <w:t>51,814</w:t>
            </w:r>
          </w:p>
        </w:tc>
        <w:tc>
          <w:tcPr>
            <w:tcW w:w="0" w:type="dxa"/>
            <w:vAlign w:val="bottom"/>
          </w:tcPr>
          <w:p>
            <w:pPr>
              <w:spacing w:after="0"/>
              <w:rPr>
                <w:sz w:val="1"/>
                <w:szCs w:val="1"/>
                <w:color w:val="auto"/>
              </w:rPr>
            </w:pPr>
          </w:p>
        </w:tc>
      </w:tr>
      <w:tr>
        <w:trPr>
          <w:trHeight w:val="73"/>
        </w:trPr>
        <w:tc>
          <w:tcPr>
            <w:tcW w:w="7620" w:type="dxa"/>
            <w:vAlign w:val="bottom"/>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vMerge w:val="continue"/>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116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7620" w:type="dxa"/>
            <w:vAlign w:val="bottom"/>
          </w:tcPr>
          <w:p>
            <w:pPr>
              <w:spacing w:after="0"/>
              <w:rPr>
                <w:sz w:val="20"/>
                <w:szCs w:val="20"/>
                <w:color w:val="auto"/>
              </w:rPr>
            </w:pPr>
            <w:r>
              <w:rPr>
                <w:rFonts w:ascii="Arial" w:cs="Arial" w:eastAsia="Arial" w:hAnsi="Arial"/>
                <w:sz w:val="14"/>
                <w:szCs w:val="14"/>
                <w:color w:val="auto"/>
              </w:rPr>
              <w:t>Total liabilities and stockholders’ equity</w:t>
            </w:r>
          </w:p>
        </w:tc>
        <w:tc>
          <w:tcPr>
            <w:tcW w:w="660" w:type="dxa"/>
            <w:vAlign w:val="bottom"/>
            <w:vMerge w:val="restart"/>
          </w:tcPr>
          <w:p>
            <w:pPr>
              <w:jc w:val="right"/>
              <w:ind w:right="488"/>
              <w:spacing w:after="0"/>
              <w:rPr>
                <w:sz w:val="20"/>
                <w:szCs w:val="20"/>
                <w:color w:val="auto"/>
              </w:rPr>
            </w:pPr>
            <w:r>
              <w:rPr>
                <w:rFonts w:ascii="Arial" w:cs="Arial" w:eastAsia="Arial" w:hAnsi="Arial"/>
                <w:sz w:val="14"/>
                <w:szCs w:val="14"/>
                <w:color w:val="auto"/>
              </w:rPr>
              <w:t>$</w:t>
            </w:r>
          </w:p>
        </w:tc>
        <w:tc>
          <w:tcPr>
            <w:tcW w:w="1180" w:type="dxa"/>
            <w:vAlign w:val="bottom"/>
            <w:vMerge w:val="restart"/>
          </w:tcPr>
          <w:p>
            <w:pPr>
              <w:jc w:val="right"/>
              <w:ind w:right="28"/>
              <w:spacing w:after="0"/>
              <w:rPr>
                <w:sz w:val="20"/>
                <w:szCs w:val="20"/>
                <w:color w:val="auto"/>
              </w:rPr>
            </w:pPr>
            <w:r>
              <w:rPr>
                <w:rFonts w:ascii="Arial" w:cs="Arial" w:eastAsia="Arial" w:hAnsi="Arial"/>
                <w:sz w:val="14"/>
                <w:szCs w:val="14"/>
                <w:color w:val="auto"/>
              </w:rPr>
              <w:t>73,437</w:t>
            </w:r>
          </w:p>
        </w:tc>
        <w:tc>
          <w:tcPr>
            <w:tcW w:w="120" w:type="dxa"/>
            <w:vAlign w:val="bottom"/>
          </w:tcPr>
          <w:p>
            <w:pPr>
              <w:spacing w:after="0"/>
              <w:rPr>
                <w:sz w:val="15"/>
                <w:szCs w:val="15"/>
                <w:color w:val="auto"/>
              </w:rPr>
            </w:pPr>
          </w:p>
        </w:tc>
        <w:tc>
          <w:tcPr>
            <w:tcW w:w="640" w:type="dxa"/>
            <w:vAlign w:val="bottom"/>
            <w:vMerge w:val="restart"/>
          </w:tcPr>
          <w:p>
            <w:pPr>
              <w:jc w:val="right"/>
              <w:ind w:right="488"/>
              <w:spacing w:after="0"/>
              <w:rPr>
                <w:sz w:val="20"/>
                <w:szCs w:val="20"/>
                <w:color w:val="auto"/>
              </w:rPr>
            </w:pPr>
            <w:r>
              <w:rPr>
                <w:rFonts w:ascii="Arial" w:cs="Arial" w:eastAsia="Arial" w:hAnsi="Arial"/>
                <w:sz w:val="14"/>
                <w:szCs w:val="14"/>
                <w:color w:val="auto"/>
                <w:w w:val="76"/>
              </w:rPr>
              <w:t>$</w:t>
            </w:r>
          </w:p>
        </w:tc>
        <w:tc>
          <w:tcPr>
            <w:tcW w:w="1160" w:type="dxa"/>
            <w:vAlign w:val="bottom"/>
            <w:vMerge w:val="restart"/>
          </w:tcPr>
          <w:p>
            <w:pPr>
              <w:jc w:val="right"/>
              <w:ind w:right="28"/>
              <w:spacing w:after="0"/>
              <w:rPr>
                <w:sz w:val="20"/>
                <w:szCs w:val="20"/>
                <w:color w:val="auto"/>
              </w:rPr>
            </w:pPr>
            <w:r>
              <w:rPr>
                <w:rFonts w:ascii="Arial" w:cs="Arial" w:eastAsia="Arial" w:hAnsi="Arial"/>
                <w:sz w:val="14"/>
                <w:szCs w:val="14"/>
                <w:color w:val="auto"/>
              </w:rPr>
              <w:t>101,100</w:t>
            </w:r>
          </w:p>
        </w:tc>
        <w:tc>
          <w:tcPr>
            <w:tcW w:w="0" w:type="dxa"/>
            <w:vAlign w:val="bottom"/>
          </w:tcPr>
          <w:p>
            <w:pPr>
              <w:spacing w:after="0"/>
              <w:rPr>
                <w:sz w:val="1"/>
                <w:szCs w:val="1"/>
                <w:color w:val="auto"/>
              </w:rPr>
            </w:pPr>
          </w:p>
        </w:tc>
      </w:tr>
      <w:tr>
        <w:trPr>
          <w:trHeight w:val="65"/>
        </w:trPr>
        <w:tc>
          <w:tcPr>
            <w:tcW w:w="7620" w:type="dxa"/>
            <w:vAlign w:val="bottom"/>
          </w:tcPr>
          <w:p>
            <w:pPr>
              <w:spacing w:after="0"/>
              <w:rPr>
                <w:sz w:val="5"/>
                <w:szCs w:val="5"/>
                <w:color w:val="auto"/>
              </w:rPr>
            </w:pPr>
          </w:p>
        </w:tc>
        <w:tc>
          <w:tcPr>
            <w:tcW w:w="660" w:type="dxa"/>
            <w:vAlign w:val="bottom"/>
            <w:tcBorders>
              <w:bottom w:val="single" w:sz="8" w:color="auto"/>
            </w:tcBorders>
            <w:vMerge w:val="continue"/>
          </w:tcPr>
          <w:p>
            <w:pPr>
              <w:spacing w:after="0"/>
              <w:rPr>
                <w:sz w:val="5"/>
                <w:szCs w:val="5"/>
                <w:color w:val="auto"/>
              </w:rPr>
            </w:pPr>
          </w:p>
        </w:tc>
        <w:tc>
          <w:tcPr>
            <w:tcW w:w="118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Borders>
              <w:bottom w:val="single" w:sz="8" w:color="auto"/>
            </w:tcBorders>
            <w:vMerge w:val="continue"/>
          </w:tcPr>
          <w:p>
            <w:pPr>
              <w:spacing w:after="0"/>
              <w:rPr>
                <w:sz w:val="5"/>
                <w:szCs w:val="5"/>
                <w:color w:val="auto"/>
              </w:rPr>
            </w:pPr>
          </w:p>
        </w:tc>
        <w:tc>
          <w:tcPr>
            <w:tcW w:w="116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76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80" w:top="850" w:right="239" w:bottom="1440" w:gutter="0" w:footer="0" w:header="0"/>
          <w:type w:val="continuous"/>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Selecta Biosciences, Inc. and Subsidiaries</w:t>
      </w:r>
    </w:p>
    <w:p>
      <w:pPr>
        <w:spacing w:after="0" w:line="6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Consolidated Statements of Operations and Comprehensive Loss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88"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5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700" w:type="dxa"/>
            <w:vAlign w:val="bottom"/>
            <w:gridSpan w:val="5"/>
          </w:tcPr>
          <w:p>
            <w:pPr>
              <w:ind w:left="220"/>
              <w:spacing w:after="0"/>
              <w:rPr>
                <w:sz w:val="20"/>
                <w:szCs w:val="20"/>
                <w:color w:val="auto"/>
              </w:rPr>
            </w:pPr>
            <w:r>
              <w:rPr>
                <w:rFonts w:ascii="Arial" w:cs="Arial" w:eastAsia="Arial" w:hAnsi="Arial"/>
                <w:sz w:val="14"/>
                <w:szCs w:val="14"/>
                <w:b w:val="1"/>
                <w:bCs w:val="1"/>
                <w:color w:val="auto"/>
              </w:rPr>
              <w:t>Three Months Ended June 30,</w:t>
            </w:r>
          </w:p>
        </w:tc>
        <w:tc>
          <w:tcPr>
            <w:tcW w:w="400" w:type="dxa"/>
            <w:vAlign w:val="bottom"/>
          </w:tcPr>
          <w:p>
            <w:pPr>
              <w:spacing w:after="0"/>
              <w:rPr>
                <w:sz w:val="16"/>
                <w:szCs w:val="16"/>
                <w:color w:val="auto"/>
              </w:rPr>
            </w:pPr>
          </w:p>
        </w:tc>
        <w:tc>
          <w:tcPr>
            <w:tcW w:w="2400" w:type="dxa"/>
            <w:vAlign w:val="bottom"/>
            <w:gridSpan w:val="4"/>
          </w:tcPr>
          <w:p>
            <w:pPr>
              <w:jc w:val="right"/>
              <w:ind w:right="468"/>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264"/>
        </w:trPr>
        <w:tc>
          <w:tcPr>
            <w:tcW w:w="5580" w:type="dxa"/>
            <w:vAlign w:val="bottom"/>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auto"/>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22"/>
                <w:szCs w:val="22"/>
                <w:color w:val="auto"/>
              </w:rPr>
            </w:pPr>
          </w:p>
        </w:tc>
        <w:tc>
          <w:tcPr>
            <w:tcW w:w="40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auto"/>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44"/>
        </w:trPr>
        <w:tc>
          <w:tcPr>
            <w:tcW w:w="55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80" w:type="dxa"/>
            <w:vAlign w:val="bottom"/>
            <w:gridSpan w:val="3"/>
          </w:tcPr>
          <w:p>
            <w:pPr>
              <w:jc w:val="right"/>
              <w:ind w:right="48"/>
              <w:spacing w:after="0"/>
              <w:rPr>
                <w:sz w:val="20"/>
                <w:szCs w:val="20"/>
                <w:color w:val="auto"/>
              </w:rPr>
            </w:pPr>
            <w:r>
              <w:rPr>
                <w:rFonts w:ascii="Arial" w:cs="Arial" w:eastAsia="Arial" w:hAnsi="Arial"/>
                <w:sz w:val="14"/>
                <w:szCs w:val="14"/>
                <w:b w:val="1"/>
                <w:bCs w:val="1"/>
                <w:color w:val="auto"/>
              </w:rPr>
              <w:t>(Unaudited)</w:t>
            </w: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5580" w:type="dxa"/>
            <w:vAlign w:val="bottom"/>
          </w:tcPr>
          <w:p>
            <w:pPr>
              <w:spacing w:after="0"/>
              <w:rPr>
                <w:sz w:val="20"/>
                <w:szCs w:val="20"/>
                <w:color w:val="auto"/>
              </w:rPr>
            </w:pPr>
            <w:r>
              <w:rPr>
                <w:rFonts w:ascii="Arial" w:cs="Arial" w:eastAsia="Arial" w:hAnsi="Arial"/>
                <w:sz w:val="14"/>
                <w:szCs w:val="14"/>
                <w:color w:val="auto"/>
              </w:rPr>
              <w:t>Grant and collaboration revenue</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26</w:t>
            </w:r>
          </w:p>
        </w:tc>
        <w:tc>
          <w:tcPr>
            <w:tcW w:w="120" w:type="dxa"/>
            <w:vAlign w:val="bottom"/>
          </w:tcPr>
          <w:p>
            <w:pPr>
              <w:spacing w:after="0"/>
              <w:rPr>
                <w:sz w:val="17"/>
                <w:szCs w:val="17"/>
                <w:color w:val="auto"/>
              </w:rPr>
            </w:pPr>
          </w:p>
        </w:tc>
        <w:tc>
          <w:tcPr>
            <w:tcW w:w="400" w:type="dxa"/>
            <w:vAlign w:val="bottom"/>
          </w:tcPr>
          <w:p>
            <w:pPr>
              <w:jc w:val="right"/>
              <w:ind w:right="248"/>
              <w:spacing w:after="0"/>
              <w:rPr>
                <w:sz w:val="20"/>
                <w:szCs w:val="20"/>
                <w:color w:val="auto"/>
              </w:rPr>
            </w:pPr>
            <w:r>
              <w:rPr>
                <w:rFonts w:ascii="Arial" w:cs="Arial" w:eastAsia="Arial" w:hAnsi="Arial"/>
                <w:sz w:val="14"/>
                <w:szCs w:val="14"/>
                <w:color w:val="auto"/>
                <w:w w:val="76"/>
              </w:rPr>
              <w:t>$</w:t>
            </w:r>
          </w:p>
        </w:tc>
        <w:tc>
          <w:tcPr>
            <w:tcW w:w="10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163</w:t>
            </w:r>
          </w:p>
        </w:tc>
        <w:tc>
          <w:tcPr>
            <w:tcW w:w="0" w:type="dxa"/>
            <w:vAlign w:val="bottom"/>
          </w:tcPr>
          <w:p>
            <w:pPr>
              <w:spacing w:after="0"/>
              <w:rPr>
                <w:sz w:val="1"/>
                <w:szCs w:val="1"/>
                <w:color w:val="auto"/>
              </w:rPr>
            </w:pPr>
          </w:p>
        </w:tc>
      </w:tr>
      <w:tr>
        <w:trPr>
          <w:trHeight w:val="270"/>
        </w:trPr>
        <w:tc>
          <w:tcPr>
            <w:tcW w:w="5580" w:type="dxa"/>
            <w:vAlign w:val="bottom"/>
          </w:tcPr>
          <w:p>
            <w:pPr>
              <w:spacing w:after="0"/>
              <w:rPr>
                <w:sz w:val="20"/>
                <w:szCs w:val="20"/>
                <w:color w:val="auto"/>
              </w:rPr>
            </w:pPr>
            <w:r>
              <w:rPr>
                <w:rFonts w:ascii="Arial" w:cs="Arial" w:eastAsia="Arial" w:hAnsi="Arial"/>
                <w:sz w:val="14"/>
                <w:szCs w:val="14"/>
                <w:color w:val="auto"/>
              </w:rPr>
              <w:t>Operating expenses:</w:t>
            </w:r>
          </w:p>
        </w:tc>
        <w:tc>
          <w:tcPr>
            <w:tcW w:w="3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580" w:type="dxa"/>
            <w:vAlign w:val="bottom"/>
          </w:tcPr>
          <w:p>
            <w:pPr>
              <w:ind w:left="140"/>
              <w:spacing w:after="0"/>
              <w:rPr>
                <w:sz w:val="20"/>
                <w:szCs w:val="20"/>
                <w:color w:val="auto"/>
              </w:rPr>
            </w:pPr>
            <w:r>
              <w:rPr>
                <w:rFonts w:ascii="Arial" w:cs="Arial" w:eastAsia="Arial" w:hAnsi="Arial"/>
                <w:sz w:val="14"/>
                <w:szCs w:val="14"/>
                <w:color w:val="auto"/>
              </w:rPr>
              <w:t>Research and development</w:t>
            </w:r>
          </w:p>
        </w:tc>
        <w:tc>
          <w:tcPr>
            <w:tcW w:w="300" w:type="dxa"/>
            <w:vAlign w:val="bottom"/>
          </w:tcPr>
          <w:p>
            <w:pPr>
              <w:spacing w:after="0"/>
              <w:rPr>
                <w:sz w:val="23"/>
                <w:szCs w:val="23"/>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14,407</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10,994</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25,546</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22,038</w:t>
            </w:r>
          </w:p>
        </w:tc>
        <w:tc>
          <w:tcPr>
            <w:tcW w:w="0" w:type="dxa"/>
            <w:vAlign w:val="bottom"/>
          </w:tcPr>
          <w:p>
            <w:pPr>
              <w:spacing w:after="0"/>
              <w:rPr>
                <w:sz w:val="1"/>
                <w:szCs w:val="1"/>
                <w:color w:val="auto"/>
              </w:rPr>
            </w:pPr>
          </w:p>
        </w:tc>
      </w:tr>
      <w:tr>
        <w:trPr>
          <w:trHeight w:val="270"/>
        </w:trPr>
        <w:tc>
          <w:tcPr>
            <w:tcW w:w="5580" w:type="dxa"/>
            <w:vAlign w:val="bottom"/>
          </w:tcPr>
          <w:p>
            <w:pPr>
              <w:ind w:left="140"/>
              <w:spacing w:after="0"/>
              <w:rPr>
                <w:sz w:val="20"/>
                <w:szCs w:val="20"/>
                <w:color w:val="auto"/>
              </w:rPr>
            </w:pPr>
            <w:r>
              <w:rPr>
                <w:rFonts w:ascii="Arial" w:cs="Arial" w:eastAsia="Arial" w:hAnsi="Arial"/>
                <w:sz w:val="14"/>
                <w:szCs w:val="14"/>
                <w:color w:val="auto"/>
              </w:rPr>
              <w:t>General and administrative</w:t>
            </w:r>
          </w:p>
        </w:tc>
        <w:tc>
          <w:tcPr>
            <w:tcW w:w="300" w:type="dxa"/>
            <w:vAlign w:val="bottom"/>
          </w:tcPr>
          <w:p>
            <w:pPr>
              <w:spacing w:after="0"/>
              <w:rPr>
                <w:sz w:val="23"/>
                <w:szCs w:val="23"/>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4,362</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4,903</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9,036</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8,778</w:t>
            </w:r>
          </w:p>
        </w:tc>
        <w:tc>
          <w:tcPr>
            <w:tcW w:w="0" w:type="dxa"/>
            <w:vAlign w:val="bottom"/>
          </w:tcPr>
          <w:p>
            <w:pPr>
              <w:spacing w:after="0"/>
              <w:rPr>
                <w:sz w:val="1"/>
                <w:szCs w:val="1"/>
                <w:color w:val="auto"/>
              </w:rPr>
            </w:pPr>
          </w:p>
        </w:tc>
      </w:tr>
      <w:tr>
        <w:trPr>
          <w:trHeight w:val="80"/>
        </w:trPr>
        <w:tc>
          <w:tcPr>
            <w:tcW w:w="5580" w:type="dxa"/>
            <w:vAlign w:val="bottom"/>
            <w:vMerge w:val="restart"/>
          </w:tcPr>
          <w:p>
            <w:pPr>
              <w:spacing w:after="0"/>
              <w:rPr>
                <w:sz w:val="20"/>
                <w:szCs w:val="20"/>
                <w:color w:val="auto"/>
              </w:rPr>
            </w:pPr>
            <w:r>
              <w:rPr>
                <w:rFonts w:ascii="Arial" w:cs="Arial" w:eastAsia="Arial" w:hAnsi="Arial"/>
                <w:sz w:val="14"/>
                <w:szCs w:val="14"/>
                <w:color w:val="auto"/>
              </w:rPr>
              <w:t>Total operating expenses</w:t>
            </w:r>
          </w:p>
        </w:tc>
        <w:tc>
          <w:tcPr>
            <w:tcW w:w="30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06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84"/>
        </w:trPr>
        <w:tc>
          <w:tcPr>
            <w:tcW w:w="558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18,769</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15,897</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34,582</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30,816</w:t>
            </w:r>
          </w:p>
        </w:tc>
        <w:tc>
          <w:tcPr>
            <w:tcW w:w="0" w:type="dxa"/>
            <w:vAlign w:val="bottom"/>
          </w:tcPr>
          <w:p>
            <w:pPr>
              <w:spacing w:after="0"/>
              <w:rPr>
                <w:sz w:val="1"/>
                <w:szCs w:val="1"/>
                <w:color w:val="auto"/>
              </w:rPr>
            </w:pPr>
          </w:p>
        </w:tc>
      </w:tr>
      <w:tr>
        <w:trPr>
          <w:trHeight w:val="66"/>
        </w:trPr>
        <w:tc>
          <w:tcPr>
            <w:tcW w:w="5580" w:type="dxa"/>
            <w:vAlign w:val="bottom"/>
            <w:vMerge w:val="restart"/>
          </w:tcPr>
          <w:p>
            <w:pPr>
              <w:spacing w:after="0"/>
              <w:rPr>
                <w:sz w:val="20"/>
                <w:szCs w:val="20"/>
                <w:color w:val="auto"/>
              </w:rPr>
            </w:pPr>
            <w:r>
              <w:rPr>
                <w:rFonts w:ascii="Arial" w:cs="Arial" w:eastAsia="Arial" w:hAnsi="Arial"/>
                <w:sz w:val="14"/>
                <w:szCs w:val="14"/>
                <w:color w:val="auto"/>
              </w:rPr>
              <w:t>Loss from operations</w:t>
            </w:r>
          </w:p>
        </w:tc>
        <w:tc>
          <w:tcPr>
            <w:tcW w:w="30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84"/>
        </w:trPr>
        <w:tc>
          <w:tcPr>
            <w:tcW w:w="558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(18,769)</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(15,871)</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(34,582)</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(30,653)</w:t>
            </w:r>
          </w:p>
        </w:tc>
        <w:tc>
          <w:tcPr>
            <w:tcW w:w="0" w:type="dxa"/>
            <w:vAlign w:val="bottom"/>
          </w:tcPr>
          <w:p>
            <w:pPr>
              <w:spacing w:after="0"/>
              <w:rPr>
                <w:sz w:val="1"/>
                <w:szCs w:val="1"/>
                <w:color w:val="auto"/>
              </w:rPr>
            </w:pPr>
          </w:p>
        </w:tc>
      </w:tr>
      <w:tr>
        <w:trPr>
          <w:trHeight w:val="257"/>
        </w:trPr>
        <w:tc>
          <w:tcPr>
            <w:tcW w:w="5580" w:type="dxa"/>
            <w:vAlign w:val="bottom"/>
          </w:tcPr>
          <w:p>
            <w:pPr>
              <w:spacing w:after="0"/>
              <w:rPr>
                <w:sz w:val="20"/>
                <w:szCs w:val="20"/>
                <w:color w:val="auto"/>
              </w:rPr>
            </w:pPr>
            <w:r>
              <w:rPr>
                <w:rFonts w:ascii="Arial" w:cs="Arial" w:eastAsia="Arial" w:hAnsi="Arial"/>
                <w:sz w:val="14"/>
                <w:szCs w:val="14"/>
                <w:color w:val="auto"/>
              </w:rPr>
              <w:t>Investment income</w:t>
            </w:r>
          </w:p>
        </w:tc>
        <w:tc>
          <w:tcPr>
            <w:tcW w:w="300" w:type="dxa"/>
            <w:vAlign w:val="bottom"/>
          </w:tcPr>
          <w:p>
            <w:pPr>
              <w:spacing w:after="0"/>
              <w:rPr>
                <w:sz w:val="22"/>
                <w:szCs w:val="22"/>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246</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101</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534</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214</w:t>
            </w:r>
          </w:p>
        </w:tc>
        <w:tc>
          <w:tcPr>
            <w:tcW w:w="0" w:type="dxa"/>
            <w:vAlign w:val="bottom"/>
          </w:tcPr>
          <w:p>
            <w:pPr>
              <w:spacing w:after="0"/>
              <w:rPr>
                <w:sz w:val="1"/>
                <w:szCs w:val="1"/>
                <w:color w:val="auto"/>
              </w:rPr>
            </w:pPr>
          </w:p>
        </w:tc>
      </w:tr>
      <w:tr>
        <w:trPr>
          <w:trHeight w:val="270"/>
        </w:trPr>
        <w:tc>
          <w:tcPr>
            <w:tcW w:w="5580" w:type="dxa"/>
            <w:vAlign w:val="bottom"/>
          </w:tcPr>
          <w:p>
            <w:pPr>
              <w:spacing w:after="0"/>
              <w:rPr>
                <w:sz w:val="20"/>
                <w:szCs w:val="20"/>
                <w:color w:val="auto"/>
              </w:rPr>
            </w:pPr>
            <w:r>
              <w:rPr>
                <w:rFonts w:ascii="Arial" w:cs="Arial" w:eastAsia="Arial" w:hAnsi="Arial"/>
                <w:sz w:val="14"/>
                <w:szCs w:val="14"/>
                <w:color w:val="auto"/>
              </w:rPr>
              <w:t>Foreign currency transaction gain (loss), net</w:t>
            </w:r>
          </w:p>
        </w:tc>
        <w:tc>
          <w:tcPr>
            <w:tcW w:w="300" w:type="dxa"/>
            <w:vAlign w:val="bottom"/>
          </w:tcPr>
          <w:p>
            <w:pPr>
              <w:spacing w:after="0"/>
              <w:rPr>
                <w:sz w:val="23"/>
                <w:szCs w:val="23"/>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84</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82</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71</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(83)</w:t>
            </w:r>
          </w:p>
        </w:tc>
        <w:tc>
          <w:tcPr>
            <w:tcW w:w="0" w:type="dxa"/>
            <w:vAlign w:val="bottom"/>
          </w:tcPr>
          <w:p>
            <w:pPr>
              <w:spacing w:after="0"/>
              <w:rPr>
                <w:sz w:val="1"/>
                <w:szCs w:val="1"/>
                <w:color w:val="auto"/>
              </w:rPr>
            </w:pPr>
          </w:p>
        </w:tc>
      </w:tr>
      <w:tr>
        <w:trPr>
          <w:trHeight w:val="270"/>
        </w:trPr>
        <w:tc>
          <w:tcPr>
            <w:tcW w:w="5580" w:type="dxa"/>
            <w:vAlign w:val="bottom"/>
          </w:tcPr>
          <w:p>
            <w:pPr>
              <w:spacing w:after="0"/>
              <w:rPr>
                <w:sz w:val="20"/>
                <w:szCs w:val="20"/>
                <w:color w:val="auto"/>
              </w:rPr>
            </w:pPr>
            <w:r>
              <w:rPr>
                <w:rFonts w:ascii="Arial" w:cs="Arial" w:eastAsia="Arial" w:hAnsi="Arial"/>
                <w:sz w:val="14"/>
                <w:szCs w:val="14"/>
                <w:color w:val="auto"/>
              </w:rPr>
              <w:t>Interest expense</w:t>
            </w:r>
          </w:p>
        </w:tc>
        <w:tc>
          <w:tcPr>
            <w:tcW w:w="3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(365)</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(279)</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(715)</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(579)</w:t>
            </w:r>
          </w:p>
        </w:tc>
        <w:tc>
          <w:tcPr>
            <w:tcW w:w="0" w:type="dxa"/>
            <w:vAlign w:val="bottom"/>
          </w:tcPr>
          <w:p>
            <w:pPr>
              <w:spacing w:after="0"/>
              <w:rPr>
                <w:sz w:val="1"/>
                <w:szCs w:val="1"/>
                <w:color w:val="auto"/>
              </w:rPr>
            </w:pPr>
          </w:p>
        </w:tc>
      </w:tr>
      <w:tr>
        <w:trPr>
          <w:trHeight w:val="270"/>
        </w:trPr>
        <w:tc>
          <w:tcPr>
            <w:tcW w:w="5580" w:type="dxa"/>
            <w:vAlign w:val="bottom"/>
          </w:tcPr>
          <w:p>
            <w:pPr>
              <w:spacing w:after="0"/>
              <w:rPr>
                <w:sz w:val="20"/>
                <w:szCs w:val="20"/>
                <w:color w:val="auto"/>
              </w:rPr>
            </w:pPr>
            <w:r>
              <w:rPr>
                <w:rFonts w:ascii="Arial" w:cs="Arial" w:eastAsia="Arial" w:hAnsi="Arial"/>
                <w:sz w:val="14"/>
                <w:szCs w:val="14"/>
                <w:color w:val="auto"/>
              </w:rPr>
              <w:t>Other income (expense), net</w:t>
            </w:r>
          </w:p>
        </w:tc>
        <w:tc>
          <w:tcPr>
            <w:tcW w:w="300" w:type="dxa"/>
            <w:vAlign w:val="bottom"/>
          </w:tcPr>
          <w:p>
            <w:pPr>
              <w:spacing w:after="0"/>
              <w:rPr>
                <w:sz w:val="23"/>
                <w:szCs w:val="23"/>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8</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3"/>
                <w:szCs w:val="23"/>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0"/>
        </w:trPr>
        <w:tc>
          <w:tcPr>
            <w:tcW w:w="5580" w:type="dxa"/>
            <w:vAlign w:val="bottom"/>
            <w:vMerge w:val="restart"/>
          </w:tcPr>
          <w:p>
            <w:pPr>
              <w:spacing w:after="0"/>
              <w:rPr>
                <w:sz w:val="20"/>
                <w:szCs w:val="20"/>
                <w:color w:val="auto"/>
              </w:rPr>
            </w:pPr>
            <w:r>
              <w:rPr>
                <w:rFonts w:ascii="Arial" w:cs="Arial" w:eastAsia="Arial" w:hAnsi="Arial"/>
                <w:sz w:val="14"/>
                <w:szCs w:val="14"/>
                <w:color w:val="auto"/>
              </w:rPr>
              <w:t>Net loss</w:t>
            </w:r>
          </w:p>
        </w:tc>
        <w:tc>
          <w:tcPr>
            <w:tcW w:w="30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06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84"/>
        </w:trPr>
        <w:tc>
          <w:tcPr>
            <w:tcW w:w="558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(18,796)</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(15,967)</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(34,684)</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(31,101)</w:t>
            </w:r>
          </w:p>
        </w:tc>
        <w:tc>
          <w:tcPr>
            <w:tcW w:w="0" w:type="dxa"/>
            <w:vAlign w:val="bottom"/>
          </w:tcPr>
          <w:p>
            <w:pPr>
              <w:spacing w:after="0"/>
              <w:rPr>
                <w:sz w:val="1"/>
                <w:szCs w:val="1"/>
                <w:color w:val="auto"/>
              </w:rPr>
            </w:pPr>
          </w:p>
        </w:tc>
      </w:tr>
      <w:tr>
        <w:trPr>
          <w:trHeight w:val="66"/>
        </w:trPr>
        <w:tc>
          <w:tcPr>
            <w:tcW w:w="5580" w:type="dxa"/>
            <w:vAlign w:val="bottom"/>
            <w:vMerge w:val="restart"/>
          </w:tcPr>
          <w:p>
            <w:pPr>
              <w:spacing w:after="0"/>
              <w:rPr>
                <w:sz w:val="20"/>
                <w:szCs w:val="20"/>
                <w:color w:val="auto"/>
              </w:rPr>
            </w:pPr>
            <w:r>
              <w:rPr>
                <w:rFonts w:ascii="Arial" w:cs="Arial" w:eastAsia="Arial" w:hAnsi="Arial"/>
                <w:sz w:val="14"/>
                <w:szCs w:val="14"/>
                <w:color w:val="auto"/>
              </w:rPr>
              <w:t>Other comprehensive loss:</w:t>
            </w:r>
          </w:p>
        </w:tc>
        <w:tc>
          <w:tcPr>
            <w:tcW w:w="30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71"/>
        </w:trPr>
        <w:tc>
          <w:tcPr>
            <w:tcW w:w="558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4"/>
        </w:trPr>
        <w:tc>
          <w:tcPr>
            <w:tcW w:w="5580" w:type="dxa"/>
            <w:vAlign w:val="bottom"/>
          </w:tcPr>
          <w:p>
            <w:pPr>
              <w:ind w:left="140"/>
              <w:spacing w:after="0"/>
              <w:rPr>
                <w:sz w:val="20"/>
                <w:szCs w:val="20"/>
                <w:color w:val="auto"/>
              </w:rPr>
            </w:pPr>
            <w:r>
              <w:rPr>
                <w:rFonts w:ascii="Arial" w:cs="Arial" w:eastAsia="Arial" w:hAnsi="Arial"/>
                <w:sz w:val="14"/>
                <w:szCs w:val="14"/>
                <w:color w:val="auto"/>
              </w:rPr>
              <w:t>Foreign currency translation adjustment</w:t>
            </w:r>
          </w:p>
        </w:tc>
        <w:tc>
          <w:tcPr>
            <w:tcW w:w="30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(90)</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(43)</w:t>
            </w: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(71)</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80</w:t>
            </w:r>
          </w:p>
        </w:tc>
        <w:tc>
          <w:tcPr>
            <w:tcW w:w="0" w:type="dxa"/>
            <w:vAlign w:val="bottom"/>
          </w:tcPr>
          <w:p>
            <w:pPr>
              <w:spacing w:after="0"/>
              <w:rPr>
                <w:sz w:val="1"/>
                <w:szCs w:val="1"/>
                <w:color w:val="auto"/>
              </w:rPr>
            </w:pPr>
          </w:p>
        </w:tc>
      </w:tr>
      <w:tr>
        <w:trPr>
          <w:trHeight w:val="270"/>
        </w:trPr>
        <w:tc>
          <w:tcPr>
            <w:tcW w:w="5580" w:type="dxa"/>
            <w:vAlign w:val="bottom"/>
          </w:tcPr>
          <w:p>
            <w:pPr>
              <w:ind w:left="140"/>
              <w:spacing w:after="0"/>
              <w:rPr>
                <w:sz w:val="20"/>
                <w:szCs w:val="20"/>
                <w:color w:val="auto"/>
              </w:rPr>
            </w:pPr>
            <w:r>
              <w:rPr>
                <w:rFonts w:ascii="Arial" w:cs="Arial" w:eastAsia="Arial" w:hAnsi="Arial"/>
                <w:sz w:val="14"/>
                <w:szCs w:val="14"/>
                <w:color w:val="auto"/>
              </w:rPr>
              <w:t>Unrealized gain on securities</w:t>
            </w:r>
          </w:p>
        </w:tc>
        <w:tc>
          <w:tcPr>
            <w:tcW w:w="300" w:type="dxa"/>
            <w:vAlign w:val="bottom"/>
          </w:tcPr>
          <w:p>
            <w:pPr>
              <w:spacing w:after="0"/>
              <w:rPr>
                <w:sz w:val="23"/>
                <w:szCs w:val="23"/>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12</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80"/>
        </w:trPr>
        <w:tc>
          <w:tcPr>
            <w:tcW w:w="5580" w:type="dxa"/>
            <w:vAlign w:val="bottom"/>
            <w:vMerge w:val="restart"/>
          </w:tcPr>
          <w:p>
            <w:pPr>
              <w:spacing w:after="0"/>
              <w:rPr>
                <w:sz w:val="20"/>
                <w:szCs w:val="20"/>
                <w:color w:val="auto"/>
              </w:rPr>
            </w:pPr>
            <w:r>
              <w:rPr>
                <w:rFonts w:ascii="Arial" w:cs="Arial" w:eastAsia="Arial" w:hAnsi="Arial"/>
                <w:sz w:val="14"/>
                <w:szCs w:val="14"/>
                <w:color w:val="auto"/>
              </w:rPr>
              <w:t>Total comprehensive loss</w:t>
            </w:r>
          </w:p>
        </w:tc>
        <w:tc>
          <w:tcPr>
            <w:tcW w:w="30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06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84"/>
        </w:trPr>
        <w:tc>
          <w:tcPr>
            <w:tcW w:w="5580" w:type="dxa"/>
            <w:vAlign w:val="bottom"/>
            <w:vMerge w:val="continue"/>
          </w:tcPr>
          <w:p>
            <w:pPr>
              <w:spacing w:after="0"/>
              <w:rPr>
                <w:sz w:val="16"/>
                <w:szCs w:val="16"/>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(18,874)</w:t>
            </w:r>
          </w:p>
        </w:tc>
        <w:tc>
          <w:tcPr>
            <w:tcW w:w="120" w:type="dxa"/>
            <w:vAlign w:val="bottom"/>
          </w:tcPr>
          <w:p>
            <w:pPr>
              <w:spacing w:after="0"/>
              <w:rPr>
                <w:sz w:val="16"/>
                <w:szCs w:val="16"/>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(16,000)</w:t>
            </w:r>
          </w:p>
        </w:tc>
        <w:tc>
          <w:tcPr>
            <w:tcW w:w="120" w:type="dxa"/>
            <w:vAlign w:val="bottom"/>
          </w:tcPr>
          <w:p>
            <w:pPr>
              <w:spacing w:after="0"/>
              <w:rPr>
                <w:sz w:val="16"/>
                <w:szCs w:val="16"/>
                <w:color w:val="auto"/>
              </w:rPr>
            </w:pPr>
          </w:p>
        </w:tc>
        <w:tc>
          <w:tcPr>
            <w:tcW w:w="400" w:type="dxa"/>
            <w:vAlign w:val="bottom"/>
          </w:tcPr>
          <w:p>
            <w:pPr>
              <w:jc w:val="right"/>
              <w:ind w:right="248"/>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(34,740)</w:t>
            </w:r>
          </w:p>
        </w:tc>
        <w:tc>
          <w:tcPr>
            <w:tcW w:w="100" w:type="dxa"/>
            <w:vAlign w:val="bottom"/>
          </w:tcPr>
          <w:p>
            <w:pPr>
              <w:spacing w:after="0"/>
              <w:rPr>
                <w:sz w:val="16"/>
                <w:szCs w:val="16"/>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(30,996)</w:t>
            </w:r>
          </w:p>
        </w:tc>
        <w:tc>
          <w:tcPr>
            <w:tcW w:w="0" w:type="dxa"/>
            <w:vAlign w:val="bottom"/>
          </w:tcPr>
          <w:p>
            <w:pPr>
              <w:spacing w:after="0"/>
              <w:rPr>
                <w:sz w:val="1"/>
                <w:szCs w:val="1"/>
                <w:color w:val="auto"/>
              </w:rPr>
            </w:pPr>
          </w:p>
        </w:tc>
      </w:tr>
      <w:tr>
        <w:trPr>
          <w:trHeight w:val="53"/>
        </w:trPr>
        <w:tc>
          <w:tcPr>
            <w:tcW w:w="5580" w:type="dxa"/>
            <w:vAlign w:val="bottom"/>
            <w:vMerge w:val="restart"/>
          </w:tcPr>
          <w:p>
            <w:pPr>
              <w:spacing w:after="0"/>
              <w:rPr>
                <w:sz w:val="20"/>
                <w:szCs w:val="20"/>
                <w:color w:val="auto"/>
              </w:rPr>
            </w:pPr>
            <w:r>
              <w:rPr>
                <w:rFonts w:ascii="Arial" w:cs="Arial" w:eastAsia="Arial" w:hAnsi="Arial"/>
                <w:sz w:val="14"/>
                <w:szCs w:val="14"/>
                <w:color w:val="auto"/>
              </w:rPr>
              <w:t>Net loss per share:</w:t>
            </w:r>
          </w:p>
        </w:tc>
        <w:tc>
          <w:tcPr>
            <w:tcW w:w="30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5580" w:type="dxa"/>
            <w:vAlign w:val="bottom"/>
            <w:vMerge w:val="continue"/>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8"/>
        </w:trPr>
        <w:tc>
          <w:tcPr>
            <w:tcW w:w="558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580" w:type="dxa"/>
            <w:vAlign w:val="bottom"/>
          </w:tcPr>
          <w:p>
            <w:pPr>
              <w:ind w:left="140"/>
              <w:spacing w:after="0"/>
              <w:rPr>
                <w:sz w:val="20"/>
                <w:szCs w:val="20"/>
                <w:color w:val="auto"/>
              </w:rPr>
            </w:pPr>
            <w:r>
              <w:rPr>
                <w:rFonts w:ascii="Arial" w:cs="Arial" w:eastAsia="Arial" w:hAnsi="Arial"/>
                <w:sz w:val="14"/>
                <w:szCs w:val="14"/>
                <w:color w:val="auto"/>
              </w:rPr>
              <w:t>Basic and diluted</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(0.84)</w:t>
            </w:r>
          </w:p>
        </w:tc>
        <w:tc>
          <w:tcPr>
            <w:tcW w:w="120" w:type="dxa"/>
            <w:vAlign w:val="bottom"/>
          </w:tcPr>
          <w:p>
            <w:pPr>
              <w:spacing w:after="0"/>
              <w:rPr>
                <w:sz w:val="23"/>
                <w:szCs w:val="23"/>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(0.85)</w:t>
            </w:r>
          </w:p>
        </w:tc>
        <w:tc>
          <w:tcPr>
            <w:tcW w:w="120" w:type="dxa"/>
            <w:vAlign w:val="bottom"/>
          </w:tcPr>
          <w:p>
            <w:pPr>
              <w:spacing w:after="0"/>
              <w:rPr>
                <w:sz w:val="23"/>
                <w:szCs w:val="23"/>
                <w:color w:val="auto"/>
              </w:rPr>
            </w:pPr>
          </w:p>
        </w:tc>
        <w:tc>
          <w:tcPr>
            <w:tcW w:w="400" w:type="dxa"/>
            <w:vAlign w:val="bottom"/>
          </w:tcPr>
          <w:p>
            <w:pPr>
              <w:jc w:val="right"/>
              <w:ind w:right="248"/>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(1.55)</w:t>
            </w:r>
          </w:p>
        </w:tc>
        <w:tc>
          <w:tcPr>
            <w:tcW w:w="100" w:type="dxa"/>
            <w:vAlign w:val="bottom"/>
          </w:tcPr>
          <w:p>
            <w:pPr>
              <w:spacing w:after="0"/>
              <w:rPr>
                <w:sz w:val="23"/>
                <w:szCs w:val="23"/>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(1.67)</w:t>
            </w:r>
          </w:p>
        </w:tc>
        <w:tc>
          <w:tcPr>
            <w:tcW w:w="0" w:type="dxa"/>
            <w:vAlign w:val="bottom"/>
          </w:tcPr>
          <w:p>
            <w:pPr>
              <w:spacing w:after="0"/>
              <w:rPr>
                <w:sz w:val="1"/>
                <w:szCs w:val="1"/>
                <w:color w:val="auto"/>
              </w:rPr>
            </w:pPr>
          </w:p>
        </w:tc>
      </w:tr>
      <w:tr>
        <w:trPr>
          <w:trHeight w:val="66"/>
        </w:trPr>
        <w:tc>
          <w:tcPr>
            <w:tcW w:w="5580" w:type="dxa"/>
            <w:vAlign w:val="bottom"/>
            <w:vMerge w:val="restart"/>
          </w:tcPr>
          <w:p>
            <w:pPr>
              <w:spacing w:after="0"/>
              <w:rPr>
                <w:sz w:val="20"/>
                <w:szCs w:val="20"/>
                <w:color w:val="auto"/>
              </w:rPr>
            </w:pPr>
            <w:r>
              <w:rPr>
                <w:rFonts w:ascii="Arial" w:cs="Arial" w:eastAsia="Arial" w:hAnsi="Arial"/>
                <w:sz w:val="14"/>
                <w:szCs w:val="14"/>
                <w:color w:val="auto"/>
              </w:rPr>
              <w:t>Weighted average common shares outstanding:</w:t>
            </w:r>
          </w:p>
        </w:tc>
        <w:tc>
          <w:tcPr>
            <w:tcW w:w="30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5580" w:type="dxa"/>
            <w:vAlign w:val="bottom"/>
            <w:vMerge w:val="continue"/>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558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7"/>
        </w:trPr>
        <w:tc>
          <w:tcPr>
            <w:tcW w:w="5580" w:type="dxa"/>
            <w:vAlign w:val="bottom"/>
          </w:tcPr>
          <w:p>
            <w:pPr>
              <w:ind w:left="140"/>
              <w:spacing w:after="0"/>
              <w:rPr>
                <w:sz w:val="20"/>
                <w:szCs w:val="20"/>
                <w:color w:val="auto"/>
              </w:rPr>
            </w:pPr>
            <w:r>
              <w:rPr>
                <w:rFonts w:ascii="Arial" w:cs="Arial" w:eastAsia="Arial" w:hAnsi="Arial"/>
                <w:sz w:val="14"/>
                <w:szCs w:val="14"/>
                <w:color w:val="auto"/>
              </w:rPr>
              <w:t>Basic and diluted</w:t>
            </w:r>
          </w:p>
        </w:tc>
        <w:tc>
          <w:tcPr>
            <w:tcW w:w="300" w:type="dxa"/>
            <w:vAlign w:val="bottom"/>
          </w:tcPr>
          <w:p>
            <w:pPr>
              <w:spacing w:after="0"/>
              <w:rPr>
                <w:sz w:val="24"/>
                <w:szCs w:val="24"/>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22,355,603</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18,814,570</w:t>
            </w: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22,350,591</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18,645,339</w:t>
            </w:r>
          </w:p>
        </w:tc>
        <w:tc>
          <w:tcPr>
            <w:tcW w:w="0" w:type="dxa"/>
            <w:vAlign w:val="bottom"/>
          </w:tcPr>
          <w:p>
            <w:pPr>
              <w:spacing w:after="0"/>
              <w:rPr>
                <w:sz w:val="1"/>
                <w:szCs w:val="1"/>
                <w:color w:val="auto"/>
              </w:rPr>
            </w:pPr>
          </w:p>
        </w:tc>
      </w:tr>
      <w:tr>
        <w:trPr>
          <w:trHeight w:val="66"/>
        </w:trPr>
        <w:tc>
          <w:tcPr>
            <w:tcW w:w="558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55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Contact Information:</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auto"/>
        </w:rPr>
        <w:t>John Leaman, MD</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Selecta Biosciences, Inc.</w:t>
      </w:r>
    </w:p>
    <w:p>
      <w:pPr>
        <w:spacing w:after="0"/>
        <w:rPr>
          <w:sz w:val="20"/>
          <w:szCs w:val="20"/>
          <w:color w:val="auto"/>
        </w:rPr>
      </w:pPr>
      <w:r>
        <w:rPr>
          <w:rFonts w:ascii="Arial" w:cs="Arial" w:eastAsia="Arial" w:hAnsi="Arial"/>
          <w:sz w:val="20"/>
          <w:szCs w:val="20"/>
          <w:color w:val="auto"/>
        </w:rPr>
        <w:t>617-231-8081</w:t>
      </w:r>
    </w:p>
    <w:p>
      <w:pPr>
        <w:spacing w:after="0"/>
        <w:rPr>
          <w:sz w:val="20"/>
          <w:szCs w:val="20"/>
          <w:color w:val="auto"/>
        </w:rPr>
      </w:pPr>
      <w:r>
        <w:rPr>
          <w:rFonts w:ascii="Arial" w:cs="Arial" w:eastAsia="Arial" w:hAnsi="Arial"/>
          <w:sz w:val="20"/>
          <w:szCs w:val="20"/>
          <w:u w:val="single" w:color="auto"/>
          <w:color w:val="0000FF"/>
        </w:rPr>
        <w:t>jleaman@selectabio.com</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Sarah McCabe</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Stern Investor Relations, Inc.</w:t>
      </w:r>
    </w:p>
    <w:p>
      <w:pPr>
        <w:spacing w:after="0"/>
        <w:rPr>
          <w:sz w:val="20"/>
          <w:szCs w:val="20"/>
          <w:color w:val="auto"/>
        </w:rPr>
      </w:pPr>
      <w:r>
        <w:rPr>
          <w:rFonts w:ascii="Arial" w:cs="Arial" w:eastAsia="Arial" w:hAnsi="Arial"/>
          <w:sz w:val="20"/>
          <w:szCs w:val="20"/>
          <w:color w:val="auto"/>
        </w:rPr>
        <w:t>+1 212-362-1200</w:t>
      </w:r>
    </w:p>
    <w:p>
      <w:pPr>
        <w:spacing w:after="0"/>
        <w:rPr>
          <w:sz w:val="20"/>
          <w:szCs w:val="20"/>
          <w:color w:val="auto"/>
        </w:rPr>
      </w:pPr>
      <w:r>
        <w:rPr>
          <w:rFonts w:ascii="Arial" w:cs="Arial" w:eastAsia="Arial" w:hAnsi="Arial"/>
          <w:sz w:val="20"/>
          <w:szCs w:val="20"/>
          <w:u w:val="single" w:color="auto"/>
          <w:color w:val="0000FF"/>
        </w:rPr>
        <w:t>sarah@sternir.com</w:t>
      </w:r>
    </w:p>
    <w:p>
      <w:pPr>
        <w:spacing w:after="0" w:line="200" w:lineRule="exact"/>
        <w:rPr>
          <w:sz w:val="20"/>
          <w:szCs w:val="20"/>
          <w:color w:val="auto"/>
        </w:rPr>
      </w:pPr>
    </w:p>
    <w:p>
      <w:pPr>
        <w:spacing w:after="0" w:line="24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w:t>
      </w:r>
    </w:p>
    <w:sectPr>
      <w:pgSz w:w="11900" w:h="16838" w:orient="portrait"/>
      <w:cols w:equalWidth="0" w:num="1">
        <w:col w:w="11420"/>
      </w:cols>
      <w:pgMar w:left="240" w:top="85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o"/>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2019-12-28T20:03:40Z</dcterms:created>
  <dcterms:modified xsi:type="dcterms:W3CDTF">2019-12-28T20:03:40Z</dcterms:modified>
</cp:coreProperties>
</file>