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20" w:type="dxa"/>
            <w:vAlign w:val="bottom"/>
            <w:vMerge w:val="restart"/>
          </w:tcPr>
          <w:p>
            <w:pPr>
              <w:ind w:left="20"/>
              <w:spacing w:after="0"/>
              <w:rPr>
                <w:rFonts w:ascii="Times New Roman" w:cs="Times New Roman" w:eastAsia="Times New Roman" w:hAnsi="Times New Roman"/>
                <w:sz w:val="21"/>
                <w:szCs w:val="21"/>
                <w:u w:val="single" w:color="auto"/>
                <w:color w:val="0000EE"/>
                <w:w w:val="96"/>
              </w:rPr>
            </w:pPr>
            <w:hyperlink r:id="rId13">
              <w:r>
                <w:rPr>
                  <w:rFonts w:ascii="Times New Roman" w:cs="Times New Roman" w:eastAsia="Times New Roman" w:hAnsi="Times New Roman"/>
                  <w:sz w:val="21"/>
                  <w:szCs w:val="21"/>
                  <w:u w:val="single" w:color="auto"/>
                  <w:color w:val="0000EE"/>
                  <w:w w:val="96"/>
                </w:rPr>
                <w:t>Brunn Carsten</w:t>
              </w:r>
            </w:hyperlink>
          </w:p>
        </w:tc>
        <w:tc>
          <w:tcPr>
            <w:tcW w:w="1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tcPr>
          <w:p>
            <w:pPr>
              <w:ind w:left="6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SELECTA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SELECTA BIOSCIENCES, INC.</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09/01/2020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3" w:right="640" w:firstLine="3"/>
        <w:spacing w:after="0" w:line="262"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937"/>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394"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184150</wp:posOffset>
            </wp:positionV>
            <wp:extent cx="6967855" cy="130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3655"/>
                    </a:xfrm>
                    <a:prstGeom prst="rect">
                      <a:avLst/>
                    </a:prstGeom>
                    <a:noFill/>
                  </pic:spPr>
                </pic:pic>
              </a:graphicData>
            </a:graphic>
          </wp:anchor>
        </w:drawing>
      </w:r>
    </w:p>
    <w:p>
      <w:pPr>
        <w:spacing w:after="0" w:line="347"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4"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09/01/2020</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10,937</w:t>
            </w: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right="5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97,099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09/02/2020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3,364</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2.3884</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93,735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10,937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09/01/2020</w:t>
            </w:r>
          </w:p>
        </w:tc>
        <w:tc>
          <w:tcPr>
            <w:tcW w:w="11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1"/>
                <w:szCs w:val="11"/>
                <w:color w:val="auto"/>
              </w:rPr>
            </w:pPr>
          </w:p>
        </w:tc>
        <w:tc>
          <w:tcPr>
            <w:tcW w:w="82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10,937</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98,438</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-1966595</wp:posOffset>
            </wp:positionV>
            <wp:extent cx="7033895" cy="2008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8505"/>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satisfy withholding tax obligations upon the vesting of restricted stock units and to cover related broker fees.</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$2.36 to $2.41. The Reporting Person undertakes to provide upon request to the SEC staff, the Issuer, or any stockholder of the Issuer, full information regarding the number of shares sold at each separate price within the range set forth in this footnote.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vests as to 25% on December 1, 2019. The remainder of the units will vest in twelve substantially equal quarterly installments thereafter. The restricted stock units have no expiration date.</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09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Carsten</w:t>
      </w:r>
      <w:r>
        <w:rPr>
          <w:sz w:val="20"/>
          <w:szCs w:val="20"/>
          <w:color w:val="auto"/>
        </w:rPr>
        <w:tab/>
      </w:r>
      <w:r>
        <w:rPr>
          <w:rFonts w:ascii="Times New Roman" w:cs="Times New Roman" w:eastAsia="Times New Roman" w:hAnsi="Times New Roman"/>
          <w:sz w:val="16"/>
          <w:szCs w:val="16"/>
          <w:color w:val="0000FF"/>
        </w:rPr>
        <w:t>09/03/2020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66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2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0229"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2020-09-03T15:32:57Z</dcterms:created>
  <dcterms:modified xsi:type="dcterms:W3CDTF">2020-09-03T15:32:57Z</dcterms:modified>
</cp:coreProperties>
</file>