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70"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Nashat Amir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21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06/21/2016</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SELECTA BIOSCIENCES,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480 ARSENAL STREET, BUILDING ONE</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6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60" w:type="dxa"/>
            <w:vAlign w:val="bottom"/>
          </w:tcPr>
          <w:p>
            <w:pPr>
              <w:ind w:left="40"/>
              <w:spacing w:after="0"/>
              <w:rPr>
                <w:sz w:val="20"/>
                <w:szCs w:val="20"/>
                <w:color w:val="auto"/>
              </w:rPr>
            </w:pPr>
            <w:r>
              <w:rPr>
                <w:rFonts w:ascii="Arial" w:cs="Arial" w:eastAsia="Arial" w:hAnsi="Arial"/>
                <w:sz w:val="18"/>
                <w:szCs w:val="18"/>
                <w:color w:val="0000FF"/>
              </w:rPr>
              <w:t>WATERTOWN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02472</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SELECTA BIOSCIENCES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SELB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224"/>
        </w:trPr>
        <w:tc>
          <w:tcPr>
            <w:tcW w:w="1660" w:type="dxa"/>
            <w:vAlign w:val="bottom"/>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19"/>
                <w:szCs w:val="19"/>
                <w:color w:val="auto"/>
              </w:rPr>
            </w:pPr>
          </w:p>
        </w:tc>
        <w:tc>
          <w:tcPr>
            <w:tcW w:w="2680" w:type="dxa"/>
            <w:vAlign w:val="bottom"/>
            <w:tcBorders>
              <w:bottom w:val="single" w:sz="8" w:color="2C2C2C"/>
            </w:tcBorders>
          </w:tcPr>
          <w:p>
            <w:pPr>
              <w:spacing w:after="0"/>
              <w:rPr>
                <w:sz w:val="19"/>
                <w:szCs w:val="19"/>
                <w:color w:val="auto"/>
              </w:rPr>
            </w:pPr>
          </w:p>
        </w:tc>
      </w:tr>
      <w:tr>
        <w:trPr>
          <w:trHeight w:val="202"/>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62"/>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bl>
    <w:p>
      <w:pPr>
        <w:ind w:left="3560"/>
        <w:spacing w:after="0" w:line="210" w:lineRule="auto"/>
        <w:tabs>
          <w:tab w:leader="none" w:pos="386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70" w:orient="portrait"/>
          <w:cols w:equalWidth="0" w:num="2">
            <w:col w:w="4720" w:space="480"/>
            <w:col w:w="6220"/>
          </w:cols>
          <w:pgMar w:left="240" w:top="226" w:right="239" w:bottom="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48"/>
        </w:trPr>
        <w:tc>
          <w:tcPr>
            <w:tcW w:w="20" w:type="dxa"/>
            <w:vAlign w:val="bottom"/>
          </w:tcPr>
          <w:p>
            <w:pPr>
              <w:spacing w:after="0"/>
              <w:rPr>
                <w:sz w:val="4"/>
                <w:szCs w:val="4"/>
                <w:color w:val="auto"/>
              </w:rPr>
            </w:pPr>
          </w:p>
        </w:tc>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r>
      <w:tr>
        <w:trPr>
          <w:trHeight w:val="331"/>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20" w:type="dxa"/>
            <w:vAlign w:val="bottom"/>
            <w:tcBorders>
              <w:bottom w:val="single" w:sz="8" w:color="2C2C2C"/>
            </w:tcBorders>
          </w:tcPr>
          <w:p>
            <w:pPr>
              <w:jc w:val="center"/>
              <w:ind w:left="1619"/>
              <w:spacing w:after="0"/>
              <w:rPr>
                <w:sz w:val="20"/>
                <w:szCs w:val="20"/>
                <w:color w:val="auto"/>
              </w:rPr>
            </w:pPr>
            <w:r>
              <w:rPr>
                <w:rFonts w:ascii="Arial" w:cs="Arial" w:eastAsia="Arial" w:hAnsi="Arial"/>
                <w:sz w:val="18"/>
                <w:szCs w:val="18"/>
                <w:color w:val="0000FF"/>
                <w:w w:val="93"/>
              </w:rPr>
              <w:t>765</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(1)(2)</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20" w:type="dxa"/>
            <w:vAlign w:val="bottom"/>
            <w:tcBorders>
              <w:bottom w:val="single" w:sz="8" w:color="2C2C2C"/>
            </w:tcBorders>
          </w:tcPr>
          <w:p>
            <w:pPr>
              <w:jc w:val="center"/>
              <w:ind w:left="1619"/>
              <w:spacing w:after="0"/>
              <w:rPr>
                <w:sz w:val="20"/>
                <w:szCs w:val="20"/>
                <w:color w:val="auto"/>
              </w:rPr>
            </w:pPr>
            <w:r>
              <w:rPr>
                <w:rFonts w:ascii="Arial" w:cs="Arial" w:eastAsia="Arial" w:hAnsi="Arial"/>
                <w:sz w:val="18"/>
                <w:szCs w:val="18"/>
                <w:color w:val="0000FF"/>
                <w:w w:val="93"/>
              </w:rPr>
              <w:t>268</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(3)(4)</w:t>
            </w:r>
          </w:p>
        </w:tc>
        <w:tc>
          <w:tcPr>
            <w:tcW w:w="20" w:type="dxa"/>
            <w:vAlign w:val="bottom"/>
          </w:tcPr>
          <w:p>
            <w:pPr>
              <w:spacing w:after="0"/>
              <w:rPr>
                <w:sz w:val="24"/>
                <w:szCs w:val="24"/>
                <w:color w:val="auto"/>
              </w:rPr>
            </w:pPr>
          </w:p>
        </w:tc>
      </w:tr>
      <w:tr>
        <w:trPr>
          <w:trHeight w:val="331"/>
        </w:trPr>
        <w:tc>
          <w:tcPr>
            <w:tcW w:w="20" w:type="dxa"/>
            <w:vAlign w:val="bottom"/>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20" w:type="dxa"/>
            <w:vAlign w:val="bottom"/>
            <w:tcBorders>
              <w:bottom w:val="single" w:sz="8" w:color="2C2C2C"/>
            </w:tcBorders>
          </w:tcPr>
          <w:p>
            <w:pPr>
              <w:jc w:val="center"/>
              <w:ind w:left="1619"/>
              <w:spacing w:after="0"/>
              <w:rPr>
                <w:sz w:val="20"/>
                <w:szCs w:val="20"/>
                <w:color w:val="auto"/>
              </w:rPr>
            </w:pPr>
            <w:r>
              <w:rPr>
                <w:rFonts w:ascii="Arial" w:cs="Arial" w:eastAsia="Arial" w:hAnsi="Arial"/>
                <w:sz w:val="18"/>
                <w:szCs w:val="18"/>
                <w:color w:val="0000FF"/>
                <w:w w:val="93"/>
              </w:rPr>
              <w:t>392</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(5)(6)</w:t>
            </w:r>
          </w:p>
        </w:tc>
        <w:tc>
          <w:tcPr>
            <w:tcW w:w="20" w:type="dxa"/>
            <w:vAlign w:val="bottom"/>
          </w:tcPr>
          <w:p>
            <w:pPr>
              <w:spacing w:after="0"/>
              <w:rPr>
                <w:sz w:val="24"/>
                <w:szCs w:val="24"/>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4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3620" w:type="dxa"/>
            <w:vAlign w:val="bottom"/>
            <w:tcBorders>
              <w:bottom w:val="single" w:sz="8" w:color="2C2C2C"/>
            </w:tcBorders>
          </w:tcPr>
          <w:p>
            <w:pPr>
              <w:jc w:val="center"/>
              <w:ind w:left="1619"/>
              <w:spacing w:after="0"/>
              <w:rPr>
                <w:sz w:val="20"/>
                <w:szCs w:val="20"/>
                <w:color w:val="auto"/>
              </w:rPr>
            </w:pPr>
            <w:r>
              <w:rPr>
                <w:rFonts w:ascii="Arial" w:cs="Arial" w:eastAsia="Arial" w:hAnsi="Arial"/>
                <w:sz w:val="18"/>
                <w:szCs w:val="18"/>
                <w:color w:val="0000FF"/>
                <w:w w:val="87"/>
              </w:rPr>
              <w:t>39,317</w:t>
            </w:r>
          </w:p>
        </w:tc>
        <w:tc>
          <w:tcPr>
            <w:tcW w:w="1320" w:type="dxa"/>
            <w:vAlign w:val="bottom"/>
            <w:tcBorders>
              <w:bottom w:val="single" w:sz="8" w:color="2C2C2C"/>
            </w:tcBorders>
          </w:tcPr>
          <w:p>
            <w:pPr>
              <w:ind w:left="720"/>
              <w:spacing w:after="0"/>
              <w:rPr>
                <w:sz w:val="20"/>
                <w:szCs w:val="20"/>
                <w:color w:val="auto"/>
              </w:rPr>
            </w:pPr>
            <w:r>
              <w:rPr>
                <w:rFonts w:ascii="Arial" w:cs="Arial" w:eastAsia="Arial" w:hAnsi="Arial"/>
                <w:sz w:val="18"/>
                <w:szCs w:val="18"/>
                <w:color w:val="0000FF"/>
              </w:rPr>
              <w:t>I</w:t>
            </w:r>
          </w:p>
        </w:tc>
        <w:tc>
          <w:tcPr>
            <w:tcW w:w="30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(7)(8)</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40" w:type="dxa"/>
            <w:vAlign w:val="bottom"/>
          </w:tcPr>
          <w:p>
            <w:pPr>
              <w:spacing w:after="0"/>
              <w:rPr>
                <w:sz w:val="12"/>
                <w:szCs w:val="12"/>
                <w:color w:val="auto"/>
              </w:rPr>
            </w:pPr>
          </w:p>
        </w:tc>
        <w:tc>
          <w:tcPr>
            <w:tcW w:w="9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A Convertible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8"/>
              </w:rPr>
              <w:t>6,494</w:t>
            </w:r>
          </w:p>
        </w:tc>
        <w:tc>
          <w:tcPr>
            <w:tcW w:w="880" w:type="dxa"/>
            <w:vAlign w:val="bottom"/>
            <w:tcBorders>
              <w:bottom w:val="single" w:sz="8" w:color="2C2C2C"/>
            </w:tcBorders>
          </w:tcPr>
          <w:p>
            <w:pPr>
              <w:jc w:val="right"/>
              <w:ind w:right="301"/>
              <w:spacing w:after="0"/>
              <w:rPr>
                <w:sz w:val="20"/>
                <w:szCs w:val="20"/>
                <w:color w:val="auto"/>
              </w:rPr>
            </w:pPr>
            <w:r>
              <w:rPr>
                <w:rFonts w:ascii="Arial" w:cs="Arial" w:eastAsia="Arial" w:hAnsi="Arial"/>
                <w:sz w:val="11"/>
                <w:szCs w:val="11"/>
                <w:color w:val="008000"/>
              </w:rPr>
              <w:t>(9)</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A Convertible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8"/>
              </w:rPr>
              <w:t>2,282</w:t>
            </w:r>
          </w:p>
        </w:tc>
        <w:tc>
          <w:tcPr>
            <w:tcW w:w="880" w:type="dxa"/>
            <w:vAlign w:val="bottom"/>
            <w:tcBorders>
              <w:bottom w:val="single" w:sz="8" w:color="2C2C2C"/>
            </w:tcBorders>
          </w:tcPr>
          <w:p>
            <w:pPr>
              <w:jc w:val="right"/>
              <w:ind w:right="301"/>
              <w:spacing w:after="0"/>
              <w:rPr>
                <w:sz w:val="20"/>
                <w:szCs w:val="20"/>
                <w:color w:val="auto"/>
              </w:rPr>
            </w:pPr>
            <w:r>
              <w:rPr>
                <w:rFonts w:ascii="Arial" w:cs="Arial" w:eastAsia="Arial" w:hAnsi="Arial"/>
                <w:sz w:val="11"/>
                <w:szCs w:val="11"/>
                <w:color w:val="008000"/>
              </w:rPr>
              <w:t>(9)</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A Convertible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8"/>
              </w:rPr>
              <w:t>3,332</w:t>
            </w:r>
          </w:p>
        </w:tc>
        <w:tc>
          <w:tcPr>
            <w:tcW w:w="880" w:type="dxa"/>
            <w:vAlign w:val="bottom"/>
            <w:tcBorders>
              <w:bottom w:val="single" w:sz="8" w:color="2C2C2C"/>
            </w:tcBorders>
          </w:tcPr>
          <w:p>
            <w:pPr>
              <w:jc w:val="right"/>
              <w:ind w:right="301"/>
              <w:spacing w:after="0"/>
              <w:rPr>
                <w:sz w:val="20"/>
                <w:szCs w:val="20"/>
                <w:color w:val="auto"/>
              </w:rPr>
            </w:pPr>
            <w:r>
              <w:rPr>
                <w:rFonts w:ascii="Arial" w:cs="Arial" w:eastAsia="Arial" w:hAnsi="Arial"/>
                <w:sz w:val="11"/>
                <w:szCs w:val="11"/>
                <w:color w:val="008000"/>
              </w:rPr>
              <w:t>(9)</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(5)(6)</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A Convertible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6"/>
              <w:spacing w:after="0"/>
              <w:rPr>
                <w:sz w:val="20"/>
                <w:szCs w:val="20"/>
                <w:color w:val="auto"/>
              </w:rPr>
            </w:pPr>
            <w:r>
              <w:rPr>
                <w:rFonts w:ascii="Arial" w:cs="Arial" w:eastAsia="Arial" w:hAnsi="Arial"/>
                <w:sz w:val="18"/>
                <w:szCs w:val="18"/>
                <w:color w:val="0000FF"/>
                <w:w w:val="89"/>
              </w:rPr>
              <w:t>333,207</w:t>
            </w:r>
          </w:p>
        </w:tc>
        <w:tc>
          <w:tcPr>
            <w:tcW w:w="880" w:type="dxa"/>
            <w:vAlign w:val="bottom"/>
            <w:tcBorders>
              <w:bottom w:val="single" w:sz="8" w:color="2C2C2C"/>
            </w:tcBorders>
          </w:tcPr>
          <w:p>
            <w:pPr>
              <w:jc w:val="right"/>
              <w:ind w:right="301"/>
              <w:spacing w:after="0"/>
              <w:rPr>
                <w:sz w:val="20"/>
                <w:szCs w:val="20"/>
                <w:color w:val="auto"/>
              </w:rPr>
            </w:pPr>
            <w:r>
              <w:rPr>
                <w:rFonts w:ascii="Arial" w:cs="Arial" w:eastAsia="Arial" w:hAnsi="Arial"/>
                <w:sz w:val="11"/>
                <w:szCs w:val="11"/>
                <w:color w:val="008000"/>
              </w:rPr>
              <w:t>(9)</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(7)(8)</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Convertible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7"/>
              </w:rPr>
              <w:t>11,875</w:t>
            </w:r>
          </w:p>
        </w:tc>
        <w:tc>
          <w:tcPr>
            <w:tcW w:w="880" w:type="dxa"/>
            <w:vAlign w:val="bottom"/>
            <w:tcBorders>
              <w:bottom w:val="single" w:sz="8" w:color="2C2C2C"/>
            </w:tcBorders>
          </w:tcPr>
          <w:p>
            <w:pPr>
              <w:jc w:val="right"/>
              <w:ind w:right="301"/>
              <w:spacing w:after="0"/>
              <w:rPr>
                <w:sz w:val="20"/>
                <w:szCs w:val="20"/>
                <w:color w:val="auto"/>
              </w:rPr>
            </w:pPr>
            <w:r>
              <w:rPr>
                <w:rFonts w:ascii="Arial" w:cs="Arial" w:eastAsia="Arial" w:hAnsi="Arial"/>
                <w:sz w:val="11"/>
                <w:szCs w:val="11"/>
                <w:color w:val="008000"/>
              </w:rPr>
              <w:t>(9)</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Convertible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8"/>
              </w:rPr>
              <w:t>4,174</w:t>
            </w:r>
          </w:p>
        </w:tc>
        <w:tc>
          <w:tcPr>
            <w:tcW w:w="880" w:type="dxa"/>
            <w:vAlign w:val="bottom"/>
            <w:tcBorders>
              <w:bottom w:val="single" w:sz="8" w:color="2C2C2C"/>
            </w:tcBorders>
          </w:tcPr>
          <w:p>
            <w:pPr>
              <w:jc w:val="right"/>
              <w:ind w:right="301"/>
              <w:spacing w:after="0"/>
              <w:rPr>
                <w:sz w:val="20"/>
                <w:szCs w:val="20"/>
                <w:color w:val="auto"/>
              </w:rPr>
            </w:pPr>
            <w:r>
              <w:rPr>
                <w:rFonts w:ascii="Arial" w:cs="Arial" w:eastAsia="Arial" w:hAnsi="Arial"/>
                <w:sz w:val="11"/>
                <w:szCs w:val="11"/>
                <w:color w:val="008000"/>
              </w:rPr>
              <w:t>(9)</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Convertible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8"/>
              </w:rPr>
              <w:t>6,093</w:t>
            </w:r>
          </w:p>
        </w:tc>
        <w:tc>
          <w:tcPr>
            <w:tcW w:w="880" w:type="dxa"/>
            <w:vAlign w:val="bottom"/>
            <w:tcBorders>
              <w:bottom w:val="single" w:sz="8" w:color="2C2C2C"/>
            </w:tcBorders>
          </w:tcPr>
          <w:p>
            <w:pPr>
              <w:jc w:val="right"/>
              <w:ind w:right="301"/>
              <w:spacing w:after="0"/>
              <w:rPr>
                <w:sz w:val="20"/>
                <w:szCs w:val="20"/>
                <w:color w:val="auto"/>
              </w:rPr>
            </w:pPr>
            <w:r>
              <w:rPr>
                <w:rFonts w:ascii="Arial" w:cs="Arial" w:eastAsia="Arial" w:hAnsi="Arial"/>
                <w:sz w:val="11"/>
                <w:szCs w:val="11"/>
                <w:color w:val="008000"/>
              </w:rPr>
              <w:t>(9)</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(5)(6)</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B Convertible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6"/>
              <w:spacing w:after="0"/>
              <w:rPr>
                <w:sz w:val="20"/>
                <w:szCs w:val="20"/>
                <w:color w:val="auto"/>
              </w:rPr>
            </w:pPr>
            <w:r>
              <w:rPr>
                <w:rFonts w:ascii="Arial" w:cs="Arial" w:eastAsia="Arial" w:hAnsi="Arial"/>
                <w:sz w:val="18"/>
                <w:szCs w:val="18"/>
                <w:color w:val="0000FF"/>
                <w:w w:val="89"/>
              </w:rPr>
              <w:t>609,316</w:t>
            </w:r>
          </w:p>
        </w:tc>
        <w:tc>
          <w:tcPr>
            <w:tcW w:w="880" w:type="dxa"/>
            <w:vAlign w:val="bottom"/>
            <w:tcBorders>
              <w:bottom w:val="single" w:sz="8" w:color="2C2C2C"/>
            </w:tcBorders>
          </w:tcPr>
          <w:p>
            <w:pPr>
              <w:jc w:val="right"/>
              <w:ind w:right="301"/>
              <w:spacing w:after="0"/>
              <w:rPr>
                <w:sz w:val="20"/>
                <w:szCs w:val="20"/>
                <w:color w:val="auto"/>
              </w:rPr>
            </w:pPr>
            <w:r>
              <w:rPr>
                <w:rFonts w:ascii="Arial" w:cs="Arial" w:eastAsia="Arial" w:hAnsi="Arial"/>
                <w:sz w:val="11"/>
                <w:szCs w:val="11"/>
                <w:color w:val="008000"/>
              </w:rPr>
              <w:t>(9)</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(7)(8)</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C Convertible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8"/>
              </w:rPr>
              <w:t>4,420</w:t>
            </w:r>
          </w:p>
        </w:tc>
        <w:tc>
          <w:tcPr>
            <w:tcW w:w="880" w:type="dxa"/>
            <w:vAlign w:val="bottom"/>
            <w:tcBorders>
              <w:bottom w:val="single" w:sz="8" w:color="2C2C2C"/>
            </w:tcBorders>
          </w:tcPr>
          <w:p>
            <w:pPr>
              <w:jc w:val="right"/>
              <w:ind w:right="301"/>
              <w:spacing w:after="0"/>
              <w:rPr>
                <w:sz w:val="20"/>
                <w:szCs w:val="20"/>
                <w:color w:val="auto"/>
              </w:rPr>
            </w:pPr>
            <w:r>
              <w:rPr>
                <w:rFonts w:ascii="Arial" w:cs="Arial" w:eastAsia="Arial" w:hAnsi="Arial"/>
                <w:sz w:val="11"/>
                <w:szCs w:val="11"/>
                <w:color w:val="008000"/>
              </w:rPr>
              <w:t>(9)</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C Convertible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8"/>
              </w:rPr>
              <w:t>1,553</w:t>
            </w:r>
          </w:p>
        </w:tc>
        <w:tc>
          <w:tcPr>
            <w:tcW w:w="880" w:type="dxa"/>
            <w:vAlign w:val="bottom"/>
            <w:tcBorders>
              <w:bottom w:val="single" w:sz="8" w:color="2C2C2C"/>
            </w:tcBorders>
          </w:tcPr>
          <w:p>
            <w:pPr>
              <w:jc w:val="right"/>
              <w:ind w:right="301"/>
              <w:spacing w:after="0"/>
              <w:rPr>
                <w:sz w:val="20"/>
                <w:szCs w:val="20"/>
                <w:color w:val="auto"/>
              </w:rPr>
            </w:pPr>
            <w:r>
              <w:rPr>
                <w:rFonts w:ascii="Arial" w:cs="Arial" w:eastAsia="Arial" w:hAnsi="Arial"/>
                <w:sz w:val="11"/>
                <w:szCs w:val="11"/>
                <w:color w:val="008000"/>
              </w:rPr>
              <w:t>(9)</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C Convertible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8"/>
              </w:rPr>
              <w:t>2,267</w:t>
            </w:r>
          </w:p>
        </w:tc>
        <w:tc>
          <w:tcPr>
            <w:tcW w:w="880" w:type="dxa"/>
            <w:vAlign w:val="bottom"/>
            <w:tcBorders>
              <w:bottom w:val="single" w:sz="8" w:color="2C2C2C"/>
            </w:tcBorders>
          </w:tcPr>
          <w:p>
            <w:pPr>
              <w:jc w:val="right"/>
              <w:ind w:right="301"/>
              <w:spacing w:after="0"/>
              <w:rPr>
                <w:sz w:val="20"/>
                <w:szCs w:val="20"/>
                <w:color w:val="auto"/>
              </w:rPr>
            </w:pPr>
            <w:r>
              <w:rPr>
                <w:rFonts w:ascii="Arial" w:cs="Arial" w:eastAsia="Arial" w:hAnsi="Arial"/>
                <w:sz w:val="11"/>
                <w:szCs w:val="11"/>
                <w:color w:val="008000"/>
              </w:rPr>
              <w:t>(9)</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(5)(6)</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C Convertible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6"/>
              <w:spacing w:after="0"/>
              <w:rPr>
                <w:sz w:val="20"/>
                <w:szCs w:val="20"/>
                <w:color w:val="auto"/>
              </w:rPr>
            </w:pPr>
            <w:r>
              <w:rPr>
                <w:rFonts w:ascii="Arial" w:cs="Arial" w:eastAsia="Arial" w:hAnsi="Arial"/>
                <w:sz w:val="18"/>
                <w:szCs w:val="18"/>
                <w:color w:val="0000FF"/>
                <w:w w:val="89"/>
              </w:rPr>
              <w:t>226,801</w:t>
            </w:r>
          </w:p>
        </w:tc>
        <w:tc>
          <w:tcPr>
            <w:tcW w:w="880" w:type="dxa"/>
            <w:vAlign w:val="bottom"/>
            <w:tcBorders>
              <w:bottom w:val="single" w:sz="8" w:color="2C2C2C"/>
            </w:tcBorders>
          </w:tcPr>
          <w:p>
            <w:pPr>
              <w:jc w:val="right"/>
              <w:ind w:right="301"/>
              <w:spacing w:after="0"/>
              <w:rPr>
                <w:sz w:val="20"/>
                <w:szCs w:val="20"/>
                <w:color w:val="auto"/>
              </w:rPr>
            </w:pPr>
            <w:r>
              <w:rPr>
                <w:rFonts w:ascii="Arial" w:cs="Arial" w:eastAsia="Arial" w:hAnsi="Arial"/>
                <w:sz w:val="11"/>
                <w:szCs w:val="11"/>
                <w:color w:val="008000"/>
              </w:rPr>
              <w:t>(9)</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(7)(8)</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D Convertible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8"/>
              </w:rPr>
              <w:t>4,647</w:t>
            </w:r>
          </w:p>
        </w:tc>
        <w:tc>
          <w:tcPr>
            <w:tcW w:w="880" w:type="dxa"/>
            <w:vAlign w:val="bottom"/>
            <w:tcBorders>
              <w:bottom w:val="single" w:sz="8" w:color="2C2C2C"/>
            </w:tcBorders>
          </w:tcPr>
          <w:p>
            <w:pPr>
              <w:jc w:val="right"/>
              <w:ind w:right="301"/>
              <w:spacing w:after="0"/>
              <w:rPr>
                <w:sz w:val="20"/>
                <w:szCs w:val="20"/>
                <w:color w:val="auto"/>
              </w:rPr>
            </w:pPr>
            <w:r>
              <w:rPr>
                <w:rFonts w:ascii="Arial" w:cs="Arial" w:eastAsia="Arial" w:hAnsi="Arial"/>
                <w:sz w:val="11"/>
                <w:szCs w:val="11"/>
                <w:color w:val="008000"/>
              </w:rPr>
              <w:t>(9)</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D Convertible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8"/>
              </w:rPr>
              <w:t>1,632</w:t>
            </w:r>
          </w:p>
        </w:tc>
        <w:tc>
          <w:tcPr>
            <w:tcW w:w="880" w:type="dxa"/>
            <w:vAlign w:val="bottom"/>
            <w:tcBorders>
              <w:bottom w:val="single" w:sz="8" w:color="2C2C2C"/>
            </w:tcBorders>
          </w:tcPr>
          <w:p>
            <w:pPr>
              <w:jc w:val="right"/>
              <w:ind w:right="301"/>
              <w:spacing w:after="0"/>
              <w:rPr>
                <w:sz w:val="20"/>
                <w:szCs w:val="20"/>
                <w:color w:val="auto"/>
              </w:rPr>
            </w:pPr>
            <w:r>
              <w:rPr>
                <w:rFonts w:ascii="Arial" w:cs="Arial" w:eastAsia="Arial" w:hAnsi="Arial"/>
                <w:sz w:val="11"/>
                <w:szCs w:val="11"/>
                <w:color w:val="008000"/>
              </w:rPr>
              <w:t>(9)</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D Convertible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8"/>
              </w:rPr>
              <w:t>2,384</w:t>
            </w:r>
          </w:p>
        </w:tc>
        <w:tc>
          <w:tcPr>
            <w:tcW w:w="880" w:type="dxa"/>
            <w:vAlign w:val="bottom"/>
            <w:tcBorders>
              <w:bottom w:val="single" w:sz="8" w:color="2C2C2C"/>
            </w:tcBorders>
          </w:tcPr>
          <w:p>
            <w:pPr>
              <w:jc w:val="right"/>
              <w:ind w:right="301"/>
              <w:spacing w:after="0"/>
              <w:rPr>
                <w:sz w:val="20"/>
                <w:szCs w:val="20"/>
                <w:color w:val="auto"/>
              </w:rPr>
            </w:pPr>
            <w:r>
              <w:rPr>
                <w:rFonts w:ascii="Arial" w:cs="Arial" w:eastAsia="Arial" w:hAnsi="Arial"/>
                <w:sz w:val="11"/>
                <w:szCs w:val="11"/>
                <w:color w:val="008000"/>
              </w:rPr>
              <w:t>(9)</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(5)(6)</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D Convertible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36"/>
              <w:spacing w:after="0"/>
              <w:rPr>
                <w:sz w:val="20"/>
                <w:szCs w:val="20"/>
                <w:color w:val="auto"/>
              </w:rPr>
            </w:pPr>
            <w:r>
              <w:rPr>
                <w:rFonts w:ascii="Arial" w:cs="Arial" w:eastAsia="Arial" w:hAnsi="Arial"/>
                <w:sz w:val="18"/>
                <w:szCs w:val="18"/>
                <w:color w:val="0000FF"/>
                <w:w w:val="89"/>
              </w:rPr>
              <w:t>238,470</w:t>
            </w:r>
          </w:p>
        </w:tc>
        <w:tc>
          <w:tcPr>
            <w:tcW w:w="880" w:type="dxa"/>
            <w:vAlign w:val="bottom"/>
            <w:tcBorders>
              <w:bottom w:val="single" w:sz="8" w:color="2C2C2C"/>
            </w:tcBorders>
          </w:tcPr>
          <w:p>
            <w:pPr>
              <w:jc w:val="right"/>
              <w:ind w:right="301"/>
              <w:spacing w:after="0"/>
              <w:rPr>
                <w:sz w:val="20"/>
                <w:szCs w:val="20"/>
                <w:color w:val="auto"/>
              </w:rPr>
            </w:pPr>
            <w:r>
              <w:rPr>
                <w:rFonts w:ascii="Arial" w:cs="Arial" w:eastAsia="Arial" w:hAnsi="Arial"/>
                <w:sz w:val="11"/>
                <w:szCs w:val="11"/>
                <w:color w:val="008000"/>
              </w:rPr>
              <w:t>(9)</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(7)(8)</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E Convertible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8"/>
              </w:rPr>
              <w:t>3,078</w:t>
            </w:r>
          </w:p>
        </w:tc>
        <w:tc>
          <w:tcPr>
            <w:tcW w:w="880" w:type="dxa"/>
            <w:vAlign w:val="bottom"/>
            <w:tcBorders>
              <w:bottom w:val="single" w:sz="8" w:color="2C2C2C"/>
            </w:tcBorders>
          </w:tcPr>
          <w:p>
            <w:pPr>
              <w:jc w:val="right"/>
              <w:ind w:right="301"/>
              <w:spacing w:after="0"/>
              <w:rPr>
                <w:sz w:val="20"/>
                <w:szCs w:val="20"/>
                <w:color w:val="auto"/>
              </w:rPr>
            </w:pPr>
            <w:r>
              <w:rPr>
                <w:rFonts w:ascii="Arial" w:cs="Arial" w:eastAsia="Arial" w:hAnsi="Arial"/>
                <w:sz w:val="11"/>
                <w:szCs w:val="11"/>
                <w:color w:val="008000"/>
              </w:rPr>
              <w:t>(9)</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(1)(2)</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E Convertible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8"/>
              </w:rPr>
              <w:t>1,082</w:t>
            </w:r>
          </w:p>
        </w:tc>
        <w:tc>
          <w:tcPr>
            <w:tcW w:w="880" w:type="dxa"/>
            <w:vAlign w:val="bottom"/>
            <w:tcBorders>
              <w:bottom w:val="single" w:sz="8" w:color="2C2C2C"/>
            </w:tcBorders>
          </w:tcPr>
          <w:p>
            <w:pPr>
              <w:jc w:val="right"/>
              <w:ind w:right="301"/>
              <w:spacing w:after="0"/>
              <w:rPr>
                <w:sz w:val="20"/>
                <w:szCs w:val="20"/>
                <w:color w:val="auto"/>
              </w:rPr>
            </w:pPr>
            <w:r>
              <w:rPr>
                <w:rFonts w:ascii="Arial" w:cs="Arial" w:eastAsia="Arial" w:hAnsi="Arial"/>
                <w:sz w:val="11"/>
                <w:szCs w:val="11"/>
                <w:color w:val="008000"/>
              </w:rPr>
              <w:t>(9)</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(3)(4)</w:t>
            </w:r>
          </w:p>
        </w:tc>
        <w:tc>
          <w:tcPr>
            <w:tcW w:w="0" w:type="dxa"/>
            <w:vAlign w:val="bottom"/>
          </w:tcPr>
          <w:p>
            <w:pPr>
              <w:spacing w:after="0"/>
              <w:rPr>
                <w:sz w:val="1"/>
                <w:szCs w:val="1"/>
                <w:color w:val="auto"/>
              </w:rPr>
            </w:pPr>
          </w:p>
        </w:tc>
      </w:tr>
      <w:tr>
        <w:trPr>
          <w:trHeight w:val="331"/>
        </w:trPr>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Series E Convertible Preferred Stock</w:t>
            </w:r>
          </w:p>
        </w:tc>
        <w:tc>
          <w:tcPr>
            <w:tcW w:w="900" w:type="dxa"/>
            <w:vAlign w:val="bottom"/>
            <w:tcBorders>
              <w:bottom w:val="single" w:sz="8" w:color="2C2C2C"/>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16"/>
              <w:spacing w:after="0"/>
              <w:rPr>
                <w:sz w:val="20"/>
                <w:szCs w:val="20"/>
                <w:color w:val="auto"/>
              </w:rPr>
            </w:pPr>
            <w:r>
              <w:rPr>
                <w:rFonts w:ascii="Arial" w:cs="Arial" w:eastAsia="Arial" w:hAnsi="Arial"/>
                <w:sz w:val="18"/>
                <w:szCs w:val="18"/>
                <w:color w:val="0000FF"/>
                <w:w w:val="88"/>
              </w:rPr>
              <w:t>1,579</w:t>
            </w:r>
          </w:p>
        </w:tc>
        <w:tc>
          <w:tcPr>
            <w:tcW w:w="880" w:type="dxa"/>
            <w:vAlign w:val="bottom"/>
            <w:tcBorders>
              <w:bottom w:val="single" w:sz="8" w:color="2C2C2C"/>
            </w:tcBorders>
          </w:tcPr>
          <w:p>
            <w:pPr>
              <w:jc w:val="right"/>
              <w:ind w:right="301"/>
              <w:spacing w:after="0"/>
              <w:rPr>
                <w:sz w:val="20"/>
                <w:szCs w:val="20"/>
                <w:color w:val="auto"/>
              </w:rPr>
            </w:pPr>
            <w:r>
              <w:rPr>
                <w:rFonts w:ascii="Arial" w:cs="Arial" w:eastAsia="Arial" w:hAnsi="Arial"/>
                <w:sz w:val="11"/>
                <w:szCs w:val="11"/>
                <w:color w:val="008000"/>
              </w:rPr>
              <w:t>(9)</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(5)(6)</w:t>
            </w:r>
          </w:p>
        </w:tc>
        <w:tc>
          <w:tcPr>
            <w:tcW w:w="0" w:type="dxa"/>
            <w:vAlign w:val="bottom"/>
          </w:tcPr>
          <w:p>
            <w:pPr>
              <w:spacing w:after="0"/>
              <w:rPr>
                <w:sz w:val="1"/>
                <w:szCs w:val="1"/>
                <w:color w:val="auto"/>
              </w:rPr>
            </w:pPr>
          </w:p>
        </w:tc>
      </w:tr>
      <w:tr>
        <w:trPr>
          <w:trHeight w:val="324"/>
        </w:trPr>
        <w:tc>
          <w:tcPr>
            <w:tcW w:w="3520" w:type="dxa"/>
            <w:vAlign w:val="bottom"/>
            <w:tcBorders>
              <w:bottom w:val="single" w:sz="8" w:color="808080"/>
            </w:tcBorders>
          </w:tcPr>
          <w:p>
            <w:pPr>
              <w:ind w:left="60"/>
              <w:spacing w:after="0"/>
              <w:rPr>
                <w:sz w:val="20"/>
                <w:szCs w:val="20"/>
                <w:color w:val="auto"/>
              </w:rPr>
            </w:pPr>
            <w:r>
              <w:rPr>
                <w:rFonts w:ascii="Arial" w:cs="Arial" w:eastAsia="Arial" w:hAnsi="Arial"/>
                <w:sz w:val="18"/>
                <w:szCs w:val="18"/>
                <w:color w:val="0000FF"/>
              </w:rPr>
              <w:t>Series E Convertible Preferred Stock</w:t>
            </w:r>
          </w:p>
        </w:tc>
        <w:tc>
          <w:tcPr>
            <w:tcW w:w="900" w:type="dxa"/>
            <w:vAlign w:val="bottom"/>
            <w:tcBorders>
              <w:bottom w:val="single" w:sz="8" w:color="808080"/>
            </w:tcBorders>
          </w:tcPr>
          <w:p>
            <w:pPr>
              <w:jc w:val="right"/>
              <w:ind w:right="321"/>
              <w:spacing w:after="0"/>
              <w:rPr>
                <w:sz w:val="20"/>
                <w:szCs w:val="20"/>
                <w:color w:val="auto"/>
              </w:rPr>
            </w:pPr>
            <w:r>
              <w:rPr>
                <w:rFonts w:ascii="Arial" w:cs="Arial" w:eastAsia="Arial" w:hAnsi="Arial"/>
                <w:sz w:val="11"/>
                <w:szCs w:val="11"/>
                <w:color w:val="008000"/>
              </w:rPr>
              <w:t>(9)</w:t>
            </w:r>
          </w:p>
        </w:tc>
        <w:tc>
          <w:tcPr>
            <w:tcW w:w="800" w:type="dxa"/>
            <w:vAlign w:val="bottom"/>
            <w:tcBorders>
              <w:bottom w:val="single" w:sz="8" w:color="808080"/>
            </w:tcBorders>
          </w:tcPr>
          <w:p>
            <w:pPr>
              <w:jc w:val="center"/>
              <w:spacing w:after="0"/>
              <w:rPr>
                <w:sz w:val="20"/>
                <w:szCs w:val="20"/>
                <w:color w:val="auto"/>
              </w:rPr>
            </w:pPr>
            <w:r>
              <w:rPr>
                <w:rFonts w:ascii="Arial" w:cs="Arial" w:eastAsia="Arial" w:hAnsi="Arial"/>
                <w:sz w:val="11"/>
                <w:szCs w:val="11"/>
                <w:color w:val="008000"/>
                <w:w w:val="88"/>
              </w:rPr>
              <w:t>(9)</w:t>
            </w:r>
          </w:p>
        </w:tc>
        <w:tc>
          <w:tcPr>
            <w:tcW w:w="1840" w:type="dxa"/>
            <w:vAlign w:val="bottom"/>
            <w:tcBorders>
              <w:bottom w:val="single" w:sz="8" w:color="808080"/>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808080"/>
            </w:tcBorders>
          </w:tcPr>
          <w:p>
            <w:pPr>
              <w:jc w:val="center"/>
              <w:ind w:left="136"/>
              <w:spacing w:after="0"/>
              <w:rPr>
                <w:sz w:val="20"/>
                <w:szCs w:val="20"/>
                <w:color w:val="auto"/>
              </w:rPr>
            </w:pPr>
            <w:r>
              <w:rPr>
                <w:rFonts w:ascii="Arial" w:cs="Arial" w:eastAsia="Arial" w:hAnsi="Arial"/>
                <w:sz w:val="18"/>
                <w:szCs w:val="18"/>
                <w:color w:val="0000FF"/>
                <w:w w:val="89"/>
              </w:rPr>
              <w:t>157,957</w:t>
            </w:r>
          </w:p>
        </w:tc>
        <w:tc>
          <w:tcPr>
            <w:tcW w:w="880" w:type="dxa"/>
            <w:vAlign w:val="bottom"/>
            <w:tcBorders>
              <w:bottom w:val="single" w:sz="8" w:color="808080"/>
            </w:tcBorders>
          </w:tcPr>
          <w:p>
            <w:pPr>
              <w:jc w:val="right"/>
              <w:ind w:right="301"/>
              <w:spacing w:after="0"/>
              <w:rPr>
                <w:sz w:val="20"/>
                <w:szCs w:val="20"/>
                <w:color w:val="auto"/>
              </w:rPr>
            </w:pPr>
            <w:r>
              <w:rPr>
                <w:rFonts w:ascii="Arial" w:cs="Arial" w:eastAsia="Arial" w:hAnsi="Arial"/>
                <w:sz w:val="11"/>
                <w:szCs w:val="11"/>
                <w:color w:val="008000"/>
              </w:rPr>
              <w:t>(9)</w:t>
            </w:r>
          </w:p>
        </w:tc>
        <w:tc>
          <w:tcPr>
            <w:tcW w:w="880" w:type="dxa"/>
            <w:vAlign w:val="bottom"/>
            <w:tcBorders>
              <w:bottom w:val="single" w:sz="8" w:color="808080"/>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808080"/>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(7)(8)</w:t>
            </w:r>
          </w:p>
        </w:tc>
        <w:tc>
          <w:tcPr>
            <w:tcW w:w="0" w:type="dxa"/>
            <w:vAlign w:val="bottom"/>
          </w:tcPr>
          <w:p>
            <w:pPr>
              <w:spacing w:after="0"/>
              <w:rPr>
                <w:sz w:val="1"/>
                <w:szCs w:val="1"/>
                <w:color w:val="auto"/>
              </w:rPr>
            </w:pPr>
          </w:p>
        </w:tc>
      </w:tr>
    </w:tbl>
    <w:p>
      <w:pPr>
        <w:sectPr>
          <w:pgSz w:w="11900" w:h="16870"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182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72020" cy="2182495"/>
                    </a:xfrm>
                    <a:prstGeom prst="rect">
                      <a:avLst/>
                    </a:prstGeom>
                    <a:noFill/>
                  </pic:spPr>
                </pic:pic>
              </a:graphicData>
            </a:graphic>
          </wp:anchor>
        </w:drawing>
        <w:t>Table II - Derivative Securities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2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40" w:type="dxa"/>
            <w:vAlign w:val="bottom"/>
          </w:tcPr>
          <w:p>
            <w:pPr>
              <w:spacing w:after="0"/>
              <w:rPr>
                <w:sz w:val="12"/>
                <w:szCs w:val="12"/>
                <w:color w:val="auto"/>
              </w:rPr>
            </w:pPr>
          </w:p>
        </w:tc>
        <w:tc>
          <w:tcPr>
            <w:tcW w:w="9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Warrants</w:t>
            </w:r>
          </w:p>
        </w:tc>
        <w:tc>
          <w:tcPr>
            <w:tcW w:w="90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07/24/2015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07/24/2018</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43"/>
              <w:spacing w:after="0"/>
              <w:rPr>
                <w:sz w:val="20"/>
                <w:szCs w:val="20"/>
                <w:color w:val="auto"/>
              </w:rPr>
            </w:pPr>
            <w:r>
              <w:rPr>
                <w:rFonts w:ascii="Arial" w:cs="Arial" w:eastAsia="Arial" w:hAnsi="Arial"/>
                <w:sz w:val="18"/>
                <w:szCs w:val="18"/>
                <w:color w:val="0000FF"/>
                <w:w w:val="86"/>
              </w:rPr>
              <w:t>389</w:t>
            </w:r>
          </w:p>
        </w:tc>
        <w:tc>
          <w:tcPr>
            <w:tcW w:w="88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17.55</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Warrants</w:t>
            </w:r>
          </w:p>
        </w:tc>
        <w:tc>
          <w:tcPr>
            <w:tcW w:w="90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07/24/2015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07/24/2018</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43"/>
              <w:spacing w:after="0"/>
              <w:rPr>
                <w:sz w:val="20"/>
                <w:szCs w:val="20"/>
                <w:color w:val="auto"/>
              </w:rPr>
            </w:pPr>
            <w:r>
              <w:rPr>
                <w:rFonts w:ascii="Arial" w:cs="Arial" w:eastAsia="Arial" w:hAnsi="Arial"/>
                <w:sz w:val="18"/>
                <w:szCs w:val="18"/>
                <w:color w:val="0000FF"/>
                <w:w w:val="86"/>
              </w:rPr>
              <w:t>136</w:t>
            </w:r>
          </w:p>
        </w:tc>
        <w:tc>
          <w:tcPr>
            <w:tcW w:w="88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17.55</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Warrants</w:t>
            </w:r>
          </w:p>
        </w:tc>
        <w:tc>
          <w:tcPr>
            <w:tcW w:w="90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07/24/2015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07/24/2018</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43"/>
              <w:spacing w:after="0"/>
              <w:rPr>
                <w:sz w:val="20"/>
                <w:szCs w:val="20"/>
                <w:color w:val="auto"/>
              </w:rPr>
            </w:pPr>
            <w:r>
              <w:rPr>
                <w:rFonts w:ascii="Arial" w:cs="Arial" w:eastAsia="Arial" w:hAnsi="Arial"/>
                <w:sz w:val="18"/>
                <w:szCs w:val="18"/>
                <w:color w:val="0000FF"/>
                <w:w w:val="86"/>
              </w:rPr>
              <w:t>199</w:t>
            </w:r>
          </w:p>
        </w:tc>
        <w:tc>
          <w:tcPr>
            <w:tcW w:w="88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17.55</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Warrants</w:t>
            </w:r>
          </w:p>
        </w:tc>
        <w:tc>
          <w:tcPr>
            <w:tcW w:w="90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07/24/2015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07/24/2018</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jc w:val="center"/>
              <w:ind w:left="123"/>
              <w:spacing w:after="0"/>
              <w:rPr>
                <w:sz w:val="20"/>
                <w:szCs w:val="20"/>
                <w:color w:val="auto"/>
              </w:rPr>
            </w:pPr>
            <w:r>
              <w:rPr>
                <w:rFonts w:ascii="Arial" w:cs="Arial" w:eastAsia="Arial" w:hAnsi="Arial"/>
                <w:sz w:val="18"/>
                <w:szCs w:val="18"/>
                <w:color w:val="0000FF"/>
                <w:w w:val="87"/>
              </w:rPr>
              <w:t>19,990</w:t>
            </w:r>
          </w:p>
        </w:tc>
        <w:tc>
          <w:tcPr>
            <w:tcW w:w="88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17.55</w:t>
            </w:r>
          </w:p>
        </w:tc>
        <w:tc>
          <w:tcPr>
            <w:tcW w:w="8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I</w:t>
            </w:r>
          </w:p>
        </w:tc>
        <w:tc>
          <w:tcPr>
            <w:tcW w:w="166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See Footnote</w:t>
            </w:r>
            <w:r>
              <w:rPr>
                <w:rFonts w:ascii="Arial" w:cs="Arial" w:eastAsia="Arial" w:hAnsi="Arial"/>
                <w:sz w:val="22"/>
                <w:szCs w:val="22"/>
                <w:color w:val="008000"/>
                <w:vertAlign w:val="superscript"/>
              </w:rPr>
              <w:t>(7)(8)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40" w:right="2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reportable securities are owned directly by Polaris Venture Partners Entrepreneurs' Fund V, L.P. ("PVPE V"). Polaris Venture Management Co. V, L.L.C. ("PVM V") is the general partner of PVPE V. PVM V disclaims beneficial ownership of these securities and this report shall not be deemed an admission that PVM V is the beneficial owner of such securities for purposes of Section 16 or for any other purpose, except to the extent of its pecuniary interest therein. Each of Jonathan A. Flint ("Flint") and Terrance G. McGuire ("McGuire") are the managing members of PVM V.</w:t>
      </w:r>
    </w:p>
    <w:p>
      <w:pPr>
        <w:spacing w:after="0" w:line="2" w:lineRule="exact"/>
        <w:rPr>
          <w:rFonts w:ascii="Arial" w:cs="Arial" w:eastAsia="Arial" w:hAnsi="Arial"/>
          <w:sz w:val="12"/>
          <w:szCs w:val="12"/>
          <w:color w:val="008000"/>
        </w:rPr>
      </w:pPr>
    </w:p>
    <w:p>
      <w:pPr>
        <w:ind w:left="40" w:right="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who is a member of the Issuer's Board of Directors, is a member of PVM V. Each of Flint, McGuire and the Reporting Person, in their respective capacities with regard to PVM V, may be deemed to have shared voting and dispositive power of the shares held by PVPE V. Each of Flint, McGuire and the Reporting Person disclaims beneficial ownership of these securities and this report shall not be deemed an admission that any of them is the beneficial owner of such securities for purposes of Section 16 or for any other purpose, except to the extent of their pecuniary interest therein.</w:t>
      </w:r>
    </w:p>
    <w:p>
      <w:pPr>
        <w:spacing w:after="0" w:line="2" w:lineRule="exact"/>
        <w:rPr>
          <w:rFonts w:ascii="Arial" w:cs="Arial" w:eastAsia="Arial" w:hAnsi="Arial"/>
          <w:sz w:val="12"/>
          <w:szCs w:val="12"/>
          <w:color w:val="008000"/>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reportable securities are owned directly by Polaris Venture Partners Founders' Fund V, L.P. ("PVPFF V"). PVM V is the general partner of PVPFF V. PVM V disclaims beneficial ownership of these securities and this report shall not be deemed an admission that PVM V is the beneficial owner of such securities for purposes of Section 16 or for any other purpose, except to the extent of its pecuniary interest therein.</w:t>
      </w:r>
    </w:p>
    <w:p>
      <w:pPr>
        <w:spacing w:after="0" w:line="30" w:lineRule="exact"/>
        <w:rPr>
          <w:rFonts w:ascii="Arial" w:cs="Arial" w:eastAsia="Arial" w:hAnsi="Arial"/>
          <w:sz w:val="14"/>
          <w:szCs w:val="14"/>
          <w:color w:val="008000"/>
        </w:rPr>
      </w:pPr>
    </w:p>
    <w:p>
      <w:pPr>
        <w:ind w:left="40" w:right="14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Flint and McGuire are the managing members of PVM V. The Reporting Person, who is a member of the Issuer's Board of Directors, is a member of PVM V. Each of Flint, McGuire and the Reporting Person, in their respective capacities with regard to PVM V, may be deemed to have shared voting and dispositive power of the shares held by PVPFF V. Each of Flint, McGuire and the Reporting Person disclaims beneficial ownership of these securities and this report shall not be deemed an admission that any of them is the beneficial owner of such securities for purposes of Section 16 or for any other purpose, except to the extent of their pecuniary interest therein.</w:t>
      </w:r>
    </w:p>
    <w:p>
      <w:pPr>
        <w:spacing w:after="0" w:line="31" w:lineRule="exact"/>
        <w:rPr>
          <w:rFonts w:ascii="Arial" w:cs="Arial" w:eastAsia="Arial" w:hAnsi="Arial"/>
          <w:sz w:val="14"/>
          <w:szCs w:val="14"/>
          <w:color w:val="008000"/>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reportable securities are owned directly by Polaris Venture Partners Special Founders' Fund V, L.P. ("PVPSFF V"). PVM V is the general partner of PVPSFF V. PVM V disclaims beneficial ownership of these securities and this report shall not be deemed an admission that PVM V is the beneficial owner of such securities for purposes of Section 16 or for any other purpose, except to the extent of its pecuniary interest therein.</w:t>
      </w:r>
    </w:p>
    <w:p>
      <w:pPr>
        <w:spacing w:after="0" w:line="30" w:lineRule="exact"/>
        <w:rPr>
          <w:rFonts w:ascii="Arial" w:cs="Arial" w:eastAsia="Arial" w:hAnsi="Arial"/>
          <w:sz w:val="14"/>
          <w:szCs w:val="14"/>
          <w:color w:val="008000"/>
        </w:rPr>
      </w:pPr>
    </w:p>
    <w:p>
      <w:pPr>
        <w:ind w:left="40" w:right="140" w:firstLine="9"/>
        <w:spacing w:after="0" w:line="230"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Flint and McGuire are the managing members of PVM V. The Reporting Person, who is a member of the Issuer's Board of Directors, is a member of PVM V. Each of Flint, McGuire and the Reporting Person, in their respective capacities with regard to PVM V, may be deemed to have shared voting and dispositive power of the shares held by PVPSFF V. Each of Flint, McGuire and the Reporting Person disclaims beneficial ownership of these securities and this report shall not be deemed an admission that any of them is the beneficial owner of such securities for purposes of Section 16 or for any other purpose, except to the extent of their pecuniary interest therein.</w:t>
      </w:r>
    </w:p>
    <w:p>
      <w:pPr>
        <w:spacing w:after="0" w:line="31" w:lineRule="exact"/>
        <w:rPr>
          <w:rFonts w:ascii="Arial" w:cs="Arial" w:eastAsia="Arial" w:hAnsi="Arial"/>
          <w:sz w:val="14"/>
          <w:szCs w:val="14"/>
          <w:color w:val="008000"/>
        </w:rPr>
      </w:pPr>
    </w:p>
    <w:p>
      <w:pPr>
        <w:ind w:left="40" w:right="1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reportable securities are owned directly by Polaris Venture Partners V, L.P. ("PVP V"). PVM V is the general partner of PVP V. PVM V disclaims beneficial ownership of these securities and this report shall not be deemed an admission that PVM V is the beneficial owner of such securities for purposes of Section 16 or for any other purpose, except to the extent of its pecuniary interest therein. Each of Flint and McGuire are the managing members of PVM V.</w:t>
      </w:r>
    </w:p>
    <w:p>
      <w:pPr>
        <w:spacing w:after="0" w:line="30" w:lineRule="exact"/>
        <w:rPr>
          <w:rFonts w:ascii="Arial" w:cs="Arial" w:eastAsia="Arial" w:hAnsi="Arial"/>
          <w:sz w:val="14"/>
          <w:szCs w:val="14"/>
          <w:color w:val="008000"/>
        </w:rPr>
      </w:pPr>
    </w:p>
    <w:p>
      <w:pPr>
        <w:jc w:val="both"/>
        <w:ind w:left="40" w:right="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who is a member of the Issuer's Board of Directors, is a member of PVM V. Each of Flint, McGuire and the Reporting Person, in their respective capacities with regard to PVM V, may be deemed to have shared voting and dispositive power of the shares held by PVP V. Each of Flint, McGuire and the Reporting Person disclaims beneficial ownership of these securities and this report shall not be deemed an admission that any of them is the beneficial owner of such securities for purposes of Section 16 or for any other purpose, except to the extent of their pecuniary interest therein.</w:t>
      </w:r>
    </w:p>
    <w:p>
      <w:pPr>
        <w:spacing w:after="0" w:line="2" w:lineRule="exact"/>
        <w:rPr>
          <w:rFonts w:ascii="Arial" w:cs="Arial" w:eastAsia="Arial" w:hAnsi="Arial"/>
          <w:sz w:val="12"/>
          <w:szCs w:val="12"/>
          <w:color w:val="008000"/>
        </w:rPr>
      </w:pP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preferred stock is convertible at any time, at the holder's election and has no expiration date. The preferred stock will automatically convert into common stock upon the closing of the Issuer's initial public offering.</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ind w:left="6860"/>
        <w:spacing w:after="0" w:line="184" w:lineRule="auto"/>
        <w:rPr>
          <w:sz w:val="20"/>
          <w:szCs w:val="20"/>
          <w:color w:val="auto"/>
        </w:rPr>
      </w:pPr>
      <w:r>
        <w:rPr>
          <w:rFonts w:ascii="Arial" w:cs="Arial" w:eastAsia="Arial" w:hAnsi="Arial"/>
          <w:sz w:val="17"/>
          <w:szCs w:val="17"/>
          <w:color w:val="0000FF"/>
        </w:rPr>
        <w:t xml:space="preserve">/s/ David Siewers, attorney-in-  </w:t>
      </w:r>
      <w:r>
        <w:rPr>
          <w:rFonts w:ascii="Arial" w:cs="Arial" w:eastAsia="Arial" w:hAnsi="Arial"/>
          <w:sz w:val="34"/>
          <w:szCs w:val="34"/>
          <w:color w:val="0000FF"/>
          <w:vertAlign w:val="subscript"/>
        </w:rPr>
        <w:t>06/21/2016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8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188"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With respect to holdings of and transactions in securities issued by Selecta Biosciences,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the undersigned hereby constitutes and appoints the individuals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and as may be amended from time to time, or any of them signing singly, with full power of substitution and resubstitution, to act as the undersigned’s true and lawful attorney-in-fact to:</w:t>
      </w:r>
    </w:p>
    <w:p>
      <w:pPr>
        <w:spacing w:after="0" w:line="181" w:lineRule="exact"/>
        <w:rPr>
          <w:sz w:val="20"/>
          <w:szCs w:val="20"/>
          <w:color w:val="auto"/>
        </w:rPr>
      </w:pPr>
    </w:p>
    <w:p>
      <w:pPr>
        <w:ind w:left="700" w:right="140" w:firstLine="1"/>
        <w:spacing w:after="0" w:line="259" w:lineRule="auto"/>
        <w:tabs>
          <w:tab w:leader="none" w:pos="1308"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prepare, execute in the undersigned’s name and on the undersigned’s behalf, and submit to the United States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86" w:lineRule="exact"/>
        <w:rPr>
          <w:rFonts w:ascii="Arial" w:cs="Arial" w:eastAsia="Arial" w:hAnsi="Arial"/>
          <w:sz w:val="18"/>
          <w:szCs w:val="18"/>
          <w:color w:val="auto"/>
        </w:rPr>
      </w:pPr>
    </w:p>
    <w:p>
      <w:pPr>
        <w:ind w:left="700" w:right="220" w:firstLine="1"/>
        <w:spacing w:after="0" w:line="277" w:lineRule="auto"/>
        <w:tabs>
          <w:tab w:leader="none" w:pos="1308"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 of the Securities Exchange Act of 1934, as amended, and the rules thereunder;</w:t>
      </w:r>
    </w:p>
    <w:p>
      <w:pPr>
        <w:spacing w:after="0" w:line="170" w:lineRule="exact"/>
        <w:rPr>
          <w:rFonts w:ascii="Arial" w:cs="Arial" w:eastAsia="Arial" w:hAnsi="Arial"/>
          <w:sz w:val="18"/>
          <w:szCs w:val="18"/>
          <w:color w:val="auto"/>
        </w:rPr>
      </w:pPr>
    </w:p>
    <w:p>
      <w:pPr>
        <w:ind w:left="700" w:right="20" w:firstLine="1"/>
        <w:spacing w:after="0" w:line="264" w:lineRule="auto"/>
        <w:tabs>
          <w:tab w:leader="none" w:pos="1308"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81" w:lineRule="exact"/>
        <w:rPr>
          <w:rFonts w:ascii="Arial" w:cs="Arial" w:eastAsia="Arial" w:hAnsi="Arial"/>
          <w:sz w:val="18"/>
          <w:szCs w:val="18"/>
          <w:color w:val="auto"/>
        </w:rPr>
      </w:pPr>
    </w:p>
    <w:p>
      <w:pPr>
        <w:ind w:left="700" w:firstLine="1"/>
        <w:spacing w:after="0" w:line="259" w:lineRule="auto"/>
        <w:tabs>
          <w:tab w:leader="none" w:pos="1308" w:val="left"/>
        </w:tabs>
        <w:numPr>
          <w:ilvl w:val="0"/>
          <w:numId w:val="3"/>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88"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June, 2016.</w:t>
      </w:r>
    </w:p>
    <w:p>
      <w:pPr>
        <w:spacing w:after="0" w:line="1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Amir Nashat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Amir Nashat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Individuals Appointed as Attorney-in-Fact with Full Power of Substitution and Resubstitution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Abraham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1" Type="http://schemas.openxmlformats.org/officeDocument/2006/relationships/hyperlink" Target="http://www.sec.gov/cgi-bin/browse-edgar?action=getcompany&amp;CIK=0001575843" TargetMode="External"/><Relationship Id="rId12"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2019-12-08T17:41:24Z</dcterms:created>
  <dcterms:modified xsi:type="dcterms:W3CDTF">2019-12-08T17:41:24Z</dcterms:modified>
</cp:coreProperties>
</file>