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ind w:left="380" w:hanging="334"/>
        <w:spacing w:after="0" w:line="180" w:lineRule="auto"/>
        <w:tabs>
          <w:tab w:leader="none" w:pos="3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4"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3680" w:type="dxa"/>
            <w:vAlign w:val="bottom"/>
          </w:tcPr>
          <w:p>
            <w:pPr>
              <w:jc w:val="center"/>
              <w:ind w:right="710"/>
              <w:spacing w:after="0"/>
              <w:rPr>
                <w:sz w:val="20"/>
                <w:szCs w:val="20"/>
                <w:color w:val="auto"/>
              </w:rPr>
            </w:pPr>
            <w:r>
              <w:rPr>
                <w:rFonts w:ascii="Arial" w:cs="Arial" w:eastAsia="Arial" w:hAnsi="Arial"/>
                <w:sz w:val="18"/>
                <w:szCs w:val="18"/>
                <w:b w:val="1"/>
                <w:bCs w:val="1"/>
                <w:color w:val="auto"/>
                <w:w w:val="91"/>
              </w:rPr>
              <w:t>Delaware</w:t>
            </w:r>
          </w:p>
        </w:tc>
        <w:tc>
          <w:tcPr>
            <w:tcW w:w="34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02"/>
        </w:trPr>
        <w:tc>
          <w:tcPr>
            <w:tcW w:w="3680" w:type="dxa"/>
            <w:vAlign w:val="bottom"/>
          </w:tcPr>
          <w:p>
            <w:pPr>
              <w:jc w:val="center"/>
              <w:ind w:right="710"/>
              <w:spacing w:after="0" w:line="201" w:lineRule="exact"/>
              <w:rPr>
                <w:sz w:val="20"/>
                <w:szCs w:val="20"/>
                <w:color w:val="auto"/>
              </w:rPr>
            </w:pPr>
            <w:r>
              <w:rPr>
                <w:rFonts w:ascii="Arial" w:cs="Arial" w:eastAsia="Arial" w:hAnsi="Arial"/>
                <w:sz w:val="18"/>
                <w:szCs w:val="18"/>
                <w:color w:val="auto"/>
                <w:w w:val="91"/>
              </w:rPr>
              <w:t>(State or other jurisdiction</w:t>
            </w:r>
          </w:p>
        </w:tc>
        <w:tc>
          <w:tcPr>
            <w:tcW w:w="3420" w:type="dxa"/>
            <w:vAlign w:val="bottom"/>
          </w:tcPr>
          <w:p>
            <w:pPr>
              <w:jc w:val="center"/>
              <w:ind w:left="710"/>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680" w:type="dxa"/>
            <w:vAlign w:val="bottom"/>
          </w:tcPr>
          <w:p>
            <w:pPr>
              <w:jc w:val="center"/>
              <w:ind w:right="710"/>
              <w:spacing w:after="0"/>
              <w:rPr>
                <w:sz w:val="20"/>
                <w:szCs w:val="20"/>
                <w:color w:val="auto"/>
              </w:rPr>
            </w:pPr>
            <w:r>
              <w:rPr>
                <w:rFonts w:ascii="Arial" w:cs="Arial" w:eastAsia="Arial" w:hAnsi="Arial"/>
                <w:sz w:val="18"/>
                <w:szCs w:val="18"/>
                <w:color w:val="auto"/>
                <w:w w:val="92"/>
              </w:rPr>
              <w:t>of incorporation or organization)</w:t>
            </w:r>
          </w:p>
        </w:tc>
        <w:tc>
          <w:tcPr>
            <w:tcW w:w="3420" w:type="dxa"/>
            <w:vAlign w:val="bottom"/>
          </w:tcPr>
          <w:p>
            <w:pPr>
              <w:spacing w:after="0"/>
              <w:rPr>
                <w:sz w:val="20"/>
                <w:szCs w:val="20"/>
                <w:color w:val="auto"/>
              </w:rPr>
            </w:pPr>
          </w:p>
        </w:tc>
      </w:tr>
      <w:tr>
        <w:trPr>
          <w:trHeight w:val="256"/>
        </w:trPr>
        <w:tc>
          <w:tcPr>
            <w:tcW w:w="368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65 Grove Street, Watertown, MA</w:t>
            </w:r>
          </w:p>
        </w:tc>
        <w:tc>
          <w:tcPr>
            <w:tcW w:w="34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43"/>
        </w:trPr>
        <w:tc>
          <w:tcPr>
            <w:tcW w:w="3680" w:type="dxa"/>
            <w:vAlign w:val="bottom"/>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71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ind w:left="340" w:right="1360"/>
        <w:spacing w:after="0" w:line="2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ind w:right="40"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o</w:t>
      </w:r>
    </w:p>
    <w:p>
      <w:pPr>
        <w:ind w:right="20"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o</w:t>
      </w:r>
    </w:p>
    <w:p>
      <w:pPr>
        <w:ind w:right="180" w:firstLine="324"/>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80" w:type="dxa"/>
        <w:tblCellMar>
          <w:top w:w="0" w:type="dxa"/>
          <w:left w:w="0" w:type="dxa"/>
          <w:bottom w:w="0" w:type="dxa"/>
          <w:right w:w="0" w:type="dxa"/>
        </w:tblCellMar>
      </w:tblPr>
      <w:tr>
        <w:trPr>
          <w:trHeight w:val="202"/>
        </w:trPr>
        <w:tc>
          <w:tcPr>
            <w:tcW w:w="1480" w:type="dxa"/>
            <w:vAlign w:val="bottom"/>
          </w:tcPr>
          <w:p>
            <w:pPr>
              <w:jc w:val="right"/>
              <w:spacing w:after="0"/>
              <w:rPr>
                <w:sz w:val="20"/>
                <w:szCs w:val="20"/>
                <w:color w:val="auto"/>
              </w:rPr>
            </w:pPr>
            <w:r>
              <w:rPr>
                <w:rFonts w:ascii="Arial" w:cs="Arial" w:eastAsia="Arial" w:hAnsi="Arial"/>
                <w:sz w:val="16"/>
                <w:szCs w:val="16"/>
                <w:color w:val="auto"/>
                <w:w w:val="89"/>
              </w:rPr>
              <w:t>Large accelerated filer</w:t>
            </w:r>
          </w:p>
        </w:tc>
        <w:tc>
          <w:tcPr>
            <w:tcW w:w="1460" w:type="dxa"/>
            <w:vAlign w:val="bottom"/>
          </w:tcPr>
          <w:p>
            <w:pPr>
              <w:jc w:val="center"/>
              <w:ind w:right="1110"/>
              <w:spacing w:after="0" w:line="161" w:lineRule="exact"/>
              <w:rPr>
                <w:sz w:val="20"/>
                <w:szCs w:val="20"/>
                <w:color w:val="auto"/>
              </w:rPr>
            </w:pPr>
            <w:r>
              <w:rPr>
                <w:rFonts w:ascii="MS PGothic" w:cs="MS PGothic" w:eastAsia="MS PGothic" w:hAnsi="MS PGothic"/>
                <w:sz w:val="16"/>
                <w:szCs w:val="16"/>
                <w:color w:val="auto"/>
                <w:w w:val="87"/>
              </w:rPr>
              <w:t>☐</w:t>
            </w:r>
          </w:p>
        </w:tc>
        <w:tc>
          <w:tcPr>
            <w:tcW w:w="308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480" w:type="dxa"/>
            <w:vAlign w:val="bottom"/>
          </w:tcPr>
          <w:p>
            <w:pPr>
              <w:jc w:val="right"/>
              <w:spacing w:after="0"/>
              <w:rPr>
                <w:sz w:val="20"/>
                <w:szCs w:val="20"/>
                <w:color w:val="auto"/>
              </w:rPr>
            </w:pPr>
            <w:r>
              <w:rPr>
                <w:rFonts w:ascii="Arial" w:cs="Arial" w:eastAsia="Arial" w:hAnsi="Arial"/>
                <w:sz w:val="16"/>
                <w:szCs w:val="16"/>
                <w:color w:val="auto"/>
                <w:w w:val="96"/>
              </w:rPr>
              <w:t>Non-accelerated filer</w:t>
            </w:r>
          </w:p>
        </w:tc>
        <w:tc>
          <w:tcPr>
            <w:tcW w:w="1460" w:type="dxa"/>
            <w:vAlign w:val="bottom"/>
          </w:tcPr>
          <w:p>
            <w:pPr>
              <w:jc w:val="center"/>
              <w:ind w:right="1110"/>
              <w:spacing w:after="0" w:line="201" w:lineRule="exact"/>
              <w:rPr>
                <w:sz w:val="20"/>
                <w:szCs w:val="20"/>
                <w:color w:val="auto"/>
              </w:rPr>
            </w:pPr>
            <w:r>
              <w:rPr>
                <w:rFonts w:ascii="MS PGothic" w:cs="MS PGothic" w:eastAsia="MS PGothic" w:hAnsi="MS PGothic"/>
                <w:sz w:val="20"/>
                <w:szCs w:val="20"/>
                <w:color w:val="auto"/>
                <w:w w:val="89"/>
              </w:rPr>
              <w:t>☒</w:t>
            </w:r>
          </w:p>
        </w:tc>
        <w:tc>
          <w:tcPr>
            <w:tcW w:w="308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22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r>
      <w:tr>
        <w:trPr>
          <w:trHeight w:val="254"/>
        </w:trPr>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80" w:type="dxa"/>
            <w:vAlign w:val="bottom"/>
          </w:tcPr>
          <w:p>
            <w:pPr>
              <w:jc w:val="right"/>
              <w:spacing w:after="0"/>
              <w:rPr>
                <w:sz w:val="20"/>
                <w:szCs w:val="20"/>
                <w:color w:val="auto"/>
              </w:rPr>
            </w:pPr>
            <w:r>
              <w:rPr>
                <w:rFonts w:ascii="Arial" w:cs="Arial" w:eastAsia="Arial" w:hAnsi="Arial"/>
                <w:sz w:val="16"/>
                <w:szCs w:val="16"/>
                <w:color w:val="auto"/>
              </w:rPr>
              <w:t>Emerging growth company</w:t>
            </w:r>
          </w:p>
        </w:tc>
        <w:tc>
          <w:tcPr>
            <w:tcW w:w="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8" w:lineRule="exact"/>
        <w:rPr>
          <w:sz w:val="24"/>
          <w:szCs w:val="24"/>
          <w:color w:val="auto"/>
        </w:rPr>
      </w:pPr>
    </w:p>
    <w:p>
      <w:pPr>
        <w:ind w:right="160" w:firstLine="324"/>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24"/>
        <w:spacing w:after="0" w:line="246" w:lineRule="auto"/>
        <w:rPr>
          <w:sz w:val="20"/>
          <w:szCs w:val="20"/>
          <w:color w:val="auto"/>
        </w:rPr>
      </w:pPr>
      <w:r>
        <w:rPr>
          <w:rFonts w:ascii="Arial" w:cs="Arial" w:eastAsia="Arial" w:hAnsi="Arial"/>
          <w:sz w:val="18"/>
          <w:szCs w:val="18"/>
          <w:color w:val="auto"/>
        </w:rPr>
        <w:t>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2" w:lineRule="exact"/>
        <w:rPr>
          <w:sz w:val="24"/>
          <w:szCs w:val="24"/>
          <w:color w:val="auto"/>
        </w:rPr>
      </w:pPr>
    </w:p>
    <w:p>
      <w:pPr>
        <w:ind w:left="34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21" w:lineRule="exact"/>
        <w:rPr>
          <w:sz w:val="24"/>
          <w:szCs w:val="24"/>
          <w:color w:val="auto"/>
        </w:rPr>
      </w:pPr>
    </w:p>
    <w:p>
      <w:pPr>
        <w:jc w:val="center"/>
        <w:ind w:right="20"/>
        <w:spacing w:after="0" w:line="280"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Stock Market on June 30, 2021, the last business day of the registrant’s most recently completed second quarter, was $366,839,496.</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4, 2022 the registrant had 124,288,850 shares of common stock, par value $0.0001 per share, outstanding.</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 w:lineRule="exact"/>
        <w:rPr>
          <w:sz w:val="24"/>
          <w:szCs w:val="24"/>
          <w:color w:val="auto"/>
        </w:rPr>
      </w:pPr>
    </w:p>
    <w:p>
      <w:pPr>
        <w:ind w:firstLine="324"/>
        <w:spacing w:after="0" w:line="276" w:lineRule="auto"/>
        <w:rPr>
          <w:sz w:val="20"/>
          <w:szCs w:val="20"/>
          <w:color w:val="auto"/>
        </w:rPr>
      </w:pPr>
      <w:r>
        <w:rPr>
          <w:rFonts w:ascii="Arial" w:cs="Arial" w:eastAsia="Arial" w:hAnsi="Arial"/>
          <w:sz w:val="18"/>
          <w:szCs w:val="18"/>
          <w:color w:val="auto"/>
        </w:rPr>
        <w:t>Portions of the registrant’s definitive Proxy Statement relating to its 2022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17"/>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3"/>
          </w:tcPr>
          <w:p>
            <w:pPr>
              <w:jc w:val="center"/>
              <w:ind w:right="414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120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520" w:type="dxa"/>
            <w:vAlign w:val="bottom"/>
          </w:tcPr>
          <w:p>
            <w:pPr>
              <w:spacing w:after="0" w:line="190"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60" w:type="dxa"/>
            <w:vAlign w:val="bottom"/>
            <w:gridSpan w:val="29"/>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200" w:type="dxa"/>
            <w:vAlign w:val="bottom"/>
            <w:gridSpan w:val="4"/>
          </w:tcPr>
          <w:p>
            <w:pPr>
              <w:jc w:val="right"/>
              <w:ind w:right="240"/>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3"/>
              </w:rPr>
            </w:pPr>
            <w:hyperlink w:anchor="page30">
              <w:r>
                <w:rPr>
                  <w:rFonts w:ascii="Arial" w:cs="Arial" w:eastAsia="Arial" w:hAnsi="Arial"/>
                  <w:sz w:val="18"/>
                  <w:szCs w:val="18"/>
                  <w:color w:val="0000FF"/>
                  <w:w w:val="83"/>
                </w:rPr>
                <w:t>Item 1A.</w:t>
              </w:r>
            </w:hyperlink>
          </w:p>
        </w:tc>
        <w:tc>
          <w:tcPr>
            <w:tcW w:w="540" w:type="dxa"/>
            <w:vAlign w:val="bottom"/>
          </w:tcPr>
          <w:p>
            <w:pPr>
              <w:spacing w:after="0"/>
              <w:rPr>
                <w:sz w:val="18"/>
                <w:szCs w:val="18"/>
                <w:color w:val="auto"/>
              </w:rPr>
            </w:pPr>
          </w:p>
        </w:tc>
        <w:tc>
          <w:tcPr>
            <w:tcW w:w="8660" w:type="dxa"/>
            <w:vAlign w:val="bottom"/>
            <w:gridSpan w:val="2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Risk Factors</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3"/>
              </w:rPr>
            </w:pPr>
            <w:hyperlink w:anchor="page58">
              <w:r>
                <w:rPr>
                  <w:rFonts w:ascii="Arial" w:cs="Arial" w:eastAsia="Arial" w:hAnsi="Arial"/>
                  <w:sz w:val="18"/>
                  <w:szCs w:val="18"/>
                  <w:color w:val="0000FF"/>
                  <w:w w:val="83"/>
                </w:rPr>
                <w:t>Item 1B.</w:t>
              </w:r>
            </w:hyperlink>
          </w:p>
        </w:tc>
        <w:tc>
          <w:tcPr>
            <w:tcW w:w="540" w:type="dxa"/>
            <w:vAlign w:val="bottom"/>
          </w:tcPr>
          <w:p>
            <w:pPr>
              <w:spacing w:after="0"/>
              <w:rPr>
                <w:sz w:val="18"/>
                <w:szCs w:val="18"/>
                <w:color w:val="auto"/>
              </w:rPr>
            </w:pPr>
          </w:p>
        </w:tc>
        <w:tc>
          <w:tcPr>
            <w:tcW w:w="8660" w:type="dxa"/>
            <w:vAlign w:val="bottom"/>
            <w:gridSpan w:val="2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Unresolved Staff Comments</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Item 2.</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58">
              <w:r>
                <w:rPr>
                  <w:rFonts w:ascii="Arial" w:cs="Arial" w:eastAsia="Arial" w:hAnsi="Arial"/>
                  <w:sz w:val="18"/>
                  <w:szCs w:val="18"/>
                  <w:color w:val="0000FF"/>
                  <w:w w:val="87"/>
                </w:rPr>
                <w:t>Properties</w:t>
              </w:r>
            </w:hyperlink>
          </w:p>
        </w:tc>
        <w:tc>
          <w:tcPr>
            <w:tcW w:w="1300" w:type="dxa"/>
            <w:vAlign w:val="bottom"/>
            <w:gridSpan w:val="8"/>
          </w:tcPr>
          <w:p>
            <w:pPr>
              <w:spacing w:after="0"/>
              <w:rPr>
                <w:sz w:val="18"/>
                <w:szCs w:val="18"/>
                <w:color w:val="auto"/>
              </w:rPr>
            </w:pPr>
          </w:p>
        </w:tc>
        <w:tc>
          <w:tcPr>
            <w:tcW w:w="6620" w:type="dxa"/>
            <w:vAlign w:val="bottom"/>
            <w:gridSpan w:val="19"/>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Item 3.</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58">
              <w:r>
                <w:rPr>
                  <w:rFonts w:ascii="Arial" w:cs="Arial" w:eastAsia="Arial" w:hAnsi="Arial"/>
                  <w:sz w:val="18"/>
                  <w:szCs w:val="18"/>
                  <w:color w:val="0000FF"/>
                  <w:w w:val="88"/>
                </w:rPr>
                <w:t>Legal Proceedings</w:t>
              </w:r>
            </w:hyperlink>
          </w:p>
        </w:tc>
        <w:tc>
          <w:tcPr>
            <w:tcW w:w="7320" w:type="dxa"/>
            <w:vAlign w:val="bottom"/>
            <w:gridSpan w:val="23"/>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4.</w:t>
              </w:r>
            </w:hyperlink>
          </w:p>
        </w:tc>
        <w:tc>
          <w:tcPr>
            <w:tcW w:w="9200" w:type="dxa"/>
            <w:vAlign w:val="bottom"/>
            <w:gridSpan w:val="30"/>
          </w:tcPr>
          <w:p>
            <w:pPr>
              <w:ind w:left="540"/>
              <w:spacing w:after="0"/>
              <w:rPr>
                <w:rFonts w:ascii="Arial" w:cs="Arial" w:eastAsia="Arial" w:hAnsi="Arial"/>
                <w:sz w:val="18"/>
                <w:szCs w:val="18"/>
                <w:color w:val="0000FF"/>
              </w:rPr>
            </w:pPr>
            <w:hyperlink w:anchor="page58">
              <w:r>
                <w:rPr>
                  <w:rFonts w:ascii="Arial" w:cs="Arial" w:eastAsia="Arial" w:hAnsi="Arial"/>
                  <w:sz w:val="18"/>
                  <w:szCs w:val="18"/>
                  <w:color w:val="0000FF"/>
                </w:rPr>
                <w:t>Mine Safety Disclosures</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3"/>
          </w:tcPr>
          <w:p>
            <w:pPr>
              <w:jc w:val="center"/>
              <w:ind w:right="4160"/>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Part II</w:t>
              </w:r>
            </w:hyperlink>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5.</w:t>
              </w:r>
            </w:hyperlink>
          </w:p>
        </w:tc>
        <w:tc>
          <w:tcPr>
            <w:tcW w:w="540" w:type="dxa"/>
            <w:vAlign w:val="bottom"/>
          </w:tcPr>
          <w:p>
            <w:pPr>
              <w:spacing w:after="0"/>
              <w:rPr>
                <w:sz w:val="24"/>
                <w:szCs w:val="24"/>
                <w:color w:val="auto"/>
              </w:rPr>
            </w:pPr>
          </w:p>
        </w:tc>
        <w:tc>
          <w:tcPr>
            <w:tcW w:w="8060" w:type="dxa"/>
            <w:vAlign w:val="bottom"/>
            <w:tcBorders>
              <w:bottom w:val="single" w:sz="8" w:color="0000FF"/>
            </w:tcBorders>
            <w:gridSpan w:val="28"/>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Market for Registrant's Common Equity, Related Stockholder Matters and Issuer Purchases of Equity Securities</w:t>
              </w:r>
            </w:hyperlink>
          </w:p>
        </w:tc>
        <w:tc>
          <w:tcPr>
            <w:tcW w:w="600" w:type="dxa"/>
            <w:vAlign w:val="bottom"/>
          </w:tcPr>
          <w:p>
            <w:pPr>
              <w:spacing w:after="0"/>
              <w:rPr>
                <w:sz w:val="24"/>
                <w:szCs w:val="24"/>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6.</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3"/>
          </w:tcPr>
          <w:p>
            <w:pPr>
              <w:spacing w:after="0"/>
              <w:rPr>
                <w:rFonts w:ascii="Arial" w:cs="Arial" w:eastAsia="Arial" w:hAnsi="Arial"/>
                <w:sz w:val="18"/>
                <w:szCs w:val="18"/>
                <w:color w:val="0000FF"/>
                <w:w w:val="87"/>
              </w:rPr>
            </w:pPr>
            <w:hyperlink w:anchor="page59">
              <w:r>
                <w:rPr>
                  <w:rFonts w:ascii="Arial" w:cs="Arial" w:eastAsia="Arial" w:hAnsi="Arial"/>
                  <w:sz w:val="18"/>
                  <w:szCs w:val="18"/>
                  <w:color w:val="0000FF"/>
                  <w:w w:val="87"/>
                </w:rPr>
                <w:t>[Reserved]</w:t>
              </w:r>
            </w:hyperlink>
          </w:p>
        </w:tc>
        <w:tc>
          <w:tcPr>
            <w:tcW w:w="7860" w:type="dxa"/>
            <w:vAlign w:val="bottom"/>
            <w:gridSpan w:val="26"/>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7.</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60" w:type="dxa"/>
            <w:vAlign w:val="bottom"/>
            <w:gridSpan w:val="2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Management's Discussion and Analysis of Financial Condition and Results of Operations</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3"/>
              </w:rPr>
            </w:pPr>
            <w:hyperlink w:anchor="page70">
              <w:r>
                <w:rPr>
                  <w:rFonts w:ascii="Arial" w:cs="Arial" w:eastAsia="Arial" w:hAnsi="Arial"/>
                  <w:sz w:val="18"/>
                  <w:szCs w:val="18"/>
                  <w:color w:val="0000FF"/>
                  <w:w w:val="83"/>
                </w:rPr>
                <w:t>Item 7A.</w:t>
              </w:r>
            </w:hyperlink>
          </w:p>
        </w:tc>
        <w:tc>
          <w:tcPr>
            <w:tcW w:w="540" w:type="dxa"/>
            <w:vAlign w:val="bottom"/>
          </w:tcPr>
          <w:p>
            <w:pPr>
              <w:spacing w:after="0"/>
              <w:rPr>
                <w:sz w:val="18"/>
                <w:szCs w:val="18"/>
                <w:color w:val="auto"/>
              </w:rPr>
            </w:pPr>
          </w:p>
        </w:tc>
        <w:tc>
          <w:tcPr>
            <w:tcW w:w="8660" w:type="dxa"/>
            <w:vAlign w:val="bottom"/>
            <w:gridSpan w:val="29"/>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Quantitative and Qualitative Disclosures About Market Risk</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8.</w:t>
              </w:r>
            </w:hyperlink>
          </w:p>
        </w:tc>
        <w:tc>
          <w:tcPr>
            <w:tcW w:w="540" w:type="dxa"/>
            <w:vAlign w:val="bottom"/>
          </w:tcPr>
          <w:p>
            <w:pPr>
              <w:spacing w:after="0"/>
              <w:rPr>
                <w:sz w:val="18"/>
                <w:szCs w:val="18"/>
                <w:color w:val="auto"/>
              </w:rPr>
            </w:pPr>
          </w:p>
        </w:tc>
        <w:tc>
          <w:tcPr>
            <w:tcW w:w="33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Financial Statements and Supplementary Data</w:t>
              </w:r>
            </w:hyperlink>
          </w:p>
        </w:tc>
        <w:tc>
          <w:tcPr>
            <w:tcW w:w="1020" w:type="dxa"/>
            <w:vAlign w:val="bottom"/>
            <w:gridSpan w:val="6"/>
          </w:tcPr>
          <w:p>
            <w:pPr>
              <w:spacing w:after="0"/>
              <w:rPr>
                <w:sz w:val="18"/>
                <w:szCs w:val="18"/>
                <w:color w:val="auto"/>
              </w:rPr>
            </w:pPr>
          </w:p>
        </w:tc>
        <w:tc>
          <w:tcPr>
            <w:tcW w:w="4300" w:type="dxa"/>
            <w:vAlign w:val="bottom"/>
            <w:gridSpan w:val="10"/>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9.</w:t>
              </w:r>
            </w:hyperlink>
          </w:p>
        </w:tc>
        <w:tc>
          <w:tcPr>
            <w:tcW w:w="540" w:type="dxa"/>
            <w:vAlign w:val="bottom"/>
          </w:tcPr>
          <w:p>
            <w:pPr>
              <w:spacing w:after="0"/>
              <w:rPr>
                <w:sz w:val="18"/>
                <w:szCs w:val="18"/>
                <w:color w:val="auto"/>
              </w:rPr>
            </w:pPr>
          </w:p>
        </w:tc>
        <w:tc>
          <w:tcPr>
            <w:tcW w:w="6520" w:type="dxa"/>
            <w:vAlign w:val="bottom"/>
            <w:tcBorders>
              <w:bottom w:val="single" w:sz="8" w:color="0000FF"/>
            </w:tcBorders>
            <w:gridSpan w:val="26"/>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Changes in and Disagreements With Accountants on Accounting and Financial Disclosure</w:t>
              </w:r>
            </w:hyperlink>
          </w:p>
        </w:tc>
        <w:tc>
          <w:tcPr>
            <w:tcW w:w="2140" w:type="dxa"/>
            <w:vAlign w:val="bottom"/>
            <w:gridSpan w:val="3"/>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9A.</w:t>
            </w:r>
          </w:p>
        </w:tc>
        <w:tc>
          <w:tcPr>
            <w:tcW w:w="54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Arial" w:cs="Arial" w:eastAsia="Arial" w:hAnsi="Arial"/>
                <w:sz w:val="18"/>
                <w:szCs w:val="18"/>
                <w:color w:val="0000FF"/>
                <w:w w:val="88"/>
              </w:rPr>
              <w:t>Controls and Procedures</w:t>
            </w:r>
          </w:p>
        </w:tc>
        <w:tc>
          <w:tcPr>
            <w:tcW w:w="6880" w:type="dxa"/>
            <w:vAlign w:val="bottom"/>
            <w:gridSpan w:val="21"/>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0">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3"/>
              </w:rPr>
            </w:pPr>
            <w:hyperlink w:anchor="page71">
              <w:r>
                <w:rPr>
                  <w:rFonts w:ascii="Arial" w:cs="Arial" w:eastAsia="Arial" w:hAnsi="Arial"/>
                  <w:sz w:val="18"/>
                  <w:szCs w:val="18"/>
                  <w:color w:val="0000FF"/>
                  <w:w w:val="83"/>
                </w:rPr>
                <w:t>Item 9B.</w:t>
              </w:r>
            </w:hyperlink>
          </w:p>
        </w:tc>
        <w:tc>
          <w:tcPr>
            <w:tcW w:w="540" w:type="dxa"/>
            <w:vAlign w:val="bottom"/>
          </w:tcPr>
          <w:p>
            <w:pPr>
              <w:spacing w:after="0"/>
              <w:rPr>
                <w:sz w:val="18"/>
                <w:szCs w:val="18"/>
                <w:color w:val="auto"/>
              </w:rPr>
            </w:pPr>
          </w:p>
        </w:tc>
        <w:tc>
          <w:tcPr>
            <w:tcW w:w="178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Other Information</w:t>
              </w:r>
            </w:hyperlink>
          </w:p>
        </w:tc>
        <w:tc>
          <w:tcPr>
            <w:tcW w:w="6880" w:type="dxa"/>
            <w:vAlign w:val="bottom"/>
            <w:gridSpan w:val="21"/>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71">
              <w:r>
                <w:rPr>
                  <w:rFonts w:ascii="Arial" w:cs="Arial" w:eastAsia="Arial" w:hAnsi="Arial"/>
                  <w:sz w:val="18"/>
                  <w:szCs w:val="18"/>
                  <w:b w:val="1"/>
                  <w:bCs w:val="1"/>
                  <w:color w:val="0000FF"/>
                </w:rPr>
                <w:t>Part III</w:t>
              </w:r>
            </w:hyperlink>
          </w:p>
        </w:tc>
        <w:tc>
          <w:tcPr>
            <w:tcW w:w="410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FF"/>
                <w:w w:val="86"/>
              </w:rPr>
            </w:pPr>
            <w:hyperlink w:anchor="page72">
              <w:r>
                <w:rPr>
                  <w:rFonts w:ascii="Arial" w:cs="Arial" w:eastAsia="Arial" w:hAnsi="Arial"/>
                  <w:sz w:val="18"/>
                  <w:szCs w:val="18"/>
                  <w:color w:val="0000FF"/>
                  <w:w w:val="86"/>
                </w:rPr>
                <w:t>Item 10.</w:t>
              </w:r>
            </w:hyperlink>
          </w:p>
        </w:tc>
        <w:tc>
          <w:tcPr>
            <w:tcW w:w="9200" w:type="dxa"/>
            <w:vAlign w:val="bottom"/>
            <w:gridSpan w:val="30"/>
          </w:tcPr>
          <w:p>
            <w:pPr>
              <w:ind w:left="540"/>
              <w:spacing w:after="0"/>
              <w:rPr>
                <w:rFonts w:ascii="Arial" w:cs="Arial" w:eastAsia="Arial" w:hAnsi="Arial"/>
                <w:sz w:val="18"/>
                <w:szCs w:val="18"/>
                <w:color w:val="0000FF"/>
              </w:rPr>
            </w:pPr>
            <w:hyperlink w:anchor="page72">
              <w:r>
                <w:rPr>
                  <w:rFonts w:ascii="Arial" w:cs="Arial" w:eastAsia="Arial" w:hAnsi="Arial"/>
                  <w:sz w:val="18"/>
                  <w:szCs w:val="18"/>
                  <w:color w:val="0000FF"/>
                </w:rPr>
                <w:t>Directors, Executive Officers and Corporate Governance</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6"/>
              </w:rPr>
            </w:pPr>
            <w:hyperlink w:anchor="page72">
              <w:r>
                <w:rPr>
                  <w:rFonts w:ascii="Arial" w:cs="Arial" w:eastAsia="Arial" w:hAnsi="Arial"/>
                  <w:sz w:val="18"/>
                  <w:szCs w:val="18"/>
                  <w:color w:val="0000FF"/>
                  <w:w w:val="86"/>
                </w:rPr>
                <w:t>Item 11.</w:t>
              </w:r>
            </w:hyperlink>
          </w:p>
        </w:tc>
        <w:tc>
          <w:tcPr>
            <w:tcW w:w="9200" w:type="dxa"/>
            <w:vAlign w:val="bottom"/>
            <w:gridSpan w:val="30"/>
          </w:tcPr>
          <w:p>
            <w:pPr>
              <w:ind w:left="540"/>
              <w:spacing w:after="0"/>
              <w:rPr>
                <w:rFonts w:ascii="Arial" w:cs="Arial" w:eastAsia="Arial" w:hAnsi="Arial"/>
                <w:sz w:val="18"/>
                <w:szCs w:val="18"/>
                <w:color w:val="0000FF"/>
              </w:rPr>
            </w:pPr>
            <w:hyperlink w:anchor="page72">
              <w:r>
                <w:rPr>
                  <w:rFonts w:ascii="Arial" w:cs="Arial" w:eastAsia="Arial" w:hAnsi="Arial"/>
                  <w:sz w:val="18"/>
                  <w:szCs w:val="18"/>
                  <w:color w:val="0000FF"/>
                </w:rPr>
                <w:t>Executive Compensation</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72">
              <w:r>
                <w:rPr>
                  <w:rFonts w:ascii="Arial" w:cs="Arial" w:eastAsia="Arial" w:hAnsi="Arial"/>
                  <w:sz w:val="18"/>
                  <w:szCs w:val="18"/>
                  <w:color w:val="0000FF"/>
                  <w:w w:val="86"/>
                </w:rPr>
                <w:t>Item 12.</w:t>
              </w:r>
            </w:hyperlink>
          </w:p>
        </w:tc>
        <w:tc>
          <w:tcPr>
            <w:tcW w:w="540" w:type="dxa"/>
            <w:vAlign w:val="bottom"/>
          </w:tcPr>
          <w:p>
            <w:pPr>
              <w:spacing w:after="0"/>
              <w:rPr>
                <w:sz w:val="18"/>
                <w:szCs w:val="18"/>
                <w:color w:val="auto"/>
              </w:rPr>
            </w:pPr>
          </w:p>
        </w:tc>
        <w:tc>
          <w:tcPr>
            <w:tcW w:w="7300" w:type="dxa"/>
            <w:vAlign w:val="bottom"/>
            <w:tcBorders>
              <w:bottom w:val="single" w:sz="8" w:color="0000FF"/>
            </w:tcBorders>
            <w:gridSpan w:val="27"/>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Security Ownership of Certain Beneficial Owners and Management and Related Stockholder Matters</w:t>
              </w:r>
            </w:hyperlink>
          </w:p>
        </w:tc>
        <w:tc>
          <w:tcPr>
            <w:tcW w:w="1360" w:type="dxa"/>
            <w:vAlign w:val="bottom"/>
            <w:gridSpan w:val="2"/>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6"/>
              </w:rPr>
            </w:pPr>
            <w:hyperlink w:anchor="page72">
              <w:r>
                <w:rPr>
                  <w:rFonts w:ascii="Arial" w:cs="Arial" w:eastAsia="Arial" w:hAnsi="Arial"/>
                  <w:sz w:val="18"/>
                  <w:szCs w:val="18"/>
                  <w:color w:val="0000FF"/>
                  <w:w w:val="86"/>
                </w:rPr>
                <w:t>Item 13.</w:t>
              </w:r>
            </w:hyperlink>
          </w:p>
        </w:tc>
        <w:tc>
          <w:tcPr>
            <w:tcW w:w="9200" w:type="dxa"/>
            <w:vAlign w:val="bottom"/>
            <w:gridSpan w:val="30"/>
          </w:tcPr>
          <w:p>
            <w:pPr>
              <w:ind w:left="540"/>
              <w:spacing w:after="0"/>
              <w:rPr>
                <w:rFonts w:ascii="Arial" w:cs="Arial" w:eastAsia="Arial" w:hAnsi="Arial"/>
                <w:sz w:val="18"/>
                <w:szCs w:val="18"/>
                <w:color w:val="0000FF"/>
              </w:rPr>
            </w:pPr>
            <w:hyperlink w:anchor="page72">
              <w:r>
                <w:rPr>
                  <w:rFonts w:ascii="Arial" w:cs="Arial" w:eastAsia="Arial" w:hAnsi="Arial"/>
                  <w:sz w:val="18"/>
                  <w:szCs w:val="18"/>
                  <w:color w:val="0000FF"/>
                </w:rPr>
                <w:t>Certain Relationships and Related Transactions, and Director Independence</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6"/>
              </w:rPr>
            </w:pPr>
            <w:hyperlink w:anchor="page72">
              <w:r>
                <w:rPr>
                  <w:rFonts w:ascii="Arial" w:cs="Arial" w:eastAsia="Arial" w:hAnsi="Arial"/>
                  <w:sz w:val="18"/>
                  <w:szCs w:val="18"/>
                  <w:color w:val="0000FF"/>
                  <w:w w:val="86"/>
                </w:rPr>
                <w:t>Item 14.</w:t>
              </w:r>
            </w:hyperlink>
          </w:p>
        </w:tc>
        <w:tc>
          <w:tcPr>
            <w:tcW w:w="9200" w:type="dxa"/>
            <w:vAlign w:val="bottom"/>
            <w:gridSpan w:val="30"/>
          </w:tcPr>
          <w:p>
            <w:pPr>
              <w:ind w:left="540"/>
              <w:spacing w:after="0"/>
              <w:rPr>
                <w:rFonts w:ascii="Arial" w:cs="Arial" w:eastAsia="Arial" w:hAnsi="Arial"/>
                <w:sz w:val="18"/>
                <w:szCs w:val="18"/>
                <w:color w:val="0000FF"/>
              </w:rPr>
            </w:pPr>
            <w:hyperlink w:anchor="page72">
              <w:r>
                <w:rPr>
                  <w:rFonts w:ascii="Arial" w:cs="Arial" w:eastAsia="Arial" w:hAnsi="Arial"/>
                  <w:sz w:val="18"/>
                  <w:szCs w:val="18"/>
                  <w:color w:val="0000FF"/>
                </w:rPr>
                <w:t>Principal Accountant Fees and Services</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72">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15"/>
          </w:tcPr>
          <w:p>
            <w:pPr>
              <w:jc w:val="center"/>
              <w:ind w:right="4100"/>
              <w:spacing w:after="0"/>
              <w:rPr>
                <w:rFonts w:ascii="Arial" w:cs="Arial" w:eastAsia="Arial" w:hAnsi="Arial"/>
                <w:sz w:val="18"/>
                <w:szCs w:val="18"/>
                <w:b w:val="1"/>
                <w:bCs w:val="1"/>
                <w:color w:val="0000FF"/>
              </w:rPr>
            </w:pPr>
            <w:hyperlink w:anchor="page72">
              <w:r>
                <w:rPr>
                  <w:rFonts w:ascii="Arial" w:cs="Arial" w:eastAsia="Arial" w:hAnsi="Arial"/>
                  <w:sz w:val="18"/>
                  <w:szCs w:val="18"/>
                  <w:b w:val="1"/>
                  <w:bCs w:val="1"/>
                  <w:color w:val="0000FF"/>
                </w:rPr>
                <w:t>Part IV</w:t>
              </w:r>
            </w:hyperlink>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FF"/>
                <w:w w:val="86"/>
              </w:rPr>
            </w:pPr>
            <w:hyperlink w:anchor="page73">
              <w:r>
                <w:rPr>
                  <w:rFonts w:ascii="Arial" w:cs="Arial" w:eastAsia="Arial" w:hAnsi="Arial"/>
                  <w:sz w:val="18"/>
                  <w:szCs w:val="18"/>
                  <w:color w:val="0000FF"/>
                  <w:w w:val="86"/>
                </w:rPr>
                <w:t>Item 15.</w:t>
              </w:r>
            </w:hyperlink>
          </w:p>
        </w:tc>
        <w:tc>
          <w:tcPr>
            <w:tcW w:w="4500" w:type="dxa"/>
            <w:vAlign w:val="bottom"/>
            <w:gridSpan w:val="16"/>
          </w:tcPr>
          <w:p>
            <w:pPr>
              <w:ind w:left="540"/>
              <w:spacing w:after="0"/>
              <w:rPr>
                <w:rFonts w:ascii="Arial" w:cs="Arial" w:eastAsia="Arial" w:hAnsi="Arial"/>
                <w:sz w:val="18"/>
                <w:szCs w:val="18"/>
                <w:color w:val="0000FF"/>
              </w:rPr>
            </w:pPr>
            <w:hyperlink w:anchor="page73">
              <w:r>
                <w:rPr>
                  <w:rFonts w:ascii="Arial" w:cs="Arial" w:eastAsia="Arial" w:hAnsi="Arial"/>
                  <w:sz w:val="18"/>
                  <w:szCs w:val="18"/>
                  <w:color w:val="0000FF"/>
                </w:rPr>
                <w:t>Exhibits and Financial Statement Schedules</w:t>
              </w:r>
            </w:hyperlink>
          </w:p>
        </w:tc>
        <w:tc>
          <w:tcPr>
            <w:tcW w:w="580" w:type="dxa"/>
            <w:vAlign w:val="bottom"/>
            <w:tcBorders>
              <w:top w:val="single" w:sz="8" w:color="0000FF"/>
            </w:tcBorders>
            <w:gridSpan w:val="7"/>
          </w:tcPr>
          <w:p>
            <w:pPr>
              <w:spacing w:after="0"/>
              <w:rPr>
                <w:sz w:val="24"/>
                <w:szCs w:val="24"/>
                <w:color w:val="auto"/>
              </w:rPr>
            </w:pPr>
          </w:p>
        </w:tc>
        <w:tc>
          <w:tcPr>
            <w:tcW w:w="4120" w:type="dxa"/>
            <w:vAlign w:val="bottom"/>
            <w:gridSpan w:val="7"/>
          </w:tcPr>
          <w:p>
            <w:pPr>
              <w:spacing w:after="0"/>
              <w:rPr>
                <w:sz w:val="24"/>
                <w:szCs w:val="24"/>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5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w w:val="86"/>
              </w:rPr>
            </w:pPr>
            <w:hyperlink w:anchor="page76">
              <w:r>
                <w:rPr>
                  <w:rFonts w:ascii="Arial" w:cs="Arial" w:eastAsia="Arial" w:hAnsi="Arial"/>
                  <w:sz w:val="18"/>
                  <w:szCs w:val="18"/>
                  <w:color w:val="0000FF"/>
                  <w:w w:val="86"/>
                </w:rPr>
                <w:t>Item 16.</w:t>
              </w:r>
            </w:hyperlink>
          </w:p>
        </w:tc>
        <w:tc>
          <w:tcPr>
            <w:tcW w:w="9200" w:type="dxa"/>
            <w:vAlign w:val="bottom"/>
            <w:gridSpan w:val="30"/>
          </w:tcPr>
          <w:p>
            <w:pPr>
              <w:ind w:left="540"/>
              <w:spacing w:after="0"/>
              <w:rPr>
                <w:rFonts w:ascii="Arial" w:cs="Arial" w:eastAsia="Arial" w:hAnsi="Arial"/>
                <w:sz w:val="18"/>
                <w:szCs w:val="18"/>
                <w:color w:val="0000FF"/>
              </w:rPr>
            </w:pPr>
            <w:hyperlink w:anchor="page76">
              <w:r>
                <w:rPr>
                  <w:rFonts w:ascii="Arial" w:cs="Arial" w:eastAsia="Arial" w:hAnsi="Arial"/>
                  <w:sz w:val="18"/>
                  <w:szCs w:val="18"/>
                  <w:color w:val="0000FF"/>
                </w:rPr>
                <w:t>Form 10-K Summary</w:t>
              </w:r>
            </w:hyperlink>
          </w:p>
        </w:tc>
        <w:tc>
          <w:tcPr>
            <w:tcW w:w="1200" w:type="dxa"/>
            <w:vAlign w:val="bottom"/>
            <w:gridSpan w:val="4"/>
          </w:tcPr>
          <w:p>
            <w:pPr>
              <w:jc w:val="right"/>
              <w:ind w:right="240"/>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100" w:type="dxa"/>
            <w:vAlign w:val="bottom"/>
            <w:gridSpan w:val="2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7"/>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Signatures</w:t>
              </w:r>
            </w:hyperlink>
          </w:p>
        </w:tc>
        <w:tc>
          <w:tcPr>
            <w:tcW w:w="7100" w:type="dxa"/>
            <w:vAlign w:val="bottom"/>
            <w:gridSpan w:val="22"/>
          </w:tcPr>
          <w:p>
            <w:pPr>
              <w:spacing w:after="0"/>
              <w:rPr>
                <w:sz w:val="18"/>
                <w:szCs w:val="18"/>
                <w:color w:val="auto"/>
              </w:rPr>
            </w:pPr>
          </w:p>
        </w:tc>
        <w:tc>
          <w:tcPr>
            <w:tcW w:w="1200" w:type="dxa"/>
            <w:vAlign w:val="bottom"/>
            <w:gridSpan w:val="4"/>
          </w:tcPr>
          <w:p>
            <w:pPr>
              <w:jc w:val="right"/>
              <w:ind w:right="240"/>
              <w:spacing w:after="0"/>
              <w:rPr>
                <w:rFonts w:ascii="Arial" w:cs="Arial" w:eastAsia="Arial" w:hAnsi="Arial"/>
                <w:sz w:val="18"/>
                <w:szCs w:val="18"/>
                <w:color w:val="0000FF"/>
              </w:rPr>
            </w:pPr>
            <w:hyperlink w:anchor="page76">
              <w:r>
                <w:rPr>
                  <w:rFonts w:ascii="Arial" w:cs="Arial" w:eastAsia="Arial" w:hAnsi="Arial"/>
                  <w:sz w:val="18"/>
                  <w:szCs w:val="18"/>
                  <w:color w:val="0000FF"/>
                </w:rPr>
                <w:t>77</w:t>
              </w:r>
            </w:hyperlink>
          </w:p>
        </w:tc>
        <w:tc>
          <w:tcPr>
            <w:tcW w:w="0" w:type="dxa"/>
            <w:vAlign w:val="bottom"/>
          </w:tcPr>
          <w:p>
            <w:pPr>
              <w:spacing w:after="0"/>
              <w:rPr>
                <w:sz w:val="1"/>
                <w:szCs w:val="1"/>
                <w:color w:val="auto"/>
              </w:rPr>
            </w:pPr>
          </w:p>
        </w:tc>
      </w:tr>
      <w:tr>
        <w:trPr>
          <w:trHeight w:val="892"/>
        </w:trPr>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Annual Report on Form 10-K, or the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such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Moreover, we operate in an evolving environment. New risks and uncertainties may emerge from time to time, and it is not possible for management to predict all risk and uncertainties.</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6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80"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color w:val="auto"/>
        </w:rPr>
        <w:t>We continually seek to enhance ImmTOR. In recent preclinical studies we have conducted, we have observed that ImmTOR may have synergistic activity with interleukin-2, or IL-2, molecules that have been engineered to be selective for regulatory T cells, or Tregs. Treg-selective IL-2 mutant molecules, or IL-2 muteins, have been shown to transiently expand all pre-existing Tregs in preclinical studies conducted by others. We have observed in preclinical studies that the combination of ImmTOR, a Treg-selective IL-2 mutein and an antigen elicited an approximately three-fold increase in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rFonts w:ascii="Arial" w:cs="Arial" w:eastAsia="Arial" w:hAnsi="Arial"/>
          <w:sz w:val="17"/>
          <w:szCs w:val="17"/>
          <w:color w:val="auto"/>
        </w:rPr>
        <w:t>™</w:t>
      </w:r>
      <w:r>
        <w:rPr>
          <w:rFonts w:ascii="Arial" w:cs="Arial" w:eastAsia="Arial" w:hAnsi="Arial"/>
          <w:sz w:val="16"/>
          <w:szCs w:val="16"/>
          <w:color w:val="auto"/>
        </w:rPr>
        <w:t>. We believe this combination has the potential to be a best-in-class therapy in diseases where expansion of total Tregs may prove beneficial.</w:t>
      </w:r>
    </w:p>
    <w:p>
      <w:pPr>
        <w:spacing w:after="0" w:line="5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believe ImmTOR and ImmTOR-IL have the potential to enhance both the efficacy and safety of biologic therapies (including gene therapies), improve product candidates under development, and enable novel therapeutic modalities in autoimmune disease. In clinical trials, ImmTOR has been observed to inhibit the formation of neutralizing antibodies to adeno-associated virus (AAV) capsids, potentially enabling re-dosing of gene therapies. Additionally, based on preclinical data in AAV gene therapies, we believe that ImmTOR has the potential to improve efficacy and safety by increasing transgene expression, reducing hepatic inflammation and inhibiting undesired immune responses to both the AAV capsid and the transgene product that can occur with the first dose of gene therapy. In biologic therapies, clinical activity of ImmTOR in humans has been observed with pegadricase, a highly immunogenic pegylated uricase enzyme being developed for the treatment of patients with chronic refractory gout to conventional therapy. The combination of ImmTOR and pegadricase is currently being evaluated in a Phase 3 clinical trial that we are conducting on behalf of our partner Swedish Orphan Biovitrum AB, or Sobi. We intend to pursue development of therapies for autoimmune diseases where expansion of either all Tregs or antigen-specific Tregs has been shown to, or we believe is, likely to have a beneficial effect. We believe that ImmTOR and ImmTOR-IL have the potential to unlock antigen-specific therapies for autoimmune diseases and that ImmTOR-IL can further improve the efficacy and safety profile of biologic therapies beyond ImmTOR alone.</w:t>
      </w:r>
    </w:p>
    <w:p>
      <w:pPr>
        <w:spacing w:after="0" w:line="71" w:lineRule="exact"/>
        <w:rPr>
          <w:sz w:val="20"/>
          <w:szCs w:val="20"/>
          <w:color w:val="auto"/>
        </w:rPr>
      </w:pPr>
    </w:p>
    <w:p>
      <w:pPr>
        <w:ind w:right="540" w:firstLine="324"/>
        <w:spacing w:after="0" w:line="311" w:lineRule="auto"/>
        <w:rPr>
          <w:sz w:val="20"/>
          <w:szCs w:val="20"/>
          <w:color w:val="auto"/>
        </w:rPr>
      </w:pPr>
      <w:r>
        <w:rPr>
          <w:rFonts w:ascii="Arial" w:cs="Arial" w:eastAsia="Arial" w:hAnsi="Arial"/>
          <w:sz w:val="16"/>
          <w:szCs w:val="16"/>
          <w:color w:val="auto"/>
        </w:rPr>
        <w:t>We have developed a portfolio of wholly owned and partnered candidates across gene therapies, biologic therapies and tolerogenic therapies for autoimmune diseases that leverage our ImmTOR platform. We plan to continue to develop proprietary compounds and pursue collaboration-driven development in certain disease areas, which could include strategic collaborations, out-licensing, and in-licensing transactions.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ImmTOR Platform</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ImmTOR consists of biodegradable nanoparticles encapsulating the immunomodulator rapamycin. Rapamycin is the active ingredient of Rapamune, an immunosuppressant that has been used extensively in humans and is currently FDA-approved as a prophylaxis of organ rejection in kidney transplant patients aged 13 or older. The rapamycin component of ImmTOR is embedded in a matrix of synthetic polymers called poly(D,L-lactide), or PLA, and poly(D,L-lactide)-block-poly(ethylene-glycol), or PLA-PEG.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w:t>
      </w:r>
    </w:p>
    <w:p>
      <w:pPr>
        <w:spacing w:after="0" w:line="5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nanoparticles are designed to remain intact after injection into the body and accumulate predominantly in lymph nodes, the spleen, and the liver, where immune responses are coordinated. The nanoparticles are designed to be processed by specialized immune cells, such as dendritic cells and other antigen-presenting cells, that initiate and regulate immune responses. ImmTOR is intended to induce a tolerogenic phenotype in these antigen-presenting cells, which then process and present co-administered antigens in a manner that results in the induction of antigen-specific regulatory T cells. To mitigate unwanted immune responses by inducing precision immune tolerance in the body, we administer our ImmTOR with the desired antigen, such as an auto-antigen in the case of an autoimmune disease, a viral vector in the case of our gene therapy program, or a therapeutic enzyme, as depicted in the figure below.</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357505</wp:posOffset>
            </wp:positionV>
            <wp:extent cx="3429000" cy="2143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case of a biologic drug, ImmTOR is designed to be administered in conjunction with such biologic drugs to mitigate the formation of ADAs without requiring the alteration of the drug or its dose regimen. As a result, we believe ImmTOR may provide us with significant opportunities to co-administer ImmTOR with a variety of biologic drugs, including therapeutic enzymes and gene therapies. We believe each pairing of ImmTOR with a biologic drug also offers us the opportunity to pursue distinct proprietary product candidates, which we believe have the potential to be separately patented, approved and marketed. ImmTOR is manufactured in facilities subject to current good manufacturing practice, or cGMP, requirements using well-defined commercial operations, which, we believe, further enhances the scalability of our tolerance programs.</w:t>
      </w:r>
    </w:p>
    <w:p>
      <w:pPr>
        <w:spacing w:after="0" w:line="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preclinical studies, we observed that delivering an antigen together with ImmTOR provided the appropriate signals in vivo to induce regulatory T cells, which, in turn, inhibited effector immune responses, such as the formation of ADAs. In additional preclinical studies, we observed that ImmTOR labeled with a fluorescent dye selectively accumulated in the spleen and the liver following intravenous dosing, where it was processed by antigen-presenting cells, such as dendritic cells. The figure below depicts a model of how we believe ImmTOR would be taken up by a dendritic cell in the spleen. We believe that both the biologic drug and ImmTOR are taken up and processed by dendritic cells and other antigen presenting cells in a manner that may result in the activation of antigen-specific regulatory T cells, which can potentially block the activation of helper T cells, thus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287020</wp:posOffset>
            </wp:positionV>
            <wp:extent cx="3000375" cy="3257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0375" cy="325755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ImmTOR-IL</w:t>
      </w:r>
    </w:p>
    <w:p>
      <w:pPr>
        <w:spacing w:after="0" w:line="11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look for ways to enhance our ImmTOR platform. Recent preclinical data generated by our scientific teams suggest that ImmTOR may have profound synergistic activity with engineered IL-2 molecules that are selective for Tregs. The IL-2 pathway influences critical aspects of both immune stimulation and immune regulation. Tregs express a high affinity form of the IL-2 receptor. Low doses of IL-2 have been shown by others to selectively activate Tregs resulting in expansion of pre-existing Tregs. Clinical trials of low dose IL-2 have generated evidence of efficacy in autoimmune diseases, such as systemic lupus erythematosus. Other investigators have shown that IL-2 can be engineered to selectively bind to the high affinity IL-2 receptor and expand pre-existing Tregs.</w:t>
      </w:r>
    </w:p>
    <w:p>
      <w:pPr>
        <w:spacing w:after="0" w:line="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our preclinical studies, we observed that ImmTOR combined with a Treg-selective IL-2 mutant protein, or IL-2 mutein, exhibited substantial synergistic activity in increasing the percentage and durability of total Treg expansion in the spleen. We believe that this combination has the potential to be a best-in-class therapy in diseases where expansion of total Treg may prove beneficial. The tables below show the synergistic expansion of total Treg we observed with treatment with ImmTOR and a Treg-selective IL-2 mutein. In the study, seven C57BL/6 mice per group were untreated, treated with ImmTOR alone, treated with IL-2 mutein alone or treated with a combination of ImmTOR and IL-2 mutein. Expansion of CD4+, CD25+ and FoxP3+ T regulatory cells in the spleen was assessed at four, seven and 14 days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53340</wp:posOffset>
            </wp:positionV>
            <wp:extent cx="4714875" cy="1200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487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believe that the power of ImmTOR is the ability to induce antigen-specific Treg to co-administered antigens. The ability to induce antigen-specific Treg may be beneficial in autoimmune diseases where the auto-antigens are well characterized. We believe the combination of a Treg-selective IL-2 with ImmTOR and an antigen has the potential to induce and/or expand antigen specific Treg. The image below illustrates the possibility that the combination of a Treg-selective IL-2 with ImmTOR plus an antigen could give rise to the induction and/or expansion of an antigen-specific Treg.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40005</wp:posOffset>
            </wp:positionV>
            <wp:extent cx="4714875" cy="1714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48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a preclinical study, we evaluated the potential of a Treg-selective IL-2 to further expand antigen-specific Treg when combined with ImmTOR and an antigen. In this preclinical study, transgenic T cells expressing a T cell receptor specific for the antigen ovalbumin were adoptively transferred into wildtype mice. The next day, the mice were treated, left untreated or treated with ovalbumin or various combinations of ovalbumin with ImmTOR and/or IL-2 mutein. When total Treg were evaluated, we observed no increase an expansion of total Treg by IL-2 mutein + ovalbumin with a further increase in animals treated with ovalbumin + IL-2 mutein + ImmTOR. As we had expected, ImmTOR + ovalbumin alone did not increase total Treg. However, when ovalbumin-specific Treg were evaluated, we observed a significant increase in antigen-specific Treg in animals treated with the combination of ovalbumin</w:t>
      </w:r>
    </w:p>
    <w:p>
      <w:pPr>
        <w:spacing w:after="0" w:line="4" w:lineRule="exact"/>
        <w:rPr>
          <w:sz w:val="20"/>
          <w:szCs w:val="20"/>
          <w:color w:val="auto"/>
        </w:rPr>
      </w:pPr>
    </w:p>
    <w:p>
      <w:pPr>
        <w:ind w:right="300" w:firstLine="8"/>
        <w:spacing w:after="0" w:line="255" w:lineRule="auto"/>
        <w:tabs>
          <w:tab w:leader="none" w:pos="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ImmTOR + IL-2 mutein. Animals treated with only ImmTOR + ovalbumin also were observed to have an increase in ovalbumin-specific Tregs but at levels that were approximately three-fold lower than those in the former group. The following graphs show expansion of antigen-specific Treg in mice treated with ImmTOR plus IL-2 mutein plus ovalbumin antigen.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288925</wp:posOffset>
            </wp:positionV>
            <wp:extent cx="4286250" cy="265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Immune homeostasis is a dynamic process balancing immune stimulatory and immune tolerizing signals. This balance is thought to be mediated in part by the ratio of antigen-specific Treg to antigen-specific effector T cells. The expansion of antigen-specific Tregs has the potential to better withstand potent immune stimulatory signals and provide better durability of immune tolerance. In a preclinical study, we evaluated the ability of ImmTOR and IL-2 mutein to mitigate the immunogenicity to a co-administered AAV vector. Mice were injected with a dose of 2.7E12 vg/kg AAV8 on Day 0 and 5.0E12 vg/kg on Day 56 with or without IL-2 mutein and/or ImmTOR on the same days. Mice treated with AAV alone showed a robust antibody response to the AAV capsid, as we had expected. Co-treatment with IL-2 mutein on Days 0 and 56 showed a modest attenuation of the antibody response. Co-treatment with ImmTOR on Days 0 and 56 showed a dose-responsive effect on the antibody response, with a therapeutic dose of 200 µg ImmTOR providing inhibition of antibodies against AAV through at least Day 75, or 19 days after the second dose. At Day 91, some animals showed breakthrough of the antibody response. ImmTOR doses of 50 and 100 µg alone were sub-optimal. However, when ImmTOR was combined with IL-2 mutein, we observed inhibition of antibody formation through Day 117, 61 days after the second dose and the last time point measured. Importantly full inhibition of anti-AAV immunoglobulin G, or IgG, antibodies was observed even when IL-2 mutein was combined with 50 and 100 µg doses of ImmTOR. We believe these results suggest that the addition of a Treg-selective IL-2 to ImmTOR has the potential to increase the durability of tolerance allow for dose-sparing of ImmTOR and thus, potentially enabling chronic dosing of ImmTOR-IL in the treatment of autoimmune disease. The following graphs illustrate the combination of ImmTOR and IL-2 mutein mitigated the formation of anti-AAV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280035</wp:posOffset>
            </wp:positionV>
            <wp:extent cx="4714875" cy="2228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487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ImmTOR platform has a broad range of potential applications. Our product development strategy is built on the following three distinct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97790</wp:posOffset>
            </wp:positionV>
            <wp:extent cx="4714875" cy="1722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487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right="20" w:firstLine="324"/>
        <w:spacing w:after="0" w:line="271" w:lineRule="auto"/>
        <w:rPr>
          <w:sz w:val="20"/>
          <w:szCs w:val="20"/>
          <w:color w:val="auto"/>
        </w:rPr>
      </w:pPr>
      <w:r>
        <w:rPr>
          <w:rFonts w:ascii="Arial" w:cs="Arial" w:eastAsia="Arial" w:hAnsi="Arial"/>
          <w:sz w:val="17"/>
          <w:szCs w:val="17"/>
          <w:b w:val="1"/>
          <w:bCs w:val="1"/>
          <w:i w:val="1"/>
          <w:iCs w:val="1"/>
          <w:color w:val="auto"/>
        </w:rPr>
        <w:t>Biologic therapies</w:t>
      </w:r>
      <w:r>
        <w:rPr>
          <w:rFonts w:ascii="Arial" w:cs="Arial" w:eastAsia="Arial" w:hAnsi="Arial"/>
          <w:sz w:val="17"/>
          <w:szCs w:val="17"/>
          <w:color w:val="auto"/>
        </w:rPr>
        <w:t>. Biologic therapies are a class of biologic drugs frequently used to treat rare diseases. Through our analysis of biologic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drugs, including 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is currently in Phase 3 clinical development,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and bacterial IgG protease, or Xork, for the treatment of IgG-mediated autoimmune disease flares.</w:t>
      </w:r>
    </w:p>
    <w:p>
      <w:pPr>
        <w:spacing w:after="0" w:line="70"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Additionally, we believe advances in protein engineering may lead to innovative therapeutic enzymes with improved pharmaceutical properties or entirely novel specificity and/or activity, but which may be recognized as foreign by the immune system. We are partnering with Ginkgo Bioworks, or Ginkgo, to design novel enzymes and proteins with transformative therapeutic potential which can be paired with ImmTOR to advance treatments for orphan and rare diseases. We intend to seek, if appropriate, licenses to other enzymes to evaluate in combination with ImmTOR.</w:t>
      </w:r>
    </w:p>
    <w:p>
      <w:pPr>
        <w:spacing w:after="0" w:line="80" w:lineRule="exact"/>
        <w:rPr>
          <w:sz w:val="20"/>
          <w:szCs w:val="20"/>
          <w:color w:val="auto"/>
        </w:rPr>
      </w:pPr>
    </w:p>
    <w:p>
      <w:pPr>
        <w:ind w:left="660" w:right="140" w:firstLine="324"/>
        <w:spacing w:after="0" w:line="271" w:lineRule="auto"/>
        <w:rPr>
          <w:sz w:val="20"/>
          <w:szCs w:val="20"/>
          <w:color w:val="auto"/>
        </w:rPr>
      </w:pPr>
      <w:r>
        <w:rPr>
          <w:rFonts w:ascii="Arial" w:cs="Arial" w:eastAsia="Arial" w:hAnsi="Arial"/>
          <w:sz w:val="17"/>
          <w:szCs w:val="17"/>
          <w:b w:val="1"/>
          <w:bCs w:val="1"/>
          <w:i w:val="1"/>
          <w:iCs w:val="1"/>
          <w:color w:val="auto"/>
        </w:rPr>
        <w:t>Gene therapies</w:t>
      </w:r>
      <w:r>
        <w:rPr>
          <w:rFonts w:ascii="Arial" w:cs="Arial" w:eastAsia="Arial" w:hAnsi="Arial"/>
          <w:sz w:val="17"/>
          <w:szCs w:val="17"/>
          <w:color w:val="auto"/>
        </w:rPr>
        <w:t>. We believe gene therapies have the potential to address key unmet medical needs for many rare genetic diseases, but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undesired immune 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 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w:t>
      </w:r>
    </w:p>
    <w:p>
      <w:pPr>
        <w:spacing w:after="0" w:line="70" w:lineRule="exact"/>
        <w:rPr>
          <w:sz w:val="20"/>
          <w:szCs w:val="20"/>
          <w:color w:val="auto"/>
        </w:rPr>
      </w:pPr>
    </w:p>
    <w:p>
      <w:pPr>
        <w:ind w:left="660" w:right="100"/>
        <w:spacing w:after="0" w:line="269" w:lineRule="auto"/>
        <w:rPr>
          <w:sz w:val="20"/>
          <w:szCs w:val="20"/>
          <w:color w:val="auto"/>
        </w:rPr>
      </w:pPr>
      <w:r>
        <w:rPr>
          <w:rFonts w:ascii="Arial" w:cs="Arial" w:eastAsia="Arial" w:hAnsi="Arial"/>
          <w:sz w:val="17"/>
          <w:szCs w:val="17"/>
          <w:color w:val="auto"/>
        </w:rPr>
        <w:t>We have observed that ImmTOR, when used in combination with AAV gene therapy vectors, inhibited the immune response to the viral vector and enabled successful re-dosing in both mice and non-human primates.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pediatric patients, who may lose expression over time as they grow. In a study conducted in non-human primates, or NHP, we observed that co-administration of AAV vector and ImmTOR resulted in higher and more durable transgene expression after the first dose of gene therapy as well as robust inhibition of anti-AAV8 immunoglobulin G, or IgG and neutralizing antibodies. We believe the observation that co-administration of AAV vector and ImmTOR can lead to higher transgene expression illustrates the potential for dosing lower levels of AAV gene therapies when combined with ImmTOR. Integrating ImmTOR into a gene therapy protocol has the potential to provide a first dose benefit by enhancing liver-directed transgene expression and durability, as well as the potential to enable re-dosing to restore or augment transgene expression.</w:t>
      </w:r>
    </w:p>
    <w:p>
      <w:pPr>
        <w:spacing w:after="0" w:line="77"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We have observed in preclinical studies that ImmTOR may also have hepatoprotective effects in mouse models of inflammation. As hepatotoxicity is associated with higher vector doses, one potential strategy that we are pursuing is to use ImmTOR to enable multiple lower doses of AAV vectors to mitigate toxicity risks associated with high vector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doses. We are concurrently working with our partner Ginkgo to develop a proprietary AAV capsid with improved transduction for liver-directed gene therapy. The below illustration depicts the potential benefits of ImmTOR in systemic AAV gene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48895</wp:posOffset>
            </wp:positionV>
            <wp:extent cx="4714875" cy="2057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487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We recently completed a human proof-of-concept trial (SEL-399) in healthy volunteers who were treated with an empty AAV8 capsid (EMC-101), which is an AAV capsid containing no transgene, alone or in combination with ImmTOR. This clinical trial was conducted in Belgium in partnership with Asklepios BioPharmaceutical, Inc., or AskBio (a Bayer AG subsidiary). The goal of the SEL-399 clinical trial was to evaluate the appropriate dose of ImmTOR in humans to mitigate the formation of antibodies to AAV capsids used in gene therapies. Top-line results indicated that AAV8 empty capsids elicited peak median anti-AA8 neutralizing antibody, or NAb, titers of 1:6875. Median day 30 NAb titers were reduced to titers of 1:25 and 1:5 in the 0.15 mg/kg and 0.3 mg/kg ImmTOR cohorts, respectively, representing a 50-fold and 250-fold difference, respectively, compared to the median of control subjects dosed with AAV8 empty capsid alone, as depicted in the figure below. Further, we observed that at Day 30, six of six, or 100%, of subjects that received 0.3 mg/kg exhibited NAb titers of 1:25 or less, and four of six, or 67%, of those subjects at this dose exhibited NAb titers of 1:5 or less. We observed at Day 30 that six of nine, or 67%, of subjects that received 0.15 mg/kg of ImmTOR exhibited NAb titers of 1:25 or less, and two of nine, or 22%, of subjects at this dose had a titer of 1:5 or less. At Day 90, two of six subjects in the 0.3 mg/kg cohort were observed to have sustained control of neutralizing antibodies with titers of 1:25 or less. Consistent with preclinical data, we observed that the single dose ImmTOR cohorts showed delayed formation of neutralizing antibodies which eventually reached similar median levels of neutralizing antibodies to the control group by Day 90. Similar data were observed in NHP receiving a single dose of ImmTOR with an AAV gene therapy vector in a preclinical study. Importantly, we observed that two additional doses of ImmTOR, or a total of three monthly doses, provided durable inhibition of neutralizing antibodies in NHP. Although we could not evaluate three-monthly doses of ImmTOR in healthy volunteers, we intend to employ a three-monthly dose regimen in clinical trials performed in patients. ImmTOR showed safety results consistent with prior human studies and was generally well tolerated. No serious adverse events were reported. The most common treatment-related adverse events included mild-to-moderate stomatitis and rash. We believe this promising trial in healthy volunteers provides support for the potential use of ImmTOR for the inhibition of neutralizing antibodies to AAV8 in gene therapy clinical trials. The following graphs depict the effect of ImmTOR on the formation of neutralizing antibodies to AAV8 capsid in humans and NHP.</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288925</wp:posOffset>
            </wp:positionV>
            <wp:extent cx="428625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8625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Finally, pre-existing neutralizing antibodies, which develop as a result of prior infection with wildtype AAV, are a major exclusion factor in clinical trials causing many potential patients to be ineligible for gene therapy. We have licensed a bacterial IgG protease, or Xork, from Genovis AB (publ.), or Genovis. IgG proteases have been shown by others to transiently cleave IgG and enable dosing of AAV vectors in the presence of pre-existing antibodies in NHP. However, IgG proteases, being of bacterial origin, are themselves immunogenic. The most commonly studied IgG protease, called IdeS or imlifidase, is derived from Streptococcus pyogenes, a common human pathogen. Most healthy individuals have been exposed to S. pyogenes and have pre-existing antibodies against IdeS. We believe that Xork is a differentiated product candidate, as it is derived from a Streptoccocal species that does not infect humans and so the enzyme shows very low cross reactivity to naturally existing antibodies in most human serum. We plan to develop Xork with the intention of enabling access to AAV gene therapy for those patients who are currently excluded due to pre-existing anti-AAV antibodies.</w:t>
      </w:r>
    </w:p>
    <w:p>
      <w:pPr>
        <w:spacing w:after="0" w:line="7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Through our analysis of genetic diseases, we have identified applications and patient segments that we believe would benefit from our ImmTOR platform. Our initial area of focus is on genetic metabolic diseases but may also include lysosomal storage diseases and genetic muscular diseases. We believe we are the first company to systematically pursue the development of AAV gene therapy product candidates with the goal of enabling repeat administration. We have engaged third parties with experience in gene therapy and rare diseases to support the development of our proprietary products. We also have licensed our ImmTOR platform to AskBio, Sarepta Therapeutics, Inc., or Sarepta, and Takeda Pharmaceuticals USA, Inc., or Takeda, for certain pre-specified targets.</w:t>
      </w:r>
    </w:p>
    <w:p>
      <w:pPr>
        <w:spacing w:after="0" w:line="84" w:lineRule="exact"/>
        <w:rPr>
          <w:sz w:val="20"/>
          <w:szCs w:val="20"/>
          <w:color w:val="auto"/>
        </w:rPr>
      </w:pPr>
    </w:p>
    <w:p>
      <w:pPr>
        <w:ind w:left="660" w:right="60" w:firstLine="324"/>
        <w:spacing w:after="0" w:line="259" w:lineRule="auto"/>
        <w:rPr>
          <w:sz w:val="20"/>
          <w:szCs w:val="20"/>
          <w:color w:val="auto"/>
        </w:rPr>
      </w:pPr>
      <w:r>
        <w:rPr>
          <w:rFonts w:ascii="Arial" w:cs="Arial" w:eastAsia="Arial" w:hAnsi="Arial"/>
          <w:sz w:val="18"/>
          <w:szCs w:val="18"/>
          <w:b w:val="1"/>
          <w:bCs w:val="1"/>
          <w:i w:val="1"/>
          <w:iCs w:val="1"/>
          <w:color w:val="auto"/>
        </w:rPr>
        <w:t>Tolerogenic Therapies for Autoimmune Disease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Autoimmune diseases are caused by a breakdown in natural tolerance to our own self-antigens. With over 24 million Americans afflicted with autoimmune diseases, there is a large unmet medical need. As the ImmTOR platform is designed to induce or expand antigen specific T regulatory cells, we believe the ImmTOR platform has the potential to treat autoimmune diseases by restoring self-tolerance to auto-antigens.</w:t>
      </w:r>
    </w:p>
    <w:p>
      <w:pPr>
        <w:spacing w:after="0" w:line="7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Recent preclinical data generated by our scientific team suggest that ImmTOR may have profound synergistic activity with engineered IL-2 molecules that are selective for Tregs. The IL-2 pathway influences critical aspects of both immune stimulation and immune regulation. Tregs express a high affinity form of the IL-2 receptor. Low doses of IL-2 have been shown by others to selectively activate Tregs resulting in expansion of pre-existing Tregs. Clinical trials of</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80"/>
        <w:spacing w:after="0" w:line="342" w:lineRule="auto"/>
        <w:rPr>
          <w:sz w:val="20"/>
          <w:szCs w:val="20"/>
          <w:color w:val="auto"/>
        </w:rPr>
      </w:pPr>
      <w:r>
        <w:rPr>
          <w:rFonts w:ascii="Arial" w:cs="Arial" w:eastAsia="Arial" w:hAnsi="Arial"/>
          <w:sz w:val="16"/>
          <w:szCs w:val="16"/>
          <w:color w:val="auto"/>
        </w:rPr>
        <w:t>low dose IL-2 have shown evidence of efficacy in small clinical trials of autoimmune diseases, such as systemic lupus erythematosus. Other investigators have shown that IL-2 can be engineered to selectively bind the high affinity IL-2 receptor and expand pre-existing Tregs.</w:t>
      </w:r>
    </w:p>
    <w:p>
      <w:pPr>
        <w:spacing w:after="0" w:line="16" w:lineRule="exact"/>
        <w:rPr>
          <w:sz w:val="20"/>
          <w:szCs w:val="20"/>
          <w:color w:val="auto"/>
        </w:rPr>
      </w:pPr>
    </w:p>
    <w:p>
      <w:pPr>
        <w:ind w:left="660" w:right="240"/>
        <w:spacing w:after="0" w:line="257" w:lineRule="auto"/>
        <w:rPr>
          <w:sz w:val="20"/>
          <w:szCs w:val="20"/>
          <w:color w:val="auto"/>
        </w:rPr>
      </w:pPr>
      <w:r>
        <w:rPr>
          <w:rFonts w:ascii="Arial" w:cs="Arial" w:eastAsia="Arial" w:hAnsi="Arial"/>
          <w:sz w:val="18"/>
          <w:szCs w:val="18"/>
          <w:color w:val="auto"/>
        </w:rPr>
        <w:t>In our preclinical studies, we observed that ImmTOR combined with a Treg-selective IL-2 mutant protein, or IL-2 mutein, exhibited substantial synergistic activity in increasing the percentage and durability of total Treg expansion in the spleen. We believe that this combination has the potential to be a best-in-class therapy in diseases where expansion of total Treg may prove beneficial. Furthermore, in our preclinical studies, when we combined ImmTOR-IL with an antigen, we measured an approximately three-fold increase in antigen-specific T regulatory cells vs ImmTOR alone.</w:t>
      </w:r>
    </w:p>
    <w:p>
      <w:pPr>
        <w:spacing w:after="0" w:line="8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Our first program in autoimmune diseases is in primary biliary cholangitis, or PBC. PBC has a significant unmet medical need and a well-defined target antigen.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our ongoing discovery, research, and development programs:</w:t>
      </w:r>
    </w:p>
    <w:p>
      <w:pPr>
        <w:spacing w:after="0" w:line="138" w:lineRule="exact"/>
        <w:rPr>
          <w:sz w:val="20"/>
          <w:szCs w:val="20"/>
          <w:color w:val="auto"/>
        </w:rPr>
      </w:pPr>
    </w:p>
    <w:tbl>
      <w:tblPr>
        <w:tblLayout w:type="fixed"/>
        <w:tblInd w:w="1850" w:type="dxa"/>
        <w:tblCellMar>
          <w:top w:w="0" w:type="dxa"/>
          <w:left w:w="0" w:type="dxa"/>
          <w:bottom w:w="0" w:type="dxa"/>
          <w:right w:w="0" w:type="dxa"/>
        </w:tblCellMar>
      </w:tblPr>
      <w:tr>
        <w:trPr>
          <w:trHeight w:val="244"/>
        </w:trPr>
        <w:tc>
          <w:tcPr>
            <w:tcW w:w="198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14"/>
                <w:szCs w:val="14"/>
                <w:b w:val="1"/>
                <w:bCs w:val="1"/>
                <w:color w:val="auto"/>
              </w:rPr>
              <w:t>Program</w:t>
            </w:r>
          </w:p>
        </w:tc>
        <w:tc>
          <w:tcPr>
            <w:tcW w:w="20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Phase of Development</w:t>
            </w:r>
          </w:p>
        </w:tc>
        <w:tc>
          <w:tcPr>
            <w:tcW w:w="19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w w:val="97"/>
              </w:rPr>
              <w:t>Anticipated Next Steps</w:t>
            </w:r>
          </w:p>
        </w:tc>
        <w:tc>
          <w:tcPr>
            <w:tcW w:w="196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Commercial Rights</w:t>
            </w: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204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980" w:type="dxa"/>
            <w:vAlign w:val="bottom"/>
            <w:tcBorders>
              <w:left w:val="single" w:sz="8" w:color="auto"/>
            </w:tcBorders>
          </w:tcPr>
          <w:p>
            <w:pPr>
              <w:ind w:left="360"/>
              <w:spacing w:after="0"/>
              <w:rPr>
                <w:sz w:val="20"/>
                <w:szCs w:val="20"/>
                <w:color w:val="auto"/>
              </w:rPr>
            </w:pPr>
            <w:r>
              <w:rPr>
                <w:rFonts w:ascii="Arial" w:cs="Arial" w:eastAsia="Arial" w:hAnsi="Arial"/>
                <w:sz w:val="14"/>
                <w:szCs w:val="14"/>
                <w:b w:val="1"/>
                <w:bCs w:val="1"/>
                <w:color w:val="auto"/>
              </w:rPr>
              <w:t>Biologic Therapies</w:t>
            </w: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SEL-212</w:t>
            </w:r>
          </w:p>
        </w:tc>
        <w:tc>
          <w:tcPr>
            <w:tcW w:w="20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Phase 3 clinical trials</w:t>
            </w:r>
          </w:p>
        </w:tc>
        <w:tc>
          <w:tcPr>
            <w:tcW w:w="19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Top-line data Q4 2022</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Sobi</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(Chronic Refractory Gout)</w:t>
            </w:r>
          </w:p>
        </w:tc>
        <w:tc>
          <w:tcPr>
            <w:tcW w:w="20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(DISSOLVE I / DISSOLVE II)</w:t>
            </w:r>
          </w:p>
        </w:tc>
        <w:tc>
          <w:tcPr>
            <w:tcW w:w="19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vMerge w:val="continue"/>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4"/>
                <w:szCs w:val="14"/>
                <w:i w:val="1"/>
                <w:iCs w:val="1"/>
                <w:color w:val="auto"/>
              </w:rPr>
              <w:t>IgA nephropathy</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IND enabling studies,</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2022</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980" w:type="dxa"/>
            <w:vAlign w:val="bottom"/>
            <w:tcBorders>
              <w:left w:val="single" w:sz="8" w:color="auto"/>
            </w:tcBorders>
          </w:tcPr>
          <w:p>
            <w:pPr>
              <w:ind w:left="360"/>
              <w:spacing w:after="0"/>
              <w:rPr>
                <w:sz w:val="20"/>
                <w:szCs w:val="20"/>
                <w:color w:val="auto"/>
              </w:rPr>
            </w:pPr>
            <w:r>
              <w:rPr>
                <w:rFonts w:ascii="Arial" w:cs="Arial" w:eastAsia="Arial" w:hAnsi="Arial"/>
                <w:sz w:val="14"/>
                <w:szCs w:val="14"/>
                <w:b w:val="1"/>
                <w:bCs w:val="1"/>
                <w:color w:val="auto"/>
              </w:rPr>
              <w:t>Gene Therapies</w:t>
            </w: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Methylmalonic acidemia</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IND filed / Phase 1</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IND approval and study</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(MMA)</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commencement, 2022</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980" w:type="dxa"/>
            <w:vAlign w:val="bottom"/>
            <w:tcBorders>
              <w:left w:val="single" w:sz="8" w:color="auto"/>
              <w:right w:val="single" w:sz="8" w:color="auto"/>
            </w:tcBorders>
          </w:tcPr>
          <w:p>
            <w:pPr>
              <w:ind w:left="440"/>
              <w:spacing w:after="0" w:line="155" w:lineRule="exact"/>
              <w:rPr>
                <w:sz w:val="20"/>
                <w:szCs w:val="20"/>
                <w:color w:val="auto"/>
              </w:rPr>
            </w:pPr>
            <w:r>
              <w:rPr>
                <w:rFonts w:ascii="Arial" w:cs="Arial" w:eastAsia="Arial" w:hAnsi="Arial"/>
                <w:sz w:val="14"/>
                <w:szCs w:val="14"/>
                <w:i w:val="1"/>
                <w:iCs w:val="1"/>
                <w:color w:val="auto"/>
              </w:rPr>
              <w:t>Ornithine</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IND-enabling</w:t>
            </w:r>
          </w:p>
        </w:tc>
        <w:tc>
          <w:tcPr>
            <w:tcW w:w="19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Currently paused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tcPr>
          <w:p>
            <w:pPr>
              <w:ind w:left="100"/>
              <w:spacing w:after="0" w:line="135" w:lineRule="exact"/>
              <w:rPr>
                <w:sz w:val="20"/>
                <w:szCs w:val="20"/>
                <w:color w:val="auto"/>
              </w:rPr>
            </w:pPr>
            <w:r>
              <w:rPr>
                <w:rFonts w:ascii="Arial" w:cs="Arial" w:eastAsia="Arial" w:hAnsi="Arial"/>
                <w:sz w:val="14"/>
                <w:szCs w:val="14"/>
                <w:i w:val="1"/>
                <w:iCs w:val="1"/>
                <w:color w:val="auto"/>
              </w:rPr>
              <w:t>Transcarbamylase (OTC)</w:t>
            </w:r>
          </w:p>
        </w:tc>
        <w:tc>
          <w:tcPr>
            <w:tcW w:w="204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i w:val="1"/>
                <w:iCs w:val="1"/>
                <w:color w:val="auto"/>
              </w:rPr>
              <w:t>Deficiency</w:t>
            </w:r>
          </w:p>
        </w:tc>
        <w:tc>
          <w:tcPr>
            <w:tcW w:w="20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4"/>
                <w:szCs w:val="14"/>
                <w:i w:val="1"/>
                <w:iCs w:val="1"/>
                <w:color w:val="auto"/>
              </w:rPr>
              <w:t>IgG protease (Xork)</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IND enabling studies,</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2022</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vMerge w:val="restart"/>
          </w:tcPr>
          <w:p>
            <w:pPr>
              <w:ind w:left="440"/>
              <w:spacing w:after="0"/>
              <w:rPr>
                <w:sz w:val="20"/>
                <w:szCs w:val="20"/>
                <w:color w:val="auto"/>
              </w:rPr>
            </w:pPr>
            <w:r>
              <w:rPr>
                <w:rFonts w:ascii="Arial" w:cs="Arial" w:eastAsia="Arial" w:hAnsi="Arial"/>
                <w:sz w:val="14"/>
                <w:szCs w:val="14"/>
                <w:i w:val="1"/>
                <w:iCs w:val="1"/>
                <w:color w:val="auto"/>
              </w:rPr>
              <w:t>Pompe disease</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AskBio</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Duchenne muscular</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Sarepta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dystrophy (DMD)</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Limb-girdle muscular</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Sarepta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dystrophy (LGMD)</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Two indications for</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Plans to be announced</w:t>
            </w: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Takeda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lysosomal storage disorders</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by our collaborator</w:t>
            </w: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4020" w:type="dxa"/>
            <w:vAlign w:val="bottom"/>
            <w:tcBorders>
              <w:left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Tolerogenic Therapies for Autoimmune Disease</w:t>
            </w:r>
          </w:p>
        </w:tc>
        <w:tc>
          <w:tcPr>
            <w:tcW w:w="19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980" w:type="dxa"/>
            <w:vAlign w:val="bottom"/>
            <w:tcBorders>
              <w:left w:val="single" w:sz="8" w:color="auto"/>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Proprietary IL-2</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receptor agonist</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980" w:type="dxa"/>
            <w:vAlign w:val="bottom"/>
            <w:tcBorders>
              <w:left w:val="single" w:sz="8" w:color="auto"/>
              <w:right w:val="single" w:sz="8" w:color="auto"/>
            </w:tcBorders>
          </w:tcPr>
          <w:p>
            <w:pPr>
              <w:ind w:left="440"/>
              <w:spacing w:after="0"/>
              <w:rPr>
                <w:sz w:val="20"/>
                <w:szCs w:val="20"/>
                <w:color w:val="auto"/>
              </w:rPr>
            </w:pPr>
            <w:r>
              <w:rPr>
                <w:rFonts w:ascii="Arial" w:cs="Arial" w:eastAsia="Arial" w:hAnsi="Arial"/>
                <w:sz w:val="14"/>
                <w:szCs w:val="14"/>
                <w:i w:val="1"/>
                <w:iCs w:val="1"/>
                <w:color w:val="auto"/>
              </w:rPr>
              <w:t>Primary biliary</w:t>
            </w:r>
          </w:p>
        </w:tc>
        <w:tc>
          <w:tcPr>
            <w:tcW w:w="20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Preclinical</w:t>
            </w:r>
          </w:p>
        </w:tc>
        <w:tc>
          <w:tcPr>
            <w:tcW w:w="194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Selecta</w:t>
            </w:r>
          </w:p>
        </w:tc>
        <w:tc>
          <w:tcPr>
            <w:tcW w:w="0" w:type="dxa"/>
            <w:vAlign w:val="bottom"/>
          </w:tcPr>
          <w:p>
            <w:pPr>
              <w:spacing w:after="0"/>
              <w:rPr>
                <w:sz w:val="1"/>
                <w:szCs w:val="1"/>
                <w:color w:val="auto"/>
              </w:rPr>
            </w:pPr>
          </w:p>
        </w:tc>
      </w:tr>
      <w:tr>
        <w:trPr>
          <w:trHeight w:val="110"/>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i w:val="1"/>
                <w:iCs w:val="1"/>
                <w:color w:val="auto"/>
              </w:rPr>
              <w:t>cholangitis (PBC)</w:t>
            </w:r>
          </w:p>
        </w:tc>
        <w:tc>
          <w:tcPr>
            <w:tcW w:w="204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80" w:type="dxa"/>
            <w:vAlign w:val="bottom"/>
            <w:tcBorders>
              <w:left w:val="single" w:sz="8" w:color="auto"/>
              <w:right w:val="single" w:sz="8" w:color="auto"/>
            </w:tcBorders>
            <w:vMerge w:val="continue"/>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980" w:type="dxa"/>
            <w:vAlign w:val="bottom"/>
            <w:tcBorders>
              <w:left w:val="single" w:sz="8" w:color="auto"/>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Therapies – Chronic Refractory Gout</w:t>
      </w:r>
    </w:p>
    <w:p>
      <w:pPr>
        <w:spacing w:after="0" w:line="11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SEL-212 consists of ImmTOR co-administered with pegadricase. Our pegadricase consists of a yeast-derived uricase modified with PEG.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w:t>
      </w:r>
    </w:p>
    <w:p>
      <w:pPr>
        <w:spacing w:after="0" w:line="6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Pegadricase is designed for the treatment of patients with chronic gout, refractory to standard uric acid lowering treatment, by breaking down the excess serum uric acid, or sUA, to the more soluble allantoin. However, the immune response to</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pegadricase limits administration to a single dose which is effective for less than one month. The addition of ImmTOR to pegadricase (SEL-212) allows multiple monthly doses to be administered, thus reducing uric acid for a prolonged time.</w:t>
      </w:r>
    </w:p>
    <w:p>
      <w:pPr>
        <w:spacing w:after="0" w:line="6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preclinical studies and in our Phase 1b and Phase 2 clinical trials, we observed that ImmTOR, when co-administered with pegadricase, SEL-212 substantially reduced the formation of associated ADAs. We believe that SEL-212 serves as proof of concept for the ImmTOR platform in ameliorating the unwanted immune response to an immunogenic biologic. SEL-212 is in two pivotal Phase 3 studies versus placebo, which we refer to as DISSOLVE I and DISSOLVE II, with top-line data expected in the fourth quarter of 2022. SEL-212 has been licensed (except as to Greater China) to Sobi, pursuant to our license and development agreement dated June 11, 2020, with Sobi, or the Sobi License.</w:t>
      </w:r>
    </w:p>
    <w:p>
      <w:pPr>
        <w:spacing w:after="0" w:line="6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Enrollment into the DISSOLVE II trial is ongoing and the study is being conducted in the United States and four countries across eastern Europe. As a result of the ongoing and rapidly evolving geopolitical situation in Ukraine and Russia, we have proactively undertaken mitigation steps to prioritize the safety of our patients and investigators, as well as address any potential disruptions. While we have temporarily closed screening and randomization at sites in both Russia and Ukraine, we have added 11 sites in the United States to further enrollment in DISSOLVE II. Out of these additional enrollment sites, nine have been activated and two are pending initiation, with activation expected imminently. Subject to ongoing geopolitical developments, we believe we remain on track to report data in the fourth quarter of 2022, and we will continue to work closely with our partner Sobi, clinical trial providers and regulatory authorities to evaluate any potential delays or adjustments to the timeline of the trial as a result of the circumstances.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for gout therapy</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Gout is a painful and potentially disabling form of arthritis associated with elevation of sUA levels caused by an overproduction of uric acid and/or an inability of the kidneys to excrete adequate amounts of uric acid from the body. High concentrations of sUA lead to formation of uric acid crystals in joints and tissues, causing pain, inflammation and joint damage, and increase the risk for other conditions, including cardiovascular, cardiometabolic, joint and kidney disease.</w:t>
      </w:r>
    </w:p>
    <w:p>
      <w:pPr>
        <w:spacing w:after="0" w:line="7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Patients who are unable to reduce their sUA levels below 6.0 mg/dL with oral drugs are defined as having refractory gout. Chronic refractory gout constitutes a subset of gout patients exhibiting chronic high sUA levels and painful and damaging uric acid deposits. We estimate that there are approximately 160,000 chronic refractory gout patients in the U.S.</w:t>
      </w:r>
    </w:p>
    <w:p>
      <w:pPr>
        <w:spacing w:after="0" w:line="7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We believe SEL-212 may potentially address several key unmet needs in the treatment of chronic refractory gout: the durable control of sUA levels, the elimination of painful and damaging uric acid deposits, reduction in incidence and severity of flares, based on our preclinical studies, clinical trials, and market research. SEL-212 is designed to address these unmet medical needs while improving the dosing regimen to a once-monthly treatment.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SEL-212 Clinical Development</w:t>
      </w:r>
    </w:p>
    <w:p>
      <w:pPr>
        <w:spacing w:after="0" w:line="11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conducted Phase 1a, Phase 1b, and Phase 2 clinical trials for SEL-212 at multiple sites in the United States. These trials were designed to demonstrate the induction of an immune response to pegadricase and the ability of ImmTOR to mitigate that immune response to both single and multiple doses. The table below summarizes the trial designs and objectives of these clinical trials.</w:t>
      </w:r>
    </w:p>
    <w:p>
      <w:pPr>
        <w:spacing w:after="0" w:line="97" w:lineRule="exact"/>
        <w:rPr>
          <w:sz w:val="20"/>
          <w:szCs w:val="20"/>
          <w:color w:val="auto"/>
        </w:rPr>
      </w:pPr>
    </w:p>
    <w:tbl>
      <w:tblPr>
        <w:tblLayout w:type="fixed"/>
        <w:tblInd w:w="1790" w:type="dxa"/>
        <w:tblCellMar>
          <w:top w:w="0" w:type="dxa"/>
          <w:left w:w="0" w:type="dxa"/>
          <w:bottom w:w="0" w:type="dxa"/>
          <w:right w:w="0" w:type="dxa"/>
        </w:tblCellMar>
      </w:tblPr>
      <w:tr>
        <w:trPr>
          <w:trHeight w:val="218"/>
        </w:trPr>
        <w:tc>
          <w:tcPr>
            <w:tcW w:w="1020" w:type="dxa"/>
            <w:vAlign w:val="bottom"/>
            <w:tcBorders>
              <w:top w:val="single" w:sz="8" w:color="auto"/>
              <w:left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4"/>
                <w:szCs w:val="14"/>
                <w:color w:val="auto"/>
              </w:rPr>
              <w:t>Design</w:t>
            </w:r>
          </w:p>
        </w:tc>
        <w:tc>
          <w:tcPr>
            <w:tcW w:w="320" w:type="dxa"/>
            <w:vAlign w:val="bottom"/>
            <w:tcBorders>
              <w:top w:val="single" w:sz="8" w:color="auto"/>
            </w:tcBorders>
          </w:tcPr>
          <w:p>
            <w:pPr>
              <w:spacing w:after="0"/>
              <w:rPr>
                <w:sz w:val="18"/>
                <w:szCs w:val="18"/>
                <w:color w:val="auto"/>
              </w:rPr>
            </w:pPr>
          </w:p>
        </w:tc>
        <w:tc>
          <w:tcPr>
            <w:tcW w:w="392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4"/>
                <w:szCs w:val="14"/>
                <w:color w:val="auto"/>
              </w:rPr>
              <w:t>Objective</w:t>
            </w:r>
          </w:p>
        </w:tc>
        <w:tc>
          <w:tcPr>
            <w:tcW w:w="0" w:type="dxa"/>
            <w:vAlign w:val="bottom"/>
          </w:tcPr>
          <w:p>
            <w:pPr>
              <w:spacing w:after="0"/>
              <w:rPr>
                <w:sz w:val="1"/>
                <w:szCs w:val="1"/>
                <w:color w:val="auto"/>
              </w:rPr>
            </w:pPr>
          </w:p>
        </w:tc>
      </w:tr>
      <w:tr>
        <w:trPr>
          <w:trHeight w:val="53"/>
        </w:trPr>
        <w:tc>
          <w:tcPr>
            <w:tcW w:w="1020" w:type="dxa"/>
            <w:vAlign w:val="bottom"/>
            <w:tcBorders>
              <w:left w:val="single" w:sz="8" w:color="auto"/>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102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4"/>
                <w:szCs w:val="14"/>
                <w:color w:val="auto"/>
              </w:rPr>
              <w:t>Phase 1a</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Subjects with hyperuricemia</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Evaluate safety and tolerability</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Single dose of pegadricase</w:t>
            </w:r>
          </w:p>
        </w:tc>
        <w:tc>
          <w:tcPr>
            <w:tcW w:w="32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w w:val="97"/>
              </w:rPr>
              <w:t>Define dose of pegadricase that would support monthly dosing</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SEL-212/101</w:t>
            </w:r>
          </w:p>
        </w:tc>
        <w:tc>
          <w:tcPr>
            <w:tcW w:w="300" w:type="dxa"/>
            <w:vAlign w:val="bottom"/>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20" w:type="dxa"/>
            <w:vAlign w:val="bottom"/>
            <w:tcBorders>
              <w:left w:val="single" w:sz="8" w:color="auto"/>
              <w:right w:val="single" w:sz="8" w:color="auto"/>
            </w:tcBorders>
            <w:vMerge w:val="continue"/>
          </w:tcPr>
          <w:p>
            <w:pPr>
              <w:spacing w:after="0"/>
              <w:rPr>
                <w:sz w:val="8"/>
                <w:szCs w:val="8"/>
                <w:color w:val="auto"/>
              </w:rPr>
            </w:pPr>
          </w:p>
        </w:tc>
        <w:tc>
          <w:tcPr>
            <w:tcW w:w="3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n=22</w:t>
            </w:r>
          </w:p>
        </w:tc>
        <w:tc>
          <w:tcPr>
            <w:tcW w:w="32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Demonstrate formation of ADAs</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tcPr>
          <w:p>
            <w:pPr>
              <w:spacing w:after="0"/>
              <w:rPr>
                <w:sz w:val="7"/>
                <w:szCs w:val="7"/>
                <w:color w:val="auto"/>
              </w:rPr>
            </w:pPr>
          </w:p>
        </w:tc>
        <w:tc>
          <w:tcPr>
            <w:tcW w:w="300" w:type="dxa"/>
            <w:vAlign w:val="bottom"/>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020" w:type="dxa"/>
            <w:vAlign w:val="bottom"/>
            <w:tcBorders>
              <w:left w:val="single" w:sz="8" w:color="auto"/>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80" w:type="dxa"/>
            <w:vAlign w:val="bottom"/>
            <w:tcBorders>
              <w:bottom w:val="single" w:sz="8" w:color="auto"/>
              <w:right w:val="single" w:sz="8" w:color="auto"/>
            </w:tcBorders>
          </w:tcPr>
          <w:p>
            <w:pPr>
              <w:spacing w:after="0"/>
              <w:rPr>
                <w:sz w:val="15"/>
                <w:szCs w:val="15"/>
                <w:color w:val="auto"/>
              </w:rPr>
            </w:pPr>
          </w:p>
        </w:tc>
        <w:tc>
          <w:tcPr>
            <w:tcW w:w="424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20" w:type="dxa"/>
            <w:vAlign w:val="bottom"/>
            <w:tcBorders>
              <w:left w:val="single" w:sz="8" w:color="auto"/>
              <w:right w:val="single" w:sz="8" w:color="auto"/>
            </w:tcBorders>
          </w:tcPr>
          <w:p>
            <w:pPr>
              <w:spacing w:after="0"/>
              <w:rPr>
                <w:sz w:val="20"/>
                <w:szCs w:val="20"/>
                <w:color w:val="auto"/>
              </w:rPr>
            </w:pPr>
          </w:p>
        </w:tc>
        <w:tc>
          <w:tcPr>
            <w:tcW w:w="3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Subjects with hyperuricemia</w:t>
            </w:r>
          </w:p>
        </w:tc>
        <w:tc>
          <w:tcPr>
            <w:tcW w:w="424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color w:val="auto"/>
              </w:rPr>
              <w:t>•   Evaluate safety and tolerability</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4"/>
                <w:szCs w:val="14"/>
                <w:color w:val="auto"/>
              </w:rPr>
              <w:t>Phase 1b</w:t>
            </w:r>
          </w:p>
        </w:tc>
        <w:tc>
          <w:tcPr>
            <w:tcW w:w="300" w:type="dxa"/>
            <w:vAlign w:val="bottom"/>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32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Proof-of-biological activity:</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278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4"/>
                <w:szCs w:val="14"/>
                <w:color w:val="auto"/>
              </w:rPr>
              <w:t>•   Single dose of SEL-212</w:t>
            </w:r>
          </w:p>
        </w:tc>
        <w:tc>
          <w:tcPr>
            <w:tcW w:w="320" w:type="dxa"/>
            <w:vAlign w:val="bottom"/>
            <w:vMerge w:val="continue"/>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SEL-212/101</w:t>
            </w:r>
          </w:p>
        </w:tc>
        <w:tc>
          <w:tcPr>
            <w:tcW w:w="2780" w:type="dxa"/>
            <w:vAlign w:val="bottom"/>
            <w:tcBorders>
              <w:right w:val="single" w:sz="8" w:color="auto"/>
            </w:tcBorders>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39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   Mitigation of ADAs after single dose</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n=53</w:t>
            </w:r>
          </w:p>
        </w:tc>
        <w:tc>
          <w:tcPr>
            <w:tcW w:w="320" w:type="dxa"/>
            <w:vAlign w:val="bottom"/>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20" w:type="dxa"/>
            <w:vAlign w:val="bottom"/>
            <w:tcBorders>
              <w:left w:val="single" w:sz="8" w:color="auto"/>
              <w:right w:val="single" w:sz="8" w:color="auto"/>
            </w:tcBorders>
          </w:tcPr>
          <w:p>
            <w:pPr>
              <w:spacing w:after="0"/>
              <w:rPr>
                <w:sz w:val="8"/>
                <w:szCs w:val="8"/>
                <w:color w:val="auto"/>
              </w:rPr>
            </w:pPr>
          </w:p>
        </w:tc>
        <w:tc>
          <w:tcPr>
            <w:tcW w:w="300" w:type="dxa"/>
            <w:vAlign w:val="bottom"/>
            <w:vMerge w:val="continue"/>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424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   Select dose to take forward into Phase 2</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42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left w:val="single" w:sz="8" w:color="auto"/>
              <w:bottom w:val="single" w:sz="8" w:color="auto"/>
              <w:right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424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20" w:type="dxa"/>
            <w:vAlign w:val="bottom"/>
            <w:tcBorders>
              <w:left w:val="single" w:sz="8" w:color="auto"/>
              <w:right w:val="single" w:sz="8" w:color="auto"/>
            </w:tcBorders>
          </w:tcPr>
          <w:p>
            <w:pPr>
              <w:spacing w:after="0"/>
              <w:rPr>
                <w:sz w:val="14"/>
                <w:szCs w:val="14"/>
                <w:color w:val="auto"/>
              </w:rPr>
            </w:pPr>
          </w:p>
        </w:tc>
        <w:tc>
          <w:tcPr>
            <w:tcW w:w="278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4"/>
                <w:szCs w:val="14"/>
                <w:color w:val="auto"/>
              </w:rPr>
              <w:t>•   Subjects with symptomatic gout and</w:t>
            </w:r>
          </w:p>
        </w:tc>
        <w:tc>
          <w:tcPr>
            <w:tcW w:w="424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color w:val="auto"/>
              </w:rPr>
              <w:t>•   Evaluate safety and tolerability</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tcPr>
          <w:p>
            <w:pPr>
              <w:spacing w:after="0"/>
              <w:rPr>
                <w:sz w:val="7"/>
                <w:szCs w:val="7"/>
                <w:color w:val="auto"/>
              </w:rPr>
            </w:pPr>
          </w:p>
        </w:tc>
        <w:tc>
          <w:tcPr>
            <w:tcW w:w="2780" w:type="dxa"/>
            <w:vAlign w:val="bottom"/>
            <w:tcBorders>
              <w:right w:val="single" w:sz="8" w:color="auto"/>
            </w:tcBorders>
            <w:gridSpan w:val="2"/>
            <w:vMerge w:val="continue"/>
          </w:tcPr>
          <w:p>
            <w:pPr>
              <w:spacing w:after="0"/>
              <w:rPr>
                <w:sz w:val="7"/>
                <w:szCs w:val="7"/>
                <w:color w:val="auto"/>
              </w:rPr>
            </w:pPr>
          </w:p>
        </w:tc>
        <w:tc>
          <w:tcPr>
            <w:tcW w:w="424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   Clinical proof-of-concept:</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restart"/>
          </w:tcPr>
          <w:p>
            <w:pPr>
              <w:ind w:left="340"/>
              <w:spacing w:after="0"/>
              <w:rPr>
                <w:sz w:val="20"/>
                <w:szCs w:val="20"/>
                <w:color w:val="auto"/>
              </w:rPr>
            </w:pPr>
            <w:r>
              <w:rPr>
                <w:rFonts w:ascii="Arial" w:cs="Arial" w:eastAsia="Arial" w:hAnsi="Arial"/>
                <w:sz w:val="14"/>
                <w:szCs w:val="14"/>
                <w:color w:val="auto"/>
              </w:rPr>
              <w:t>Phase 2</w:t>
            </w:r>
          </w:p>
        </w:tc>
        <w:tc>
          <w:tcPr>
            <w:tcW w:w="300" w:type="dxa"/>
            <w:vAlign w:val="bottom"/>
          </w:tcPr>
          <w:p>
            <w:pPr>
              <w:spacing w:after="0"/>
              <w:rPr>
                <w:sz w:val="7"/>
                <w:szCs w:val="7"/>
                <w:color w:val="auto"/>
              </w:rPr>
            </w:pPr>
          </w:p>
        </w:tc>
        <w:tc>
          <w:tcPr>
            <w:tcW w:w="2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hyperuricemia</w:t>
            </w:r>
          </w:p>
        </w:tc>
        <w:tc>
          <w:tcPr>
            <w:tcW w:w="42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392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   Demonstrate sustained reduction of SUA with repeat</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SEL-212/201</w:t>
            </w:r>
          </w:p>
        </w:tc>
        <w:tc>
          <w:tcPr>
            <w:tcW w:w="3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vMerge w:val="restart"/>
          </w:tcPr>
          <w:p>
            <w:pPr>
              <w:ind w:left="100"/>
              <w:spacing w:after="0" w:line="161" w:lineRule="exact"/>
              <w:rPr>
                <w:sz w:val="20"/>
                <w:szCs w:val="20"/>
                <w:color w:val="auto"/>
              </w:rPr>
            </w:pPr>
            <w:r>
              <w:rPr>
                <w:rFonts w:ascii="Arial" w:cs="Arial" w:eastAsia="Arial" w:hAnsi="Arial"/>
                <w:sz w:val="14"/>
                <w:szCs w:val="14"/>
                <w:color w:val="auto"/>
                <w:w w:val="99"/>
              </w:rPr>
              <w:t xml:space="preserve">Repeated monthly dosing of SEL </w:t>
            </w:r>
            <w:r>
              <w:rPr>
                <w:rFonts w:ascii="MS PGothic" w:cs="MS PGothic" w:eastAsia="MS PGothic" w:hAnsi="MS PGothic"/>
                <w:sz w:val="14"/>
                <w:szCs w:val="14"/>
                <w:color w:val="auto"/>
                <w:w w:val="99"/>
              </w:rPr>
              <w:t>‑</w:t>
            </w:r>
            <w:r>
              <w:rPr>
                <w:rFonts w:ascii="Arial" w:cs="Arial" w:eastAsia="Arial" w:hAnsi="Arial"/>
                <w:sz w:val="14"/>
                <w:szCs w:val="14"/>
                <w:color w:val="auto"/>
                <w:w w:val="99"/>
              </w:rPr>
              <w:t>212</w:t>
            </w:r>
          </w:p>
        </w:tc>
        <w:tc>
          <w:tcPr>
            <w:tcW w:w="320" w:type="dxa"/>
            <w:vAlign w:val="bottom"/>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480" w:type="dxa"/>
            <w:vAlign w:val="bottom"/>
            <w:tcBorders>
              <w:right w:val="single" w:sz="8" w:color="auto"/>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39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dosing</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tcPr>
          <w:p>
            <w:pPr>
              <w:spacing w:after="0"/>
              <w:rPr>
                <w:sz w:val="7"/>
                <w:szCs w:val="7"/>
                <w:color w:val="auto"/>
              </w:rPr>
            </w:pPr>
          </w:p>
        </w:tc>
        <w:tc>
          <w:tcPr>
            <w:tcW w:w="30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n=152</w:t>
            </w:r>
          </w:p>
        </w:tc>
        <w:tc>
          <w:tcPr>
            <w:tcW w:w="320" w:type="dxa"/>
            <w:vAlign w:val="bottom"/>
          </w:tcPr>
          <w:p>
            <w:pPr>
              <w:spacing w:after="0"/>
              <w:rPr>
                <w:sz w:val="7"/>
                <w:szCs w:val="7"/>
                <w:color w:val="auto"/>
              </w:rPr>
            </w:pPr>
          </w:p>
        </w:tc>
        <w:tc>
          <w:tcPr>
            <w:tcW w:w="3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20" w:type="dxa"/>
            <w:vAlign w:val="bottom"/>
            <w:tcBorders>
              <w:left w:val="single" w:sz="8" w:color="auto"/>
              <w:right w:val="single" w:sz="8" w:color="auto"/>
            </w:tcBorders>
          </w:tcPr>
          <w:p>
            <w:pPr>
              <w:spacing w:after="0"/>
              <w:rPr>
                <w:sz w:val="8"/>
                <w:szCs w:val="8"/>
                <w:color w:val="auto"/>
              </w:rPr>
            </w:pPr>
          </w:p>
        </w:tc>
        <w:tc>
          <w:tcPr>
            <w:tcW w:w="300" w:type="dxa"/>
            <w:vAlign w:val="bottom"/>
            <w:vMerge w:val="continue"/>
          </w:tcPr>
          <w:p>
            <w:pPr>
              <w:spacing w:after="0"/>
              <w:rPr>
                <w:sz w:val="8"/>
                <w:szCs w:val="8"/>
                <w:color w:val="auto"/>
              </w:rPr>
            </w:pPr>
          </w:p>
        </w:tc>
        <w:tc>
          <w:tcPr>
            <w:tcW w:w="2480" w:type="dxa"/>
            <w:vAlign w:val="bottom"/>
            <w:tcBorders>
              <w:right w:val="single" w:sz="8" w:color="auto"/>
            </w:tcBorders>
            <w:vMerge w:val="continue"/>
          </w:tcPr>
          <w:p>
            <w:pPr>
              <w:spacing w:after="0"/>
              <w:rPr>
                <w:sz w:val="8"/>
                <w:szCs w:val="8"/>
                <w:color w:val="auto"/>
              </w:rPr>
            </w:pPr>
          </w:p>
        </w:tc>
        <w:tc>
          <w:tcPr>
            <w:tcW w:w="424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   Select dose to take into Phase 3</w:t>
            </w:r>
          </w:p>
        </w:tc>
        <w:tc>
          <w:tcPr>
            <w:tcW w:w="0" w:type="dxa"/>
            <w:vAlign w:val="bottom"/>
          </w:tcPr>
          <w:p>
            <w:pPr>
              <w:spacing w:after="0"/>
              <w:rPr>
                <w:sz w:val="1"/>
                <w:szCs w:val="1"/>
                <w:color w:val="auto"/>
              </w:rPr>
            </w:pPr>
          </w:p>
        </w:tc>
      </w:tr>
      <w:tr>
        <w:trPr>
          <w:trHeight w:val="81"/>
        </w:trPr>
        <w:tc>
          <w:tcPr>
            <w:tcW w:w="1020" w:type="dxa"/>
            <w:vAlign w:val="bottom"/>
            <w:tcBorders>
              <w:left w:val="single" w:sz="8" w:color="auto"/>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80" w:type="dxa"/>
            <w:vAlign w:val="bottom"/>
            <w:tcBorders>
              <w:right w:val="single" w:sz="8" w:color="auto"/>
            </w:tcBorders>
          </w:tcPr>
          <w:p>
            <w:pPr>
              <w:spacing w:after="0"/>
              <w:rPr>
                <w:sz w:val="7"/>
                <w:szCs w:val="7"/>
                <w:color w:val="auto"/>
              </w:rPr>
            </w:pPr>
          </w:p>
        </w:tc>
        <w:tc>
          <w:tcPr>
            <w:tcW w:w="424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right="200" w:firstLine="324"/>
        <w:spacing w:after="0" w:line="296" w:lineRule="auto"/>
        <w:rPr>
          <w:sz w:val="20"/>
          <w:szCs w:val="20"/>
          <w:color w:val="auto"/>
        </w:rPr>
      </w:pPr>
      <w:r>
        <w:rPr>
          <w:rFonts w:ascii="Arial" w:cs="Arial" w:eastAsia="Arial" w:hAnsi="Arial"/>
          <w:sz w:val="16"/>
          <w:szCs w:val="16"/>
          <w:color w:val="auto"/>
        </w:rPr>
        <w:t>In the Phase 1a trial, we observed that a single dose of pegadricase rapidly reduced SUA levels below 6.0 mg/dL for each dose level, although SUA levels returned close to baseline by day 30. Consistent with our preclinical studies in animals, pegadricase induced uricase-specific ADAs in all patients with varying levels in this Phase 1a trial. The following table depicts the observations from the single ascending dose trial of pegadricase in patients with hyperuricemia. In this trial, patients with SUA &gt; 6 mg/dL at screening were assigned to one of five cohorts receiving a single IV infusion of pegadricase (0.1, 0.2, 0.4, 0.8 or 1.2 mg/kg). Each cohort consisted of five patients, except for cohort 5 (1.2 mg/kg) which enrolled two patients.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357505</wp:posOffset>
            </wp:positionV>
            <wp:extent cx="4714875" cy="1800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487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the Phase 1b clinical trial, we observed the potential for increasing doses of ImmTOR to mitigate the formation of pegadricase ADAs and sustain the anti-uricase enzyme activity through 30 days. The cohort of subjects who received a single 0.4 mg/kg dose of pegadricase alone showed development of uricase ADAs, a short pegadricase half-life, and poor control of SUA at 30 days. Three cohorts who received 0.4 mg/kg of pegadricase plus ascending doses of ImmTOR (0.1, 0.15 and 0.3 mg/kg) showed a dose related reduction in uricase ADAs, an increase in pegadricase half-life, and substantial reduction in SUA. This graphs below depict the observed correlation of SUA with anti-uricase IgG and serum pegadricase activity. In these graphs, anti-uricase IgG titers, serum pegadricase activity, and SUA are plotted against time for individual patients in cohorts A, G, H, and I. Each line represents an individual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287020</wp:posOffset>
            </wp:positionV>
            <wp:extent cx="4714875" cy="1885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Phase 2 trial included patients with symptomatic gout and elevated SUA levels in an open-label, multiple ascending-dose clinical trial of SEL-212 to demonstrate sustained reduction of SUA and identify the best dose for Phase 3. Five monthly doses of SEL-212 reduced SUA to less than 6.0 mg/dL in 21 of 32 patients, or 66%. In distinct contrast, pegadricase alone reduced SUA to less than 6.0 mg/dL in only three of 19 patients one month after a single injection (data from pegadricase alone cohorts from the SEL-037/101, SEL-212/101, and SEL-212/201 trials). We believe these results support our view that the addition of ImmTOR to pegadricase is able dramatically enhance the efficacy of pegadricase in the long-term reduction of SUA in gout patients. The chart below depicts SUA after five monthly doses of SEL-212.</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357505</wp:posOffset>
            </wp:positionV>
            <wp:extent cx="4714875" cy="1714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148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We have observed that SEL</w:t>
      </w:r>
      <w:r>
        <w:rPr>
          <w:rFonts w:ascii="MS PGothic" w:cs="MS PGothic" w:eastAsia="MS PGothic" w:hAnsi="MS PGothic"/>
          <w:sz w:val="17"/>
          <w:szCs w:val="17"/>
          <w:color w:val="auto"/>
        </w:rPr>
        <w:t>‑</w:t>
      </w:r>
      <w:r>
        <w:rPr>
          <w:rFonts w:ascii="Arial" w:cs="Arial" w:eastAsia="Arial" w:hAnsi="Arial"/>
          <w:sz w:val="17"/>
          <w:szCs w:val="17"/>
          <w:color w:val="auto"/>
        </w:rPr>
        <w:t>212 and its components, ImmTOR and pegadricase, were generally well-tolerated in the Phase 1a, 1b, and 2 clinical trials. In the Phase 1a trial we observed no serious adverse events, or SAEs, and that pegadricase was well tolerated at the five dose levels tested. Of the six SAEs in the Phase 1b trial, three were determined to not to be related to study drug by investigators. Of the remaining three SAEs that were determined to possibly or likely be related to study drug, two were cases of stomatitis that occurred at the highest dose of ImmTOR tested (0.5 mg/kg), leading us to define 0.3 mg/kg as the maximum tolerated dose of ImmTOR in this patient population. The remaining SAE was a case of drug hypersensitivity that occurred at a dose of 0.1 mg/kg of ImmTOR in combination with 0.4 mg/kg of pegadricase. In the Phase 2 trial, 20 subjects reported a total of 23 SAEs, nine in the five dose combination cohorts, seven of which were reported to be not related or unlikely related to study drug, and two of which were infusion reactions. All SAEs were successfully treated without residual effects.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Phase 2 head-to-head clinical trial</w:t>
      </w:r>
    </w:p>
    <w:p>
      <w:pPr>
        <w:spacing w:after="0" w:line="11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In March 2019, we initiated a non-registrational Phase 2 head-to-head clinical trial of SEL-212, which we refer to as COMPARE, in which SEL-212 was compared against the current FDA-approved therapy for chronic refractory gout, pegloticase, in multiple clinical sites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33655</wp:posOffset>
            </wp:positionV>
            <wp:extent cx="4714875" cy="2400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487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September 2020, we announced top-line results from the COMPARE trial. We observed a numerically higher response rate to pegloticase on the primary endpoint during months three and six combined but did not meet the primary endpoint of statistical superiority. SEL-212 did generate a statistically significant higher response rate of SEL-212 during the third month of treatment, as well as a statistically significant greater overall reduction in mean SUA levels in SEL-212 versus pegloticase in months three and six combined. We observed a numerically higher response rate of SEL-212 during the sixth month of treatment. In patients with tophi at baseline, we observed substantially higher responder rates for SEL-212 compared to pegloticase on the primary endpoint, and a statistically significant reduction in mean SUA levels when compared to pegloticase.</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Approximately 41% of patients in the Phase 2 COMPARE trial had visible tophi at baseline, which is lower than we expected for the general refractory gout population. However, in these most severe patients with tophi, SEL-212 was superior to</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pegloticase with a 58% responder rate for SEL-212 versus a 39 % responder rate for pegloticase. Response rates observed in patients with tophi at baseline are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48895</wp:posOffset>
            </wp:positionV>
            <wp:extent cx="4714875" cy="771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SEL-212 showed a favorable safety profile and was well-tolerated. There were no deaths during the study. There were no notable differences in serious TEAEs, treatment-related serious TEAEs, or infusion reactions between the two groups. A full analysis of safety signals, including gout flare incidence and severity, requires evaluation of the full data set and will be reported together with the full efficacy analysis in a manuscript in a medical journal.</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Phase 3 DISSOLVE clinical program</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September 2020, we commenced the Phase 3 clinical program of SEL-212, which we refer to as DISSOLVE. We are responsible for the execution of the DISSOLVE program and are being reimbursed by Sobi on a quarterly basis for expenses incurred in connection with these activities. The Phase 3 clinical program consists of two double-blinded, placebo-controlled trials of SEL-212. We refer to these trials as DISSOLVE I and DISSOLVE II. Each trial is expected to enroll up to 120 patients, with up to 40 patients receiving 0.1 mg/kg of ImmTOR and 0.2 mg/kg of pegadricase, up to 40 patients receiving 0.15 mg/kg of ImmTOR and 0.2 mg/kg of pegadricase, and up to 40 patients receiving placebo. An additional 15 patients were added to the study sample size to account for potential treatment discontinuations that may occur due to the ongoing COVID-19 pandemic as a result of the emergence of COVID-19 variants which were not accounted for in the sample size calculations.</w:t>
      </w:r>
    </w:p>
    <w:p>
      <w:pPr>
        <w:spacing w:after="0" w:line="6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commenced enrollment of DISSOLVE I in September 2020 and DISSOLVE II in December 2020. In December 2021, we announced the completion of enrollment of the DISSOLVE I trial. DISSOLVE I has a six-month primary endpoint followed by a six-month safety extension. DISSOLVE</w:t>
      </w:r>
    </w:p>
    <w:p>
      <w:pPr>
        <w:ind w:right="160" w:firstLine="8"/>
        <w:spacing w:after="0" w:line="323" w:lineRule="auto"/>
        <w:tabs>
          <w:tab w:leader="none" w:pos="165" w:val="left"/>
        </w:tabs>
        <w:numPr>
          <w:ilvl w:val="0"/>
          <w:numId w:val="5"/>
        </w:numPr>
        <w:rPr>
          <w:rFonts w:ascii="Arial" w:cs="Arial" w:eastAsia="Arial" w:hAnsi="Arial"/>
          <w:sz w:val="16"/>
          <w:szCs w:val="16"/>
          <w:color w:val="auto"/>
        </w:rPr>
      </w:pPr>
      <w:r>
        <w:rPr>
          <w:rFonts w:ascii="Arial" w:cs="Arial" w:eastAsia="Arial" w:hAnsi="Arial"/>
          <w:sz w:val="16"/>
          <w:szCs w:val="16"/>
          <w:color w:val="auto"/>
        </w:rPr>
        <w:t>will have a six-month primary endpoint with no extension. The primary endpoint of the DISSOLVE program is the maintenance of sUA levels below 6 mg/dL at six months. We currently expect that topline data from the Phase 3 DISSOLVE clinical program is expected in the fourth quarter of 2022.</w:t>
      </w:r>
    </w:p>
    <w:p>
      <w:pPr>
        <w:spacing w:after="0" w:line="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Enrollment into the DISSOLVE II trial is ongoing and the study is being conducted in the United States and four countries across eastern Europe. As a result of the ongoing and rapidly evolving geopolitical situation in Ukraine and Russia, we have proactively undertaken mitigation steps to prioritize the safety of our patients and investigators, as well as address any potential disruptions. While we have temporarily closed screening and randomization at sites in both Russia and Ukraine, we have added 11 sites in the United States to further enrollment in DISSOLVE II. Out of these additional enrollment sites, nine have been activated and two are pending initiation, with activation expected imminently. Subject to ongoing geopolitical developments, we currently believe we remain on track to report data in the fourth quarter of 2022, and we will continue to work closely with our partner Sobi, clinical trial providers and regulatory authorities to evaluate any potential delays or adjustments to the timeline of the trial as a result of the circumstances.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Therapies – IgA Nephropathy</w:t>
      </w:r>
    </w:p>
    <w:p>
      <w:pPr>
        <w:spacing w:after="0" w:line="11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second indication in our biologic therapies program is IgA nephropathy, an autoimmune kidney disease that occurs when immune complexes of a subclass of antibodies called immunoglobulin A1, or IgA1, accumulates in the kidneys. Previous studies in animal models conducted at independent laboratories demonstrated that bacterial IgA protease has the potential to remove injurious IgA immune complexes from kidneys and reduce inflammation, fibrosis, and hematuria. We believe these results suggest that IgA protease can potentially decrease the rate of disease progression and possibly even reverse the disease. The barrier to IgA protease commercialization has been the bacterial origin of the protease, which makes it highly immunogenic.</w:t>
      </w:r>
    </w:p>
    <w:p>
      <w:pPr>
        <w:spacing w:after="0" w:line="5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clinical trials, we have observed ImmTOR mitigating the formation of ADAs to immunogenic enzymes. We intend to combine an IgA protease with our ImmTOR platform to develop a novel combination product candidate for the treatment of IgA nephropathy and IgA-mediated diseases.</w:t>
      </w:r>
    </w:p>
    <w:p>
      <w:pPr>
        <w:spacing w:after="0" w:line="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2020, we entered into an Option and License Agreement, or the IGAN Agreement, with IGAN Biosciences, Inc., or IGAN. Pursuant to the IGAN Agreement, IGAN granted us an exclusive license to research, evaluate, and conduct pre-clinical development activities on IGAN’s proprietary IgA proteases. We have an option term of 24 months, during which we can elect to obtain an exclusive license to further develop and commercialize the product candidate to treat all IgA-mediated diseases, including IgA nephropathy, Linear IgA bullous dermatitis, IgA pemphigus, and Henoch-Schonlein purpura (also known as IgA vasculitis).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October of 2021 we entered into a Collaboration and License Agreement, or the First Ginkgo Agreement, with Ginkgo. Pursuant to the First Ginkgo Agreement, Ginkgo will leverage their high throughput enzyme discovery, design and screening capabilities to identify and further optimize a proprietary, next generation IgA protease. We have an exclusive license to further develop and commercialize the discovered IgA proteases to treat all IgA-mediated diseases, including IgA nephropathy, Linear IgA bullous dermatitis, IgA pemphigus, and Henoch-Schonlein purpura.</w:t>
      </w:r>
    </w:p>
    <w:p>
      <w:pPr>
        <w:spacing w:after="0" w:line="63" w:lineRule="exact"/>
        <w:rPr>
          <w:sz w:val="20"/>
          <w:szCs w:val="20"/>
          <w:color w:val="auto"/>
        </w:rPr>
      </w:pPr>
    </w:p>
    <w:p>
      <w:pPr>
        <w:jc w:val="both"/>
        <w:ind w:right="560" w:firstLine="324"/>
        <w:spacing w:after="0" w:line="263" w:lineRule="auto"/>
        <w:rPr>
          <w:sz w:val="20"/>
          <w:szCs w:val="20"/>
          <w:color w:val="auto"/>
        </w:rPr>
      </w:pPr>
      <w:r>
        <w:rPr>
          <w:rFonts w:ascii="Arial" w:cs="Arial" w:eastAsia="Arial" w:hAnsi="Arial"/>
          <w:sz w:val="18"/>
          <w:szCs w:val="18"/>
          <w:color w:val="auto"/>
        </w:rPr>
        <w:t>These collaborations build on extensive preclinical as well as strong clinical data from our Phase 2 COMPARE trial for the treatment of chronic refractory gout that we believe further supports ImmTOR’s potential for sustained therapeutic benefit when combined with immunogenic enzymatic therapies.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continuing to perform pre-clinical IND enabling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Therapies – Methylmalonic Acidemia</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AskBio. In October and November 2020, we received rare pediatric disease designation and orphan drug designation, respectively, from the FDA for MMA-101, for the treatment of MMA due to methylmalonyl-CoA mutase, or MMUT gene mutations. See “ Licenses and Collaborations AskBio” for more information. In April 2021, we were notified by AskBio that it intended to opt-out of development of the MMA indication. The feasibility study and license agreement with AskBio, or AskBio Collaboration Agreement, otherwise remains in effect. Manufacturing of a new lot has been completed and is currently undergoing final release testing. We filed an IND to conduct a Phase 1/2 clinical trial of SEL-302 in pediatric patients with methylmalonic acidemia in the third quarter of 2021. On November 23, 2021, this trial was placed on clinical hold by the FDA, with questions specifically relating to chemistry, manufacturing and controls, or CMC, of the AAV vector. On February 9, 2022, we submitted a written response to the FDA to answer its questions. On March 9, 2022, we received a letter from the FDA indicating the clinical hold was removed and the trial may proceed.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Therapies – OTC Deficiency</w:t>
      </w:r>
    </w:p>
    <w:p>
      <w:pPr>
        <w:spacing w:after="0" w:line="117"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Our second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The development of this program is currently paused.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Therapies – Xork</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exclusively licensed Xork, an IgG-specific protease from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w:t>
      </w:r>
    </w:p>
    <w:p>
      <w:pPr>
        <w:spacing w:after="0" w:line="8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Because of this, the commercial potential of many gene therapies may be significantly limited due to the ineligibility of large segments of the target patient population. This is particularly important for gene therapies given the low incidence and small prevalent populations of rare monogenic diseases which many gene therapies target. Patients that are ineligible for gene therapy due to pre-existing immunity may have few or no alternative therapies available to them.</w:t>
      </w:r>
    </w:p>
    <w:p>
      <w:pPr>
        <w:spacing w:after="0" w:line="7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Xork, as a pre-treatment in advance of an AAV gene therapy, can potentially open a treatment window by cleaving the IgG antibodies and transiently reducing their concentration.</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IgG proteases are bacterial proteins, which are themselves immunogenic. We believe that Xork is differentiated from other IgG proteases since it is not derived from a human pathogen and thus, exhibits low cross-reactivity with human sera. Additionally, to further reduce any potential immunogenicity of the Xork enzyme, we plan to explore the combination of Xork and ImmTOR. The following images depict how Xork cleaves human IgG specifically and efficiently, but shows low cross reactivity to human sera compared to IdeS, an IgG protease derived from the common human pathogen Streptococcus pyogenes.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357505</wp:posOffset>
            </wp:positionV>
            <wp:extent cx="5143500" cy="2717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believe that the combination of Xork and ImmTOR has the potential to address two of the major challenges to AAV gene therapy, pre-existing immunity that limits eligibility and de novo immunogenicity that can adversely affect safety and durability and which prevents the ability to re-dose AAV. We plan to explore the application of Xork in combination with our wholly owned gene therapies, as well as explore partnering opportunities for the enzyme with other gene therapy companies.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Tolerogenic Therapies for Autoimmune Disease – ImmTOR &amp; ImmTOR-IL</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intend to apply our ImmTOR platform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Additionally, in preclinical studies we have observed ImmTOR, in combination with IL-2 muteins, expanding T-regulatory cells beyond IL-2 alone and we intend to pursue a combination of ImmTOR and IL-2 (ImmTOR-IL) in diseases where general T cell expansion has shown a therapeutic benefit. Additionally, in our preclinical data we have observed a three-fold increase in antigen specific regulatory T cells when ImmTOR and IL-2 is combined with an antigen of interest. We intend to pursue and develop treatments for autoimmune diseases with well-defined antigens using either ImmTOR or ImmTOR-IL.</w:t>
      </w:r>
    </w:p>
    <w:p>
      <w:pPr>
        <w:spacing w:after="0" w:line="8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Cyrus Biotechnology, Inc., a collaboration partner,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mutant protein, or IL-2 mutein, we have observed a substantial synergistic activity in increasing the percentage and durability of Treg expansion in the spleen.</w:t>
      </w:r>
    </w:p>
    <w:p>
      <w:pPr>
        <w:spacing w:after="0" w:line="70"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Our lead autoimmune diseases indication is PBC, a T 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 and Collaborations</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intend to both partner and strategically out-license ImmTOR, ImmTOR-IL and Xork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 Additionally, we may strategically in-license products to combine with ImmTOR and develop novel therapeutic products independently. Our key partnerships are listed below.</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In-licenses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Ginkgo Bioworks Holdings, Inc.</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October 25, 2021, we entered into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3, 2022, we entered into a Collaboration and License Agreement, or the Second Ginkgo Agreement, with Ginkgo. Under the Second Ginkgo Agreement, we will engage with Ginkgo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Genovis</w:t>
      </w:r>
    </w:p>
    <w:p>
      <w:pPr>
        <w:spacing w:after="0" w:line="117"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On October 21,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as well as tiered royalties on worldwide sales in the low double digits.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Cyrus Biotechnology, Inc.</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September 7,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IGAN Biosciences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October 2020, we entered into the IGAN Agreement. Pursuant to the IGAN Agreement, IGAN granted us an exclusive license to research, evaluate, and conduct preclinical development activities on IGAN’s proprietary IgA proteases. We have an option term of 24 months, or the Option Term, during which we can elect to obtain an exclusive license to further develop and commercialize the product to treat all IgA-mediated diseases, including IgA nephropathy, Linear IgA bullous dermatitis, IgA pemphigus, and Henoch-Schonlein purpura.</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Upon execution of the IGAN Agreement, we paid IGAN a one-time upfront payment of $0.5 million and we would owe additional payments to IGAN if we were to opt-in to an exclusive license agreement, as well as upon the achievement of certain development and sales milestones. During the Option Term, we may terminate the IGAN Agreement immediately for any reason upon written notice to IGAN. If we opt-in to an exclusive license agreement, we may terminate the IGAN Agreement upon 120 days’ written notice.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Out-licenses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Takeda Pharmaceuticals USA, Inc.</w:t>
      </w:r>
    </w:p>
    <w:p>
      <w:pPr>
        <w:spacing w:after="0" w:line="11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On October 1, 2021, we entered into a strategic licensing agreement with Takeda, or the Takeda Agreement.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Swedish Orphan Biovitrum</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62"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Additionally, Sobi purchased an aggregate of 5,416,390 shares of our common stock at a purchase price of $4.6156 per share for aggregate gross proceeds of $25 million, which we refer to as the Sobi Private Placement. The closing of the Sobi Private Placement occurred on July 31, 2020.</w:t>
      </w:r>
    </w:p>
    <w:p>
      <w:pPr>
        <w:spacing w:after="0" w:line="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 the Sobi License, we will have operational oversight of the Phase 3 DISSOLVE clinical program of SEL-212 (DISSOLVE I and DISSOLVE II) that commenced in September 2020, at Sobi’s expense.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Sarepta Therapeutics</w:t>
      </w:r>
    </w:p>
    <w:p>
      <w:pPr>
        <w:spacing w:after="0" w:line="11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and we would be entitled to significant development and commercial milestone payments and tiered royalties ranging from the mid-to-high single digits based on net sales. In June 2021, we received a payment of $3.0 million for the achievement of certain pre-clinical milestones.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AskBio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feasibility study and license agreement with AskBio, or AskBio Collaboration Agreement, otherwise remains in effect. We filed an IND to conduct a Phase 1/2 clinical trial of our SEL-302 product candidate in pediatric patients with methylmalonic acidemia in the third quarter of 2021. On November 23, 2021, this trial was placed on clinical hold by the FDA, with questions specifically relating to CMC of the AAV vector. On February 9, 2022, we submitted a written response to the FDA to answer its questions. On March 9, 2022, we received a letter from the FDA indicating the clinical hold was removed and the trial may proceed. ImmTOR manufacturing, controlled by us, continues to proceed in accordance with our expectations and we have not observed any impact to any of our ImmTOR programs. In October and November 2020, we received rare pediatric disease designation and orphan drug designation, respectively, from the FDA for MMA-101, for the treatment of MMA due to methylmalonyl-CoA mutase, or MMUT gene mutations.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2019, we entered into the AskBio License Agreement which provides AskBio with exclusive worldwide rights to our ImmTOR platform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research, develop and commercialize certain AAV-gene therapy products targeting the GAA gene, or derivatives thereof, to treat Pompe Disease.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AskBio License Agreement, AskBio paid us upfront fees of an aggregate of $7.0 million. Also pursuant to the AskBio License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AskBio agreed to make additional payments to us based on the achievement of certain development and commercial milestones of up to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$237.0 million. AskBio will also be obligated to make tiered royalty payments to us at percentages in the mid-to-high single digits based on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sales milestones.</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supply AskBio with our ImmTOR platform and AskBio will be responsible for all preclinical, clinical and commercial manufacture and supply of products licensed under the AskBio License Agreement (other than ImmTOR) and carry out all other activities related to the research, development, and commercialization of such products at its sole expense, including all regulatory activities related thereto. The AskBio License Agreement contains other customary terms and conditions, including representations and warranties, covenants, termination, and indemnification obligations in favor of each party.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Institute of Technology</w:t>
      </w:r>
    </w:p>
    <w:p>
      <w:pPr>
        <w:spacing w:after="0" w:line="11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2008, we entered into a license agreement with the Massachusetts Institute of Technology, or MIT, which we refer to in its amended form as the MIT License. We amended the MIT License in January 2010, August 2013, November 2016, December 2019 and June 2020. Under the MIT License, we acquired an exclusive worldwide license, with the right to grant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and Women’s Hospital, or Brigham, the President and Fellows of Harvard College, the Immune Disease Institute and the Children’s Medical Center Corporation. Our exclusivity is subject to certain retained rights of these institutions and other third parties.</w:t>
      </w:r>
    </w:p>
    <w:p>
      <w:pPr>
        <w:spacing w:after="0" w:line="4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creditable annual maintenance fees, low-single-digit running royalty on annual net sales, developmental milestones up to an aggregate of $1.5 million, a mid-single digit percentage of certain payments we receive from corporate partners and a specified percentage of certain income received from sublicensees after 2009 between 10% and 30%. 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June 2020, we entered into a Fifth Amendment to the MIT License, or the MIT Amendment, which was effective as of May 15, 2020. Pursuant to the MIT Amendment, certain of our diligence obligations were extended to the second quarter of 2021, including a diligence obligation to commence a Phase 3 trial for a licensed product by a specific date in the second quarter of 2021. Additionally, certain of our development and regulatory milestones and payments upon achievement of such milestones were adjusted.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Shenyang Sunshine Pharmaceutical Co., Ltd.</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2014, we entered into a license agreement with 3SBio, as amended in 2017, which we refer to as the 3SBio License. Pursuant to the 3SBio License, we were granted an exclusive license to certain pegadricase-related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ImmTOR platform with pegadricase or related compounds supplied by 3SBio (or otherwise supplied if our rights to manufacture are in effect) for human therapeutic, diagnostic and prophylactic use. We were also granted a co-exclusive license to manufacture and have manufactured pegadricase and related compounds for our preclinical and clinical use or, if the 3SBio License is terminated for 3SBio’s material breach, for any use under the 3SBio License. In addition, the 3SBio License, as amended, permits us to utilize one or more third parties to provide up to 20% of our commercial supply of pegadricase. Otherwise, except in the case of a supply shortage on the part of 3SBio, we are obligated to obtain at least 80% of our supply of such compounds for Phase 3 clinical trials and commercial use from 3SBio under the terms of our separate Commercial Supply Agreement with 3SBio dated August 1, 2019.</w:t>
      </w:r>
    </w:p>
    <w:p>
      <w:pPr>
        <w:spacing w:after="0" w:line="7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3SBio License we have paid to 3SBio an aggregate of $7.0 million in upfront and milestone-based payments. We are required to make future payments to 3SBio contingent upon the occurrence of events related to the achievement of clinical and regulatory approval milestones of up to an aggregate of $15.0 million for products containing our ImmTOR platform. We are also required to pay 3SBio tiered royalties on annual worldwide net sales related to the pegadricase component of products at percentages ranging from the low-to-mid single digits for products containing our ImmTOR platform, subject to specified reductions. These royalties are payable,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5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3SBio License expires on the date of expiration of all of our royalty payment obligations unless earlier terminated by either party for an uncured material default of the other party or for the other party’s bankruptcy. We may also terminate the 3SBio License on a country-by-country or product-by-product basis for any reason effective upon 60 days’ prior written notice to 3SBio or, with respect to a given product, immediately upon written notice to 3SBio if we identify a safety or efficacy concern related to such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manufacture ImmTOR using a scalable, self-assembly nanoemulsion process with well-defined, pharmaceutical unit operations. This proprietary, highly specialized and precisely controlled manufacturing process enables us to reproducibly manufacture ImmTOR across many production scales, from milligram-scale at the laboratory bench to hundreds of grams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right"/>
        <w:ind w:right="420"/>
        <w:spacing w:after="0" w:line="361" w:lineRule="auto"/>
        <w:rPr>
          <w:sz w:val="20"/>
          <w:szCs w:val="20"/>
          <w:color w:val="auto"/>
        </w:rPr>
      </w:pPr>
      <w:r>
        <w:rPr>
          <w:rFonts w:ascii="Arial" w:cs="Arial" w:eastAsia="Arial" w:hAnsi="Arial"/>
          <w:sz w:val="16"/>
          <w:szCs w:val="16"/>
          <w:color w:val="auto"/>
        </w:rPr>
        <w:t>multi-kilogram scale for commercial production. We have also developed and executed the required detailed analytic characterization of our products. For our most advanced product candidate, SEL-212, we are producing ImmTOR at an approximately 400-gram scale process, which, at the doses</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being tested in the Phase 3 DISSOLVE program, we believe will be suitable for commercialization. The process is designed such that this same equipment is capable of potentially producing up to a one-kilogram batch size scale. As our nanoparticle manufacturing process is compact, and therefore also portable, our strategy is to transfer our custom designed process skids to a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83"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pegadricase enzyme for SEL-212 is produced by fermentation in E. coli and is sourced from 3SBio in China. Through a licensing arrangement, we own exclusive worldwide rights to pegadricase outside of China, with co-ownership of rights in Japan and with 3SBio owning all rights in China. Under this arrangement, 3SBio has agreed to supply pegadricase for the SEL-212 program. There is also a second supplier for pegadricase in the United States.</w:t>
      </w:r>
    </w:p>
    <w:p>
      <w:pPr>
        <w:spacing w:after="0" w:line="4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Our AAV vector product candidates are produced using the established triple transfection production process at CMOs. We work closely with our CMOs who have platform AAV production processes that we are able to leverage for our specific AAV product candidates.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ImmTOR platform is designed to deliver precise instructions to the immune system as a result of the natural predisposition of the immune system to interrogate nanoparticles such as viruses. In connection with our founding, we licensed multiple patent families, including a patent family based in part on the pioneering research performed by our co-founders at Harvard University, MIT and Brigham. We have also conducted extensive research in-house to further research this area, leading to key discoveries regarding and uses for our ImmTOR technology. We have aggressively sought to extend and protect the proprietary intellectual property underlying the composition and use of ImmTOR, such as for antigen-specific immunotolerance.</w:t>
      </w:r>
    </w:p>
    <w:p>
      <w:pPr>
        <w:spacing w:after="0" w:line="5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endeavor to protect our nanoparticle technology, which we consider fundamental to our business, by seeking, maintaining and defending patent and other intellectual property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and continue innovating and seeking in-licensing opportunities to maintain, advance and fortify our proprietary position in our nanoparticle-based immunotherapy program and product candidates as well as to develop new programs and other product candidates. Our commercial success will depend in part on our ability to obtain and maintain patent and other proprietary protection for our technology programs,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7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developed and in-licensed numerous patents and patent applications and possess substantial know-how and trade secrets relating to our technology programs and product candidates. Our patent portfolio contains a number of issued patents in the United States and certain foreign jurisdictions. We also own a number of pending patent applications in the United States and certain foreign jurisdictions. These patents and patent applications include claims related to:</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tolerance immunotherapy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methods and compositions related to our proprietary nanoparticles in a variety of applications, including tolerance applications, such as:</w:t>
      </w:r>
    </w:p>
    <w:p>
      <w:pPr>
        <w:spacing w:after="0" w:line="128" w:lineRule="exact"/>
        <w:rPr>
          <w:rFonts w:ascii="Arial" w:cs="Arial" w:eastAsia="Arial" w:hAnsi="Arial"/>
          <w:sz w:val="17"/>
          <w:szCs w:val="17"/>
          <w:color w:val="auto"/>
        </w:rPr>
      </w:pPr>
    </w:p>
    <w:p>
      <w:pPr>
        <w:ind w:left="1300" w:right="120" w:hanging="320"/>
        <w:spacing w:after="0" w:line="342" w:lineRule="auto"/>
        <w:tabs>
          <w:tab w:leader="none" w:pos="1296" w:val="left"/>
        </w:tabs>
        <w:numPr>
          <w:ilvl w:val="1"/>
          <w:numId w:val="6"/>
        </w:numPr>
        <w:rPr>
          <w:rFonts w:ascii="Arial" w:cs="Arial" w:eastAsia="Arial" w:hAnsi="Arial"/>
          <w:sz w:val="16"/>
          <w:szCs w:val="16"/>
          <w:color w:val="auto"/>
        </w:rPr>
      </w:pPr>
      <w:r>
        <w:rPr>
          <w:rFonts w:ascii="Arial" w:cs="Arial" w:eastAsia="Arial" w:hAnsi="Arial"/>
          <w:sz w:val="16"/>
          <w:szCs w:val="16"/>
          <w:color w:val="auto"/>
        </w:rPr>
        <w:t>mitigating anti-drug antibodies and/or their effects associated with protein drugs, such as for chronic refractory gout, including coverage for ImmTOR co-administered with pegadricase, which related patents are expected to expire between 2032 and 2041, and</w:t>
      </w:r>
    </w:p>
    <w:p>
      <w:pPr>
        <w:spacing w:after="0" w:line="15" w:lineRule="exact"/>
        <w:rPr>
          <w:rFonts w:ascii="Arial" w:cs="Arial" w:eastAsia="Arial" w:hAnsi="Arial"/>
          <w:sz w:val="16"/>
          <w:szCs w:val="16"/>
          <w:color w:val="auto"/>
        </w:rPr>
      </w:pPr>
    </w:p>
    <w:p>
      <w:pPr>
        <w:ind w:left="1300" w:right="12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genetic therapies (such as viral vector gene therapy), including coverage for ImmTOR co-administered with a viral vector, which related patents are expected to expire between 2032 and 2042; and</w:t>
      </w:r>
    </w:p>
    <w:p>
      <w:pPr>
        <w:spacing w:after="0" w:line="62"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 and commercialization of SEL-212, including both composition of matter and method of treatment claims (there are multiple patent families with claims that cover the SEL-212 product, one of which is a licensed, issued U.S. patent that expired in August 2021).</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we have exclusively or non-exclusively licensed intellectual property, including U.S. issued patents, foreign issued patents, and pending applications in both the U.S. and foreign jurisdictions. The licensed patents and patent applications cover various aspects of the technology being developed by us, including claims directed to compositions of matter and methods of use, and have been filed in various countries worldwide including in North America, Europe and Asia, with material expiration dates varying to, if claims are issued, 2042.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Canada, China, Europe, India, Israel, Japan, Mexico and/or South Korea.</w:t>
      </w:r>
    </w:p>
    <w:p>
      <w:pPr>
        <w:spacing w:after="0" w:line="5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Currently, we own or license patents and patent applications with expected material expiration dates ranging from 2032 to 2042.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6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5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key competitive factors affecting the success of any other tolerance or immune modulation product candidates that we develop, if approved, are likely to be their efficacy, safety, convenience, price, the level of generic competition and the availability of reimbursement from government and other third-party payors.</w:t>
      </w:r>
    </w:p>
    <w:p>
      <w:pPr>
        <w:spacing w:after="0" w:line="7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50" w:lineRule="exact"/>
        <w:rPr>
          <w:sz w:val="20"/>
          <w:szCs w:val="20"/>
          <w:color w:val="auto"/>
        </w:rPr>
      </w:pPr>
    </w:p>
    <w:p>
      <w:pPr>
        <w:ind w:right="80" w:firstLine="324"/>
        <w:spacing w:after="0" w:line="231" w:lineRule="auto"/>
        <w:rPr>
          <w:sz w:val="20"/>
          <w:szCs w:val="20"/>
          <w:color w:val="auto"/>
        </w:rPr>
      </w:pPr>
      <w:r>
        <w:rPr>
          <w:rFonts w:ascii="Arial" w:cs="Arial" w:eastAsia="Arial" w:hAnsi="Arial"/>
          <w:sz w:val="18"/>
          <w:szCs w:val="18"/>
          <w:color w:val="auto"/>
        </w:rPr>
        <w:t>SEL-212 may compete with others in the gout market, including pegloticase, which contains a pegylated uricase similar to the pegadricase component of SEL-212 and is indicated for the treatment of refractory gout. Horizon Pharma plc, whose affiliates own pegloticase, may find other approaches to eliminate undesired immunogenicity to pegloticase. Long-term treatment with global immunosuppressive products may increase the susceptibility to contract infections, tumors and may lead to organ failure.</w:t>
      </w:r>
    </w:p>
    <w:p>
      <w:pPr>
        <w:spacing w:after="0" w:line="8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Large companies with active research to prevent the formation of ADAs and treat allergies or autoimmune diseases include Eli Lilly, Roche Holding AG, Sanofi S.A., Pfizer Inc., and Merck &amp; Co., Inc. Small, early-stage biopharmaceutical companies active in the research for new technologies to induce antigen-specific immune tolerance include Anokion SA, Apitope International NV, Cour Pharmaceutical Development Company, Inc., Cue Biopharma, Dendright International, Inc., Parvus Therapeutics, REGiMMUNE Corporation, Rubius Therapeutics, Inc., Tolerion, Inc., Topas Therapeutics GmbH, SQZ Biotechnologies and Txcell SA. Biopharmaceutical companies active in the research for MMA include LogicBio, Poseida, and Moderna. Biopharmaceutical companies active in the research for Ornithine transcarbamylase include Ultragenyx, Poseida, TranslateBio, Arcturus, and Kaleido. Biopharmaceutical companies active in the research for IgA nephropathy include Omeros, Travere, EMD Serono, Novartis, Ionis, Visterra, Reata, and Alnylam. Biopharmaceutical companies active in the PBC research include Intercept Pharmaceuticals, Genfit, GenKyoTex, GSK, Eli Lilly, and CymaBay. Biopharmaceutical companies active in the IL-2 research include Roche Holding AG, Amgen, Bristol Myers Squibb, Eli Lilly, and Moderna.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5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We expect to seek approval of SEL-212 through a single BLA reviewed by CDER, and we do not expect that the FDA will require a separate marketing authorization for each constituent of SEL-212.</w:t>
      </w:r>
    </w:p>
    <w:p>
      <w:pPr>
        <w:spacing w:after="0" w:line="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process required by the FDA before a biologic, including a gene therapy, may be marketed in the United States is summarized below.</w:t>
      </w:r>
    </w:p>
    <w:p>
      <w:pPr>
        <w:spacing w:after="0" w:line="1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76" w:lineRule="exact"/>
        <w:rPr>
          <w:sz w:val="20"/>
          <w:szCs w:val="20"/>
          <w:color w:val="auto"/>
        </w:rPr>
      </w:pPr>
    </w:p>
    <w:p>
      <w:pPr>
        <w:ind w:right="240" w:firstLine="324"/>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or IBC, that reviews and oversees research utilizing recombinant or synthetic nucleic acid molecules at that institution.</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Clinical trials are conducted under protocols detailing, among other things,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Human clinical trials are typically conducted in three sequential phases that may overlap or be combined:</w:t>
      </w:r>
    </w:p>
    <w:p>
      <w:pPr>
        <w:spacing w:after="0" w:line="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1. The biological product candidate is initially introduced into healthy human patients and tested for safety.</w:t>
      </w:r>
    </w:p>
    <w:p>
      <w:pPr>
        <w:spacing w:after="0" w:line="117" w:lineRule="exact"/>
        <w:rPr>
          <w:rFonts w:ascii="Arial" w:cs="Arial" w:eastAsia="Arial" w:hAnsi="Arial"/>
          <w:sz w:val="18"/>
          <w:szCs w:val="18"/>
          <w:color w:val="auto"/>
        </w:rPr>
      </w:pPr>
    </w:p>
    <w:p>
      <w:pPr>
        <w:ind w:left="660" w:right="4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2. The biological product candidate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and provide an adequate basis for product labeling.</w:t>
      </w:r>
    </w:p>
    <w:p>
      <w:pPr>
        <w:spacing w:after="0" w:line="76"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FDA or the sponsor or its data safety monitoring board may suspend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7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Sponsors of clinical trials of FDA-regulated products, including biologics, are also required to register and disclose certain clinical trial information, which is publicly available at www.clinicaltrials.gov. Concurrent with clinical trials, companies must also finalize a process for manufacturing the product in commercial quantities in accordance with GMP requirements.</w:t>
      </w:r>
    </w:p>
    <w:p>
      <w:pPr>
        <w:spacing w:after="0" w:line="7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sponsors planning to submit a BLA for a biological product that in certain circumstances n submit an initial Pediatric Study Plan, or PSP, within sixty days after a Type C meeting or as may be agreed between the sponsor and FDA. Unless otherwise required by regulation, PREA does not apply to any biological product for an indication for which orphan designation has been granted.</w:t>
      </w:r>
    </w:p>
    <w:p>
      <w:pPr>
        <w:spacing w:after="0" w:line="57" w:lineRule="exact"/>
        <w:rPr>
          <w:sz w:val="20"/>
          <w:szCs w:val="20"/>
          <w:color w:val="auto"/>
        </w:rPr>
      </w:pPr>
    </w:p>
    <w:p>
      <w:pPr>
        <w:jc w:val="both"/>
        <w:ind w:right="540" w:firstLine="324"/>
        <w:spacing w:after="0" w:line="263" w:lineRule="auto"/>
        <w:rPr>
          <w:sz w:val="20"/>
          <w:szCs w:val="20"/>
          <w:color w:val="auto"/>
        </w:rPr>
      </w:pPr>
      <w:r>
        <w:rPr>
          <w:rFonts w:ascii="Arial" w:cs="Arial" w:eastAsia="Arial" w:hAnsi="Arial"/>
          <w:sz w:val="18"/>
          <w:szCs w:val="18"/>
          <w:color w:val="auto"/>
        </w:rPr>
        <w:t>Under the Prescription Drug Fee User Act, or PDUFA, as amended, each BLA must be accompanied by a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7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Within 60 days following submission of the application, the FDA reviews a BLA for completeness. The FDA may refuse to file any BLA that it deems incomplete or otherwise not reviewable and may request additional information. Once the submission is accepted for filing, the FDA substantively reviews the BLA to determine, among other things, whether the proposed product is safe, pure and potent, and manufactured in accordance with cGMP requirements.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Before approving a BLA, the FDA will inspect the facilities in which the product is manufactured to determine whether the manufacturing processes and facilities are in compliance with GMPs. The FDA may also audit the clinical investigation sites to determine that they have complied with good clinical practices.</w:t>
      </w:r>
    </w:p>
    <w:p>
      <w:pPr>
        <w:spacing w:after="0" w:line="7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Notwithstanding the submission of relevant data and information, the FDA may ultimately deny approval. Data obtained from clinical trials are not always conclusive and the FDA may interpret data differently than the applicant interprets the same data.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6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One of the performance goals agreed to by the FDA under PDUFA is to review 90% of standard BLAs in 10 months from the filing date and 90% of priority BLAs in six months from the filing date, whereupon a review decision is to be made. The FDA does not always meet its PDUFA goal dates for standard and priority BLAs.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Designation</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Prior to the submission of a BLA, 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6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 orphan product. Competitors, however, may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Rare Pediatric Disease designation program allows for a sponsor who receives an approval for a product to potentially qualify for a voucher that can be redeemed to receive a priority review of a subsequent marketing application for a different product.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8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compared to marketed products.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studies establishing that the product has an effect on a surrogate endpoint that is reasonably likely to predict a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7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and adverse publicity.</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6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80" w:lineRule="exact"/>
        <w:rPr>
          <w:sz w:val="20"/>
          <w:szCs w:val="20"/>
          <w:color w:val="auto"/>
        </w:rPr>
      </w:pPr>
    </w:p>
    <w:p>
      <w:pPr>
        <w:jc w:val="both"/>
        <w:ind w:right="280" w:firstLine="324"/>
        <w:spacing w:after="0" w:line="270"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BPCIA is complex and continues to be interpreted and implemented by the FDA. As a result, the ultimate impact, implementation and meaning of the BPCIA is subject to significant uncertainty.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w:t>
      </w:r>
    </w:p>
    <w:p>
      <w:pPr>
        <w:spacing w:after="0" w:line="6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7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the European Economic Area, or EEA, which is composed of the 27 member states of the European Union plus Norway, Iceland and Liechtenstein medicinal products can only be commercialized after obtaining a Marketing Authorization, or MA.</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two types of MAs.</w:t>
      </w:r>
    </w:p>
    <w:p>
      <w:pPr>
        <w:spacing w:after="0" w:line="117" w:lineRule="exact"/>
        <w:rPr>
          <w:sz w:val="20"/>
          <w:szCs w:val="20"/>
          <w:color w:val="auto"/>
        </w:rPr>
      </w:pPr>
    </w:p>
    <w:p>
      <w:pPr>
        <w:ind w:left="660" w:right="20" w:hanging="328"/>
        <w:spacing w:after="0" w:line="289"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advanced therapy medicinal products (such as gene therapy, somatic cell therapy and tissue engineered products), among others.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58" w:lineRule="exact"/>
        <w:rPr>
          <w:rFonts w:ascii="Arial" w:cs="Arial" w:eastAsia="Arial" w:hAnsi="Arial"/>
          <w:sz w:val="16"/>
          <w:szCs w:val="16"/>
          <w:color w:val="auto"/>
        </w:rPr>
      </w:pPr>
    </w:p>
    <w:p>
      <w:pPr>
        <w:ind w:left="660" w:right="30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Upon receiving marketing authorization, new chemical entities generally receive eight years of data exclusivity, which prevents regulatory authorities in the European Union from referencing the innovator’s data to assess a generic or biosimilar application, and an additional two years of market exclusivity, during which no generic or biosimilar product can be marketed.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European Union for pediatric</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studies. No extension to any supplementary protection certificate can be granted on the basis of pediatric studies for orphan indications.</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certain financial and exclusivity incentives.</w:t>
      </w:r>
    </w:p>
    <w:p>
      <w:pPr>
        <w:spacing w:after="0" w:line="6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When conducting clinical trials in the EU,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European Union.</w:t>
      </w:r>
    </w:p>
    <w:p>
      <w:pPr>
        <w:spacing w:after="0" w:line="8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 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The majority of states also similar have anti-kickback laws, which in some cases are more restrictive.</w:t>
      </w:r>
    </w:p>
    <w:p>
      <w:pPr>
        <w:spacing w:after="0" w:line="5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Violations of the civil False Claims Act can result in very significant monetary penalties and treble damages, and may be accompanied by additional civil monetary penalties against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individuals. Many states also have similar fraud and abuse statutes or regulations that apply to items and services reimbursed under Medicaid and other state programs, or, in several states, apply regardless of the payor.</w:t>
      </w:r>
    </w:p>
    <w:p>
      <w:pPr>
        <w:spacing w:after="0" w:line="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84"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(defined to include doctors, dentists, optometrists, podiatrists and chiropractors), certain other health care professionals beginning in 2022, and teaching hospitals, as well as ownership and investment interests held by physicians and their immediate family members.</w:t>
      </w:r>
    </w:p>
    <w:p>
      <w:pPr>
        <w:spacing w:after="0" w:line="8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5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62"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 payments to several providers, including hospitals and imaging centers, and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to product pricing, review the relationship between pricing and manufacturer patient programs, and reform government program reimbursement methodologies.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At Selecta Biosciences, we consider human capital to be an essential driver of our business and successful strategy creation and execution. Our people, driven by our Collaborative, Pioneering, and Patient Focused culture, propel our business forward, strengthening us for long-term success.</w:t>
      </w:r>
    </w:p>
    <w:p>
      <w:pPr>
        <w:spacing w:after="0" w:line="38"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As of December 31, 2021, we had 58 employees, 44 of whom are primarily engaged in research and development activities and 14 in corporate functions. 66% of our employees have at least one of a Masters, PhD, or MD degree. Our 2021 annualized voluntary turnover rate was 12.87%. All employees reside and work in the United States and are not represented by a labor union. We consider our employee relations to be strong and in good standing.</w:t>
      </w:r>
    </w:p>
    <w:p>
      <w:pPr>
        <w:spacing w:after="0" w:line="79"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HR solutions, coupled with an intentional culture dialog aimed to drive a high engagement, high performance, patient centric culture.</w:t>
      </w:r>
    </w:p>
    <w:p>
      <w:pPr>
        <w:spacing w:after="0" w:line="6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as well as the opportunity to participate in our Employee Stock Purchase Plan. Employees are also eligible to receive an annual cash bonus and to participate in a 401(k)-retirement plan with an industry competitive company match.</w:t>
      </w:r>
    </w:p>
    <w:p>
      <w:pPr>
        <w:spacing w:after="0" w:line="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response to the COVID-19 pandemic, we initially implemented changes to our business practices in March 2020, taking precautions to protect the health and safety of our employees by instituting robust hygiene practices, installing temporary safety structures, increasing our cleaning protocols, implementing weekly COVID-19 testing, and limiting regular access to our facilities. As the health environment continues to evolve, we remain committed to actively monitor and evolve our protocols to align with the Center for Disease Control’s best practices, including tracking vaccination and booster status and providing regular communication related to community resources. Additionally, we introduced wellness initiatives as well as a flexible work environment policy and enhanced remote technology solutions, providing remote work opportunities for all employees both now, and well into the future.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www.selectabio.com, free of charge, copies of these reports as soon as reasonably practicable after filing or furnishing these reports with the SEC. The hyperlink to our website is included as an inactive textual reference only, and the information on our website is not incorporated by reference in this Annual Report on Form 10-K or in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00" w:lineRule="exact"/>
        <w:rPr>
          <w:sz w:val="20"/>
          <w:szCs w:val="20"/>
          <w:color w:val="auto"/>
        </w:rPr>
      </w:pPr>
    </w:p>
    <w:p>
      <w:pPr>
        <w:spacing w:after="0" w:line="27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Investing in our common stock involves various risks. You should carefully read and consider the matters discussed in this Annual Report under the heading “Risk Factors,” which include the following risks:</w:t>
      </w:r>
    </w:p>
    <w:p>
      <w:pPr>
        <w:spacing w:after="0" w:line="76" w:lineRule="exact"/>
        <w:rPr>
          <w:sz w:val="20"/>
          <w:szCs w:val="20"/>
          <w:color w:val="auto"/>
        </w:rPr>
      </w:pPr>
    </w:p>
    <w:p>
      <w:pPr>
        <w:ind w:left="660" w:right="16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8"/>
          <w:szCs w:val="18"/>
          <w:color w:val="auto"/>
        </w:rPr>
        <w:t>We are a clinical-stage company and have incurred significant losses since our inception. We expect to incur losses for the foreseeable future and may never achieve or maintain profitability.</w:t>
      </w:r>
    </w:p>
    <w:p>
      <w:pPr>
        <w:spacing w:after="0" w:line="84" w:lineRule="exact"/>
        <w:rPr>
          <w:rFonts w:ascii="Arial" w:cs="Arial" w:eastAsia="Arial" w:hAnsi="Arial"/>
          <w:sz w:val="20"/>
          <w:szCs w:val="20"/>
          <w:color w:val="auto"/>
        </w:rPr>
      </w:pPr>
    </w:p>
    <w:p>
      <w:pPr>
        <w:ind w:left="660" w:right="5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need substantial additional funding in order to complete development of our product candidates and commercialize our products, if approved.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our credit facility place restrictions on our operating and financial flexibility.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based on our ImmTOR platform, which is an unproven approach designed to induce antigen-specific immune tolerance to biologic drugs.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Regulatory authorities in the United States and European Union have limited experience in reviewing and approving gene therapy products.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may continue to adversely impact our business, including sourcing raw materials and supplies to produce our product candidates, our preclinical studies and clinical trials.</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Geopolitical events, instability and wars can adversely affect both our clinical operations and supply chains that we rely on to advance our drug candidates.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3SBio in China as our primary supplier of pegadricase and on other third parties for the manufacture of our product candidates for preclinical and clinical testing, and expect to continue to do so for the foreseeable future.</w:t>
      </w:r>
    </w:p>
    <w:p>
      <w:pPr>
        <w:spacing w:after="0" w:line="6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by failing to meet deadlines for the completion of such trials.</w:t>
      </w:r>
    </w:p>
    <w:p>
      <w:pPr>
        <w:spacing w:after="0" w:line="62" w:lineRule="exact"/>
        <w:rPr>
          <w:rFonts w:ascii="Arial" w:cs="Arial" w:eastAsia="Arial" w:hAnsi="Arial"/>
          <w:sz w:val="18"/>
          <w:szCs w:val="18"/>
          <w:color w:val="auto"/>
        </w:rPr>
      </w:pPr>
    </w:p>
    <w:p>
      <w:pPr>
        <w:ind w:left="660" w:right="50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suffer from effects of macroeconomic instability and 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be reliant on Sobi to execute the marketing and sale of SEL-212, if SEL-212 were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have the funds necessary to fulfill our obligation to repurchase certain warrants.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involved in two securities class action lawsuits.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Since inception, we have incurred significant operating losses in every year. Our net losses were $25.7 million for the year ended December 31, 2021, and $68.9 million and $55.4 million for each of the years ended December 31, 2020 and 2019, respectively. As of December 31, 2021, we had an accumulated deficit of $430.3 million. To date, we have financed our operations primarily through public offerings and private placements of our securities, funding received from collaboration and license arrangements and our credit facility. We currently have no source of product revenue, and we do not expect to generate product revenue for the foreseeable future. We have devoted substantially all of our financial resources and efforts to developing our ImmTOR platform, identifying potential product candidates and conducting preclinical studies and our clinical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trials. We are in the early stages of development of most of our product candidates, and we have not completed development of any ImmTOR-enabled therapies. We expect to continue to incur significant expenses and operating losses for the foreseeable future. We expect that our expenses will increase substantially as we:</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enhance and evolve our ImmTOR platform and discover and develop additional product candidates;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maintain and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 and</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exposed to broad macroeconomic conditions including inflation and supply chain tightness which could result in us paying more, or being unable, to access goods and services.</w:t>
      </w:r>
    </w:p>
    <w:p>
      <w:pPr>
        <w:spacing w:after="0" w:line="6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6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7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to develop our gene therapy pipeline, including our collaboration with AskBio, research and develop our autoimmune programs and advance the evolution of our ImmTOR platform in combination with IL-2, and continue research and development for other product candidates. Additionally,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8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believe that our existing cash, cash equivalents and restricted cash as of December 31, 2021 will enable us to fund our current planned operations into the third quarter of 2023,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discontinue one or more of its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preclinical development, and laboratory testing;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product candidates that we pursue and the speed with which we pursue development;</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from commercial sales of our product candidates for which we receive marketing approval;</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August 31, 2020, we entered into a term loan, or the 2020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and the draw period relating to the Term B Loan expired on September 30, 2021.</w:t>
      </w:r>
    </w:p>
    <w:p>
      <w:pPr>
        <w:spacing w:after="0" w:line="6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Failure to satisfy our current and future debt obligations, including covenants to take or avoid specific actions, under the 2020 Term Loan could result in an event of default, our lenders could accelerate all of the amounts due. If we raise any additional debt financing, the terms of such additional debt could further restrict our operating and financial flexibility.</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 The reduction of the corporate tax rate under the TCJA may cause a reduction in the economic benefit of our NOLs and other deferred tax assets available to us. Under current law, NOLs that arose before January 1, 2018, will begin to expire in 2041. NOLs that arose after 2017 may be used to offset at most 80% of our taxable income to the extent not offset by pre-2018 NOLs. As a result, we may become required to pay federal income taxes in future years despite having generated losses for federal income tax purposes in prior years.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product candidates are based on our ImmTOR platform, which is an unproven approach designed to induce antigen-specific immune tolerance to biologic drugs. We are very early in most of our clinical development efforts and may not be successful in our efforts to use our ImmTOR platform to build a pipeline of product candidates and develop marketable drugs.</w:t>
      </w:r>
    </w:p>
    <w:p>
      <w:pPr>
        <w:spacing w:after="0" w:line="7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All of our product candidates are derived from our ImmTOR platform, which is an unproven approach to induce antigen-specific immune tolerance and to mitigate the immunogenicity of biologic therapies currently being implemented to treat patients. We are developing our ImmTOR platform to restore self-tolerance to autoantigens and potentially treat autoimmune diseases, to be co-administered with AAV gene therapies to potentially enable redosing of said gene therapies and improve and enable activity in biologics (including therapeutic enzymes and other immunogenic drugs).</w:t>
      </w:r>
    </w:p>
    <w:p>
      <w:pPr>
        <w:spacing w:after="0" w:line="4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While we have completed our early development clinical trials and a Phase 2 clinical trial for SEL-212, we have not completed a clinical trial for any other product candidate, nor have we demonstrated our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5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initiation and completion of preclinical studies and clinical trials with positive results;</w:t>
      </w:r>
    </w:p>
    <w:p>
      <w:pPr>
        <w:spacing w:after="0" w:line="117"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third parties, including but not limited to collaborators, licensees, clinical research organizations and contract manufacturing organizations;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 not infringing or violating patents or other intellectual property of third parties;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and growing an organization of scientists and business people who can develop and commercialize our product candidates and technology.</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 The outbreak of COVID-19 may continue to adversely impact our business, including our preclinical studies and clinical trials.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ongoing COVID-19 pandemic has impacted our business and we expect it to continue to do so. In response to the spread of COVID-19, we closed our principal executive office with our administrative employees continuing their work outside of our office and limited the number of staff in any given research and development laboratory. As COVID-19 continues to spread in the United States and elsewhere, we may experience disruptions that could severely impact our business, preclinical studies and clinical trials, including:</w:t>
      </w:r>
    </w:p>
    <w:p>
      <w:pPr>
        <w:spacing w:after="0" w:line="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difficulties in enrolling or sustaining patients in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such as ImmTOR including interruption in global shipping that may affect the transport of clinical trial materials;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and clinics serving as our clinical trial sites and hospital and clinic staff supporting the conduct of our clinical trials;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or the closing of clinical trial sites due to the virus, the occurrence of which could affect the integrity of clinical trial data;</w:t>
      </w:r>
    </w:p>
    <w:p>
      <w:pPr>
        <w:spacing w:after="0" w:line="75"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or will withdraw from the clinical trial due to concerns over COVID-19, which could impact the results of the clinical trial, including by increasing the number of observed adverse events, or reducing the statistical power of the clinical trials;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interruptions or delays in preclinical studies due to restricted or limited operations at our research and development laboratory facility;</w:t>
      </w:r>
    </w:p>
    <w:p>
      <w:pPr>
        <w:spacing w:after="0" w:line="128"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660" w:right="8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the clinical endpoints, statistical analysis plan, or enrollment plans for ongoing clinical trials due to limitations in patients, resources, or sites due to COVID-19;</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impacts from prolonged remote work arrangements, such as increased cybersecurity risks and strains on our business continuity plans.</w:t>
      </w:r>
    </w:p>
    <w:p>
      <w:pPr>
        <w:spacing w:after="0" w:line="1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extent to which the COVID-19 pandemic impacts our business, preclinical studies and clinical trials will depend on future developments, which are highly uncertain and cannot be predicted with confidence.</w:t>
      </w:r>
    </w:p>
    <w:p>
      <w:pPr>
        <w:spacing w:after="0" w:line="6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are applying our ImmTOR platform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future success depends in part on our successful development of viable gene therapy product candidates utilizing our ImmTOR platform.</w:t>
      </w:r>
    </w:p>
    <w:p>
      <w:pPr>
        <w:spacing w:after="0" w:line="12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regulatory approval process for gene therapy product candidates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European Medicines Agency, or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6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Additionally, adverse developments in clinical trials conducted by others of gene therapy products or products created using genome editing technology, or adverse public perception of the field of genome editing, may cause the FDA and other regulatory bodies to revise the requirements for approval of any product candidates we may develop or limit the use of products utilizing genome editing technologies, either of which could materially harm our business. Delay or failure to obtain, or unexpected costs in obtaining, the regulatory approval necessary to bring a potential product to market would materially and adversely affect our business, financial condition, results of operations and prospects.</w:t>
      </w:r>
    </w:p>
    <w:p>
      <w:pPr>
        <w:spacing w:after="0" w:line="5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Except for SEL-212 and SEL 302, our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 we may incur additional costs or experience delays in completing, or ultimately be unable to complete, the clinical development and commercialization of our product candidates.</w:t>
      </w:r>
    </w:p>
    <w:p>
      <w:pPr>
        <w:spacing w:after="0" w:line="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topline clinical trial results we reported from our Phase 2 head-to-head COMPARE study of SEL-212 and the top-line data from our SEL-399 program may not be predictive of future results. Moreover, we may not be able to complete, or may be required to deviate from the current clinical trial protocol for a variety of reasons.</w:t>
      </w:r>
    </w:p>
    <w:p>
      <w:pPr>
        <w:spacing w:after="0" w:line="6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In the SEL-212 Phase 1/2 clinical program, we have observed multiple SAEs, and future SAEs may occur causing us to incur additional costs or experience delays in completing, or causing us to ultimately be unable to complete, the development and commercialization of our product candidates, and delay or prevent our ability to</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49"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5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 or may place a clinical hold on existing clinical trials;</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62" w:lineRule="exact"/>
        <w:rPr>
          <w:rFonts w:ascii="Arial" w:cs="Arial" w:eastAsia="Arial" w:hAnsi="Arial"/>
          <w:sz w:val="18"/>
          <w:szCs w:val="18"/>
          <w:color w:val="auto"/>
        </w:rPr>
      </w:pPr>
    </w:p>
    <w:p>
      <w:pPr>
        <w:ind w:left="660" w:right="30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COVID-19 pandemic or the ongoing conflict in Ukraine;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investigators may deviate from the trial protocol, fail to conduct the trial in accordance with regulatory requirements or misreport study data;</w:t>
      </w:r>
    </w:p>
    <w:p>
      <w:pPr>
        <w:spacing w:after="0" w:line="128" w:lineRule="exact"/>
        <w:rPr>
          <w:rFonts w:ascii="Arial" w:cs="Arial" w:eastAsia="Arial" w:hAnsi="Arial"/>
          <w:sz w:val="17"/>
          <w:szCs w:val="17"/>
          <w:color w:val="auto"/>
        </w:rPr>
      </w:pPr>
    </w:p>
    <w:p>
      <w:pPr>
        <w:ind w:left="660" w:right="3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62"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11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7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events may affect international and overseas trial sites in ways beyond our control.</w:t>
      </w:r>
    </w:p>
    <w:p>
      <w:pPr>
        <w:spacing w:after="0" w:line="11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11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5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filed an IND to conduct a Phase 1/2 clinical trial of our SEL-302 product candidate in pediatric patients with methylmalonic acidemia in the third quarter of 2021. On November 23, 2021, this trial was placed on clinical hold by the FDA, with questions specifically relating to CMC of the AAV vector. On February 9, 2022, we submitted a written response to the FDA to answer its questions. On March 9, 2022, we received a letter from the FDA indicating the clinical hold was removed and the trial may proceed. ImmTOR manufacturing continues to proceed in accordance with our expectations, and we have not observed any impact to any of our ImmTOR programs.</w:t>
      </w:r>
    </w:p>
    <w:p>
      <w:pPr>
        <w:spacing w:after="0" w:line="8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For example, SEL-212 is being developed for the treatment of chronic refractory gout, which affects a small patient population. Accordingly, there is a limited number of patients who could enroll in our clinical studies for SEL-212. Additionally, the DISSOLVE II trial of SEL-212 has enrolled subjects at clinical sites located in Russia and Ukraine. As a result of the ongoing and rapidly evolving situation in the region, we may remove those patients from the trial, which as a result could potentially result in delays in the full enrollment of the study and/or the release of top-line results. The safety of our patients and investigators continues to be our utmost priority. Additionally, the COVID-19 pandemic has affected our ability to enroll and sustain patients in our clinical trials, and could result in the inability of some patients to complete our clinical trials. Additionally, we have enrolled subjects in countries where patient populations have less or limited access to COVID-19 vaccines, which could result in further delays in enrollment or a patient’s inability to complete our clinical trials.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6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risks inherent in conducting international clinical trials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 and</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geopolitical instability or wars in regions outside of the United States where we conduct clinical trials may impact ongoing clinical trials.</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7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we and AskBio received orphan drug designation for SEL-302 in November 2020. We expect to seek one or more of these designations for our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Further, there can be no assurance that any of our product candidates that are granted such designations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For example, we and AskBio announced top-line data from the Phase 1 trial for SEL-399 in November 2021.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 Interim, top-line or preliminary data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may not be representative of final data. If final data is not as positive as earlier interim, top-line or preliminary we have released, our business prospects would be significantly harmed.</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As a result, preliminary and top-line data should not be relied upon in making an investment decision in our securities.</w:t>
      </w:r>
    </w:p>
    <w:p>
      <w:pPr>
        <w:spacing w:after="0" w:line="8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w:t>
      </w:r>
    </w:p>
    <w:p>
      <w:pPr>
        <w:spacing w:after="0" w:line="8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Further, therapies such as those we are developing involve unique side effects that could be more significant than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the clinical development of SEL-212 over many years has required multiple clinical trials and resulted in the use of different formulations of ImmTOR. While we do not believe that such differences in formulation will affect the safety or the efficacy of SEL-212, we cannot guarantee that any such formulation changes will not negatively impact the results of any clinical trials related to SEL-212, or result in a significant difference in the safety and efficacy of SEL-212.</w:t>
      </w:r>
    </w:p>
    <w:p>
      <w:pPr>
        <w:spacing w:after="0" w:line="79" w:lineRule="exact"/>
        <w:rPr>
          <w:sz w:val="20"/>
          <w:szCs w:val="20"/>
          <w:color w:val="auto"/>
        </w:rPr>
      </w:pPr>
    </w:p>
    <w:p>
      <w:pPr>
        <w:ind w:right="420" w:firstLine="324"/>
        <w:spacing w:after="0" w:line="263" w:lineRule="auto"/>
        <w:rPr>
          <w:sz w:val="20"/>
          <w:szCs w:val="20"/>
          <w:color w:val="auto"/>
        </w:rPr>
      </w:pPr>
      <w:r>
        <w:rPr>
          <w:rFonts w:ascii="Arial" w:cs="Arial" w:eastAsia="Arial" w:hAnsi="Arial"/>
          <w:sz w:val="18"/>
          <w:szCs w:val="18"/>
          <w:color w:val="auto"/>
        </w:rPr>
        <w:t>The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7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may impose additional restrictions on the marketing of, or the manufacturing processes for, the particular product;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or become subject to fines, injunctions or the imposition of civil or criminal penalties;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 and</w:t>
      </w:r>
    </w:p>
    <w:p>
      <w:pPr>
        <w:spacing w:after="0" w:line="117"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required to develop a REMS plan to prevent, monitor and/or manage a specific serious risk by informing, educating and/or reinforcing actions to reduce the frequency and/or severity of the event.</w:t>
      </w:r>
    </w:p>
    <w:p>
      <w:pPr>
        <w:spacing w:after="0" w:line="6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results of operations and prospects.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12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or in compliance with regulatory requirements, which could delay, prevent or impair our development or commercialization efforts.</w:t>
      </w:r>
    </w:p>
    <w:p>
      <w:pPr>
        <w:spacing w:after="0" w:line="49"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We obtain the biologic pegadricase, a component of SEL-212, primarily from 3SBio in China. Under the 3SBio License, we have limited rights to manufacture pegadricase and while we have entered into a contract with a back-up supplier located outside of China, we expect to continue to rely on 3SBio as the primary supplier of pegadricase for the foreseeable future.</w:t>
      </w:r>
    </w:p>
    <w:p>
      <w:pPr>
        <w:spacing w:after="0" w:line="7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laws, rules and regulations of the United States or Chinese governments,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were followed by a round of retaliatory Chinese tariffs on U.S. exports to China. Pegadricase is subject to, and any other components we purchase from China may be subject to, these tariffs, which could increase our manufacturing costs and could make our products, if successfully developed and approved, less competitive than those of our competitors whose inputs are not subject to these tariffs.</w:t>
      </w:r>
    </w:p>
    <w:p>
      <w:pPr>
        <w:spacing w:after="0" w:line="7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Moreover, as a result of the COVID-19 pandemic, certain of our suppliers and CMOs in the United States, China and other countries may be affected, which could disrupt their activities. We could face difficulty sourcing key components necessary to produce supply of SEL-212, which may negatively affect our clinical development activities and our agreement with Sobi. If COVID-19 continues to impact U.S. business operations, including those of our CMOs and suppliers, we could face additional disruptions to our supply chain that could affect the supply of drug product for our preclinical studies and clinical trials. Additionally, as our CMOs are producers of drug substances and drug products, including vaccines and therapeutics, they could be compelled by a national government, or choose themselves, to shift their resources to the production of a COVID-19 vaccine and/or therapeutics for COVID-19, which could disrupt any scheduled drug substance or drug product batches we may have and may prevent us from obtaining supplies for our programs in a timely manner to meet our development timelines.</w:t>
      </w:r>
    </w:p>
    <w:p>
      <w:pPr>
        <w:spacing w:after="0" w:line="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These factors and increasing wage rates due to increased demand for skilled laborers and the declining availability of skilled labor in China could cause our labor costs to rise.</w:t>
      </w:r>
    </w:p>
    <w:p>
      <w:pPr>
        <w:spacing w:after="0" w:line="8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rely, and expect to continue to rely, in addition to 3SBio, on other third parties for the manufacture of our product candidates for supply in preclinical studies and clinical trials,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and even if we do rely on third-party manufacturers entails additional risks, including the:</w:t>
      </w:r>
    </w:p>
    <w:p>
      <w:pPr>
        <w:spacing w:after="0" w:line="62" w:lineRule="exact"/>
        <w:rPr>
          <w:sz w:val="20"/>
          <w:szCs w:val="20"/>
          <w:color w:val="auto"/>
        </w:rPr>
      </w:pPr>
    </w:p>
    <w:p>
      <w:pPr>
        <w:ind w:left="660" w:right="4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failure or unwillingness of third-party manufacturers to comply with regulatory requirements, maintain quality assurance, meet our needs, specifications or schedules or continue to supply products to us;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third-party manufacturers,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 of manufacturing agreements by the third-party manufacturers;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w:t>
      </w:r>
    </w:p>
    <w:p>
      <w:pPr>
        <w:spacing w:after="0" w:line="117"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Additionally, if our contract manufacturers cannot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In addition, there are a limited number of manufacturers that operate under cGMP regulations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7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ImmTOR platform.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are unable to maintain any of our existing collaborations, or if these arrangements are not successful, or we are unable to enter into future licenses, our business could be adversely affected.</w:t>
      </w:r>
    </w:p>
    <w:p>
      <w:pPr>
        <w:spacing w:after="0" w:line="6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entered into collaborations with other parties, including pharmaceutical and biotechnology companies and universities, to develop products based on our ImmTOR platform, and such collaborations and licensing arrangements currently represent a significant portion of our product pipeline and are expected to represent a larger portion of our pipeline in the future. Certain of our collaborations have provided us with important funding for some of our development programs and we expect to receive additional funding under collaborations in the future although not all of our collaborations may result in funding to us, and certain collaborations, licenses and agreements may result in increased expenditures by us. Our existing collaborations, and any future collaborations, may pose a number of risks, including the following:</w:t>
      </w:r>
    </w:p>
    <w:p>
      <w:pPr>
        <w:spacing w:after="0" w:line="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660" w:right="6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40"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which may cause collaborators to cease to devote resources to the commercialization of our product candidates;</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of product candidates, might lead to additional responsibilities for us with respect to product candidates, or might result in litigation or arbitration, any of which would be time-consuming and expensive;</w:t>
      </w:r>
    </w:p>
    <w:p>
      <w:pPr>
        <w:spacing w:after="0" w:line="62" w:lineRule="exact"/>
        <w:rPr>
          <w:sz w:val="20"/>
          <w:szCs w:val="20"/>
          <w:color w:val="auto"/>
        </w:rPr>
      </w:pPr>
    </w:p>
    <w:p>
      <w:pPr>
        <w:ind w:left="660" w:right="4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collaborations may be terminated and we would potentially lose the right to pursue further development or commercialization of the applicable product candidates as well as have difficulty entering into a similar collaboration where the potential collaborator is aware of the prior termination;</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actively exploring licenses and other strategic collaborations with additional pharmaceutical and biotechnology companies for development and potential commercialization of therapeutic products. However,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rely, and expect to continue to rely, on third parties, such as CROs, clinical data management organizations, medical institutions and clinical investigators, to conduct and manage our clinical trials, including our ongoing Phase 3 DISSOLVE clinical program for SEL-212, consisting of the DISSOLVE I and DISSOLVE II trials, which we have agreed to continue to run on behalf of Sobi, and for our other product candidates. We also expect to rely on other third parties to store and distribute drug supplies for our clinical trials.</w:t>
      </w:r>
    </w:p>
    <w:p>
      <w:pPr>
        <w:spacing w:after="0" w:line="7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 xml:space="preserve">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t>
      </w:r>
      <w:r>
        <w:rPr>
          <w:rFonts w:ascii="Arial" w:cs="Arial" w:eastAsia="Arial" w:hAnsi="Arial"/>
          <w:sz w:val="17"/>
          <w:szCs w:val="17"/>
          <w:i w:val="1"/>
          <w:iCs w:val="1"/>
          <w:color w:val="auto"/>
        </w:rPr>
        <w:t>www.ClinicalTrials.gov</w:t>
      </w:r>
      <w:r>
        <w:rPr>
          <w:rFonts w:ascii="Arial" w:cs="Arial" w:eastAsia="Arial" w:hAnsi="Arial"/>
          <w:sz w:val="17"/>
          <w:szCs w:val="17"/>
          <w:color w:val="auto"/>
        </w:rPr>
        <w:t>, within specified timeframes. Failure to do so can result in fines, adverse publicity, and civil and criminal sanctions.</w:t>
      </w:r>
    </w:p>
    <w:p>
      <w:pPr>
        <w:spacing w:after="0" w:line="7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for commercial use, and if we decide to establish our own commercial manufacturing facility, we cannot assure you that we can manufacture our product candidates in compliance with regulations at a cost or in quantities necessary to make them commercially viable.</w:t>
      </w:r>
    </w:p>
    <w:p>
      <w:pPr>
        <w:spacing w:after="0" w:line="7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We have a pilot manufacturing facility at our Watertown, Massachusetts location where we conduct process development, scale-up activities and the manufacture of ImmTOR product candidates for preclinical use. We do not currently have any of our own manufacturing facilities that meet the FDA’s cGMP requirements for the production of any product candidates used in humans, and rely on our CMOs for clinical production. We currently have no plans to establish our own commercial manufacturing facilities and we will continue to rely on our partnership with CMOs who are currently producing ImmTOR at the commercial scale for SEL-212 using our proprietary process and equipment.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Legal Compliance Matters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 once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currently have no sales organization and expect to rely on Sobi for the marketing and sale of SEL-212, if approved.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7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rely on Sobi for the marketing and sale of SEL-212, if approved. For our other product candidates,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6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57"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competing immunomodulating therapeutic that will likely share our same regulatory approval requirements. In addition, our ability to compete may be affected in many cases by insurers or other third-party payors seeking to encourage the use of generic or biosimilar products.</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expect the product candidates we develop will be regulated as biological products, or biologics, and therefore they may be subject to competition sooner than anticipated.</w:t>
      </w:r>
    </w:p>
    <w:p>
      <w:pPr>
        <w:spacing w:after="0" w:line="6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8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the products may become subject to unfavorable pricing regulations or third-party coverage or reimbursement policies, any of which would have a material adverse effect on our business.</w:t>
      </w:r>
    </w:p>
    <w:p>
      <w:pPr>
        <w:spacing w:after="0" w:line="38"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especially novel products like our gene therapy product candidates, and may be particularly difficult because of the higher prices associated with gene therapy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7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limit commercialization of any products that we may develop.</w:t>
      </w:r>
    </w:p>
    <w:p>
      <w:pPr>
        <w:spacing w:after="0" w:line="1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and other healthcare laws and regulations, which could expose us to criminal sanctions, civil penalties,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exclusion from government healthcare programs, contractual damages, reputational harm and diminished profits and future earnings.</w:t>
      </w:r>
    </w:p>
    <w:p>
      <w:pPr>
        <w:spacing w:after="0" w:line="1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660" w:right="4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9" w:lineRule="exact"/>
        <w:rPr>
          <w:rFonts w:ascii="Arial" w:cs="Arial" w:eastAsia="Arial" w:hAnsi="Arial"/>
          <w:sz w:val="18"/>
          <w:szCs w:val="18"/>
          <w:color w:val="auto"/>
        </w:rPr>
      </w:pPr>
    </w:p>
    <w:p>
      <w:pPr>
        <w:ind w:left="660" w:right="140" w:hanging="328"/>
        <w:spacing w:after="0" w:line="279"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63" w:lineRule="exact"/>
        <w:rPr>
          <w:rFonts w:ascii="Arial" w:cs="Arial" w:eastAsia="Arial" w:hAnsi="Arial"/>
          <w:sz w:val="17"/>
          <w:szCs w:val="17"/>
          <w:color w:val="auto"/>
        </w:rPr>
      </w:pPr>
    </w:p>
    <w:p>
      <w:pPr>
        <w:ind w:left="660" w:right="2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75"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right="60" w:hanging="328"/>
        <w:spacing w:after="0" w:line="30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49" w:lineRule="exact"/>
        <w:rPr>
          <w:rFonts w:ascii="Arial" w:cs="Arial" w:eastAsia="Arial" w:hAnsi="Arial"/>
          <w:sz w:val="16"/>
          <w:szCs w:val="16"/>
          <w:color w:val="auto"/>
        </w:rPr>
      </w:pPr>
    </w:p>
    <w:p>
      <w:pPr>
        <w:ind w:left="660" w:right="1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75" w:lineRule="exact"/>
        <w:rPr>
          <w:rFonts w:ascii="Arial" w:cs="Arial" w:eastAsia="Arial" w:hAnsi="Arial"/>
          <w:sz w:val="18"/>
          <w:szCs w:val="18"/>
          <w:color w:val="auto"/>
        </w:rPr>
      </w:pPr>
    </w:p>
    <w:p>
      <w:pPr>
        <w:ind w:left="660" w:right="40" w:hanging="328"/>
        <w:spacing w:after="0" w:line="272"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69" w:lineRule="exact"/>
        <w:rPr>
          <w:rFonts w:ascii="Arial" w:cs="Arial" w:eastAsia="Arial" w:hAnsi="Arial"/>
          <w:sz w:val="17"/>
          <w:szCs w:val="17"/>
          <w:color w:val="auto"/>
        </w:rPr>
      </w:pPr>
    </w:p>
    <w:p>
      <w:pPr>
        <w:ind w:left="660" w:hanging="328"/>
        <w:spacing w:after="0" w:line="29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similar healthcare laws and regulations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Union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For example,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7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62"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Separately, in response to the COVID-19 pandemic, the FDA has periodically modified its regular practices with respect to inspection of manufacturing facilities.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7"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41" w:lineRule="exact"/>
        <w:rPr>
          <w:sz w:val="20"/>
          <w:szCs w:val="20"/>
          <w:color w:val="auto"/>
        </w:rPr>
      </w:pPr>
    </w:p>
    <w:p>
      <w:pPr>
        <w:jc w:val="both"/>
        <w:ind w:right="420" w:firstLine="324"/>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Department of State, the U.S. Foreign Corrupt Practices Act of 1977, as amended, or FCPA, the U.S. domestic bribery statute contained in 18 U.S.C. § 201, the U.S. Travel Act, the USA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6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we or our contract manufacturers or other third parties fail to comply with environmental, health and safety laws and regulations, we could become subject to fines or penalties or incur costs that could have a material adverse effect on our business.</w:t>
      </w:r>
    </w:p>
    <w:p>
      <w:pPr>
        <w:spacing w:after="0" w:line="3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6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w:t>
      </w:r>
    </w:p>
    <w:p>
      <w:pPr>
        <w:spacing w:after="0" w:line="4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63"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5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7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6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would be harmed.</w:t>
      </w:r>
    </w:p>
    <w:p>
      <w:pPr>
        <w:spacing w:after="0" w:line="12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or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7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80"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76"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8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7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risks coming to fruition could have a material adverse impact on our business.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3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8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62"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70"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6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Act and similar foreign legislation extending the terms of our patents for our product candidates, our business may be harmed.</w:t>
      </w:r>
    </w:p>
    <w:p>
      <w:pPr>
        <w:spacing w:after="0" w:line="62"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4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highly dependent on Carsten Brunn, Ph.D., our President and Chief Executive Officer, as well as the other principal members of our management, scientific and clinical team.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compliance initiatives and corporate governance practices.</w:t>
      </w:r>
    </w:p>
    <w:p>
      <w:pPr>
        <w:spacing w:after="0" w:line="62"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As a public company, we have incurred and expect to continue to incur significant legal, accounting and other expenses. In particular, beginning with this Annual Report, we will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w:t>
      </w:r>
    </w:p>
    <w:p>
      <w:pPr>
        <w:spacing w:after="0" w:line="1" w:lineRule="exact"/>
        <w:rPr>
          <w:sz w:val="20"/>
          <w:szCs w:val="20"/>
          <w:color w:val="auto"/>
        </w:rPr>
      </w:pPr>
    </w:p>
    <w:p>
      <w:pPr>
        <w:ind w:firstLine="8"/>
        <w:spacing w:after="0" w:line="252"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our U.S. operations, we maintain a wholly owned subsidiary in Russia, Selecta (RUS). However, we plan to wind down these operations. We may face risks associated with maintaining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collaborators to commercialize any approved product candidates outside of the United States. Doing business internationally involves a number of risks, including but not limited to:</w:t>
      </w:r>
    </w:p>
    <w:p>
      <w:pPr>
        <w:spacing w:after="0" w:line="62" w:lineRule="exact"/>
        <w:rPr>
          <w:sz w:val="20"/>
          <w:szCs w:val="20"/>
          <w:color w:val="auto"/>
        </w:rPr>
      </w:pPr>
    </w:p>
    <w:p>
      <w:pPr>
        <w:ind w:left="660" w:right="2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complexities associated with managing multiple-payor reimbursement regimes, government payors or patient self-pay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660" w:right="42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75" w:lineRule="exact"/>
        <w:rPr>
          <w:rFonts w:ascii="Arial" w:cs="Arial" w:eastAsia="Arial" w:hAnsi="Arial"/>
          <w:sz w:val="18"/>
          <w:szCs w:val="18"/>
          <w:color w:val="auto"/>
        </w:rPr>
      </w:pPr>
    </w:p>
    <w:p>
      <w:pPr>
        <w:ind w:left="660" w:right="40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 on cross-border investment, including enhanced oversight by the Committee on Foreign Investment in the United States and substantial restrictions on investment from China;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that we may suffer reputational harm as a result of our operations in Russia.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 or unauthorized or inappropriate use of or access to our systems.</w:t>
      </w:r>
    </w:p>
    <w:p>
      <w:pPr>
        <w:spacing w:after="0" w:line="14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57" w:lineRule="exact"/>
        <w:rPr>
          <w:sz w:val="20"/>
          <w:szCs w:val="20"/>
          <w:color w:val="auto"/>
        </w:rPr>
      </w:pPr>
    </w:p>
    <w:p>
      <w:pPr>
        <w:jc w:val="center"/>
        <w:ind w:left="5540" w:right="920" w:hanging="5208"/>
        <w:spacing w:after="0" w:line="903" w:lineRule="auto"/>
        <w:tabs>
          <w:tab w:leader="none" w:pos="6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11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6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4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failure to meet or exceed financial estimates, projections or development timelines of the investment community or that we provide to the public;</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composition of our stockholder base;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activity in the options market for shares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75"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31.1% of our outstanding voting stock as of December 31, 2021.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or the perception in the market that the holders of a large number of shares intend to sell shares, could reduce the market price of our common stock.</w:t>
      </w:r>
    </w:p>
    <w:p>
      <w:pPr>
        <w:spacing w:after="0" w:line="6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reduce. As of December 31, 2021, we had 123,622,965 shares of common stock outstanding. Also, as of December 31, 2021, 11,039,873 and 394,450 shares of common stock that are subject to outstanding options or restricted stock unit awards, respectively, under our outstanding equity plans are eligible for sale in the public market to the extent permitted by the provisions of various vesting schedules, and Rule 144 under the Securities Act. Additionally, as of December 31, 2021, up to 10,735,980 shares of common stock are issuable upon exercise of outstanding warrants. If these additional shares of common stock are sold, or it is perceived that they will be sold, in the public market, the trading price of our common stock could decline.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necessary to fulfill our obligation to repurchase certain warrants.</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Under certain circumstances, holders of certain warrants issued in December 2019 may require us to repurchase the remaining unexercised portion of such warrants for an amount of cash equal to the value of the warrant as determined in accordance with the Black-Scholes option pricing model and the terms of the warrants. Our ability to repurchase the warrants depends on our ability to generate cash flow in the future. To some extent, this is subject to general economic, financial, competitive, legislative and regulatory factors and other factors that are beyond our control. We cannot be certain that we will maintain sufficient cash reserves or that our business will generate cash flow from operations at levels sufficient to permit us to repurchase the warrants.</w:t>
      </w:r>
    </w:p>
    <w:p>
      <w:pPr>
        <w:spacing w:after="0" w:line="53"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Provisions in our restated certificate of incorporation and our restated bylaws may discourage, delay or prevent a merger, acquisition or other change in control of our company that stockholders may consider favorable, including transactions in which a stockholder might otherwise receive a premium for its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involved in two securities class action lawsuits.</w:t>
      </w:r>
    </w:p>
    <w:p>
      <w:pPr>
        <w:spacing w:after="0" w:line="11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4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they expect to submit documentation to the Court for its approval of the settlement in the near future. We could receive other demands or be subject to other litigation. While we intend to vigorously defend against any demands which we believe to be without merit, there can be no assurance as to the outcome of any stockholder litigation. Unfavorable outcomes in securities class action litigation could require us to pay extensive damages, which could delay or prevent our ability to develop our product candidates and harm our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corporate headquarters are currently located at 65 Grove Street, Watertown, Massachusetts and consist of 25,078 total square feet of leased office and laboratory space under a lease that expires in May 2028.</w:t>
      </w:r>
    </w:p>
    <w:p>
      <w:pPr>
        <w:spacing w:after="0" w:line="62" w:lineRule="exact"/>
        <w:rPr>
          <w:sz w:val="20"/>
          <w:szCs w:val="20"/>
          <w:color w:val="auto"/>
        </w:rPr>
      </w:pPr>
    </w:p>
    <w:p>
      <w:pPr>
        <w:ind w:right="1880" w:firstLine="324"/>
        <w:spacing w:after="0" w:line="375" w:lineRule="auto"/>
        <w:rPr>
          <w:sz w:val="20"/>
          <w:szCs w:val="20"/>
          <w:color w:val="auto"/>
        </w:rPr>
      </w:pPr>
      <w:r>
        <w:rPr>
          <w:rFonts w:ascii="Arial" w:cs="Arial" w:eastAsia="Arial" w:hAnsi="Arial"/>
          <w:sz w:val="18"/>
          <w:szCs w:val="18"/>
          <w:color w:val="auto"/>
        </w:rPr>
        <w:t xml:space="preserve">We also lease approximately 2,500 square feet of office and laboratory space in Moscow, Russia on a month-to-month basis. </w:t>
      </w:r>
      <w:r>
        <w:rPr>
          <w:rFonts w:ascii="Arial" w:cs="Arial" w:eastAsia="Arial" w:hAnsi="Arial"/>
          <w:sz w:val="18"/>
          <w:szCs w:val="18"/>
          <w:b w:val="1"/>
          <w:bCs w:val="1"/>
          <w:color w:val="auto"/>
        </w:rPr>
        <w:t>Item 3. Legal Proceedings</w:t>
      </w:r>
    </w:p>
    <w:p>
      <w:pPr>
        <w:spacing w:after="0" w:line="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they expect to submit documentation to the Court for its approval of the settlement in the near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publicly traded on The Nasdaq Stock Market under the symbol “SELB.”</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March 4, 2022, there were approximately 124,288,850 shares of our common stock outstanding held by approximately 30 holders of record. The actual number of stockholders is greater than this number of record holders, and includes stockholders who are beneficial owners, but whose shares are held in street name by brokers and other nominees.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loan and security agreement with Oxford and SVB currently prohibits us from paying dividends on our equity securities, and any future debt agreements may likewise preclude us from paying dividends. See “Management’s Discussion and Analysis of Financial Condition and Results of Operations 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June 21, 2016 (the date of our initial public offering) and December 31, 2021, with the cumulative total return of (a) the Nasdaq Composite Index and (b) the Nasdaq Biotechnology Index, over the same period. This graph assumes the investment of $100 at the market close on June 21, 2016 in our common stock, the Nasdaq Composite Index and the Nasdaq Biotechnology Index and assumes the reinvestment of dividends, if any. The stock price performance of the following graph is not necessarily indicative of future stock price performance.</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 Selecta Biosciences, Inc.,</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85725</wp:posOffset>
            </wp:positionV>
            <wp:extent cx="5229225" cy="1971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2922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or the Exchange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repurchase any of our equity securities during the quarter ended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Item 1A. “Risk Factors.” A discussion of the year ended December 31, 2020 compared to the year ended December 31, 2019 has been reported previously in our Annual Report on Form 10-K for the year ended December 31, 2020, filed with the SEC on March 12, 2021, under the heading “Management’s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62"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color w:val="auto"/>
        </w:rPr>
        <w:t>We continually seek to enhance ImmTOR. In recent preclinical studies we have conducted, we have observed that ImmTOR may have synergistic activity with interleukin-2, or IL-2, molecules that have been engineered to be selective for regulatory T cells, or Tregs. Treg-selective IL-2 mutant molecules, or IL-2 muteins, have been shown to transiently expand all pre-existing Tregs in preclinical studies conducted by others. We have observed in preclinical studies that the combination of ImmTOR, a Treg-selective IL-2 mutein and an antigen elicited an approximately three-fold increase in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rFonts w:ascii="Arial" w:cs="Arial" w:eastAsia="Arial" w:hAnsi="Arial"/>
          <w:sz w:val="17"/>
          <w:szCs w:val="17"/>
          <w:color w:val="auto"/>
        </w:rPr>
        <w:t>™</w:t>
      </w:r>
      <w:r>
        <w:rPr>
          <w:rFonts w:ascii="Arial" w:cs="Arial" w:eastAsia="Arial" w:hAnsi="Arial"/>
          <w:sz w:val="16"/>
          <w:szCs w:val="16"/>
          <w:color w:val="auto"/>
        </w:rPr>
        <w:t>. We believe this combination has the potential to be a best-in-class therapy in diseases where expansion of total Tregs may prove beneficial.</w:t>
      </w:r>
    </w:p>
    <w:p>
      <w:pPr>
        <w:spacing w:after="0" w:line="5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believe ImmTOR and ImmTOR-IL have the potential to enhance both the efficacy and safety of biologic therapies (including gene therapies), improve product candidates under development, and enable novel therapeutic modalities in autoimmune disease. In clinical trials, ImmTOR has been observed to inhibit the formation of neutralizing antibodies to adeno-associated virus (AAV) capsids, potentially enabling re-dosing of gene therapies. Additionally, based on preclinical data in AAV gene therapies, we believe that ImmTOR has the potential to improve efficacy and safety by increasing transgene expression, reducing hepatic inflammation and inhibiting undesired immune responses to both the AAV capsid and the transgene product that can occur with the first dose of gene therapy. In biologic therapies, clinical activity of ImmTOR in humans has been observed with pegadricase, a highly immunogenic pegylated uricase enzyme being developed for the treatment of patients with chronic refractory gout to conventional therapy. The combination of ImmTOR and pegadricase is currently being evaluated in a Phase 3 clinical trial that we are conducting on behalf of our partner Swedish Orphan Biovitrum AB, or Sobi. We intend to pursue development of therapies for autoimmune diseases where expansion of either all Tregs or antigen-specific Tregs has been shown to, or we believe is, likely to have a beneficial effect. We believe that ImmTOR and ImmTOR-IL have the potential to unlock antigen-specific therapies for autoimmune diseases and that ImmTOR-IL can further improve the efficacy and safety profile of biologic therapies beyond ImmTOR alone.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are closely monitoring how the COVID-19 pandemic is affecting our employees, business, preclinical studies and clinical trials. In response to the spread of COVID-19, we have continued to have our administrative employees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w:t>
      </w:r>
    </w:p>
    <w:p>
      <w:pPr>
        <w:spacing w:after="0" w:line="4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While the COVID-19 pandemic has not had a material impact on our clinical programs as of the date of this Annual Report, it could have an impact on our ability to complete the Phase 3 DISSOLVE clinical program of SEL-212, as the pandemic presents the potential to experience delays in enrollment as well as the inability of certain patients to complete the trial due to suffering from COVID-19, our ability to commence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spacing w:after="0" w:line="68"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At this time, any impact of COVID-19 on our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or disruptions, supply chain disruptions, the ultimate impact on financial markets and the global economy, and the effectiveness of actions taken in the United States and other countries to contain and treat the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spacing w:after="0" w:line="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$25.7 million and $68.9 million for the years ended December 31, 2021 and 2020, respectively. As of December 31, 2021, we had an accumulated deficit of $430.3 million. We expect to continue to incur significant expenses and operating losses for at least the next several years as we:</w:t>
      </w:r>
    </w:p>
    <w:p>
      <w:pPr>
        <w:spacing w:after="0" w:line="76" w:lineRule="exact"/>
        <w:rPr>
          <w:sz w:val="20"/>
          <w:szCs w:val="20"/>
          <w:color w:val="auto"/>
        </w:rPr>
      </w:pPr>
    </w:p>
    <w:p>
      <w:pPr>
        <w:ind w:left="660" w:right="4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117" w:lineRule="exact"/>
        <w:rPr>
          <w:rFonts w:ascii="Arial" w:cs="Arial" w:eastAsia="Arial" w:hAnsi="Arial"/>
          <w:sz w:val="18"/>
          <w:szCs w:val="18"/>
          <w:color w:val="auto"/>
        </w:rPr>
      </w:pPr>
    </w:p>
    <w:p>
      <w:pPr>
        <w:ind w:left="660" w:right="40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Until we can generate substantial product revenues, if ever,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9"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believe that our existing cash, cash equivalents, restricted cash, and marketable securities as of December 31, 2021 will enable us to fund our operating expenses and capital expenditure requirements into the third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license revenue, see Notes 2 and 12 to our consolidated financial statements included elsewhere in this Annual Report.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6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have incurred a total of $364.0 million in research and development expenses from inception through December 31, 2021, with a majority of the expenses being spent on the development of SEL-212 and the remainder being spent on our various discovery and preclinical stage product candidate programs and the general expansion of our technology.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4"/>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SEL-212</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31,446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25,489</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AskBio collaboration</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Preclinical stage product candidate programs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11,080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r>
      <w:tr>
        <w:trPr>
          <w:trHeight w:val="186"/>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22,322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15,594</w:t>
            </w:r>
          </w:p>
        </w:tc>
      </w:tr>
      <w:tr>
        <w:trPr>
          <w:trHeight w:val="20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68,736</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42,743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consolidated financial statements included elsewhere in this Annual Report. The reimbursable costs exclude any costs of additional development activities required that are related to ImmTOR and that are unrelated to SEL-212.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consists primarily of interest income earned on our cash, cash equivalents and marketable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income was de minimis during the years ended December 31, 2021 and 2020, and for the year ended December 31, 2019 it consists primarily of issuance fees associated with warrant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December 31, 2021 and 2020, we maintained cash of $0.3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revenue</w:t>
      </w:r>
    </w:p>
    <w:p>
      <w:pPr>
        <w:spacing w:after="0" w:line="121"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following is a comparison of collaboration and license revenue for the years ended December 31, 2021 and 2020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and license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68,480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During the years ended December 31, 2021 and 2020, we recognized $83.5 million and $16.6 million, respectively, under the license agreement with Sobi resulting from both the shipment of clinical supply and the reimbursement of costs incurred for the Phase 3 DISSOLVE clinical program. The significant revenue increase is the result of the continued enrollment of the Phase 3 DISSOLVE clinical program that was initiated in the third quarter of 2020. Additionally, during the year ended December 31, 2021, we recognized $1.0 million under the license agreement with Takeda, $0.4 million for shipments under the license agreement with Sarepta, and $0.1 million resulting from the expiration of the contractual audit term under the Skolkovo Foundation grant.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years ended December 31, 2021 and 2020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vMerge w:val="restart"/>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88"/>
              </w:rPr>
              <w:t>(decrease)</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SEL-212</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31,446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AskBio collaboration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Preclinical stage product candidate programs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11,080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545 %</w:t>
            </w:r>
          </w:p>
        </w:tc>
        <w:tc>
          <w:tcPr>
            <w:tcW w:w="0" w:type="dxa"/>
            <w:vAlign w:val="bottom"/>
          </w:tcPr>
          <w:p>
            <w:pPr>
              <w:spacing w:after="0"/>
              <w:rPr>
                <w:sz w:val="1"/>
                <w:szCs w:val="1"/>
                <w:color w:val="auto"/>
              </w:rPr>
            </w:pPr>
          </w:p>
        </w:tc>
      </w:tr>
      <w:tr>
        <w:trPr>
          <w:trHeight w:val="18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22,322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4,629</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0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research and development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68,736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54,505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14,231</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During the year ended December 31, 2021</w:t>
      </w:r>
      <w:r>
        <w:rPr>
          <w:rFonts w:ascii="Arial" w:cs="Arial" w:eastAsia="Arial" w:hAnsi="Arial"/>
          <w:sz w:val="17"/>
          <w:szCs w:val="17"/>
          <w:color w:val="2C2C2C"/>
        </w:rPr>
        <w:t>, our research and development expenses increased by $14.2 million, or 26%, as com</w:t>
      </w:r>
      <w:r>
        <w:rPr>
          <w:rFonts w:ascii="Arial" w:cs="Arial" w:eastAsia="Arial" w:hAnsi="Arial"/>
          <w:sz w:val="17"/>
          <w:szCs w:val="17"/>
          <w:color w:val="auto"/>
        </w:rPr>
        <w:t>pared to 2020. The increase in cost was primarily the result of expenses incurred for the preclinical programs, salaries for increases in headcount and AskBio collaboration costs. Additionally, we paid Genovis and Ginkgo, $4.0 million and $0.5 million, respectively, for in-license agreements.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years ended December 31, 2021 and 2020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During the year ended December 31, 2021, our general and administrative expenses increased by $2.0 million, or 11%, as compared to 2020. The increase in costs was primarily the result of stock compensation and consulting fees, offset primarily by reduction in professional fees.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was de minimis for the years ended December 31, 2021 and 2020,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we recognized a $0.5 million loss on extinguishment of the 2017 Term Loan (see Note 9).</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de minimis foreign currency gains during each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Interest expense was $2.8 million and $1.6 million for the years ended December 31, 2021 and 2020,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For the year ended December 31, 2021, we recognized $2.3 million of loss from the change in the fair value of warrant liabilities utilizing the Black-Scholes valuation methodology. The increase in value was primarily driven by a slight increase in the Company’s share price, offset by the decrease of outstanding warrants. For the year ended December 31, 2020, we recognized $10.4 million change for the increase in the fair value of warrant liabilities primarily driven by an increase in the share price and volatility.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was de minimis for each of the years ended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For the year ended December 31, 2021, we recognized $16.0 million of expense for the income taxes primarily related to the license agreement with Sobi upon the Company’s election to opt out of the installment sale method of taxation. As a result of this election, the Company has prepaid all taxes related to future Sobi License revenue streams.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Net loss for the year ended December 31, 2021 decreased to $25.7 million as compared to a net loss of $68.9 million in 2020 primarily due to increased revenue of $66.9 million under the license agreement with Sobi resulting from both the shipment of clinical supply and the reimbursement of costs incurred for the Phase 3 DISSOLVE clinical program, partially offset by increased research and development expenses on preclinical programs.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our inception through December 31, 2021, we have raised an aggregate of $637.5 million to fund our operations, which includes $118.5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from the sale of preferred stock, $11.1 million in government grant funding, $36.7 million from borrowings under our credit facilities past and present,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$202.4 million from our collaborations and license agreements, $64.5 million in combined net proceeds from our initial public offering, $149.3 million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combined net proceeds from private placements and follow-on offerings of our common stock, and, through December 31, 2021, $55.0 million in aggregate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“at-the-market” offerings of our common stock.</w:t>
      </w:r>
    </w:p>
    <w:p>
      <w:pPr>
        <w:spacing w:after="0" w:line="88"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December 31, 2021, our cash, cash equivalents, restricted cash, and marketable securities were $129.4 million, of which $1.4 million was restricted cash related to lease commitments and $0.3 million was held by our Russian subsidiary designated solely for use in its operations. Our Russian subsidiary cash is consolidated for financial reporting purposes.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to our existing cash equivalents, we receive research and development funding pursuant to our collaboration and license agreements.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Currently, funding from payments under our collaboration and license agreements represent our only source of committed external funds.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In-licenses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October 2021, we entered into the Ginkgo Agreement, and paid Ginkgo a $0.5 million one-time upfront payment and we entered into the Genovis Agreement, and paid Genovis a $4.0 million one-time upfront payment.</w:t>
      </w:r>
    </w:p>
    <w:p>
      <w:pPr>
        <w:spacing w:after="0" w:line="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September 7, 2021, we entered into the Cyrus Agreement, and purchased 2,326,934 shares of Cyrus’ Series B Preferred Stock, par value $0.0001 per share at a purchase price of $0.8595 per share for $2.0 million.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Out-licenses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On October 1, 2021, we entered into the Takeda Agreement. We received a $3.0 million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w:t>
      </w:r>
    </w:p>
    <w:p>
      <w:pPr>
        <w:spacing w:after="0" w:line="7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June 2020, we entered into the Sobi License. Sobi paid us a one-time, upfront payment of $75 million, and upon the closing of the Sobi Private Placement, we received an additional $25 million from Sobi in consideration for Sobi’s purchase of our common stock at $4.6156 per share.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We expect this to substantially reduce our annual operating expenses. Additionally, in June 2020, we entered into the Sarepta Agreement. Sarepta paid us a $2.0 million upfront payment upon closing, and a $3.0 million for the achievement of certain pre-clinical milestones in June 2021.</w:t>
      </w:r>
    </w:p>
    <w:p>
      <w:pPr>
        <w:spacing w:after="0" w:line="69" w:lineRule="exact"/>
        <w:rPr>
          <w:sz w:val="20"/>
          <w:szCs w:val="20"/>
          <w:color w:val="auto"/>
        </w:rPr>
      </w:pPr>
    </w:p>
    <w:p>
      <w:pPr>
        <w:jc w:val="both"/>
        <w:ind w:right="260" w:firstLine="324"/>
        <w:spacing w:after="0" w:line="301" w:lineRule="auto"/>
        <w:rPr>
          <w:sz w:val="20"/>
          <w:szCs w:val="20"/>
          <w:color w:val="auto"/>
        </w:rPr>
      </w:pPr>
      <w:r>
        <w:rPr>
          <w:rFonts w:ascii="Arial" w:cs="Arial" w:eastAsia="Arial" w:hAnsi="Arial"/>
          <w:sz w:val="16"/>
          <w:szCs w:val="16"/>
          <w:color w:val="auto"/>
        </w:rPr>
        <w:t>In December 2019, we entered into the AskBio License Agreement. Pursuant to the AskBio License Agreement, AskBio has exercised its option to exclusively license intellectual property rights covering ImmTOR to research, develop, and commercialize certain AAV gene therapy products utilizing ImmTOR, and targeting the GAA gene, or derivatives thereof, to treat Pompe Disease. We received $7.0 million of upfront fees pursuant to the AskBio License Agreement and are eligible to receive $237 million in milestone payments, and royalties on net sales ranging from the mid-to-high single digits.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In August 2017, we entered into a sales agreement, or the 2017 Sales Agreement, with Jefferies LLC, as sales agent, to sell shares of our common stock with an aggregate value of up to $50.0 million in an “at-the-market” offering. In August 2020, concurrent with the filing of a new shelf registration statement, we entered into a new sales agreement, or the 2020 Sales Agreement, with Jefferies LLC, as sales agent, pursuant to which we may, from time to time, issue and sell common stock with an aggregate value of up to $50.0 million in an “at-the-market” offering. The 2017 Sales Agreement terminated pursuant to its terms in August 2020. On October 8, 2021, we delivered notice to Jefferies LLC that we were terminating the 2020 Sales Agreement, with effect as of October 19, 2021.</w:t>
      </w:r>
    </w:p>
    <w:p>
      <w:pPr>
        <w:spacing w:after="0" w:line="81" w:lineRule="exact"/>
        <w:rPr>
          <w:sz w:val="20"/>
          <w:szCs w:val="20"/>
          <w:color w:val="auto"/>
        </w:rPr>
      </w:pPr>
    </w:p>
    <w:p>
      <w:pPr>
        <w:ind w:right="140" w:firstLine="324"/>
        <w:spacing w:after="0" w:line="241" w:lineRule="auto"/>
        <w:rPr>
          <w:sz w:val="20"/>
          <w:szCs w:val="20"/>
          <w:color w:val="auto"/>
        </w:rPr>
      </w:pPr>
      <w:r>
        <w:rPr>
          <w:rFonts w:ascii="Arial" w:cs="Arial" w:eastAsia="Arial" w:hAnsi="Arial"/>
          <w:sz w:val="18"/>
          <w:szCs w:val="18"/>
          <w:color w:val="auto"/>
        </w:rPr>
        <w:t>On October 25, 2021, we entered into a Sales Agreement, or the 2021 Sales Agreement, with SVB Leerink LLC to sell shares of our common stock, from time to time, through an “at the market” equity offering program under which SVB Leerink will act as sales agent. The shares of common stock sold pursuant to the 2021 Sales Agreement will be issued pursuant to our shelf registration statement on Form S-3 (File No. 333-241692), filed on August 6, 2020 with the Securities and Exchange Commission and related prospectus supplement, filed on October 25, 2021 with the Securities and Exchange Commission, for aggregate gross sales proceeds of up to $75.0 million.</w:t>
      </w:r>
    </w:p>
    <w:p>
      <w:pPr>
        <w:spacing w:after="0" w:line="8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During the year ended December 31, 2021, we sold 13,767,511 shares of our common stock pursuant to the 2021 and 2020 Sales Agreements, as applicable, for aggregate net proceeds of $51.9 million, after deducting commissions and other transaction costs. During the year ended December 31, 2020, we sold 1,069,486 shares of our common stock pursuant to the 2020 and 2017 Sales Agreements, as applicable, for aggregate net proceeds of $2.1 million, after deducting commissions and other transaction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August 31, 2020, we entered into a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second draw period expired on September 30, 2021 and the Term B Loan is no longer available to be drawn in the future.</w:t>
      </w:r>
    </w:p>
    <w:p>
      <w:pPr>
        <w:spacing w:after="0" w:line="68"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spacing w:after="0" w:line="76" w:lineRule="exact"/>
        <w:rPr>
          <w:sz w:val="20"/>
          <w:szCs w:val="20"/>
          <w:color w:val="auto"/>
        </w:rPr>
      </w:pPr>
    </w:p>
    <w:p>
      <w:pPr>
        <w:ind w:right="600" w:firstLine="324"/>
        <w:spacing w:after="0" w:line="375" w:lineRule="auto"/>
        <w:rPr>
          <w:sz w:val="20"/>
          <w:szCs w:val="20"/>
          <w:color w:val="auto"/>
        </w:rPr>
      </w:pPr>
      <w:r>
        <w:rPr>
          <w:rFonts w:ascii="Arial" w:cs="Arial" w:eastAsia="Arial" w:hAnsi="Arial"/>
          <w:sz w:val="18"/>
          <w:szCs w:val="18"/>
          <w:color w:val="auto"/>
        </w:rPr>
        <w:t xml:space="preserve">For a further description of the 2020 Term Loan, see Note 9 to our consolidated financial statements included elsewhere in this Annual Report. </w:t>
      </w:r>
      <w:r>
        <w:rPr>
          <w:rFonts w:ascii="Arial" w:cs="Arial" w:eastAsia="Arial" w:hAnsi="Arial"/>
          <w:sz w:val="18"/>
          <w:szCs w:val="18"/>
          <w:b w:val="1"/>
          <w:bCs w:val="1"/>
          <w:color w:val="auto"/>
        </w:rPr>
        <w:t>Future funding requirements</w:t>
      </w:r>
    </w:p>
    <w:p>
      <w:pPr>
        <w:spacing w:after="0" w:line="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of the date of this Annual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December 31, 2021, we had an accumulated deficit of $430.3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continually evaluating various potential sources of additional funding such as strategic collaborations, license agreements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80"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believe that our existing cash, cash equivalents, restricted cash, and marketable securities as of December 31, 2021 will enable us to fund our current planned operations into the third quarter of 2023,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 programs or be unable to expand our operations, meet long-term obligations or otherwise capitalize on our commercialization of our product candidates.</w:t>
      </w:r>
    </w:p>
    <w:p>
      <w:pPr>
        <w:spacing w:after="0" w:line="7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760" w:hanging="32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760" w:right="620" w:hanging="328"/>
        <w:spacing w:after="0" w:line="277" w:lineRule="auto"/>
        <w:tabs>
          <w:tab w:leader="none" w:pos="7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760" w:hanging="32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760" w:right="140" w:hanging="328"/>
        <w:spacing w:after="0" w:line="277" w:lineRule="auto"/>
        <w:tabs>
          <w:tab w:leader="none" w:pos="7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78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w w:val="98"/>
              </w:rPr>
              <w:t>Year Ended December 31,</w:t>
            </w:r>
          </w:p>
        </w:tc>
        <w:tc>
          <w:tcPr>
            <w:tcW w:w="1280" w:type="dxa"/>
            <w:vAlign w:val="bottom"/>
            <w:tcBorders>
              <w:bottom w:val="single" w:sz="8" w:color="auto"/>
            </w:tcBorders>
          </w:tcPr>
          <w:p>
            <w:pPr>
              <w:spacing w:after="0"/>
              <w:rPr>
                <w:sz w:val="16"/>
                <w:szCs w:val="16"/>
                <w:color w:val="auto"/>
              </w:rPr>
            </w:pPr>
          </w:p>
        </w:tc>
      </w:tr>
      <w:tr>
        <w:trPr>
          <w:trHeight w:val="186"/>
        </w:trPr>
        <w:tc>
          <w:tcPr>
            <w:tcW w:w="484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2120" w:type="dxa"/>
            <w:vAlign w:val="bottom"/>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62"/>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h (used in) and provided by:</w:t>
            </w:r>
          </w:p>
        </w:tc>
        <w:tc>
          <w:tcPr>
            <w:tcW w:w="2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9"/>
        </w:trPr>
        <w:tc>
          <w:tcPr>
            <w:tcW w:w="10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Operating activities</w:t>
            </w:r>
          </w:p>
        </w:tc>
        <w:tc>
          <w:tcPr>
            <w:tcW w:w="2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(60,382)$</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34,881$</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(51,435)</w:t>
            </w:r>
          </w:p>
        </w:tc>
      </w:tr>
      <w:tr>
        <w:trPr>
          <w:trHeight w:val="182"/>
        </w:trPr>
        <w:tc>
          <w:tcPr>
            <w:tcW w:w="10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4"/>
                <w:szCs w:val="14"/>
                <w:color w:val="auto"/>
              </w:rPr>
              <w:t>Investing activities</w:t>
            </w:r>
          </w:p>
        </w:tc>
        <w:tc>
          <w:tcPr>
            <w:tcW w:w="2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(17,140)</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196"/>
        </w:trPr>
        <w:tc>
          <w:tcPr>
            <w:tcW w:w="10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2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105,041</w:t>
            </w:r>
          </w:p>
        </w:tc>
      </w:tr>
      <w:tr>
        <w:trPr>
          <w:trHeight w:val="186"/>
        </w:trPr>
        <w:tc>
          <w:tcPr>
            <w:tcW w:w="4840" w:type="dxa"/>
            <w:vAlign w:val="bottom"/>
            <w:gridSpan w:val="2"/>
          </w:tcPr>
          <w:p>
            <w:pPr>
              <w:spacing w:after="0"/>
              <w:rPr>
                <w:sz w:val="20"/>
                <w:szCs w:val="20"/>
                <w:color w:val="auto"/>
              </w:rPr>
            </w:pPr>
            <w:r>
              <w:rPr>
                <w:rFonts w:ascii="Arial" w:cs="Arial" w:eastAsia="Arial" w:hAnsi="Arial"/>
                <w:sz w:val="14"/>
                <w:szCs w:val="14"/>
                <w:color w:val="auto"/>
              </w:rPr>
              <w:t>ect of exchange rate changes on cash</w:t>
            </w:r>
          </w:p>
        </w:tc>
        <w:tc>
          <w:tcPr>
            <w:tcW w:w="2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93"/>
        </w:trPr>
        <w:tc>
          <w:tcPr>
            <w:tcW w:w="100" w:type="dxa"/>
            <w:vAlign w:val="bottom"/>
          </w:tcPr>
          <w:p>
            <w:pPr>
              <w:spacing w:after="0"/>
              <w:rPr>
                <w:sz w:val="16"/>
                <w:szCs w:val="16"/>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 in cash, cash equivalents, and restricted cash</w:t>
            </w:r>
          </w:p>
        </w:tc>
        <w:tc>
          <w:tcPr>
            <w:tcW w:w="2120" w:type="dxa"/>
            <w:vAlign w:val="bottom"/>
            <w:tcBorders>
              <w:top w:val="single" w:sz="8" w:color="CCEEFF"/>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53,869</w:t>
            </w:r>
          </w:p>
        </w:tc>
      </w:tr>
    </w:tbl>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00" w:right="40" w:firstLine="324"/>
        <w:spacing w:after="0" w:line="263" w:lineRule="auto"/>
        <w:rPr>
          <w:sz w:val="20"/>
          <w:szCs w:val="20"/>
          <w:color w:val="auto"/>
        </w:rPr>
      </w:pPr>
      <w:r>
        <w:rPr>
          <w:rFonts w:ascii="Arial" w:cs="Arial" w:eastAsia="Arial" w:hAnsi="Arial"/>
          <w:sz w:val="18"/>
          <w:szCs w:val="18"/>
          <w:color w:val="auto"/>
        </w:rPr>
        <w:t>Net cash used in operating activities for the year ended December 31, 2021 was $60.4 million compared to $34.9 million provided in the same period in 2020. The decrease in net cash used in operating activities was primarily due to $12.2 million of net losses, adjusted for non-cash items, and uses of cash of approximately $48.2 million for changes in operating assets and liabilities.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00" w:right="100" w:firstLine="324"/>
        <w:spacing w:after="0" w:line="259" w:lineRule="auto"/>
        <w:rPr>
          <w:sz w:val="20"/>
          <w:szCs w:val="20"/>
          <w:color w:val="auto"/>
        </w:rPr>
      </w:pPr>
      <w:r>
        <w:rPr>
          <w:rFonts w:ascii="Arial" w:cs="Arial" w:eastAsia="Arial" w:hAnsi="Arial"/>
          <w:sz w:val="18"/>
          <w:szCs w:val="18"/>
          <w:color w:val="auto"/>
        </w:rPr>
        <w:t>Net cash used in investing activities for the year ended December 31, 2021 was $17.1 million compared to net cash used in investing activities of $0.7 million in the same period in 2020. The net cash used in investing activities in 2021 was primarily to purchase marketable securities and to invest in Cyrus Biotechnology, offset by proceeds from the maturities of marketable securities. The net cash used in investing activities in 2020 was to purchase property and equipment.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00" w:right="200" w:firstLine="324"/>
        <w:spacing w:after="0" w:line="263" w:lineRule="auto"/>
        <w:rPr>
          <w:sz w:val="20"/>
          <w:szCs w:val="20"/>
          <w:color w:val="auto"/>
        </w:rPr>
      </w:pPr>
      <w:r>
        <w:rPr>
          <w:rFonts w:ascii="Arial" w:cs="Arial" w:eastAsia="Arial" w:hAnsi="Arial"/>
          <w:sz w:val="18"/>
          <w:szCs w:val="18"/>
          <w:color w:val="auto"/>
        </w:rPr>
        <w:t xml:space="preserve">Net cash provided by financing activities for the year ended December 31, 2021 was $52.9 million compared to net cash provided by financing activities of $14.4 million in the same period in 2020. The net cash provided by financing activities in 2021 was primarily the result of net proceeds from </w:t>
      </w:r>
      <w:r>
        <w:rPr>
          <w:rFonts w:ascii="Arial" w:cs="Arial" w:eastAsia="Arial" w:hAnsi="Arial"/>
          <w:sz w:val="18"/>
          <w:szCs w:val="18"/>
          <w:i w:val="1"/>
          <w:iCs w:val="1"/>
          <w:color w:val="auto"/>
        </w:rPr>
        <w:t>“</w:t>
      </w:r>
      <w:r>
        <w:rPr>
          <w:rFonts w:ascii="Arial" w:cs="Arial" w:eastAsia="Arial" w:hAnsi="Arial"/>
          <w:sz w:val="18"/>
          <w:szCs w:val="18"/>
          <w:color w:val="auto"/>
        </w:rPr>
        <w:t>at-the-market</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and from the exercise of stock options.</w:t>
      </w:r>
    </w:p>
    <w:p>
      <w:pPr>
        <w:spacing w:after="0" w:line="76" w:lineRule="exact"/>
        <w:rPr>
          <w:sz w:val="20"/>
          <w:szCs w:val="20"/>
          <w:color w:val="auto"/>
        </w:rPr>
      </w:pPr>
    </w:p>
    <w:p>
      <w:pPr>
        <w:jc w:val="both"/>
        <w:ind w:left="100" w:right="80" w:firstLine="324"/>
        <w:spacing w:after="0" w:line="286" w:lineRule="auto"/>
        <w:rPr>
          <w:sz w:val="20"/>
          <w:szCs w:val="20"/>
          <w:color w:val="auto"/>
        </w:rPr>
      </w:pPr>
      <w:r>
        <w:rPr>
          <w:rFonts w:ascii="Arial" w:cs="Arial" w:eastAsia="Arial" w:hAnsi="Arial"/>
          <w:sz w:val="17"/>
          <w:szCs w:val="17"/>
          <w:color w:val="auto"/>
        </w:rPr>
        <w:t>The net cash provided by financing activities in 2020 was the result of $10.3 million from the Sobi Private Placement, $24.7 million from the Term A Loan, $2.1 million net proceeds from sales of common stock in “at-the-market” offerings, and $1.0 million proceeds from warrant exercises, offset by $4.4 million of issuance costs paid for December 2019 financing and $19.3 million principal payment on outstanding debt.</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Research and development contract obligations</w:t>
      </w:r>
    </w:p>
    <w:p>
      <w:pPr>
        <w:spacing w:after="0" w:line="121" w:lineRule="exact"/>
        <w:rPr>
          <w:sz w:val="20"/>
          <w:szCs w:val="20"/>
          <w:color w:val="auto"/>
        </w:rPr>
      </w:pPr>
    </w:p>
    <w:p>
      <w:pPr>
        <w:ind w:left="100" w:firstLine="324"/>
        <w:spacing w:after="0" w:line="263" w:lineRule="auto"/>
        <w:rPr>
          <w:sz w:val="20"/>
          <w:szCs w:val="20"/>
          <w:color w:val="auto"/>
        </w:rPr>
      </w:pPr>
      <w:r>
        <w:rPr>
          <w:rFonts w:ascii="Arial" w:cs="Arial" w:eastAsia="Arial" w:hAnsi="Arial"/>
          <w:sz w:val="18"/>
          <w:szCs w:val="18"/>
          <w:color w:val="auto"/>
        </w:rPr>
        <w:t>Under our license agreement with MIT, milestone payments are due upon the occurrence of certain events and royalty payments commence upon our commercialization of a product. As of December 31, 2021, contractual obligations were $0.4 million. We have assumed license payments are fully offset by royalty payments in 2028.</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00" w:right="680" w:firstLine="324"/>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consolidated financial statements included elsewhere in this Annual Report.</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00" w:right="180" w:firstLine="324"/>
        <w:spacing w:after="0" w:line="277" w:lineRule="auto"/>
        <w:rPr>
          <w:sz w:val="20"/>
          <w:szCs w:val="20"/>
          <w:color w:val="auto"/>
        </w:rPr>
      </w:pPr>
      <w:r>
        <w:rPr>
          <w:rFonts w:ascii="Arial" w:cs="Arial" w:eastAsia="Arial" w:hAnsi="Arial"/>
          <w:sz w:val="18"/>
          <w:szCs w:val="18"/>
          <w:color w:val="auto"/>
        </w:rPr>
        <w:t>As of December 31, 2021, we did not have any off-balance sheet arrangements as defined in the rules and regulations of the Securities and Exchange Commission.</w:t>
      </w:r>
    </w:p>
    <w:p>
      <w:pPr>
        <w:sectPr>
          <w:pgSz w:w="11900" w:h="16838" w:orient="portrait"/>
          <w:cols w:equalWidth="0" w:num="1">
            <w:col w:w="11340"/>
          </w:cols>
          <w:pgMar w:left="2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included elsewhere in this Annual Report on Form 10-K, we believe the following accounting policies to be the most critical in understanding the judgments and estimates we use in preparing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w:t>
      </w:r>
    </w:p>
    <w:p>
      <w:pPr>
        <w:spacing w:after="0" w:line="1" w:lineRule="exact"/>
        <w:rPr>
          <w:sz w:val="20"/>
          <w:szCs w:val="20"/>
          <w:color w:val="auto"/>
        </w:rPr>
      </w:pPr>
    </w:p>
    <w:p>
      <w:pPr>
        <w:ind w:firstLine="8"/>
        <w:spacing w:after="0" w:line="251" w:lineRule="auto"/>
        <w:tabs>
          <w:tab w:leader="none" w:pos="3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Swedish Orphan Biovitrum, or Sobi, Asklepios Biopharmaceutical, Inc., or AskBio, Sarepta Therapeutics, Inc., or Sarepta, and Takeda Pharmaceuticals USA, Inc., or Takeda, (see Note 12) will be satisfied over time, and revenue will be recognized using the output method, based on the proportion of actual deliveries to the total expected deliveries over the initial term.</w:t>
      </w:r>
    </w:p>
    <w:p>
      <w:pPr>
        <w:spacing w:after="0" w:line="7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Collaboration and License Revenue: </w:t>
      </w:r>
      <w:r>
        <w:rPr>
          <w:rFonts w:ascii="Arial" w:cs="Arial" w:eastAsia="Arial" w:hAnsi="Arial"/>
          <w:sz w:val="16"/>
          <w:szCs w:val="16"/>
          <w:color w:val="auto"/>
        </w:rPr>
        <w:t>We currently generate revenue through collaboration and license agreements with strategic collaborators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w:t>
      </w:r>
      <w:r>
        <w:rPr>
          <w:rFonts w:ascii="Arial" w:cs="Arial" w:eastAsia="Arial" w:hAnsi="Arial"/>
          <w:sz w:val="16"/>
          <w:szCs w:val="16"/>
          <w:i w:val="1"/>
          <w:iCs w:val="1"/>
          <w:color w:val="auto"/>
        </w:rPr>
        <w:t>(ASC 808</w:t>
      </w:r>
      <w:r>
        <w:rPr>
          <w:rFonts w:ascii="Arial" w:cs="Arial" w:eastAsia="Arial" w:hAnsi="Arial"/>
          <w:sz w:val="16"/>
          <w:szCs w:val="16"/>
          <w:color w:val="auto"/>
        </w:rPr>
        <w:t>), and evaluate whether such arrangements involve joint operating activities performed by parties that are both active participants in the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Arial" w:cs="Arial" w:eastAsia="Arial" w:hAnsi="Arial"/>
          <w:sz w:val="16"/>
          <w:szCs w:val="16"/>
          <w:i w:val="1"/>
          <w:iCs w:val="1"/>
          <w:color w:val="auto"/>
        </w:rPr>
        <w:t>Research and Development (ASC 730)</w:t>
      </w:r>
      <w:r>
        <w:rPr>
          <w:rFonts w:ascii="Arial" w:cs="Arial" w:eastAsia="Arial" w:hAnsi="Arial"/>
          <w:sz w:val="16"/>
          <w:szCs w:val="16"/>
          <w:color w:val="auto"/>
        </w:rPr>
        <w:t>, and record reimbursements from counterparties as an offset to the related 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6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76" w:lineRule="exact"/>
        <w:rPr>
          <w:sz w:val="20"/>
          <w:szCs w:val="20"/>
          <w:color w:val="auto"/>
        </w:rPr>
      </w:pPr>
    </w:p>
    <w:p>
      <w:pPr>
        <w:ind w:right="320" w:firstLine="324"/>
        <w:spacing w:after="0" w:line="296"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our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6"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w:t>
      </w:r>
    </w:p>
    <w:p>
      <w:pPr>
        <w:spacing w:after="0" w:line="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8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121"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December 2019, we issued common warrants in connection with a securities purchase agreement between us and a group of institutional investors and certain members of our board of directors. Pursuant to the terms of these common warrants, we could be required to settle the common warrants in cash in the event of certain acquisitions of us and, as a result, the common warrants are required to be measured at fair value and reported as a liability on the balance sheet. We recorded the fair value of the common warrants of $40.7 million upon issuance using the Black-Scholes valuation model, and are required to revalue the common warrants at each reporting date with any changes in fair value recorded on our statement of operations. 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the last day of the fiscal year in which we have at least $100 million in revenue and at least $250 million in public float as of the last business day of our most recently completed second fiscal quarter.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December 31, 2021 and 2020, we had cash, cash equivalents, restricted cash and marketable securities of $129.4 million and $140.1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7"/>
          <w:szCs w:val="17"/>
          <w:b w:val="1"/>
          <w:bCs w:val="1"/>
          <w:color w:val="auto"/>
        </w:rPr>
        <w:t>tem 8. Financial Statements and Supplementary Data</w:t>
      </w:r>
    </w:p>
    <w:p>
      <w:pPr>
        <w:spacing w:after="0" w:line="116"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consolidated financial statements together with the report of our independent registered public company accounting firm, required to be filed pursuant to this Item 8 are appended to this Annual Report. An index of those consolidated financial statements is found in Item 15.</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Exchange Act.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Based on this assessment, our management concluded that, as of December 31, 2021, our internal control over financial reporting was effective.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While we believe we have a robust and efficient system of internal and disclosure controls and procedures, our management, including our Chief Executive Officer and Chief Financial Officer, recognize that it is impossible for our disclosure controls and procedures or our internal controls to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December 31, 2021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for “smaller reporting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2022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All financial schedules have been omitted because the required information is either presented in the consolidated financial statements filed as part of this Annual Report on Form 10-K or the notes thereto or is not required.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8"/>
              </w:rPr>
              <w:t>Incorporated by Reference</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2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40" w:type="dxa"/>
            <w:vAlign w:val="bottom"/>
            <w:gridSpan w:val="20"/>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88"/>
        </w:trPr>
        <w:tc>
          <w:tcPr>
            <w:tcW w:w="1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40" w:type="dxa"/>
            <w:vAlign w:val="bottom"/>
            <w:gridSpan w:val="20"/>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4"/>
        </w:trPr>
        <w:tc>
          <w:tcPr>
            <w:tcW w:w="620" w:type="dxa"/>
            <w:vAlign w:val="bottom"/>
            <w:tcBorders>
              <w:top w:val="single" w:sz="8" w:color="auto"/>
            </w:tcBorders>
            <w:gridSpan w:val="2"/>
          </w:tcPr>
          <w:p>
            <w:pPr>
              <w:jc w:val="center"/>
              <w:ind w:left="314"/>
              <w:spacing w:after="0" w:line="184" w:lineRule="exact"/>
              <w:rPr>
                <w:rFonts w:ascii="Arial" w:cs="Arial" w:eastAsia="Arial" w:hAnsi="Arial"/>
                <w:sz w:val="18"/>
                <w:szCs w:val="18"/>
                <w:color w:val="0000FF"/>
                <w:w w:val="87"/>
              </w:rPr>
            </w:pPr>
            <w:hyperlink r:id="rId10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40" w:type="dxa"/>
            <w:vAlign w:val="bottom"/>
            <w:tcBorders>
              <w:top w:val="single" w:sz="8" w:color="auto"/>
            </w:tcBorders>
            <w:gridSpan w:val="22"/>
          </w:tcPr>
          <w:p>
            <w:pPr>
              <w:spacing w:after="0" w:line="184" w:lineRule="exact"/>
              <w:rPr>
                <w:rFonts w:ascii="Arial" w:cs="Arial" w:eastAsia="Arial" w:hAnsi="Arial"/>
                <w:sz w:val="18"/>
                <w:szCs w:val="18"/>
                <w:color w:val="0000FF"/>
              </w:rPr>
            </w:pPr>
            <w:hyperlink r:id="rId101">
              <w:r>
                <w:rPr>
                  <w:rFonts w:ascii="Arial" w:cs="Arial" w:eastAsia="Arial" w:hAnsi="Arial"/>
                  <w:sz w:val="18"/>
                  <w:szCs w:val="18"/>
                  <w:color w:val="0000FF"/>
                </w:rPr>
                <w:t>Restated Certificate of Incorporation of Selecta Biosciences, Inc.</w:t>
              </w:r>
            </w:hyperlink>
          </w:p>
        </w:tc>
        <w:tc>
          <w:tcPr>
            <w:tcW w:w="120" w:type="dxa"/>
            <w:vAlign w:val="bottom"/>
          </w:tcPr>
          <w:p>
            <w:pPr>
              <w:spacing w:after="0"/>
              <w:rPr>
                <w:sz w:val="15"/>
                <w:szCs w:val="15"/>
                <w:color w:val="auto"/>
              </w:rPr>
            </w:pPr>
          </w:p>
        </w:tc>
        <w:tc>
          <w:tcPr>
            <w:tcW w:w="8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9"/>
              </w:rPr>
              <w:t>6/29/2016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jc w:val="center"/>
              <w:ind w:left="314"/>
              <w:spacing w:after="0"/>
              <w:rPr>
                <w:rFonts w:ascii="Arial" w:cs="Arial" w:eastAsia="Arial" w:hAnsi="Arial"/>
                <w:sz w:val="18"/>
                <w:szCs w:val="18"/>
                <w:color w:val="0000FF"/>
                <w:w w:val="87"/>
              </w:rPr>
            </w:pPr>
            <w:hyperlink r:id="rId10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Amended and Restated By-laws of Selecta Biosciences, Inc.</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9/30/2021</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200" w:type="dxa"/>
            <w:vAlign w:val="bottom"/>
          </w:tcPr>
          <w:p>
            <w:pPr>
              <w:jc w:val="center"/>
              <w:spacing w:after="0"/>
              <w:rPr>
                <w:rFonts w:ascii="Arial" w:cs="Arial" w:eastAsia="Arial" w:hAnsi="Arial"/>
                <w:sz w:val="18"/>
                <w:szCs w:val="18"/>
                <w:color w:val="0000FF"/>
                <w:w w:val="79"/>
              </w:rPr>
            </w:pPr>
            <w:hyperlink r:id="rId10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rPr>
            </w:pPr>
            <w:hyperlink r:id="rId103">
              <w:r>
                <w:rPr>
                  <w:rFonts w:ascii="Arial" w:cs="Arial" w:eastAsia="Arial" w:hAnsi="Arial"/>
                  <w:sz w:val="18"/>
                  <w:szCs w:val="18"/>
                  <w:color w:val="0000FF"/>
                </w:rPr>
                <w:t>Specimen Stock Certificate evidencing the shares of common stock</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5/24/2016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200" w:type="dxa"/>
            <w:vAlign w:val="bottom"/>
          </w:tcPr>
          <w:p>
            <w:pPr>
              <w:jc w:val="center"/>
              <w:spacing w:after="0"/>
              <w:rPr>
                <w:rFonts w:ascii="Arial" w:cs="Arial" w:eastAsia="Arial" w:hAnsi="Arial"/>
                <w:sz w:val="18"/>
                <w:szCs w:val="18"/>
                <w:color w:val="0000FF"/>
                <w:w w:val="79"/>
              </w:rPr>
            </w:pPr>
            <w:hyperlink r:id="rId10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Warrant to Purchase Shares of Series D Preferred Stock, dated</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5/24/2016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760" w:type="dxa"/>
            <w:vAlign w:val="bottom"/>
            <w:gridSpan w:val="23"/>
          </w:tcPr>
          <w:p>
            <w:pPr>
              <w:spacing w:after="0" w:line="156" w:lineRule="exact"/>
              <w:rPr>
                <w:rFonts w:ascii="Arial" w:cs="Arial" w:eastAsia="Arial" w:hAnsi="Arial"/>
                <w:sz w:val="18"/>
                <w:szCs w:val="18"/>
                <w:color w:val="0000FF"/>
                <w:w w:val="94"/>
              </w:rPr>
            </w:pPr>
            <w:hyperlink r:id="rId104">
              <w:r>
                <w:rPr>
                  <w:rFonts w:ascii="Arial" w:cs="Arial" w:eastAsia="Arial" w:hAnsi="Arial"/>
                  <w:sz w:val="18"/>
                  <w:szCs w:val="18"/>
                  <w:color w:val="0000FF"/>
                  <w:w w:val="94"/>
                </w:rPr>
                <w:t>August 9, 2013 or July 25, 2014, issued by the Registrant to Oxford Finance</w:t>
              </w:r>
            </w:hyperlink>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04">
              <w:r>
                <w:rPr>
                  <w:rFonts w:ascii="Arial" w:cs="Arial" w:eastAsia="Arial" w:hAnsi="Arial"/>
                  <w:sz w:val="18"/>
                  <w:szCs w:val="18"/>
                  <w:color w:val="0000FF"/>
                  <w:w w:val="90"/>
                </w:rPr>
                <w:t>LLC and Square One Bank, together with a schedule of warrant holders</w:t>
              </w:r>
            </w:hyperlink>
          </w:p>
        </w:tc>
        <w:tc>
          <w:tcPr>
            <w:tcW w:w="32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20" w:type="dxa"/>
            <w:vAlign w:val="bottom"/>
            <w:gridSpan w:val="2"/>
          </w:tcPr>
          <w:p>
            <w:pPr>
              <w:jc w:val="center"/>
              <w:ind w:left="314"/>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Warrant to Purchase Shares of Series E Preferred Stock, dated</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5/24/2016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740" w:type="dxa"/>
            <w:vAlign w:val="bottom"/>
            <w:gridSpan w:val="22"/>
          </w:tcPr>
          <w:p>
            <w:pPr>
              <w:spacing w:after="0" w:line="156"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December 31, 2015, issued by the Registrant to Oxford Finance LLC and</w:t>
              </w:r>
            </w:hyperlink>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Square One Bank, together with a schedule of warrant holders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jc w:val="center"/>
              <w:ind w:left="314"/>
              <w:spacing w:after="0"/>
              <w:rPr>
                <w:rFonts w:ascii="Arial" w:cs="Arial" w:eastAsia="Arial" w:hAnsi="Arial"/>
                <w:sz w:val="18"/>
                <w:szCs w:val="18"/>
                <w:color w:val="0000FF"/>
                <w:w w:val="87"/>
              </w:rPr>
            </w:pPr>
            <w:hyperlink r:id="rId10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Common Stock Purchase Warrant, dated June 27, 2017, by and between the</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6/28/2017</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Registrant and Timothy Springer, Ph.D.</w:t>
              </w:r>
            </w:hyperlink>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jc w:val="center"/>
              <w:ind w:left="314"/>
              <w:spacing w:after="0"/>
              <w:rPr>
                <w:rFonts w:ascii="Arial" w:cs="Arial" w:eastAsia="Arial" w:hAnsi="Arial"/>
                <w:sz w:val="18"/>
                <w:szCs w:val="18"/>
                <w:color w:val="0000FF"/>
                <w:w w:val="87"/>
              </w:rPr>
            </w:pPr>
            <w:hyperlink r:id="rId10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Registration Rights Agreement, dated December 23, 2019, by and among the</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12/26/2019</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Registrant and the Investors named therein</w:t>
              </w:r>
            </w:hyperlink>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2"/>
          </w:tcPr>
          <w:p>
            <w:pPr>
              <w:jc w:val="center"/>
              <w:ind w:left="314"/>
              <w:spacing w:after="0"/>
              <w:rPr>
                <w:rFonts w:ascii="Arial" w:cs="Arial" w:eastAsia="Arial" w:hAnsi="Arial"/>
                <w:sz w:val="18"/>
                <w:szCs w:val="18"/>
                <w:color w:val="0000FF"/>
                <w:w w:val="87"/>
              </w:rPr>
            </w:pPr>
            <w:hyperlink r:id="rId10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w w:val="95"/>
              </w:rPr>
            </w:pPr>
            <w:hyperlink r:id="rId108">
              <w:r>
                <w:rPr>
                  <w:rFonts w:ascii="Arial" w:cs="Arial" w:eastAsia="Arial" w:hAnsi="Arial"/>
                  <w:sz w:val="18"/>
                  <w:szCs w:val="18"/>
                  <w:color w:val="0000FF"/>
                  <w:w w:val="95"/>
                </w:rPr>
                <w:t>Registration Rights Agreement, dated as of June 11, 2020, by and between</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the Registrant and Swedish Orphan Biovitrum AB (Publ)</w:t>
              </w:r>
            </w:hyperlink>
          </w:p>
        </w:tc>
        <w:tc>
          <w:tcPr>
            <w:tcW w:w="6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2"/>
          </w:tcPr>
          <w:p>
            <w:pPr>
              <w:jc w:val="center"/>
              <w:ind w:left="314"/>
              <w:spacing w:after="0"/>
              <w:rPr>
                <w:rFonts w:ascii="Arial" w:cs="Arial" w:eastAsia="Arial" w:hAnsi="Arial"/>
                <w:sz w:val="18"/>
                <w:szCs w:val="18"/>
                <w:color w:val="0000FF"/>
                <w:w w:val="87"/>
              </w:rPr>
            </w:pPr>
            <w:hyperlink r:id="rId10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w w:val="95"/>
              </w:rPr>
            </w:pPr>
            <w:hyperlink r:id="rId109">
              <w:r>
                <w:rPr>
                  <w:rFonts w:ascii="Arial" w:cs="Arial" w:eastAsia="Arial" w:hAnsi="Arial"/>
                  <w:sz w:val="18"/>
                  <w:szCs w:val="18"/>
                  <w:color w:val="0000FF"/>
                  <w:w w:val="95"/>
                </w:rPr>
                <w:t>Registration Rights Agreement, dated as of June 11, 2020, by and between</w:t>
              </w:r>
            </w:hyperlink>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11/5/2020</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6"/>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the Registrant and Swedish Orphan Biovitrum AB (Publ), as amended on</w:t>
              </w:r>
            </w:hyperlink>
          </w:p>
        </w:tc>
        <w:tc>
          <w:tcPr>
            <w:tcW w:w="6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09">
              <w:r>
                <w:rPr>
                  <w:rFonts w:ascii="Arial" w:cs="Arial" w:eastAsia="Arial" w:hAnsi="Arial"/>
                  <w:sz w:val="18"/>
                  <w:szCs w:val="18"/>
                  <w:color w:val="0000FF"/>
                  <w:w w:val="90"/>
                </w:rPr>
                <w:t>November 4, 2020</w:t>
              </w:r>
            </w:hyperlink>
          </w:p>
        </w:tc>
        <w:tc>
          <w:tcPr>
            <w:tcW w:w="3940" w:type="dxa"/>
            <w:vAlign w:val="bottom"/>
            <w:tcBorders>
              <w:top w:val="single" w:sz="8" w:color="0000FF"/>
            </w:tcBorders>
            <w:gridSpan w:val="13"/>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00" w:type="dxa"/>
            <w:vAlign w:val="bottom"/>
          </w:tcPr>
          <w:p>
            <w:pPr>
              <w:jc w:val="center"/>
              <w:spacing w:after="0"/>
              <w:rPr>
                <w:rFonts w:ascii="Arial" w:cs="Arial" w:eastAsia="Arial" w:hAnsi="Arial"/>
                <w:sz w:val="18"/>
                <w:szCs w:val="18"/>
                <w:color w:val="0000FF"/>
                <w:w w:val="79"/>
              </w:rPr>
            </w:pPr>
            <w:hyperlink r:id="rId11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Common Stock Purchase Warrant, dated December 23, 2019</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12/26/2019</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000" w:type="dxa"/>
            <w:vAlign w:val="bottom"/>
            <w:gridSpan w:val="8"/>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200" w:type="dxa"/>
            <w:vAlign w:val="bottom"/>
          </w:tcPr>
          <w:p>
            <w:pPr>
              <w:jc w:val="center"/>
              <w:spacing w:after="0"/>
              <w:rPr>
                <w:rFonts w:ascii="Arial" w:cs="Arial" w:eastAsia="Arial" w:hAnsi="Arial"/>
                <w:sz w:val="18"/>
                <w:szCs w:val="18"/>
                <w:color w:val="0000FF"/>
                <w:w w:val="79"/>
              </w:rPr>
            </w:pPr>
            <w:hyperlink r:id="rId11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9</w:t>
              </w:r>
            </w:hyperlink>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gridSpan w:val="23"/>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Form of Warrant to Purchase Stock, dated August 31, 2020, issued by Selecta</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9/3/2020</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111">
              <w:r>
                <w:rPr>
                  <w:rFonts w:ascii="Arial" w:cs="Arial" w:eastAsia="Arial" w:hAnsi="Arial"/>
                  <w:sz w:val="18"/>
                  <w:szCs w:val="18"/>
                  <w:color w:val="0000FF"/>
                  <w:w w:val="94"/>
                </w:rPr>
                <w:t>Biosciences, Inc. to Oxford Finance LLC and Silicon Valley Bank, together</w:t>
              </w:r>
            </w:hyperlink>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with a schedule of warrants.</w:t>
              </w:r>
            </w:hyperlink>
          </w:p>
        </w:tc>
        <w:tc>
          <w:tcPr>
            <w:tcW w:w="32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8"/>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00" w:type="dxa"/>
            <w:vAlign w:val="bottom"/>
            <w:tcBorders>
              <w:top w:val="single" w:sz="8" w:color="0000FF"/>
            </w:tcBorders>
            <w:gridSpan w:val="2"/>
          </w:tcPr>
          <w:p>
            <w:pPr>
              <w:spacing w:after="0"/>
              <w:rPr>
                <w:sz w:val="24"/>
                <w:szCs w:val="24"/>
                <w:color w:val="auto"/>
              </w:rPr>
            </w:pPr>
          </w:p>
        </w:tc>
        <w:tc>
          <w:tcPr>
            <w:tcW w:w="2660" w:type="dxa"/>
            <w:vAlign w:val="bottom"/>
            <w:gridSpan w:val="6"/>
          </w:tcPr>
          <w:p>
            <w:pPr>
              <w:jc w:val="right"/>
              <w:ind w:right="10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80" w:type="dxa"/>
            <w:vAlign w:val="bottom"/>
            <w:gridSpan w:val="3"/>
          </w:tcPr>
          <w:p>
            <w:pPr>
              <w:jc w:val="center"/>
              <w:ind w:left="70"/>
              <w:spacing w:after="0"/>
              <w:rPr>
                <w:rFonts w:ascii="Arial" w:cs="Arial" w:eastAsia="Arial" w:hAnsi="Arial"/>
                <w:sz w:val="18"/>
                <w:szCs w:val="18"/>
                <w:color w:val="0000FF"/>
                <w:w w:val="91"/>
              </w:rPr>
            </w:pPr>
            <w:hyperlink w:anchor="page11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10</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40" w:type="dxa"/>
            <w:vAlign w:val="bottom"/>
            <w:gridSpan w:val="36"/>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3"/>
          </w:tcPr>
          <w:p>
            <w:pPr>
              <w:jc w:val="center"/>
              <w:spacing w:after="0"/>
              <w:rPr>
                <w:rFonts w:ascii="Arial" w:cs="Arial" w:eastAsia="Arial" w:hAnsi="Arial"/>
                <w:sz w:val="18"/>
                <w:szCs w:val="18"/>
                <w:color w:val="0000FF"/>
                <w:w w:val="88"/>
              </w:rPr>
            </w:pPr>
            <w:hyperlink r:id="rId11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rPr>
            </w:pPr>
            <w:hyperlink r:id="rId114">
              <w:r>
                <w:rPr>
                  <w:rFonts w:ascii="Arial" w:cs="Arial" w:eastAsia="Arial" w:hAnsi="Arial"/>
                  <w:sz w:val="18"/>
                  <w:szCs w:val="18"/>
                  <w:color w:val="0000FF"/>
                </w:rPr>
                <w:t>2016 Incentive Award Plan and form of award agreements thereunder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3"/>
          </w:tcPr>
          <w:p>
            <w:pPr>
              <w:jc w:val="center"/>
              <w:spacing w:after="0"/>
              <w:rPr>
                <w:rFonts w:ascii="Arial" w:cs="Arial" w:eastAsia="Arial" w:hAnsi="Arial"/>
                <w:sz w:val="18"/>
                <w:szCs w:val="18"/>
                <w:color w:val="0000FF"/>
                <w:w w:val="88"/>
              </w:rPr>
            </w:pPr>
            <w:hyperlink r:id="rId11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rPr>
            </w:pPr>
            <w:hyperlink r:id="rId115">
              <w:r>
                <w:rPr>
                  <w:rFonts w:ascii="Arial" w:cs="Arial" w:eastAsia="Arial" w:hAnsi="Arial"/>
                  <w:sz w:val="18"/>
                  <w:szCs w:val="18"/>
                  <w:color w:val="0000FF"/>
                </w:rPr>
                <w:t>2016 Employee Stock Purchase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3"/>
          </w:tcPr>
          <w:p>
            <w:pPr>
              <w:jc w:val="center"/>
              <w:spacing w:after="0"/>
              <w:rPr>
                <w:rFonts w:ascii="Arial" w:cs="Arial" w:eastAsia="Arial" w:hAnsi="Arial"/>
                <w:sz w:val="18"/>
                <w:szCs w:val="18"/>
                <w:color w:val="0000FF"/>
                <w:w w:val="88"/>
              </w:rPr>
            </w:pPr>
            <w:hyperlink r:id="rId11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2018 Employment Inducement Incentive Award Plan, amended and restated,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7"/>
              </w:rPr>
            </w:pPr>
            <w:hyperlink r:id="rId116">
              <w:r>
                <w:rPr>
                  <w:rFonts w:ascii="Arial" w:cs="Arial" w:eastAsia="Arial" w:hAnsi="Arial"/>
                  <w:sz w:val="18"/>
                  <w:szCs w:val="18"/>
                  <w:color w:val="0000FF"/>
                  <w:w w:val="87"/>
                </w:rPr>
                <w:t>and forms agreement thereunder</w:t>
              </w:r>
            </w:hyperlink>
          </w:p>
        </w:tc>
        <w:tc>
          <w:tcPr>
            <w:tcW w:w="3180" w:type="dxa"/>
            <w:vAlign w:val="bottom"/>
            <w:tcBorders>
              <w:top w:val="single" w:sz="8" w:color="0000FF"/>
            </w:tcBorders>
            <w:gridSpan w:val="2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0" w:type="dxa"/>
            <w:vAlign w:val="bottom"/>
            <w:gridSpan w:val="3"/>
          </w:tcPr>
          <w:p>
            <w:pPr>
              <w:jc w:val="center"/>
              <w:spacing w:after="0"/>
              <w:rPr>
                <w:rFonts w:ascii="Arial" w:cs="Arial" w:eastAsia="Arial" w:hAnsi="Arial"/>
                <w:sz w:val="18"/>
                <w:szCs w:val="18"/>
                <w:color w:val="0000FF"/>
                <w:w w:val="88"/>
              </w:rPr>
            </w:pPr>
            <w:hyperlink r:id="rId11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rPr>
            </w:pPr>
            <w:hyperlink r:id="rId117">
              <w:r>
                <w:rPr>
                  <w:rFonts w:ascii="Arial" w:cs="Arial" w:eastAsia="Arial" w:hAnsi="Arial"/>
                  <w:sz w:val="18"/>
                  <w:szCs w:val="18"/>
                  <w:color w:val="0000FF"/>
                </w:rPr>
                <w:t>2008 Stock Incentive Plan and form of award agreements thereunder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3"/>
          </w:tcPr>
          <w:p>
            <w:pPr>
              <w:jc w:val="center"/>
              <w:spacing w:after="0"/>
              <w:rPr>
                <w:rFonts w:ascii="Arial" w:cs="Arial" w:eastAsia="Arial" w:hAnsi="Arial"/>
                <w:sz w:val="18"/>
                <w:szCs w:val="18"/>
                <w:color w:val="0000FF"/>
                <w:w w:val="88"/>
              </w:rPr>
            </w:pPr>
            <w:hyperlink r:id="rId11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5#</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rPr>
            </w:pPr>
            <w:hyperlink r:id="rId118">
              <w:r>
                <w:rPr>
                  <w:rFonts w:ascii="Arial" w:cs="Arial" w:eastAsia="Arial" w:hAnsi="Arial"/>
                  <w:sz w:val="18"/>
                  <w:szCs w:val="18"/>
                  <w:color w:val="0000FF"/>
                </w:rPr>
                <w:t>Non-Employee Director Compensation Program</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3"/>
          </w:tcPr>
          <w:p>
            <w:pPr>
              <w:jc w:val="center"/>
              <w:spacing w:after="0"/>
              <w:rPr>
                <w:rFonts w:ascii="Arial" w:cs="Arial" w:eastAsia="Arial" w:hAnsi="Arial"/>
                <w:sz w:val="18"/>
                <w:szCs w:val="18"/>
                <w:color w:val="0000FF"/>
                <w:w w:val="88"/>
              </w:rPr>
            </w:pPr>
            <w:hyperlink r:id="rId11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6#</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Indemnification Agreement for Directors and Officers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jc w:val="center"/>
              <w:ind w:right="320"/>
              <w:spacing w:after="0"/>
              <w:rPr>
                <w:rFonts w:ascii="Arial" w:cs="Arial" w:eastAsia="Arial" w:hAnsi="Arial"/>
                <w:sz w:val="18"/>
                <w:szCs w:val="18"/>
                <w:color w:val="0000FF"/>
                <w:w w:val="89"/>
              </w:rPr>
            </w:pPr>
            <w:hyperlink r:id="rId120">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7(a)†</w:t>
              </w:r>
            </w:hyperlink>
          </w:p>
        </w:tc>
        <w:tc>
          <w:tcPr>
            <w:tcW w:w="5640" w:type="dxa"/>
            <w:vAlign w:val="bottom"/>
            <w:gridSpan w:val="36"/>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Exclusive Patent License Agreement, dated as of November 25, 2008, by and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89"/>
              </w:rPr>
            </w:pPr>
            <w:hyperlink r:id="rId120">
              <w:r>
                <w:rPr>
                  <w:rFonts w:ascii="Arial" w:cs="Arial" w:eastAsia="Arial" w:hAnsi="Arial"/>
                  <w:sz w:val="18"/>
                  <w:szCs w:val="18"/>
                  <w:color w:val="0000FF"/>
                  <w:w w:val="89"/>
                </w:rPr>
                <w:t>between the Registrant and the Massachusetts Institute of Technology</w:t>
              </w:r>
            </w:hyperlink>
          </w:p>
        </w:tc>
        <w:tc>
          <w:tcPr>
            <w:tcW w:w="52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6"/>
          </w:tcPr>
          <w:p>
            <w:pPr>
              <w:jc w:val="center"/>
              <w:ind w:right="320"/>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7(b)†</w:t>
              </w:r>
            </w:hyperlink>
          </w:p>
        </w:tc>
        <w:tc>
          <w:tcPr>
            <w:tcW w:w="5640" w:type="dxa"/>
            <w:vAlign w:val="bottom"/>
            <w:gridSpan w:val="36"/>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First Amendment to Exclusive Patent License Agreement, dated as of</w:t>
              </w:r>
            </w:hyperlink>
          </w:p>
        </w:tc>
        <w:tc>
          <w:tcPr>
            <w:tcW w:w="0" w:type="dxa"/>
            <w:vAlign w:val="bottom"/>
          </w:tcPr>
          <w:p>
            <w:pPr>
              <w:spacing w:after="0"/>
              <w:rPr>
                <w:sz w:val="1"/>
                <w:szCs w:val="1"/>
                <w:color w:val="auto"/>
              </w:rPr>
            </w:pPr>
          </w:p>
        </w:tc>
      </w:tr>
      <w:tr>
        <w:trPr>
          <w:trHeight w:val="156"/>
        </w:trPr>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5"/>
              </w:rPr>
            </w:pPr>
            <w:hyperlink r:id="rId121">
              <w:r>
                <w:rPr>
                  <w:rFonts w:ascii="Arial" w:cs="Arial" w:eastAsia="Arial" w:hAnsi="Arial"/>
                  <w:sz w:val="18"/>
                  <w:szCs w:val="18"/>
                  <w:color w:val="0000FF"/>
                  <w:w w:val="85"/>
                </w:rPr>
                <w:t>January 12, 2010, by and between the Registrant and the Massachusetts</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160" w:type="dxa"/>
            <w:vAlign w:val="bottom"/>
            <w:gridSpan w:val="23"/>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Institute of Technology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jc w:val="center"/>
              <w:ind w:right="320"/>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7(c)†</w:t>
              </w:r>
            </w:hyperlink>
          </w:p>
        </w:tc>
        <w:tc>
          <w:tcPr>
            <w:tcW w:w="5640" w:type="dxa"/>
            <w:vAlign w:val="bottom"/>
            <w:gridSpan w:val="3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Letter Agreement, dated as of November 27, 2012, by and among the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4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122">
              <w:r>
                <w:rPr>
                  <w:rFonts w:ascii="Arial" w:cs="Arial" w:eastAsia="Arial" w:hAnsi="Arial"/>
                  <w:sz w:val="18"/>
                  <w:szCs w:val="18"/>
                  <w:color w:val="0000FF"/>
                  <w:w w:val="89"/>
                </w:rPr>
                <w:t>Registrant, Massachusetts Institute of Technology and Sanofi</w:t>
              </w:r>
            </w:hyperlink>
          </w:p>
        </w:tc>
        <w:tc>
          <w:tcPr>
            <w:tcW w:w="620" w:type="dxa"/>
            <w:vAlign w:val="bottom"/>
            <w:tcBorders>
              <w:top w:val="single" w:sz="8" w:color="0000FF"/>
            </w:tcBorders>
            <w:gridSpan w:val="6"/>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6"/>
          </w:tcPr>
          <w:p>
            <w:pPr>
              <w:jc w:val="center"/>
              <w:ind w:right="320"/>
              <w:spacing w:after="0"/>
              <w:rPr>
                <w:rFonts w:ascii="Arial" w:cs="Arial" w:eastAsia="Arial" w:hAnsi="Arial"/>
                <w:sz w:val="18"/>
                <w:szCs w:val="18"/>
                <w:color w:val="0000FF"/>
                <w:w w:val="92"/>
              </w:rPr>
            </w:pPr>
            <w:hyperlink r:id="rId123">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7(d)†</w:t>
              </w:r>
            </w:hyperlink>
          </w:p>
        </w:tc>
        <w:tc>
          <w:tcPr>
            <w:tcW w:w="5640" w:type="dxa"/>
            <w:vAlign w:val="bottom"/>
            <w:gridSpan w:val="36"/>
          </w:tcPr>
          <w:p>
            <w:pPr>
              <w:spacing w:after="0"/>
              <w:rPr>
                <w:rFonts w:ascii="Arial" w:cs="Arial" w:eastAsia="Arial" w:hAnsi="Arial"/>
                <w:sz w:val="18"/>
                <w:szCs w:val="18"/>
                <w:color w:val="0000FF"/>
                <w:w w:val="97"/>
              </w:rPr>
            </w:pPr>
            <w:hyperlink r:id="rId123">
              <w:r>
                <w:rPr>
                  <w:rFonts w:ascii="Arial" w:cs="Arial" w:eastAsia="Arial" w:hAnsi="Arial"/>
                  <w:sz w:val="18"/>
                  <w:szCs w:val="18"/>
                  <w:color w:val="0000FF"/>
                  <w:w w:val="97"/>
                </w:rPr>
                <w:t>Letter Amendment, dated as of November 27, 2012, by and between the</w:t>
              </w:r>
            </w:hyperlink>
          </w:p>
        </w:tc>
        <w:tc>
          <w:tcPr>
            <w:tcW w:w="0" w:type="dxa"/>
            <w:vAlign w:val="bottom"/>
          </w:tcPr>
          <w:p>
            <w:pPr>
              <w:spacing w:after="0"/>
              <w:rPr>
                <w:sz w:val="1"/>
                <w:szCs w:val="1"/>
                <w:color w:val="auto"/>
              </w:rPr>
            </w:pPr>
          </w:p>
        </w:tc>
      </w:tr>
      <w:tr>
        <w:trPr>
          <w:trHeight w:val="156"/>
        </w:trPr>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1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Registrant and the Massachusetts Institute of Technology</w:t>
              </w:r>
            </w:hyperlink>
          </w:p>
        </w:tc>
        <w:tc>
          <w:tcPr>
            <w:tcW w:w="10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jc w:val="center"/>
              <w:ind w:right="320"/>
              <w:spacing w:after="0"/>
              <w:rPr>
                <w:rFonts w:ascii="Arial" w:cs="Arial" w:eastAsia="Arial" w:hAnsi="Arial"/>
                <w:sz w:val="18"/>
                <w:szCs w:val="18"/>
                <w:color w:val="0000FF"/>
                <w:w w:val="89"/>
              </w:rPr>
            </w:pPr>
            <w:hyperlink r:id="rId124">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7(e)†</w:t>
              </w:r>
            </w:hyperlink>
          </w:p>
        </w:tc>
        <w:tc>
          <w:tcPr>
            <w:tcW w:w="5640" w:type="dxa"/>
            <w:vAlign w:val="bottom"/>
            <w:gridSpan w:val="36"/>
          </w:tcPr>
          <w:p>
            <w:pPr>
              <w:spacing w:after="0"/>
              <w:rPr>
                <w:rFonts w:ascii="Arial" w:cs="Arial" w:eastAsia="Arial" w:hAnsi="Arial"/>
                <w:sz w:val="18"/>
                <w:szCs w:val="18"/>
                <w:color w:val="0000FF"/>
                <w:w w:val="96"/>
              </w:rPr>
            </w:pPr>
            <w:hyperlink r:id="rId124">
              <w:r>
                <w:rPr>
                  <w:rFonts w:ascii="Arial" w:cs="Arial" w:eastAsia="Arial" w:hAnsi="Arial"/>
                  <w:sz w:val="18"/>
                  <w:szCs w:val="18"/>
                  <w:color w:val="0000FF"/>
                  <w:w w:val="96"/>
                </w:rPr>
                <w:t>Second Amendment to Exclusive Patent License Agreement, dated as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25"/>
          </w:tcPr>
          <w:p>
            <w:pPr>
              <w:spacing w:after="0" w:line="15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August 29, 2013, by and between the Registrant and the Massachusetts</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Institute of Technology</w:t>
              </w:r>
            </w:hyperlink>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jc w:val="center"/>
              <w:ind w:right="340"/>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7(f)†</w:t>
              </w:r>
            </w:hyperlink>
          </w:p>
        </w:tc>
        <w:tc>
          <w:tcPr>
            <w:tcW w:w="5640" w:type="dxa"/>
            <w:vAlign w:val="bottom"/>
            <w:gridSpan w:val="36"/>
          </w:tcPr>
          <w:p>
            <w:pPr>
              <w:spacing w:after="0"/>
              <w:rPr>
                <w:rFonts w:ascii="Arial" w:cs="Arial" w:eastAsia="Arial" w:hAnsi="Arial"/>
                <w:sz w:val="18"/>
                <w:szCs w:val="18"/>
                <w:color w:val="0000FF"/>
                <w:w w:val="95"/>
              </w:rPr>
            </w:pPr>
            <w:hyperlink r:id="rId125">
              <w:r>
                <w:rPr>
                  <w:rFonts w:ascii="Arial" w:cs="Arial" w:eastAsia="Arial" w:hAnsi="Arial"/>
                  <w:sz w:val="18"/>
                  <w:szCs w:val="18"/>
                  <w:color w:val="0000FF"/>
                  <w:w w:val="95"/>
                </w:rPr>
                <w:t>Third Amendment to Exclusive Patent License Agreement, entered into on</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38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7"/>
              </w:rPr>
            </w:pPr>
            <w:hyperlink r:id="rId125">
              <w:r>
                <w:rPr>
                  <w:rFonts w:ascii="Arial" w:cs="Arial" w:eastAsia="Arial" w:hAnsi="Arial"/>
                  <w:sz w:val="18"/>
                  <w:szCs w:val="18"/>
                  <w:color w:val="0000FF"/>
                  <w:w w:val="87"/>
                </w:rPr>
                <w:t>November 21, 2016 and effective as of November 18, 2016, by and between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00" w:type="dxa"/>
            <w:vAlign w:val="bottom"/>
            <w:gridSpan w:val="32"/>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the Massachusetts Institute of Technology and the Registrant</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6"/>
          </w:tcPr>
          <w:p>
            <w:pPr>
              <w:jc w:val="center"/>
              <w:ind w:right="320"/>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7(g)†</w:t>
              </w:r>
            </w:hyperlink>
          </w:p>
        </w:tc>
        <w:tc>
          <w:tcPr>
            <w:tcW w:w="5640" w:type="dxa"/>
            <w:vAlign w:val="bottom"/>
            <w:gridSpan w:val="36"/>
          </w:tcPr>
          <w:p>
            <w:pPr>
              <w:spacing w:after="0"/>
              <w:rPr>
                <w:rFonts w:ascii="Arial" w:cs="Arial" w:eastAsia="Arial" w:hAnsi="Arial"/>
                <w:sz w:val="18"/>
                <w:szCs w:val="18"/>
                <w:color w:val="0000FF"/>
              </w:rPr>
            </w:pPr>
            <w:hyperlink r:id="rId126">
              <w:r>
                <w:rPr>
                  <w:rFonts w:ascii="Arial" w:cs="Arial" w:eastAsia="Arial" w:hAnsi="Arial"/>
                  <w:sz w:val="18"/>
                  <w:szCs w:val="18"/>
                  <w:color w:val="0000FF"/>
                </w:rPr>
                <w:t>Letter Agreement, dated as of December 2, 2016, by and between the</w:t>
              </w:r>
            </w:hyperlink>
          </w:p>
        </w:tc>
        <w:tc>
          <w:tcPr>
            <w:tcW w:w="0" w:type="dxa"/>
            <w:vAlign w:val="bottom"/>
          </w:tcPr>
          <w:p>
            <w:pPr>
              <w:spacing w:after="0"/>
              <w:rPr>
                <w:sz w:val="1"/>
                <w:szCs w:val="1"/>
                <w:color w:val="auto"/>
              </w:rPr>
            </w:pPr>
          </w:p>
        </w:tc>
      </w:tr>
      <w:tr>
        <w:trPr>
          <w:trHeight w:val="155"/>
        </w:trPr>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Massachusetts Institute of Technology and the Registrant</w:t>
              </w:r>
            </w:hyperlink>
          </w:p>
        </w:tc>
        <w:tc>
          <w:tcPr>
            <w:tcW w:w="10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6"/>
          </w:tcPr>
          <w:p>
            <w:pPr>
              <w:jc w:val="center"/>
              <w:ind w:right="320"/>
              <w:spacing w:after="0"/>
              <w:rPr>
                <w:rFonts w:ascii="Arial" w:cs="Arial" w:eastAsia="Arial" w:hAnsi="Arial"/>
                <w:sz w:val="18"/>
                <w:szCs w:val="18"/>
                <w:color w:val="0000FF"/>
                <w:w w:val="92"/>
              </w:rPr>
            </w:pPr>
            <w:hyperlink r:id="rId127">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7(h)†</w:t>
              </w:r>
            </w:hyperlink>
          </w:p>
        </w:tc>
        <w:tc>
          <w:tcPr>
            <w:tcW w:w="5640" w:type="dxa"/>
            <w:vAlign w:val="bottom"/>
            <w:gridSpan w:val="36"/>
          </w:tcPr>
          <w:p>
            <w:pPr>
              <w:spacing w:after="0"/>
              <w:rPr>
                <w:rFonts w:ascii="Arial" w:cs="Arial" w:eastAsia="Arial" w:hAnsi="Arial"/>
                <w:sz w:val="18"/>
                <w:szCs w:val="18"/>
                <w:color w:val="0000FF"/>
                <w:w w:val="99"/>
              </w:rPr>
            </w:pPr>
            <w:hyperlink r:id="rId127">
              <w:r>
                <w:rPr>
                  <w:rFonts w:ascii="Arial" w:cs="Arial" w:eastAsia="Arial" w:hAnsi="Arial"/>
                  <w:sz w:val="18"/>
                  <w:szCs w:val="18"/>
                  <w:color w:val="0000FF"/>
                  <w:w w:val="99"/>
                </w:rPr>
                <w:t>Letter Agreement, dated as of December 2, 2016, by and among Spark</w:t>
              </w:r>
            </w:hyperlink>
          </w:p>
        </w:tc>
        <w:tc>
          <w:tcPr>
            <w:tcW w:w="0" w:type="dxa"/>
            <w:vAlign w:val="bottom"/>
          </w:tcPr>
          <w:p>
            <w:pPr>
              <w:spacing w:after="0"/>
              <w:rPr>
                <w:sz w:val="1"/>
                <w:szCs w:val="1"/>
                <w:color w:val="auto"/>
              </w:rPr>
            </w:pPr>
          </w:p>
        </w:tc>
      </w:tr>
      <w:tr>
        <w:trPr>
          <w:trHeight w:val="155"/>
        </w:trPr>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Therapeutics, Inc., the Massachusetts Institute of Technology and the</w:t>
              </w:r>
            </w:hyperlink>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Registrant</w:t>
              </w:r>
            </w:hyperlink>
          </w:p>
        </w:tc>
        <w:tc>
          <w:tcPr>
            <w:tcW w:w="20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5"/>
          </w:tcPr>
          <w:p>
            <w:pPr>
              <w:jc w:val="center"/>
              <w:ind w:right="340"/>
              <w:spacing w:after="0"/>
              <w:rPr>
                <w:rFonts w:ascii="Arial" w:cs="Arial" w:eastAsia="Arial" w:hAnsi="Arial"/>
                <w:sz w:val="18"/>
                <w:szCs w:val="18"/>
                <w:color w:val="0000FF"/>
                <w:w w:val="94"/>
              </w:rPr>
            </w:pPr>
            <w:hyperlink r:id="rId128">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7(i)†</w:t>
              </w:r>
            </w:hyperlink>
          </w:p>
        </w:tc>
        <w:tc>
          <w:tcPr>
            <w:tcW w:w="5640" w:type="dxa"/>
            <w:vAlign w:val="bottom"/>
            <w:gridSpan w:val="36"/>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Fourth Amendment to Exclusive Patent License Agreement, entered into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December 13, 2019, by and between the Massachusetts Institute of</w:t>
              </w:r>
            </w:hyperlink>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Technology and the Registrant</w:t>
              </w:r>
            </w:hyperlink>
          </w:p>
        </w:tc>
        <w:tc>
          <w:tcPr>
            <w:tcW w:w="360" w:type="dxa"/>
            <w:vAlign w:val="bottom"/>
            <w:gridSpan w:val="9"/>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980" w:type="dxa"/>
            <w:vAlign w:val="bottom"/>
            <w:gridSpan w:val="1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5"/>
          </w:tcPr>
          <w:p>
            <w:pPr>
              <w:jc w:val="center"/>
              <w:ind w:right="340"/>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7(j)†</w:t>
              </w:r>
            </w:hyperlink>
          </w:p>
        </w:tc>
        <w:tc>
          <w:tcPr>
            <w:tcW w:w="5640" w:type="dxa"/>
            <w:vAlign w:val="bottom"/>
            <w:gridSpan w:val="36"/>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Fifth Amendment to Exclusive Patent License Agreement, dated as of May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29"/>
          </w:tcPr>
          <w:p>
            <w:pPr>
              <w:spacing w:after="0" w:line="156"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15, 2020, by and between the Registrant and the Massachusetts Institute of</w:t>
              </w:r>
            </w:hyperlink>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Technology</w:t>
              </w:r>
            </w:hyperlink>
          </w:p>
        </w:tc>
        <w:tc>
          <w:tcPr>
            <w:tcW w:w="4520" w:type="dxa"/>
            <w:vAlign w:val="bottom"/>
            <w:tcBorders>
              <w:top w:val="single" w:sz="8" w:color="0000FF"/>
            </w:tcBorders>
            <w:gridSpan w:val="25"/>
          </w:tcPr>
          <w:p>
            <w:pPr>
              <w:spacing w:after="0"/>
              <w:rPr>
                <w:sz w:val="13"/>
                <w:szCs w:val="13"/>
                <w:color w:val="auto"/>
              </w:rPr>
            </w:pPr>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center"/>
              <w:ind w:right="420"/>
              <w:spacing w:after="0"/>
              <w:rPr>
                <w:rFonts w:ascii="Arial" w:cs="Arial" w:eastAsia="Arial" w:hAnsi="Arial"/>
                <w:sz w:val="18"/>
                <w:szCs w:val="18"/>
                <w:color w:val="0000FF"/>
                <w:w w:val="79"/>
              </w:rPr>
            </w:pPr>
            <w:hyperlink r:id="rId130">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8†</w:t>
              </w:r>
            </w:hyperlink>
          </w:p>
        </w:tc>
        <w:tc>
          <w:tcPr>
            <w:tcW w:w="5640" w:type="dxa"/>
            <w:vAlign w:val="bottom"/>
            <w:gridSpan w:val="36"/>
          </w:tcPr>
          <w:p>
            <w:pPr>
              <w:spacing w:after="0"/>
              <w:rPr>
                <w:rFonts w:ascii="Arial" w:cs="Arial" w:eastAsia="Arial" w:hAnsi="Arial"/>
                <w:sz w:val="18"/>
                <w:szCs w:val="18"/>
                <w:color w:val="0000FF"/>
                <w:w w:val="89"/>
              </w:rPr>
            </w:pPr>
            <w:hyperlink r:id="rId130">
              <w:r>
                <w:rPr>
                  <w:rFonts w:ascii="Arial" w:cs="Arial" w:eastAsia="Arial" w:hAnsi="Arial"/>
                  <w:sz w:val="18"/>
                  <w:szCs w:val="18"/>
                  <w:color w:val="0000FF"/>
                  <w:w w:val="89"/>
                </w:rPr>
                <w:t>Amended and Restated License Agreement, dated as of May 31, 2017, by and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2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between the Registrant and Shenyang Sunshine Pharmaceutical Co., Ltd.</w:t>
              </w:r>
            </w:hyperlink>
          </w:p>
        </w:tc>
        <w:tc>
          <w:tcPr>
            <w:tcW w:w="3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center"/>
              <w:spacing w:after="0"/>
              <w:rPr>
                <w:rFonts w:ascii="Arial" w:cs="Arial" w:eastAsia="Arial" w:hAnsi="Arial"/>
                <w:sz w:val="18"/>
                <w:szCs w:val="18"/>
                <w:color w:val="0000FF"/>
                <w:w w:val="79"/>
              </w:rPr>
            </w:pPr>
            <w:hyperlink r:id="rId131">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9†</w:t>
              </w:r>
            </w:hyperlink>
          </w:p>
        </w:tc>
        <w:tc>
          <w:tcPr>
            <w:tcW w:w="460" w:type="dxa"/>
            <w:vAlign w:val="bottom"/>
            <w:gridSpan w:val="3"/>
          </w:tcPr>
          <w:p>
            <w:pPr>
              <w:spacing w:after="0"/>
              <w:rPr>
                <w:sz w:val="18"/>
                <w:szCs w:val="18"/>
                <w:color w:val="auto"/>
              </w:rPr>
            </w:pPr>
          </w:p>
        </w:tc>
        <w:tc>
          <w:tcPr>
            <w:tcW w:w="5640" w:type="dxa"/>
            <w:vAlign w:val="bottom"/>
            <w:gridSpan w:val="36"/>
          </w:tcPr>
          <w:p>
            <w:pPr>
              <w:spacing w:after="0"/>
              <w:rPr>
                <w:rFonts w:ascii="Arial" w:cs="Arial" w:eastAsia="Arial" w:hAnsi="Arial"/>
                <w:sz w:val="18"/>
                <w:szCs w:val="18"/>
                <w:color w:val="0000FF"/>
                <w:w w:val="98"/>
              </w:rPr>
            </w:pPr>
            <w:hyperlink r:id="rId131">
              <w:r>
                <w:rPr>
                  <w:rFonts w:ascii="Arial" w:cs="Arial" w:eastAsia="Arial" w:hAnsi="Arial"/>
                  <w:sz w:val="18"/>
                  <w:szCs w:val="18"/>
                  <w:color w:val="0000FF"/>
                  <w:w w:val="98"/>
                </w:rPr>
                <w:t>Manufacturing Services Agreement, dated as of August 1, 2014,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160" w:type="dxa"/>
            <w:vAlign w:val="bottom"/>
            <w:gridSpan w:val="23"/>
            <w:shd w:val="clear" w:color="auto" w:fill="0000FF"/>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240" w:type="dxa"/>
            <w:vAlign w:val="bottom"/>
            <w:tcBorders>
              <w:bottom w:val="single" w:sz="8" w:color="0000FF"/>
            </w:tcBorders>
            <w:gridSpan w:val="26"/>
          </w:tcPr>
          <w:p>
            <w:pPr>
              <w:spacing w:after="0" w:line="156"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between the Registrant and Shenyang Sunshine Pharmaceutical Co., Ltd.</w:t>
              </w:r>
            </w:hyperlink>
          </w:p>
        </w:tc>
        <w:tc>
          <w:tcPr>
            <w:tcW w:w="3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gridSpan w:val="15"/>
          </w:tcPr>
          <w:p>
            <w:pPr>
              <w:ind w:left="44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160"/>
              <w:spacing w:after="0"/>
              <w:rPr>
                <w:sz w:val="20"/>
                <w:szCs w:val="20"/>
                <w:color w:val="auto"/>
              </w:rPr>
            </w:pPr>
            <w:r>
              <w:rPr>
                <w:rFonts w:ascii="Arial" w:cs="Arial" w:eastAsia="Arial" w:hAnsi="Arial"/>
                <w:sz w:val="18"/>
                <w:szCs w:val="18"/>
                <w:color w:val="auto"/>
                <w:w w:val="91"/>
              </w:rPr>
              <w:t>Filed herewith</w:t>
            </w:r>
          </w:p>
        </w:tc>
      </w:tr>
      <w:tr>
        <w:trPr>
          <w:trHeight w:val="229"/>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6/8/2016</w:t>
            </w:r>
          </w:p>
        </w:tc>
      </w:tr>
      <w:tr>
        <w:trPr>
          <w:trHeight w:val="229"/>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6/8/2016</w:t>
            </w:r>
          </w:p>
        </w:tc>
      </w:tr>
      <w:tr>
        <w:trPr>
          <w:trHeight w:val="23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S-8</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333-230501</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3/25/2019</w:t>
            </w:r>
          </w:p>
        </w:tc>
      </w:tr>
      <w:tr>
        <w:trPr>
          <w:trHeight w:val="404"/>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6/20/2016</w:t>
            </w:r>
          </w:p>
        </w:tc>
      </w:tr>
      <w:tr>
        <w:trPr>
          <w:trHeight w:val="229"/>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8"/>
              </w:rPr>
              <w:t>11/10/2021</w:t>
            </w:r>
          </w:p>
        </w:tc>
      </w:tr>
      <w:tr>
        <w:trPr>
          <w:trHeight w:val="23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r>
        <w:trPr>
          <w:trHeight w:val="23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10.7(a)</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10.7(b)</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r>
        <w:trPr>
          <w:trHeight w:val="581"/>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10.7(c)</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10.7(d)</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10.7(e)</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r>
        <w:trPr>
          <w:trHeight w:val="581"/>
        </w:trPr>
        <w:tc>
          <w:tcPr>
            <w:tcW w:w="700" w:type="dxa"/>
            <w:vAlign w:val="bottom"/>
          </w:tcPr>
          <w:p>
            <w:pPr>
              <w:jc w:val="center"/>
              <w:ind w:right="150"/>
              <w:spacing w:after="0"/>
              <w:rPr>
                <w:sz w:val="20"/>
                <w:szCs w:val="20"/>
                <w:color w:val="auto"/>
              </w:rPr>
            </w:pPr>
            <w:r>
              <w:rPr>
                <w:rFonts w:ascii="Arial" w:cs="Arial" w:eastAsia="Arial" w:hAnsi="Arial"/>
                <w:sz w:val="18"/>
                <w:szCs w:val="18"/>
                <w:color w:val="auto"/>
              </w:rPr>
              <w:t>8-K/A</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10.3(a)</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12/14/2016</w:t>
            </w:r>
          </w:p>
        </w:tc>
      </w:tr>
      <w:tr>
        <w:trPr>
          <w:trHeight w:val="581"/>
        </w:trPr>
        <w:tc>
          <w:tcPr>
            <w:tcW w:w="700" w:type="dxa"/>
            <w:vAlign w:val="bottom"/>
          </w:tcPr>
          <w:p>
            <w:pPr>
              <w:jc w:val="center"/>
              <w:ind w:right="150"/>
              <w:spacing w:after="0"/>
              <w:rPr>
                <w:sz w:val="20"/>
                <w:szCs w:val="20"/>
                <w:color w:val="auto"/>
              </w:rPr>
            </w:pPr>
            <w:r>
              <w:rPr>
                <w:rFonts w:ascii="Arial" w:cs="Arial" w:eastAsia="Arial" w:hAnsi="Arial"/>
                <w:sz w:val="18"/>
                <w:szCs w:val="18"/>
                <w:color w:val="auto"/>
              </w:rPr>
              <w:t>8-K/A</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10.3(b)</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12/14/2016</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rPr>
              <w:t>8-K/A</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10.3(c)</w:t>
            </w:r>
          </w:p>
        </w:tc>
        <w:tc>
          <w:tcPr>
            <w:tcW w:w="1200" w:type="dxa"/>
            <w:vAlign w:val="bottom"/>
          </w:tcPr>
          <w:p>
            <w:pPr>
              <w:jc w:val="center"/>
              <w:ind w:left="50"/>
              <w:spacing w:after="0"/>
              <w:rPr>
                <w:sz w:val="20"/>
                <w:szCs w:val="20"/>
                <w:color w:val="auto"/>
              </w:rPr>
            </w:pPr>
            <w:r>
              <w:rPr>
                <w:rFonts w:ascii="Arial" w:cs="Arial" w:eastAsia="Arial" w:hAnsi="Arial"/>
                <w:sz w:val="18"/>
                <w:szCs w:val="18"/>
                <w:color w:val="auto"/>
                <w:w w:val="90"/>
              </w:rPr>
              <w:t>12/14/2016</w:t>
            </w:r>
          </w:p>
        </w:tc>
      </w:tr>
      <w:tr>
        <w:trPr>
          <w:trHeight w:val="58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10.7(i)</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3/12/2020</w:t>
            </w:r>
          </w:p>
        </w:tc>
      </w:tr>
      <w:tr>
        <w:trPr>
          <w:trHeight w:val="58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91"/>
              </w:rPr>
              <w:t>8/6/2020</w:t>
            </w:r>
          </w:p>
        </w:tc>
      </w:tr>
      <w:tr>
        <w:trPr>
          <w:trHeight w:val="58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8/11/2017</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0" w:type="dxa"/>
            <w:vAlign w:val="bottom"/>
          </w:tcPr>
          <w:p>
            <w:pPr>
              <w:jc w:val="center"/>
              <w:ind w:left="70"/>
              <w:spacing w:after="0"/>
              <w:rPr>
                <w:sz w:val="20"/>
                <w:szCs w:val="20"/>
                <w:color w:val="auto"/>
              </w:rPr>
            </w:pPr>
            <w:r>
              <w:rPr>
                <w:rFonts w:ascii="Arial" w:cs="Arial" w:eastAsia="Arial" w:hAnsi="Arial"/>
                <w:sz w:val="18"/>
                <w:szCs w:val="18"/>
                <w:color w:val="auto"/>
                <w:w w:val="89"/>
              </w:rPr>
              <w:t>5/24/2016</w:t>
            </w:r>
          </w:p>
        </w:tc>
      </w:tr>
    </w:tbl>
    <w:p>
      <w:pPr>
        <w:sectPr>
          <w:pgSz w:w="11900" w:h="16838" w:orient="portrait"/>
          <w:cols w:equalWidth="0" w:num="2">
            <w:col w:w="6760" w:space="340"/>
            <w:col w:w="4040"/>
          </w:cols>
          <w:pgMar w:left="320" w:top="125" w:right="4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20" w:type="dxa"/>
            <w:vAlign w:val="bottom"/>
            <w:gridSpan w:val="4"/>
          </w:tcPr>
          <w:p>
            <w:pPr>
              <w:jc w:val="center"/>
              <w:spacing w:after="0"/>
              <w:rPr>
                <w:rFonts w:ascii="Arial" w:cs="Arial" w:eastAsia="Arial" w:hAnsi="Arial"/>
                <w:sz w:val="18"/>
                <w:szCs w:val="18"/>
                <w:color w:val="0000FF"/>
                <w:w w:val="88"/>
              </w:rPr>
            </w:pPr>
            <w:hyperlink r:id="rId13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320" w:type="dxa"/>
            <w:vAlign w:val="bottom"/>
          </w:tcPr>
          <w:p>
            <w:pPr>
              <w:spacing w:after="0"/>
              <w:rPr>
                <w:sz w:val="17"/>
                <w:szCs w:val="17"/>
                <w:color w:val="auto"/>
              </w:rPr>
            </w:pPr>
          </w:p>
        </w:tc>
        <w:tc>
          <w:tcPr>
            <w:tcW w:w="5680" w:type="dxa"/>
            <w:vAlign w:val="bottom"/>
            <w:gridSpan w:val="35"/>
          </w:tcPr>
          <w:p>
            <w:pPr>
              <w:spacing w:after="0"/>
              <w:rPr>
                <w:rFonts w:ascii="Arial" w:cs="Arial" w:eastAsia="Arial" w:hAnsi="Arial"/>
                <w:sz w:val="18"/>
                <w:szCs w:val="18"/>
                <w:color w:val="0000FF"/>
              </w:rPr>
            </w:pPr>
            <w:hyperlink r:id="rId133">
              <w:r>
                <w:rPr>
                  <w:rFonts w:ascii="Arial" w:cs="Arial" w:eastAsia="Arial" w:hAnsi="Arial"/>
                  <w:sz w:val="18"/>
                  <w:szCs w:val="18"/>
                  <w:color w:val="0000FF"/>
                </w:rPr>
                <w:t>Lease Agreement by and between BRE-BMR Grove LLC and Selecta</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Biosciences, Inc. dated July 23, 2019</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4"/>
          </w:tcPr>
          <w:p>
            <w:pPr>
              <w:jc w:val="center"/>
              <w:spacing w:after="0"/>
              <w:rPr>
                <w:rFonts w:ascii="Arial" w:cs="Arial" w:eastAsia="Arial" w:hAnsi="Arial"/>
                <w:sz w:val="18"/>
                <w:szCs w:val="18"/>
                <w:color w:val="0000FF"/>
                <w:w w:val="87"/>
              </w:rPr>
            </w:pPr>
            <w:hyperlink r:id="rId134">
              <w:r>
                <w:rPr>
                  <w:rFonts w:ascii="Arial" w:cs="Arial" w:eastAsia="Arial" w:hAnsi="Arial"/>
                  <w:sz w:val="18"/>
                  <w:szCs w:val="18"/>
                  <w:color w:val="0000FF"/>
                  <w:w w:val="87"/>
                </w:rPr>
                <w:t>10.</w:t>
              </w:r>
              <w:r>
                <w:rPr>
                  <w:rFonts w:ascii="Arial" w:cs="Arial" w:eastAsia="Arial" w:hAnsi="Arial"/>
                  <w:sz w:val="18"/>
                  <w:szCs w:val="18"/>
                  <w:u w:val="single" w:color="auto"/>
                  <w:color w:val="0000FF"/>
                  <w:w w:val="87"/>
                </w:rPr>
                <w:t>11#</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Employment Agreement, dated as of September 25, 2018, by and between the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Registrant and Carsten Brunn, Ph.D.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4"/>
          </w:tcPr>
          <w:p>
            <w:pPr>
              <w:jc w:val="cente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12#</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Employment Agreement, dated as of June 6, 2016, by and between the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Registrant and Takashi Kei Kishimoto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4"/>
          </w:tcPr>
          <w:p>
            <w:pPr>
              <w:jc w:val="cente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13#</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Employment Agreement, dated as of June 6, 2016, by and between the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7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Registrant and Lloyd Johnston, Ph.D.</w:t>
              </w:r>
            </w:hyperlink>
          </w:p>
        </w:tc>
        <w:tc>
          <w:tcPr>
            <w:tcW w:w="234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20" w:type="dxa"/>
            <w:vAlign w:val="bottom"/>
            <w:gridSpan w:val="4"/>
          </w:tcPr>
          <w:p>
            <w:pPr>
              <w:jc w:val="cente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14#</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9"/>
              </w:rPr>
            </w:pPr>
            <w:hyperlink r:id="rId137">
              <w:r>
                <w:rPr>
                  <w:rFonts w:ascii="Arial" w:cs="Arial" w:eastAsia="Arial" w:hAnsi="Arial"/>
                  <w:sz w:val="18"/>
                  <w:szCs w:val="18"/>
                  <w:color w:val="0000FF"/>
                  <w:w w:val="99"/>
                </w:rPr>
                <w:t>Employment Agreement, dated as of July 31, 2020, by and between the</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Registrant and Peter G. Traber, M.D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4"/>
          </w:tcPr>
          <w:p>
            <w:pPr>
              <w:jc w:val="cente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15#</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3"/>
              </w:rPr>
            </w:pPr>
            <w:hyperlink r:id="rId138">
              <w:r>
                <w:rPr>
                  <w:rFonts w:ascii="Arial" w:cs="Arial" w:eastAsia="Arial" w:hAnsi="Arial"/>
                  <w:sz w:val="18"/>
                  <w:szCs w:val="18"/>
                  <w:color w:val="0000FF"/>
                  <w:w w:val="93"/>
                </w:rPr>
                <w:t>Employment Agreement, dated September 3, 2021, by and between Selecta</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3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Biosciences, Inc. and Kevin Tan</w:t>
              </w:r>
            </w:hyperlink>
          </w:p>
        </w:tc>
        <w:tc>
          <w:tcPr>
            <w:tcW w:w="31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80" w:type="dxa"/>
            <w:vAlign w:val="bottom"/>
            <w:gridSpan w:val="4"/>
          </w:tcPr>
          <w:p>
            <w:pPr>
              <w:jc w:val="center"/>
              <w:ind w:right="380"/>
              <w:spacing w:after="0"/>
              <w:rPr>
                <w:rFonts w:ascii="Arial" w:cs="Arial" w:eastAsia="Arial" w:hAnsi="Arial"/>
                <w:sz w:val="18"/>
                <w:szCs w:val="18"/>
                <w:color w:val="0000FF"/>
                <w:w w:val="72"/>
              </w:rPr>
            </w:pPr>
            <w:hyperlink r:id="rId139">
              <w:r>
                <w:rPr>
                  <w:rFonts w:ascii="Arial" w:cs="Arial" w:eastAsia="Arial" w:hAnsi="Arial"/>
                  <w:sz w:val="18"/>
                  <w:szCs w:val="18"/>
                  <w:color w:val="0000FF"/>
                  <w:w w:val="72"/>
                </w:rPr>
                <w:t>10.</w:t>
              </w:r>
              <w:r>
                <w:rPr>
                  <w:rFonts w:ascii="Arial" w:cs="Arial" w:eastAsia="Arial" w:hAnsi="Arial"/>
                  <w:sz w:val="18"/>
                  <w:szCs w:val="18"/>
                  <w:u w:val="single" w:color="auto"/>
                  <w:color w:val="0000FF"/>
                  <w:w w:val="72"/>
                </w:rPr>
                <w:t>16†</w:t>
              </w:r>
            </w:hyperlink>
          </w:p>
        </w:tc>
        <w:tc>
          <w:tcPr>
            <w:tcW w:w="5680" w:type="dxa"/>
            <w:vAlign w:val="bottom"/>
            <w:gridSpan w:val="35"/>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Stock Purchase Agreement, dated as of December 2, 2016, by and between</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1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8"/>
              </w:rPr>
            </w:pPr>
            <w:hyperlink r:id="rId139">
              <w:r>
                <w:rPr>
                  <w:rFonts w:ascii="Arial" w:cs="Arial" w:eastAsia="Arial" w:hAnsi="Arial"/>
                  <w:sz w:val="18"/>
                  <w:szCs w:val="18"/>
                  <w:color w:val="0000FF"/>
                  <w:w w:val="88"/>
                </w:rPr>
                <w:t>Spark Therapeutics, Inc. and the Registrant</w:t>
              </w:r>
            </w:hyperlink>
          </w:p>
        </w:tc>
        <w:tc>
          <w:tcPr>
            <w:tcW w:w="230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80" w:type="dxa"/>
            <w:vAlign w:val="bottom"/>
            <w:gridSpan w:val="4"/>
          </w:tcPr>
          <w:p>
            <w:pPr>
              <w:jc w:val="center"/>
              <w:ind w:right="380"/>
              <w:spacing w:after="0"/>
              <w:rPr>
                <w:rFonts w:ascii="Arial" w:cs="Arial" w:eastAsia="Arial" w:hAnsi="Arial"/>
                <w:sz w:val="18"/>
                <w:szCs w:val="18"/>
                <w:color w:val="0000FF"/>
                <w:w w:val="72"/>
              </w:rPr>
            </w:pPr>
            <w:hyperlink r:id="rId140">
              <w:r>
                <w:rPr>
                  <w:rFonts w:ascii="Arial" w:cs="Arial" w:eastAsia="Arial" w:hAnsi="Arial"/>
                  <w:sz w:val="18"/>
                  <w:szCs w:val="18"/>
                  <w:color w:val="0000FF"/>
                  <w:w w:val="72"/>
                </w:rPr>
                <w:t>10.</w:t>
              </w:r>
              <w:r>
                <w:rPr>
                  <w:rFonts w:ascii="Arial" w:cs="Arial" w:eastAsia="Arial" w:hAnsi="Arial"/>
                  <w:sz w:val="18"/>
                  <w:szCs w:val="18"/>
                  <w:u w:val="single" w:color="auto"/>
                  <w:color w:val="0000FF"/>
                  <w:w w:val="72"/>
                </w:rPr>
                <w:t>17†</w:t>
              </w:r>
            </w:hyperlink>
          </w:p>
        </w:tc>
        <w:tc>
          <w:tcPr>
            <w:tcW w:w="5680" w:type="dxa"/>
            <w:vAlign w:val="bottom"/>
            <w:gridSpan w:val="35"/>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Feasibility Study and License Agreement by and between Asklepios</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9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BioPharmaceutical, Inc. and Selecta Biosciences, Inc. dated August</w:t>
              </w:r>
            </w:hyperlink>
          </w:p>
        </w:tc>
        <w:tc>
          <w:tcPr>
            <w:tcW w:w="560" w:type="dxa"/>
            <w:vAlign w:val="bottom"/>
            <w:tcBorders>
              <w:bottom w:val="single" w:sz="8" w:color="0000FF"/>
            </w:tcBorders>
            <w:gridSpan w:val="14"/>
          </w:tcPr>
          <w:p>
            <w:pPr>
              <w:jc w:val="right"/>
              <w:ind w:right="20"/>
              <w:spacing w:after="0" w:line="156" w:lineRule="exact"/>
              <w:rPr>
                <w:rFonts w:ascii="Arial" w:cs="Arial" w:eastAsia="Arial" w:hAnsi="Arial"/>
                <w:sz w:val="18"/>
                <w:szCs w:val="18"/>
                <w:color w:val="0000FF"/>
                <w:w w:val="86"/>
              </w:rPr>
            </w:pPr>
            <w:hyperlink r:id="rId140">
              <w:r>
                <w:rPr>
                  <w:rFonts w:ascii="Arial" w:cs="Arial" w:eastAsia="Arial" w:hAnsi="Arial"/>
                  <w:sz w:val="18"/>
                  <w:szCs w:val="18"/>
                  <w:color w:val="0000FF"/>
                  <w:w w:val="86"/>
                </w:rPr>
                <w:t>6, 2019</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80" w:type="dxa"/>
            <w:vAlign w:val="bottom"/>
            <w:gridSpan w:val="4"/>
          </w:tcPr>
          <w:p>
            <w:pPr>
              <w:jc w:val="center"/>
              <w:ind w:right="380"/>
              <w:spacing w:after="0"/>
              <w:rPr>
                <w:rFonts w:ascii="Arial" w:cs="Arial" w:eastAsia="Arial" w:hAnsi="Arial"/>
                <w:sz w:val="18"/>
                <w:szCs w:val="18"/>
                <w:color w:val="0000FF"/>
                <w:w w:val="72"/>
              </w:rPr>
            </w:pPr>
            <w:hyperlink r:id="rId141">
              <w:r>
                <w:rPr>
                  <w:rFonts w:ascii="Arial" w:cs="Arial" w:eastAsia="Arial" w:hAnsi="Arial"/>
                  <w:sz w:val="18"/>
                  <w:szCs w:val="18"/>
                  <w:color w:val="0000FF"/>
                  <w:w w:val="72"/>
                </w:rPr>
                <w:t>10.</w:t>
              </w:r>
              <w:r>
                <w:rPr>
                  <w:rFonts w:ascii="Arial" w:cs="Arial" w:eastAsia="Arial" w:hAnsi="Arial"/>
                  <w:sz w:val="18"/>
                  <w:szCs w:val="18"/>
                  <w:u w:val="single" w:color="auto"/>
                  <w:color w:val="0000FF"/>
                  <w:w w:val="72"/>
                </w:rPr>
                <w:t>18†</w:t>
              </w:r>
            </w:hyperlink>
          </w:p>
        </w:tc>
        <w:tc>
          <w:tcPr>
            <w:tcW w:w="5680" w:type="dxa"/>
            <w:vAlign w:val="bottom"/>
            <w:gridSpan w:val="35"/>
          </w:tcPr>
          <w:p>
            <w:pPr>
              <w:spacing w:after="0"/>
              <w:rPr>
                <w:rFonts w:ascii="Arial" w:cs="Arial" w:eastAsia="Arial" w:hAnsi="Arial"/>
                <w:sz w:val="18"/>
                <w:szCs w:val="18"/>
                <w:color w:val="0000FF"/>
                <w:w w:val="97"/>
              </w:rPr>
            </w:pPr>
            <w:hyperlink r:id="rId141">
              <w:r>
                <w:rPr>
                  <w:rFonts w:ascii="Arial" w:cs="Arial" w:eastAsia="Arial" w:hAnsi="Arial"/>
                  <w:sz w:val="18"/>
                  <w:szCs w:val="18"/>
                  <w:color w:val="0000FF"/>
                  <w:w w:val="97"/>
                </w:rPr>
                <w:t>License and Development Agreement, dated as of June 11, 2020, by and</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7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between the Registrant and Swedish Orphan Biovitrum AB (Publ)</w:t>
              </w:r>
            </w:hyperlink>
          </w:p>
        </w:tc>
        <w:tc>
          <w:tcPr>
            <w:tcW w:w="44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20" w:type="dxa"/>
            <w:vAlign w:val="bottom"/>
            <w:gridSpan w:val="4"/>
          </w:tcPr>
          <w:p>
            <w:pPr>
              <w:jc w:val="center"/>
              <w:spacing w:after="0"/>
              <w:rPr>
                <w:rFonts w:ascii="Arial" w:cs="Arial" w:eastAsia="Arial" w:hAnsi="Arial"/>
                <w:sz w:val="18"/>
                <w:szCs w:val="18"/>
                <w:color w:val="0000FF"/>
                <w:w w:val="88"/>
              </w:rPr>
            </w:pPr>
            <w:hyperlink r:id="rId14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Securities Purchase Agreement, dated June 26, 2017, by and between the</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Registrant and Timothy Springer, Ph.D.</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gridSpan w:val="4"/>
          </w:tcPr>
          <w:p>
            <w:pPr>
              <w:jc w:val="center"/>
              <w:spacing w:after="0"/>
              <w:rPr>
                <w:rFonts w:ascii="Arial" w:cs="Arial" w:eastAsia="Arial" w:hAnsi="Arial"/>
                <w:sz w:val="18"/>
                <w:szCs w:val="18"/>
                <w:color w:val="0000FF"/>
                <w:w w:val="88"/>
              </w:rPr>
            </w:pPr>
            <w:hyperlink r:id="rId1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rPr>
            </w:pPr>
            <w:hyperlink r:id="rId143">
              <w:r>
                <w:rPr>
                  <w:rFonts w:ascii="Arial" w:cs="Arial" w:eastAsia="Arial" w:hAnsi="Arial"/>
                  <w:sz w:val="18"/>
                  <w:szCs w:val="18"/>
                  <w:color w:val="0000FF"/>
                </w:rPr>
                <w:t>Stock Purchase Agreement, dated August 19, 2019, by and among the</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Registrant and the Investors named therein</w:t>
              </w:r>
            </w:hyperlink>
          </w:p>
        </w:tc>
        <w:tc>
          <w:tcPr>
            <w:tcW w:w="8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60" w:type="dxa"/>
            <w:vAlign w:val="bottom"/>
            <w:gridSpan w:val="3"/>
          </w:tcPr>
          <w:p>
            <w:pPr>
              <w:jc w:val="center"/>
              <w:spacing w:after="0"/>
              <w:rPr>
                <w:rFonts w:ascii="Arial" w:cs="Arial" w:eastAsia="Arial" w:hAnsi="Arial"/>
                <w:sz w:val="17"/>
                <w:szCs w:val="17"/>
                <w:color w:val="0000FF"/>
                <w:w w:val="72"/>
              </w:rPr>
            </w:pPr>
            <w:hyperlink r:id="rId144">
              <w:r>
                <w:rPr>
                  <w:rFonts w:ascii="Arial" w:cs="Arial" w:eastAsia="Arial" w:hAnsi="Arial"/>
                  <w:sz w:val="17"/>
                  <w:szCs w:val="17"/>
                  <w:color w:val="0000FF"/>
                  <w:w w:val="72"/>
                </w:rPr>
                <w:t>10.</w:t>
              </w:r>
              <w:r>
                <w:rPr>
                  <w:rFonts w:ascii="Arial" w:cs="Arial" w:eastAsia="Arial" w:hAnsi="Arial"/>
                  <w:sz w:val="17"/>
                  <w:szCs w:val="17"/>
                  <w:u w:val="single" w:color="auto"/>
                  <w:color w:val="0000FF"/>
                  <w:w w:val="72"/>
                </w:rPr>
                <w:t>21(a)</w:t>
              </w:r>
            </w:hyperlink>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8"/>
              </w:rPr>
            </w:pPr>
            <w:hyperlink r:id="rId144">
              <w:r>
                <w:rPr>
                  <w:rFonts w:ascii="Arial" w:cs="Arial" w:eastAsia="Arial" w:hAnsi="Arial"/>
                  <w:sz w:val="18"/>
                  <w:szCs w:val="18"/>
                  <w:color w:val="0000FF"/>
                  <w:w w:val="98"/>
                </w:rPr>
                <w:t>Loan and Security Agreement, dated August 31, 2020, between Selecta</w:t>
              </w:r>
            </w:hyperlink>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60" w:type="dxa"/>
            <w:vAlign w:val="bottom"/>
            <w:gridSpan w:val="34"/>
          </w:tcPr>
          <w:p>
            <w:pPr>
              <w:spacing w:after="0" w:line="156" w:lineRule="exact"/>
              <w:rPr>
                <w:rFonts w:ascii="Arial" w:cs="Arial" w:eastAsia="Arial" w:hAnsi="Arial"/>
                <w:sz w:val="18"/>
                <w:szCs w:val="18"/>
                <w:color w:val="0000FF"/>
                <w:w w:val="93"/>
              </w:rPr>
            </w:pPr>
            <w:hyperlink r:id="rId144">
              <w:r>
                <w:rPr>
                  <w:rFonts w:ascii="Arial" w:cs="Arial" w:eastAsia="Arial" w:hAnsi="Arial"/>
                  <w:sz w:val="18"/>
                  <w:szCs w:val="18"/>
                  <w:color w:val="0000FF"/>
                  <w:w w:val="93"/>
                </w:rPr>
                <w:t>Biosciences, Inc., Oxford Finance LLC, as Collateral Agent and as a lender,</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and Silicon Valley Bank, as a lender.</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5"/>
          </w:tcPr>
          <w:p>
            <w:pPr>
              <w:jc w:val="center"/>
              <w:ind w:right="320"/>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21(b)</w:t>
              </w:r>
            </w:hyperlink>
          </w:p>
        </w:tc>
        <w:tc>
          <w:tcPr>
            <w:tcW w:w="5680" w:type="dxa"/>
            <w:vAlign w:val="bottom"/>
            <w:gridSpan w:val="35"/>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First Amendment to Loan and Security Agreement, dated September 7, 2021,</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145">
              <w:r>
                <w:rPr>
                  <w:rFonts w:ascii="Arial" w:cs="Arial" w:eastAsia="Arial" w:hAnsi="Arial"/>
                  <w:sz w:val="18"/>
                  <w:szCs w:val="18"/>
                  <w:color w:val="0000FF"/>
                  <w:w w:val="94"/>
                </w:rPr>
                <w:t>by and among Selecta Biosciences, Inc., Oxford Finance LLC, and Silicon</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Valley Bank</w:t>
              </w:r>
            </w:hyperlink>
          </w:p>
        </w:tc>
        <w:tc>
          <w:tcPr>
            <w:tcW w:w="44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0" w:type="dxa"/>
            <w:vAlign w:val="bottom"/>
            <w:gridSpan w:val="2"/>
          </w:tcPr>
          <w:p>
            <w:pPr>
              <w:jc w:val="center"/>
              <w:ind w:left="70"/>
              <w:spacing w:after="0"/>
              <w:rPr>
                <w:rFonts w:ascii="Arial" w:cs="Arial" w:eastAsia="Arial" w:hAnsi="Arial"/>
                <w:sz w:val="18"/>
                <w:szCs w:val="18"/>
                <w:color w:val="0000FF"/>
                <w:w w:val="91"/>
              </w:rPr>
            </w:pPr>
            <w:hyperlink r:id="rId146">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rPr>
            </w:pPr>
            <w:hyperlink r:id="rId146">
              <w:r>
                <w:rPr>
                  <w:rFonts w:ascii="Arial" w:cs="Arial" w:eastAsia="Arial" w:hAnsi="Arial"/>
                  <w:sz w:val="18"/>
                  <w:szCs w:val="18"/>
                  <w:color w:val="0000FF"/>
                </w:rPr>
                <w:t>Subsidiaries of Selecta Biosciences, Inc.</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gridSpan w:val="2"/>
          </w:tcPr>
          <w:p>
            <w:pPr>
              <w:jc w:val="center"/>
              <w:ind w:left="70"/>
              <w:spacing w:after="0"/>
              <w:rPr>
                <w:rFonts w:ascii="Arial" w:cs="Arial" w:eastAsia="Arial" w:hAnsi="Arial"/>
                <w:sz w:val="18"/>
                <w:szCs w:val="18"/>
                <w:color w:val="0000FF"/>
                <w:w w:val="91"/>
              </w:rPr>
            </w:pPr>
            <w:hyperlink w:anchor="page117">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5"/>
              </w:rPr>
            </w:pPr>
            <w:hyperlink w:anchor="page117">
              <w:r>
                <w:rPr>
                  <w:rFonts w:ascii="Arial" w:cs="Arial" w:eastAsia="Arial" w:hAnsi="Arial"/>
                  <w:sz w:val="18"/>
                  <w:szCs w:val="18"/>
                  <w:color w:val="0000FF"/>
                  <w:w w:val="95"/>
                </w:rPr>
                <w:t>Consent of Ernst &amp; Young LLP, Independent Registered Public Accounting</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117">
              <w:r>
                <w:rPr>
                  <w:rFonts w:ascii="Arial" w:cs="Arial" w:eastAsia="Arial" w:hAnsi="Arial"/>
                  <w:sz w:val="18"/>
                  <w:szCs w:val="18"/>
                  <w:color w:val="0000FF"/>
                  <w:w w:val="88"/>
                </w:rPr>
                <w:t>Firm</w:t>
              </w:r>
            </w:hyperlink>
          </w:p>
        </w:tc>
        <w:tc>
          <w:tcPr>
            <w:tcW w:w="51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0" w:type="dxa"/>
            <w:vAlign w:val="bottom"/>
            <w:gridSpan w:val="2"/>
          </w:tcPr>
          <w:p>
            <w:pPr>
              <w:jc w:val="center"/>
              <w:ind w:left="70"/>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9"/>
              </w:rPr>
            </w:pPr>
            <w:hyperlink w:anchor="page114">
              <w:r>
                <w:rPr>
                  <w:rFonts w:ascii="Arial" w:cs="Arial" w:eastAsia="Arial" w:hAnsi="Arial"/>
                  <w:sz w:val="18"/>
                  <w:szCs w:val="18"/>
                  <w:color w:val="0000FF"/>
                  <w:w w:val="99"/>
                </w:rPr>
                <w:t>Certification of Principal Executive Officer pursuant to Rule 13a-14(a) or</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60" w:type="dxa"/>
            <w:vAlign w:val="bottom"/>
            <w:gridSpan w:val="34"/>
          </w:tcPr>
          <w:p>
            <w:pPr>
              <w:spacing w:after="0" w:line="156" w:lineRule="exact"/>
              <w:rPr>
                <w:rFonts w:ascii="Arial" w:cs="Arial" w:eastAsia="Arial" w:hAnsi="Arial"/>
                <w:sz w:val="18"/>
                <w:szCs w:val="18"/>
                <w:color w:val="0000FF"/>
                <w:w w:val="92"/>
              </w:rPr>
            </w:pPr>
            <w:hyperlink w:anchor="page114">
              <w:r>
                <w:rPr>
                  <w:rFonts w:ascii="Arial" w:cs="Arial" w:eastAsia="Arial" w:hAnsi="Arial"/>
                  <w:sz w:val="18"/>
                  <w:szCs w:val="18"/>
                  <w:color w:val="0000FF"/>
                  <w:w w:val="92"/>
                </w:rPr>
                <w:t>Rule 15d-14(a) of the Securities Exchange Act of 1934, as adopted pursuant</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to Section 302 of the Sarbanes-Oxley Act of 2002</w:t>
              </w:r>
            </w:hyperlink>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gridSpan w:val="2"/>
          </w:tcPr>
          <w:p>
            <w:pPr>
              <w:jc w:val="center"/>
              <w:ind w:left="70"/>
              <w:spacing w:after="0"/>
              <w:rPr>
                <w:rFonts w:ascii="Arial" w:cs="Arial" w:eastAsia="Arial" w:hAnsi="Arial"/>
                <w:sz w:val="18"/>
                <w:szCs w:val="18"/>
                <w:color w:val="0000FF"/>
                <w:w w:val="91"/>
              </w:rPr>
            </w:pPr>
            <w:hyperlink w:anchor="page115">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Certification of Principal Financial Officer pursuant to Rule 13a-14(a) or Rule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60" w:type="dxa"/>
            <w:vAlign w:val="bottom"/>
            <w:tcBorders>
              <w:top w:val="single" w:sz="8" w:color="0000FF"/>
            </w:tcBorders>
            <w:gridSpan w:val="34"/>
          </w:tcPr>
          <w:p>
            <w:pPr>
              <w:spacing w:after="0" w:line="156" w:lineRule="exact"/>
              <w:rPr>
                <w:rFonts w:ascii="Arial" w:cs="Arial" w:eastAsia="Arial" w:hAnsi="Arial"/>
                <w:sz w:val="18"/>
                <w:szCs w:val="18"/>
                <w:color w:val="0000FF"/>
                <w:w w:val="96"/>
              </w:rPr>
            </w:pPr>
            <w:hyperlink w:anchor="page115">
              <w:r>
                <w:rPr>
                  <w:rFonts w:ascii="Arial" w:cs="Arial" w:eastAsia="Arial" w:hAnsi="Arial"/>
                  <w:sz w:val="18"/>
                  <w:szCs w:val="18"/>
                  <w:color w:val="0000FF"/>
                  <w:w w:val="96"/>
                </w:rPr>
                <w:t>15d-14(a) of the Securities Exchange Act of 1934, as adopted pursuant to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w:anchor="page115">
              <w:r>
                <w:rPr>
                  <w:rFonts w:ascii="Arial" w:cs="Arial" w:eastAsia="Arial" w:hAnsi="Arial"/>
                  <w:sz w:val="18"/>
                  <w:szCs w:val="18"/>
                  <w:color w:val="0000FF"/>
                  <w:w w:val="90"/>
                </w:rPr>
                <w:t>Section 302 of the Sarbanes-Oxley Act of 2002</w:t>
              </w:r>
            </w:hyperlink>
          </w:p>
        </w:tc>
        <w:tc>
          <w:tcPr>
            <w:tcW w:w="190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0" w:type="dxa"/>
            <w:vAlign w:val="bottom"/>
            <w:gridSpan w:val="2"/>
          </w:tcPr>
          <w:p>
            <w:pPr>
              <w:jc w:val="center"/>
              <w:ind w:left="70"/>
              <w:spacing w:after="0"/>
              <w:rPr>
                <w:rFonts w:ascii="Arial" w:cs="Arial" w:eastAsia="Arial" w:hAnsi="Arial"/>
                <w:sz w:val="18"/>
                <w:szCs w:val="18"/>
                <w:color w:val="0000FF"/>
                <w:w w:val="91"/>
              </w:rPr>
            </w:pPr>
            <w:hyperlink w:anchor="page116">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80" w:type="dxa"/>
            <w:vAlign w:val="bottom"/>
            <w:gridSpan w:val="35"/>
          </w:tcPr>
          <w:p>
            <w:pPr>
              <w:spacing w:after="0"/>
              <w:rPr>
                <w:rFonts w:ascii="Arial" w:cs="Arial" w:eastAsia="Arial" w:hAnsi="Arial"/>
                <w:sz w:val="18"/>
                <w:szCs w:val="18"/>
                <w:color w:val="0000FF"/>
                <w:w w:val="98"/>
              </w:rPr>
            </w:pPr>
            <w:hyperlink w:anchor="page116">
              <w:r>
                <w:rPr>
                  <w:rFonts w:ascii="Arial" w:cs="Arial" w:eastAsia="Arial" w:hAnsi="Arial"/>
                  <w:sz w:val="18"/>
                  <w:szCs w:val="18"/>
                  <w:color w:val="0000FF"/>
                  <w:w w:val="98"/>
                </w:rPr>
                <w:t>Certification of Principal Executive Officer and Principal Financial Officer</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24"/>
          </w:tcPr>
          <w:p>
            <w:pPr>
              <w:spacing w:after="0" w:line="156" w:lineRule="exact"/>
              <w:rPr>
                <w:rFonts w:ascii="Arial" w:cs="Arial" w:eastAsia="Arial" w:hAnsi="Arial"/>
                <w:sz w:val="18"/>
                <w:szCs w:val="18"/>
                <w:color w:val="0000FF"/>
                <w:w w:val="89"/>
              </w:rPr>
            </w:pPr>
            <w:hyperlink w:anchor="page116">
              <w:r>
                <w:rPr>
                  <w:rFonts w:ascii="Arial" w:cs="Arial" w:eastAsia="Arial" w:hAnsi="Arial"/>
                  <w:sz w:val="18"/>
                  <w:szCs w:val="18"/>
                  <w:color w:val="0000FF"/>
                  <w:w w:val="89"/>
                </w:rPr>
                <w:t>pursuant to 18 U.S.C. Section 1350, as adopted pursuant to Section 906 of</w:t>
              </w:r>
            </w:hyperlink>
          </w:p>
        </w:tc>
        <w:tc>
          <w:tcPr>
            <w:tcW w:w="280" w:type="dxa"/>
            <w:vAlign w:val="bottom"/>
            <w:gridSpan w:val="10"/>
          </w:tcPr>
          <w:p>
            <w:pPr>
              <w:spacing w:after="0" w:line="156" w:lineRule="exact"/>
              <w:rPr>
                <w:rFonts w:ascii="Arial" w:cs="Arial" w:eastAsia="Arial" w:hAnsi="Arial"/>
                <w:sz w:val="18"/>
                <w:szCs w:val="18"/>
                <w:color w:val="0000FF"/>
              </w:rPr>
            </w:pPr>
            <w:hyperlink w:anchor="page116">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Sarbanes-Oxley Act of 2002</w:t>
              </w:r>
            </w:hyperlink>
          </w:p>
        </w:tc>
        <w:tc>
          <w:tcPr>
            <w:tcW w:w="356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101.INS</w:t>
            </w:r>
          </w:p>
        </w:tc>
        <w:tc>
          <w:tcPr>
            <w:tcW w:w="5680" w:type="dxa"/>
            <w:vAlign w:val="bottom"/>
            <w:gridSpan w:val="35"/>
          </w:tcPr>
          <w:p>
            <w:pPr>
              <w:spacing w:after="0" w:line="196" w:lineRule="exact"/>
              <w:rPr>
                <w:sz w:val="20"/>
                <w:szCs w:val="20"/>
                <w:color w:val="auto"/>
              </w:rPr>
            </w:pPr>
            <w:r>
              <w:rPr>
                <w:rFonts w:ascii="Arial" w:cs="Arial" w:eastAsia="Arial" w:hAnsi="Arial"/>
                <w:sz w:val="18"/>
                <w:szCs w:val="18"/>
                <w:color w:val="auto"/>
                <w:w w:val="92"/>
              </w:rPr>
              <w:t>Inline XBRL Instance Document - the Instance Document does not appear in</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80" w:type="dxa"/>
            <w:vAlign w:val="bottom"/>
            <w:gridSpan w:val="35"/>
          </w:tcPr>
          <w:p>
            <w:pPr>
              <w:spacing w:after="0" w:line="176" w:lineRule="exact"/>
              <w:rPr>
                <w:sz w:val="20"/>
                <w:szCs w:val="20"/>
                <w:color w:val="auto"/>
              </w:rPr>
            </w:pPr>
            <w:r>
              <w:rPr>
                <w:rFonts w:ascii="Arial" w:cs="Arial" w:eastAsia="Arial" w:hAnsi="Arial"/>
                <w:sz w:val="18"/>
                <w:szCs w:val="18"/>
                <w:color w:val="auto"/>
                <w:w w:val="91"/>
              </w:rPr>
              <w:t>the 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gridSpan w:val="35"/>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836"/>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gridSpan w:val="14"/>
          </w:tcPr>
          <w:p>
            <w:pPr>
              <w:ind w:left="440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11/8/2019</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9/27/2018</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1"/>
              </w:rPr>
              <w:t>6/8/2016</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1"/>
              </w:rPr>
              <w:t>6/8/2016</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11/5/2020</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8"/>
              </w:rPr>
              <w:t>11/10/2021</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rPr>
              <w:t>8-K/A</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center"/>
              <w:ind w:left="70"/>
              <w:spacing w:after="0"/>
              <w:rPr>
                <w:sz w:val="20"/>
                <w:szCs w:val="20"/>
                <w:color w:val="auto"/>
              </w:rPr>
            </w:pPr>
            <w:r>
              <w:rPr>
                <w:rFonts w:ascii="Arial" w:cs="Arial" w:eastAsia="Arial" w:hAnsi="Arial"/>
                <w:sz w:val="18"/>
                <w:szCs w:val="18"/>
                <w:color w:val="auto"/>
                <w:w w:val="90"/>
              </w:rPr>
              <w:t>12/14/2016</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11/8/2019</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1"/>
              </w:rPr>
              <w:t>8/6/2020</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6/28/2017</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8/20/2019</w:t>
            </w:r>
          </w:p>
        </w:tc>
      </w:tr>
      <w:tr>
        <w:trPr>
          <w:trHeight w:val="405"/>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10.1.1</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1"/>
              </w:rPr>
              <w:t>9/3/2020</w:t>
            </w:r>
          </w:p>
        </w:tc>
      </w:tr>
      <w:tr>
        <w:trPr>
          <w:trHeight w:val="581"/>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001-37798</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11/9/2021</w:t>
            </w:r>
          </w:p>
        </w:tc>
      </w:tr>
      <w:tr>
        <w:trPr>
          <w:trHeight w:val="580"/>
        </w:trPr>
        <w:tc>
          <w:tcPr>
            <w:tcW w:w="70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333-211555</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5/24/2016</w:t>
            </w:r>
          </w:p>
        </w:tc>
      </w:tr>
      <w:tr>
        <w:trPr>
          <w:trHeight w:val="23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2"/>
              </w:rPr>
              <w:t>Filed herewith</w:t>
            </w:r>
          </w:p>
        </w:tc>
      </w:tr>
      <w:tr>
        <w:trPr>
          <w:trHeight w:val="405"/>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2"/>
              </w:rPr>
              <w:t>Filed herewith</w:t>
            </w:r>
          </w:p>
        </w:tc>
      </w:tr>
      <w:tr>
        <w:trPr>
          <w:trHeight w:val="580"/>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2"/>
              </w:rPr>
              <w:t>Filed herewith</w:t>
            </w:r>
          </w:p>
        </w:tc>
      </w:tr>
      <w:tr>
        <w:trPr>
          <w:trHeight w:val="526"/>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360"/>
              <w:spacing w:after="0"/>
              <w:rPr>
                <w:sz w:val="20"/>
                <w:szCs w:val="20"/>
                <w:color w:val="auto"/>
              </w:rPr>
            </w:pPr>
            <w:r>
              <w:rPr>
                <w:rFonts w:ascii="Arial" w:cs="Arial" w:eastAsia="Arial" w:hAnsi="Arial"/>
                <w:sz w:val="18"/>
                <w:szCs w:val="18"/>
                <w:color w:val="auto"/>
              </w:rPr>
              <w:t>Furnished</w:t>
            </w:r>
          </w:p>
        </w:tc>
      </w:tr>
      <w:tr>
        <w:trPr>
          <w:trHeight w:val="230"/>
        </w:trPr>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4"/>
              </w:rPr>
              <w:t>herewith</w:t>
            </w:r>
          </w:p>
        </w:tc>
      </w:tr>
      <w:tr>
        <w:trPr>
          <w:trHeight w:val="404"/>
        </w:trPr>
        <w:tc>
          <w:tcPr>
            <w:tcW w:w="70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92"/>
              </w:rPr>
              <w:t>Filed herewith</w:t>
            </w:r>
          </w:p>
        </w:tc>
      </w:tr>
    </w:tbl>
    <w:p>
      <w:pPr>
        <w:sectPr>
          <w:pgSz w:w="11900" w:h="16838" w:orient="portrait"/>
          <w:cols w:equalWidth="0" w:num="2">
            <w:col w:w="6780" w:space="320"/>
            <w:col w:w="4040"/>
          </w:cols>
          <w:pgMar w:left="320" w:top="125" w:right="4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911"/>
        </w:trPr>
        <w:tc>
          <w:tcPr>
            <w:tcW w:w="100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w w:val="91"/>
              </w:rPr>
              <w:t>Filed herewith</w:t>
            </w:r>
          </w:p>
        </w:tc>
      </w:tr>
      <w:tr>
        <w:trPr>
          <w:trHeight w:val="229"/>
        </w:trPr>
        <w:tc>
          <w:tcPr>
            <w:tcW w:w="10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w w:val="91"/>
              </w:rPr>
              <w:t>Filed herewith</w:t>
            </w:r>
          </w:p>
        </w:tc>
      </w:tr>
      <w:tr>
        <w:trPr>
          <w:trHeight w:val="230"/>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w w:val="91"/>
              </w:rPr>
              <w:t>Filed herewith</w:t>
            </w:r>
          </w:p>
        </w:tc>
      </w:tr>
      <w:tr>
        <w:trPr>
          <w:trHeight w:val="229"/>
        </w:trPr>
        <w:tc>
          <w:tcPr>
            <w:tcW w:w="10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w w:val="91"/>
              </w:rPr>
              <w:t>Filed herewith</w:t>
            </w:r>
          </w:p>
        </w:tc>
      </w:tr>
      <w:tr>
        <w:trPr>
          <w:trHeight w:val="229"/>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ind w:left="480"/>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280" w:type="dxa"/>
            <w:vAlign w:val="bottom"/>
          </w:tcPr>
          <w:p>
            <w:pPr>
              <w:ind w:left="240"/>
              <w:spacing w:after="0"/>
              <w:rPr>
                <w:sz w:val="20"/>
                <w:szCs w:val="20"/>
                <w:color w:val="auto"/>
              </w:rPr>
            </w:pPr>
            <w:r>
              <w:rPr>
                <w:rFonts w:ascii="Arial" w:cs="Arial" w:eastAsia="Arial" w:hAnsi="Arial"/>
                <w:sz w:val="18"/>
                <w:szCs w:val="18"/>
                <w:color w:val="auto"/>
                <w:w w:val="91"/>
              </w:rPr>
              <w:t>Filed herewith</w:t>
            </w:r>
          </w:p>
        </w:tc>
      </w:tr>
      <w:tr>
        <w:trPr>
          <w:trHeight w:val="176"/>
        </w:trPr>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104</w:t>
            </w:r>
          </w:p>
        </w:tc>
        <w:tc>
          <w:tcPr>
            <w:tcW w:w="600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5"/>
              </w:rPr>
              <w:t>Cover Page Interactive Data File (formatted as Inline XBRL and contained in</w:t>
            </w:r>
          </w:p>
        </w:tc>
        <w:tc>
          <w:tcPr>
            <w:tcW w:w="900" w:type="dxa"/>
            <w:vAlign w:val="bottom"/>
          </w:tcPr>
          <w:p>
            <w:pPr>
              <w:ind w:left="240"/>
              <w:spacing w:after="0" w:line="176" w:lineRule="exact"/>
              <w:rPr>
                <w:sz w:val="20"/>
                <w:szCs w:val="20"/>
                <w:color w:val="auto"/>
              </w:rPr>
            </w:pPr>
            <w:r>
              <w:rPr>
                <w:rFonts w:ascii="Arial" w:cs="Arial" w:eastAsia="Arial" w:hAnsi="Arial"/>
                <w:sz w:val="18"/>
                <w:szCs w:val="18"/>
                <w:color w:val="auto"/>
              </w:rPr>
              <w:t>—</w:t>
            </w:r>
          </w:p>
        </w:tc>
        <w:tc>
          <w:tcPr>
            <w:tcW w:w="1100" w:type="dxa"/>
            <w:vAlign w:val="bottom"/>
          </w:tcPr>
          <w:p>
            <w:pPr>
              <w:ind w:left="480"/>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ind w:left="440"/>
              <w:spacing w:after="0" w:line="176" w:lineRule="exact"/>
              <w:rPr>
                <w:sz w:val="20"/>
                <w:szCs w:val="20"/>
                <w:color w:val="auto"/>
              </w:rPr>
            </w:pPr>
            <w:r>
              <w:rPr>
                <w:rFonts w:ascii="Arial" w:cs="Arial" w:eastAsia="Arial" w:hAnsi="Arial"/>
                <w:sz w:val="18"/>
                <w:szCs w:val="18"/>
                <w:color w:val="auto"/>
              </w:rPr>
              <w:t>—</w:t>
            </w:r>
          </w:p>
        </w:tc>
        <w:tc>
          <w:tcPr>
            <w:tcW w:w="1280" w:type="dxa"/>
            <w:vAlign w:val="bottom"/>
          </w:tcPr>
          <w:p>
            <w:pPr>
              <w:ind w:left="240"/>
              <w:spacing w:after="0" w:line="176" w:lineRule="exact"/>
              <w:rPr>
                <w:sz w:val="20"/>
                <w:szCs w:val="20"/>
                <w:color w:val="auto"/>
              </w:rPr>
            </w:pPr>
            <w:r>
              <w:rPr>
                <w:rFonts w:ascii="Arial" w:cs="Arial" w:eastAsia="Arial" w:hAnsi="Arial"/>
                <w:sz w:val="18"/>
                <w:szCs w:val="18"/>
                <w:color w:val="auto"/>
                <w:w w:val="91"/>
              </w:rPr>
              <w:t>Filed herewith</w:t>
            </w:r>
          </w:p>
        </w:tc>
      </w:tr>
      <w:tr>
        <w:trPr>
          <w:trHeight w:val="230"/>
        </w:trPr>
        <w:tc>
          <w:tcPr>
            <w:tcW w:w="1000" w:type="dxa"/>
            <w:vAlign w:val="bottom"/>
          </w:tcPr>
          <w:p>
            <w:pPr>
              <w:spacing w:after="0"/>
              <w:rPr>
                <w:sz w:val="20"/>
                <w:szCs w:val="20"/>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Exhibit 101)</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0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Indicates management contract or compensatory plan.</w:t>
      </w:r>
    </w:p>
    <w:p>
      <w:pPr>
        <w:spacing w:after="0" w:line="131" w:lineRule="exact"/>
        <w:rPr>
          <w:sz w:val="20"/>
          <w:szCs w:val="20"/>
          <w:color w:val="auto"/>
        </w:rPr>
      </w:pPr>
    </w:p>
    <w:p>
      <w:pPr>
        <w:ind w:left="1160"/>
        <w:spacing w:after="0" w:line="235"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24h-2 under the Securities Exchange Act of 1934.</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6840" w:type="dxa"/>
            <w:vAlign w:val="bottom"/>
            <w:gridSpan w:val="2"/>
          </w:tcPr>
          <w:p>
            <w:pPr>
              <w:ind w:left="276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rPr>
              <w:t>Date: March 10, 2022</w:t>
            </w:r>
          </w:p>
        </w:tc>
        <w:tc>
          <w:tcPr>
            <w:tcW w:w="3220" w:type="dxa"/>
            <w:vAlign w:val="bottom"/>
          </w:tcPr>
          <w:p>
            <w:pPr>
              <w:ind w:left="276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4"/>
        </w:trPr>
        <w:tc>
          <w:tcPr>
            <w:tcW w:w="43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bl>
    <w:p>
      <w:pPr>
        <w:ind w:left="80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7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and Chief Executive Officer, and 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c>
          <w:tcPr>
            <w:tcW w:w="120" w:type="dxa"/>
            <w:vAlign w:val="bottom"/>
          </w:tcPr>
          <w:p>
            <w:pPr>
              <w:spacing w:after="0"/>
              <w:rPr>
                <w:sz w:val="19"/>
                <w:szCs w:val="19"/>
                <w:color w:val="auto"/>
              </w:rPr>
            </w:pPr>
          </w:p>
        </w:tc>
        <w:tc>
          <w:tcPr>
            <w:tcW w:w="59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(Principal Executive Officer)</w:t>
            </w: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Tan</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Kevin Tan</w:t>
            </w:r>
          </w:p>
        </w:tc>
        <w:tc>
          <w:tcPr>
            <w:tcW w:w="120" w:type="dxa"/>
            <w:vAlign w:val="bottom"/>
          </w:tcPr>
          <w:p>
            <w:pPr>
              <w:spacing w:after="0"/>
              <w:rPr>
                <w:sz w:val="19"/>
                <w:szCs w:val="19"/>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Carrie S. Cox</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Göran A. Ando, M.D.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Göran A. Ando,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C. Barabe</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Timothy C. Barabe</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Nishan de Silva, M.D.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Nishan de Silva, M.D.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D. Myers</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3"/>
              </w:rPr>
              <w:t>Scott D. Myers</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Aymeric Sallin</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2"/>
              </w:rPr>
              <w:t>Aymeric Sallin</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Springer, Ph.D.</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2"/>
              </w:rPr>
              <w:t>Timothy Springer, Ph.D.</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99"/>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Patrick Zenner</w:t>
            </w:r>
          </w:p>
        </w:tc>
        <w:tc>
          <w:tcPr>
            <w:tcW w:w="120" w:type="dxa"/>
            <w:vAlign w:val="bottom"/>
          </w:tcPr>
          <w:p>
            <w:pPr>
              <w:spacing w:after="0"/>
              <w:rPr>
                <w:sz w:val="24"/>
                <w:szCs w:val="24"/>
                <w:color w:val="auto"/>
              </w:rPr>
            </w:pPr>
          </w:p>
        </w:tc>
        <w:tc>
          <w:tcPr>
            <w:tcW w:w="5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March 10, 2022</w:t>
            </w: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Patrick Zenner</w:t>
            </w:r>
          </w:p>
        </w:tc>
        <w:tc>
          <w:tcPr>
            <w:tcW w:w="1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9800" w:type="dxa"/>
            <w:vAlign w:val="bottom"/>
            <w:gridSpan w:val="1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5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590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86"/>
              </w:rPr>
              <w:t>Selecta Biosciences, Inc. and Subsidiaries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8"/>
        </w:trPr>
        <w:tc>
          <w:tcPr>
            <w:tcW w:w="560" w:type="dxa"/>
            <w:vAlign w:val="bottom"/>
          </w:tcPr>
          <w:p>
            <w:pPr>
              <w:spacing w:after="0"/>
              <w:rPr>
                <w:sz w:val="24"/>
                <w:szCs w:val="24"/>
                <w:color w:val="auto"/>
              </w:rPr>
            </w:pPr>
          </w:p>
        </w:tc>
        <w:tc>
          <w:tcPr>
            <w:tcW w:w="9240" w:type="dxa"/>
            <w:vAlign w:val="bottom"/>
            <w:gridSpan w:val="10"/>
            <w:vMerge w:val="restart"/>
          </w:tcPr>
          <w:p>
            <w:pPr>
              <w:spacing w:after="0"/>
              <w:rPr>
                <w:sz w:val="20"/>
                <w:szCs w:val="20"/>
                <w:color w:val="auto"/>
              </w:rPr>
            </w:pPr>
            <w:r>
              <w:rPr>
                <w:rFonts w:ascii="Arial" w:cs="Arial" w:eastAsia="Arial" w:hAnsi="Arial"/>
                <w:sz w:val="18"/>
                <w:szCs w:val="18"/>
                <w:color w:val="auto"/>
              </w:rPr>
              <w:t>Index to Consolidated Financial Statements</w:t>
            </w: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103"/>
        </w:trPr>
        <w:tc>
          <w:tcPr>
            <w:tcW w:w="560" w:type="dxa"/>
            <w:vAlign w:val="bottom"/>
          </w:tcPr>
          <w:p>
            <w:pPr>
              <w:spacing w:after="0"/>
              <w:rPr>
                <w:sz w:val="8"/>
                <w:szCs w:val="8"/>
                <w:color w:val="auto"/>
              </w:rPr>
            </w:pPr>
          </w:p>
        </w:tc>
        <w:tc>
          <w:tcPr>
            <w:tcW w:w="9240" w:type="dxa"/>
            <w:vAlign w:val="bottom"/>
            <w:gridSpan w:val="10"/>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9240" w:type="dxa"/>
            <w:vAlign w:val="bottom"/>
            <w:gridSpan w:val="10"/>
          </w:tcPr>
          <w:p>
            <w:pPr>
              <w:spacing w:after="0" w:line="194" w:lineRule="exact"/>
              <w:rPr>
                <w:rFonts w:ascii="Arial" w:cs="Arial" w:eastAsia="Arial" w:hAnsi="Arial"/>
                <w:sz w:val="18"/>
                <w:szCs w:val="18"/>
                <w:b w:val="1"/>
                <w:bCs w:val="1"/>
                <w:color w:val="0000FF"/>
              </w:rPr>
            </w:pPr>
            <w:hyperlink w:anchor="page78">
              <w:r>
                <w:rPr>
                  <w:rFonts w:ascii="Arial" w:cs="Arial" w:eastAsia="Arial" w:hAnsi="Arial"/>
                  <w:sz w:val="18"/>
                  <w:szCs w:val="18"/>
                  <w:b w:val="1"/>
                  <w:bCs w:val="1"/>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b w:val="1"/>
                <w:bCs w:val="1"/>
                <w:color w:val="0000FF"/>
              </w:rPr>
              <w:t xml:space="preserve"> </w:t>
            </w:r>
            <w:r>
              <w:rPr>
                <w:rFonts w:ascii="Arial" w:cs="Arial" w:eastAsia="Arial" w:hAnsi="Arial"/>
                <w:sz w:val="18"/>
                <w:szCs w:val="18"/>
                <w:color w:val="000000"/>
              </w:rPr>
              <w:t>ID: 42)</w:t>
            </w:r>
          </w:p>
        </w:tc>
        <w:tc>
          <w:tcPr>
            <w:tcW w:w="600" w:type="dxa"/>
            <w:vAlign w:val="bottom"/>
          </w:tcPr>
          <w:p>
            <w:pPr>
              <w:spacing w:after="0"/>
              <w:rPr>
                <w:sz w:val="16"/>
                <w:szCs w:val="16"/>
                <w:color w:val="auto"/>
              </w:rPr>
            </w:pPr>
          </w:p>
        </w:tc>
        <w:tc>
          <w:tcPr>
            <w:tcW w:w="840" w:type="dxa"/>
            <w:vAlign w:val="bottom"/>
            <w:gridSpan w:val="2"/>
          </w:tcPr>
          <w:p>
            <w:pPr>
              <w:jc w:val="right"/>
              <w:ind w:right="580"/>
              <w:spacing w:after="0" w:line="194" w:lineRule="exact"/>
              <w:rPr>
                <w:rFonts w:ascii="Arial" w:cs="Arial" w:eastAsia="Arial" w:hAnsi="Arial"/>
                <w:sz w:val="18"/>
                <w:szCs w:val="18"/>
                <w:b w:val="1"/>
                <w:bCs w:val="1"/>
                <w:color w:val="0000FF"/>
                <w:w w:val="88"/>
              </w:rPr>
            </w:pPr>
            <w:hyperlink w:anchor="page78">
              <w:r>
                <w:rPr>
                  <w:rFonts w:ascii="Arial" w:cs="Arial" w:eastAsia="Arial" w:hAnsi="Arial"/>
                  <w:sz w:val="18"/>
                  <w:szCs w:val="18"/>
                  <w:b w:val="1"/>
                  <w:bCs w:val="1"/>
                  <w:color w:val="0000FF"/>
                  <w:w w:val="88"/>
                </w:rPr>
                <w:t>F-2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9240" w:type="dxa"/>
            <w:vAlign w:val="bottom"/>
            <w:gridSpan w:val="10"/>
          </w:tcPr>
          <w:p>
            <w:pPr>
              <w:spacing w:after="0"/>
              <w:rPr>
                <w:rFonts w:ascii="Arial" w:cs="Arial" w:eastAsia="Arial" w:hAnsi="Arial"/>
                <w:sz w:val="18"/>
                <w:szCs w:val="18"/>
                <w:b w:val="1"/>
                <w:bCs w:val="1"/>
                <w:color w:val="0000FF"/>
              </w:rPr>
            </w:pPr>
            <w:hyperlink w:anchor="page80">
              <w:r>
                <w:rPr>
                  <w:rFonts w:ascii="Arial" w:cs="Arial" w:eastAsia="Arial" w:hAnsi="Arial"/>
                  <w:sz w:val="18"/>
                  <w:szCs w:val="18"/>
                  <w:b w:val="1"/>
                  <w:bCs w:val="1"/>
                  <w:color w:val="0000FF"/>
                </w:rPr>
                <w:t>Consolidated Balance Sheets at December 31, 2021 and 2020</w:t>
              </w:r>
            </w:hyperlink>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rFonts w:ascii="Arial" w:cs="Arial" w:eastAsia="Arial" w:hAnsi="Arial"/>
                <w:sz w:val="18"/>
                <w:szCs w:val="18"/>
                <w:b w:val="1"/>
                <w:bCs w:val="1"/>
                <w:color w:val="0000FF"/>
                <w:w w:val="88"/>
              </w:rPr>
            </w:pPr>
            <w:hyperlink w:anchor="page80">
              <w:r>
                <w:rPr>
                  <w:rFonts w:ascii="Arial" w:cs="Arial" w:eastAsia="Arial" w:hAnsi="Arial"/>
                  <w:sz w:val="18"/>
                  <w:szCs w:val="18"/>
                  <w:b w:val="1"/>
                  <w:bCs w:val="1"/>
                  <w:color w:val="0000FF"/>
                  <w:w w:val="88"/>
                </w:rPr>
                <w:t>F-4</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240" w:type="dxa"/>
            <w:vAlign w:val="bottom"/>
            <w:gridSpan w:val="10"/>
          </w:tcPr>
          <w:p>
            <w:pPr>
              <w:spacing w:after="0"/>
              <w:rPr>
                <w:rFonts w:ascii="Arial" w:cs="Arial" w:eastAsia="Arial" w:hAnsi="Arial"/>
                <w:sz w:val="18"/>
                <w:szCs w:val="18"/>
                <w:b w:val="1"/>
                <w:bCs w:val="1"/>
                <w:color w:val="0000FF"/>
                <w:w w:val="93"/>
              </w:rPr>
            </w:pPr>
            <w:hyperlink w:anchor="page81">
              <w:r>
                <w:rPr>
                  <w:rFonts w:ascii="Arial" w:cs="Arial" w:eastAsia="Arial" w:hAnsi="Arial"/>
                  <w:sz w:val="18"/>
                  <w:szCs w:val="18"/>
                  <w:b w:val="1"/>
                  <w:bCs w:val="1"/>
                  <w:color w:val="0000FF"/>
                  <w:w w:val="93"/>
                </w:rPr>
                <w:t>Consolidated Statements of Operations and Comprehensive Loss for the years ended December 31, 2021, 2020 and</w:t>
              </w:r>
            </w:hyperlink>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rFonts w:ascii="Arial" w:cs="Arial" w:eastAsia="Arial" w:hAnsi="Arial"/>
                <w:sz w:val="18"/>
                <w:szCs w:val="18"/>
                <w:b w:val="1"/>
                <w:bCs w:val="1"/>
                <w:color w:val="0000FF"/>
                <w:w w:val="88"/>
              </w:rPr>
            </w:pPr>
            <w:hyperlink w:anchor="page81">
              <w:r>
                <w:rPr>
                  <w:rFonts w:ascii="Arial" w:cs="Arial" w:eastAsia="Arial" w:hAnsi="Arial"/>
                  <w:sz w:val="18"/>
                  <w:szCs w:val="18"/>
                  <w:b w:val="1"/>
                  <w:bCs w:val="1"/>
                  <w:color w:val="0000FF"/>
                  <w:w w:val="88"/>
                </w:rPr>
                <w:t>F-5</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b w:val="1"/>
                <w:bCs w:val="1"/>
                <w:color w:val="0000FF"/>
                <w:w w:val="84"/>
              </w:rPr>
            </w:pPr>
            <w:hyperlink w:anchor="page81">
              <w:r>
                <w:rPr>
                  <w:rFonts w:ascii="Arial" w:cs="Arial" w:eastAsia="Arial" w:hAnsi="Arial"/>
                  <w:sz w:val="18"/>
                  <w:szCs w:val="18"/>
                  <w:b w:val="1"/>
                  <w:bCs w:val="1"/>
                  <w:color w:val="0000FF"/>
                  <w:w w:val="84"/>
                </w:rPr>
                <w:t>2019</w:t>
              </w:r>
            </w:hyperlink>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9240" w:type="dxa"/>
            <w:vAlign w:val="bottom"/>
            <w:gridSpan w:val="10"/>
          </w:tcPr>
          <w:p>
            <w:pPr>
              <w:spacing w:after="0"/>
              <w:rPr>
                <w:rFonts w:ascii="Arial" w:cs="Arial" w:eastAsia="Arial" w:hAnsi="Arial"/>
                <w:sz w:val="18"/>
                <w:szCs w:val="18"/>
                <w:b w:val="1"/>
                <w:bCs w:val="1"/>
                <w:color w:val="0000FF"/>
                <w:w w:val="93"/>
              </w:rPr>
            </w:pPr>
            <w:hyperlink w:anchor="page82">
              <w:r>
                <w:rPr>
                  <w:rFonts w:ascii="Arial" w:cs="Arial" w:eastAsia="Arial" w:hAnsi="Arial"/>
                  <w:sz w:val="18"/>
                  <w:szCs w:val="18"/>
                  <w:b w:val="1"/>
                  <w:bCs w:val="1"/>
                  <w:color w:val="0000FF"/>
                  <w:w w:val="93"/>
                </w:rPr>
                <w:t>Consolidated Statements of Changes in Stockholders' Equity (Deficit) for the years ended December 31, 2021, 2020</w:t>
              </w:r>
            </w:hyperlink>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rFonts w:ascii="Arial" w:cs="Arial" w:eastAsia="Arial" w:hAnsi="Arial"/>
                <w:sz w:val="18"/>
                <w:szCs w:val="18"/>
                <w:b w:val="1"/>
                <w:bCs w:val="1"/>
                <w:color w:val="0000FF"/>
                <w:w w:val="88"/>
              </w:rPr>
            </w:pPr>
            <w:hyperlink w:anchor="page82">
              <w:r>
                <w:rPr>
                  <w:rFonts w:ascii="Arial" w:cs="Arial" w:eastAsia="Arial" w:hAnsi="Arial"/>
                  <w:sz w:val="18"/>
                  <w:szCs w:val="18"/>
                  <w:b w:val="1"/>
                  <w:bCs w:val="1"/>
                  <w:color w:val="0000FF"/>
                  <w:w w:val="88"/>
                </w:rPr>
                <w:t>F-6</w:t>
              </w:r>
            </w:hyperlink>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8800" w:type="dxa"/>
            <w:vAlign w:val="bottom"/>
            <w:tcBorders>
              <w:top w:val="single" w:sz="8" w:color="0000FF"/>
            </w:tcBorders>
            <w:gridSpan w:val="9"/>
          </w:tcPr>
          <w:p>
            <w:pPr>
              <w:spacing w:after="0" w:line="156" w:lineRule="exact"/>
              <w:rPr>
                <w:rFonts w:ascii="Arial" w:cs="Arial" w:eastAsia="Arial" w:hAnsi="Arial"/>
                <w:sz w:val="18"/>
                <w:szCs w:val="18"/>
                <w:b w:val="1"/>
                <w:bCs w:val="1"/>
                <w:color w:val="0000FF"/>
              </w:rPr>
            </w:pPr>
            <w:hyperlink w:anchor="page82">
              <w:r>
                <w:rPr>
                  <w:rFonts w:ascii="Arial" w:cs="Arial" w:eastAsia="Arial" w:hAnsi="Arial"/>
                  <w:sz w:val="18"/>
                  <w:szCs w:val="18"/>
                  <w:b w:val="1"/>
                  <w:bCs w:val="1"/>
                  <w:color w:val="0000FF"/>
                </w:rPr>
                <w:t>and 2019</w:t>
              </w:r>
            </w:hyperlink>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9240" w:type="dxa"/>
            <w:vAlign w:val="bottom"/>
            <w:gridSpan w:val="10"/>
          </w:tcPr>
          <w:p>
            <w:pPr>
              <w:spacing w:after="0"/>
              <w:rPr>
                <w:rFonts w:ascii="Arial" w:cs="Arial" w:eastAsia="Arial" w:hAnsi="Arial"/>
                <w:sz w:val="18"/>
                <w:szCs w:val="18"/>
                <w:b w:val="1"/>
                <w:bCs w:val="1"/>
                <w:color w:val="0000FF"/>
              </w:rPr>
            </w:pPr>
            <w:hyperlink w:anchor="page83">
              <w:r>
                <w:rPr>
                  <w:rFonts w:ascii="Arial" w:cs="Arial" w:eastAsia="Arial" w:hAnsi="Arial"/>
                  <w:sz w:val="18"/>
                  <w:szCs w:val="18"/>
                  <w:b w:val="1"/>
                  <w:bCs w:val="1"/>
                  <w:color w:val="0000FF"/>
                </w:rPr>
                <w:t>Consolidated Statements of Cash Flows for the years ended December 31, 2021, 2020 and 2019</w:t>
              </w:r>
            </w:hyperlink>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rFonts w:ascii="Arial" w:cs="Arial" w:eastAsia="Arial" w:hAnsi="Arial"/>
                <w:sz w:val="18"/>
                <w:szCs w:val="18"/>
                <w:b w:val="1"/>
                <w:bCs w:val="1"/>
                <w:color w:val="0000FF"/>
                <w:w w:val="88"/>
              </w:rPr>
            </w:pPr>
            <w:hyperlink w:anchor="page83">
              <w:r>
                <w:rPr>
                  <w:rFonts w:ascii="Arial" w:cs="Arial" w:eastAsia="Arial" w:hAnsi="Arial"/>
                  <w:sz w:val="18"/>
                  <w:szCs w:val="18"/>
                  <w:b w:val="1"/>
                  <w:bCs w:val="1"/>
                  <w:color w:val="0000FF"/>
                  <w:w w:val="88"/>
                </w:rPr>
                <w:t>F-7</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7220" w:type="dxa"/>
            <w:vAlign w:val="bottom"/>
            <w:gridSpan w:val="7"/>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Notes to Consolidated Financial Statements</w:t>
              </w:r>
            </w:hyperlink>
          </w:p>
        </w:tc>
        <w:tc>
          <w:tcPr>
            <w:tcW w:w="202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tcPr>
          <w:p>
            <w:pPr>
              <w:jc w:val="right"/>
              <w:ind w:right="580"/>
              <w:spacing w:after="0"/>
              <w:rPr>
                <w:rFonts w:ascii="Arial" w:cs="Arial" w:eastAsia="Arial" w:hAnsi="Arial"/>
                <w:sz w:val="18"/>
                <w:szCs w:val="18"/>
                <w:b w:val="1"/>
                <w:bCs w:val="1"/>
                <w:color w:val="0000FF"/>
                <w:w w:val="88"/>
              </w:rPr>
            </w:pPr>
            <w:hyperlink w:anchor="page84">
              <w:r>
                <w:rPr>
                  <w:rFonts w:ascii="Arial" w:cs="Arial" w:eastAsia="Arial" w:hAnsi="Arial"/>
                  <w:sz w:val="18"/>
                  <w:szCs w:val="18"/>
                  <w:b w:val="1"/>
                  <w:bCs w:val="1"/>
                  <w:color w:val="0000FF"/>
                  <w:w w:val="88"/>
                </w:rPr>
                <w:t>F-8</w:t>
              </w:r>
            </w:hyperlink>
          </w:p>
        </w:tc>
        <w:tc>
          <w:tcPr>
            <w:tcW w:w="0" w:type="dxa"/>
            <w:vAlign w:val="bottom"/>
          </w:tcPr>
          <w:p>
            <w:pPr>
              <w:spacing w:after="0"/>
              <w:rPr>
                <w:sz w:val="1"/>
                <w:szCs w:val="1"/>
                <w:color w:val="auto"/>
              </w:rPr>
            </w:pPr>
          </w:p>
        </w:tc>
      </w:tr>
      <w:tr>
        <w:trPr>
          <w:trHeight w:val="1128"/>
        </w:trPr>
        <w:tc>
          <w:tcPr>
            <w:tcW w:w="5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2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4"/>
          </w:tcPr>
          <w:p>
            <w:pPr>
              <w:jc w:val="center"/>
              <w:ind w:right="3740"/>
              <w:spacing w:after="0"/>
              <w:rPr>
                <w:sz w:val="20"/>
                <w:szCs w:val="20"/>
                <w:color w:val="auto"/>
              </w:rPr>
            </w:pPr>
            <w:r>
              <w:rPr>
                <w:rFonts w:ascii="Arial" w:cs="Arial" w:eastAsia="Arial" w:hAnsi="Arial"/>
                <w:sz w:val="18"/>
                <w:szCs w:val="18"/>
                <w:color w:val="auto"/>
                <w:w w:val="88"/>
              </w:rPr>
              <w:t>F-1</w:t>
            </w:r>
          </w:p>
        </w:tc>
        <w:tc>
          <w:tcPr>
            <w:tcW w:w="6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Selecta Biosciences,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Selecta Biosciences, Inc. (the Company) as of December 31, 2021 and 2020, the related consolidated statements of operations and comprehensive loss, changes in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71" w:lineRule="exact"/>
        <w:rPr>
          <w:sz w:val="20"/>
          <w:szCs w:val="20"/>
          <w:color w:val="auto"/>
        </w:rPr>
      </w:pPr>
    </w:p>
    <w:p>
      <w:pPr>
        <w:ind w:left="1860"/>
        <w:spacing w:after="0"/>
        <w:rPr>
          <w:sz w:val="20"/>
          <w:szCs w:val="20"/>
          <w:color w:val="auto"/>
        </w:rPr>
      </w:pPr>
      <w:r>
        <w:rPr>
          <w:rFonts w:ascii="Arial" w:cs="Arial" w:eastAsia="Arial" w:hAnsi="Arial"/>
          <w:sz w:val="15"/>
          <w:szCs w:val="15"/>
          <w:b w:val="1"/>
          <w:bCs w:val="1"/>
          <w:i w:val="1"/>
          <w:iCs w:val="1"/>
          <w:color w:val="auto"/>
        </w:rPr>
        <w:t>Revenue Recognition for License and Development Agreement with Swedish Orphan Biovitrum (“Sobi License Agreement”)</w:t>
      </w:r>
    </w:p>
    <w:p>
      <w:pPr>
        <w:spacing w:after="0" w:line="69"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12 to the consolidated financial statements, the Company recognized $83.5 million in revenue under the</w:t>
      </w:r>
    </w:p>
    <w:p>
      <w:pPr>
        <w:jc w:val="both"/>
        <w:ind w:left="1860" w:right="20" w:hanging="1839"/>
        <w:spacing w:after="0" w:line="228" w:lineRule="auto"/>
        <w:tabs>
          <w:tab w:leader="none" w:pos="184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Sobi License Agreement during the year ended December 31, 2021. The Company recognizes revenue for the Combined License Obligation using the output method, based on the proportion of cumulative supply shipped for use in the clinical trials to the Company’s estimate of the total supply required during the clinical trial period.</w:t>
      </w:r>
    </w:p>
    <w:p>
      <w:pPr>
        <w:spacing w:after="0" w:line="204" w:lineRule="exact"/>
        <w:rPr>
          <w:sz w:val="20"/>
          <w:szCs w:val="20"/>
          <w:color w:val="auto"/>
        </w:rPr>
      </w:pPr>
    </w:p>
    <w:p>
      <w:pPr>
        <w:jc w:val="both"/>
        <w:ind w:left="1860" w:right="20"/>
        <w:spacing w:after="0" w:line="276" w:lineRule="auto"/>
        <w:rPr>
          <w:sz w:val="20"/>
          <w:szCs w:val="20"/>
          <w:color w:val="auto"/>
        </w:rPr>
      </w:pPr>
      <w:r>
        <w:rPr>
          <w:rFonts w:ascii="Arial" w:cs="Arial" w:eastAsia="Arial" w:hAnsi="Arial"/>
          <w:sz w:val="16"/>
          <w:szCs w:val="16"/>
          <w:color w:val="auto"/>
        </w:rPr>
        <w:t>Auditing management’s calculation of revenue recognized for the Combined License Obligation under the output method is especially challenging because the assessment of the proportion of cumulative supply shipped required a high degree of audit judgment due to the subjectivity in estimating the remaining supply necessary to satisfy the Combined License Obligation.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184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To audit the Company’s revenue recognition for the Combined License Obligation, we performed audit procedures that included,</w:t>
      </w:r>
    </w:p>
    <w:p>
      <w:pPr>
        <w:ind w:left="20"/>
        <w:spacing w:after="0"/>
        <w:tabs>
          <w:tab w:leader="none" w:pos="184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among others, testing the reasonableness of the Company’s estimate of the total supply required during the clinical trial period as</w:t>
      </w:r>
    </w:p>
    <w:p>
      <w:pPr>
        <w:jc w:val="both"/>
        <w:ind w:left="1860" w:hanging="1839"/>
        <w:spacing w:after="0" w:line="224" w:lineRule="auto"/>
        <w:tabs>
          <w:tab w:leader="none" w:pos="184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well as testing the accuracy and completeness of the underlying data used in those estimates. We corroborated management estimates and judgments by reviewing the clinical plans and evaluating the accuracy of the prior period estimates and judgments. We also discussed the estimate of the total supply required during the clinical trial period with the Company’s research and development personnel that oversee the activity related to the Sobi License Agreement. Additionally, we performed an independent sensitivity analysis to evaluate the impact on revenues of changes in management’s estimate of remaining supply required to satisfy the Combined License Obligation.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Right-of-use asset, net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9,829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53,883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 net of current portion</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 net of current portion</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8,598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Warrant liabilities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137,362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66"/>
        </w:trPr>
        <w:tc>
          <w:tcPr>
            <w:tcW w:w="808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Arial" w:cs="Arial" w:eastAsia="Arial" w:hAnsi="Arial"/>
                <w:sz w:val="14"/>
                <w:szCs w:val="14"/>
                <w:color w:val="auto"/>
                <w:w w:val="93"/>
              </w:rPr>
              <w:t>Preferred stock, $0.0001 par value; 10,000,000 shares authorized; no shares issued and outstanding at December 31, 2021 and December</w:t>
            </w:r>
          </w:p>
        </w:tc>
        <w:tc>
          <w:tcPr>
            <w:tcW w:w="220" w:type="dxa"/>
            <w:vAlign w:val="bottom"/>
          </w:tcPr>
          <w:p>
            <w:pPr>
              <w:spacing w:after="0"/>
              <w:rPr>
                <w:sz w:val="11"/>
                <w:szCs w:val="11"/>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31, 2020</w:t>
            </w: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Common stock, $0.0001 par value; 200,000,000 shares authorized; 123,622,965 and 108,071,249 shares issued and outstanding as of</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 and December 31, 2020, respectively</w:t>
            </w: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457,391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(430,316)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 (deficit)</w:t>
            </w: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 (deficit)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159,883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and license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85,077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68,736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42,743</w:t>
            </w: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20,938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16,389</w:t>
            </w:r>
          </w:p>
        </w:tc>
        <w:tc>
          <w:tcPr>
            <w:tcW w:w="0" w:type="dxa"/>
            <w:vAlign w:val="bottom"/>
          </w:tcPr>
          <w:p>
            <w:pPr>
              <w:spacing w:after="0"/>
              <w:rPr>
                <w:sz w:val="1"/>
                <w:szCs w:val="1"/>
                <w:color w:val="auto"/>
              </w:rPr>
            </w:pPr>
          </w:p>
        </w:tc>
      </w:tr>
      <w:tr>
        <w:trPr>
          <w:trHeight w:val="18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89,674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73,418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59,132</w:t>
            </w:r>
          </w:p>
        </w:tc>
        <w:tc>
          <w:tcPr>
            <w:tcW w:w="0" w:type="dxa"/>
            <w:vAlign w:val="bottom"/>
          </w:tcPr>
          <w:p>
            <w:pPr>
              <w:spacing w:after="0"/>
              <w:rPr>
                <w:sz w:val="1"/>
                <w:szCs w:val="1"/>
                <w:color w:val="auto"/>
              </w:rPr>
            </w:pPr>
          </w:p>
        </w:tc>
      </w:tr>
      <w:tr>
        <w:trPr>
          <w:trHeight w:val="179"/>
        </w:trPr>
        <w:tc>
          <w:tcPr>
            <w:tcW w:w="670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(4,597)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(56,821)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(52,455)</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income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transaction gain (loss),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8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(25,687)</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(68,876)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r>
        <w:trPr>
          <w:trHeight w:val="199"/>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marketable securities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670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(25,690)</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(68,916)</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(55,316)</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Net loss per share: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114,328,798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101,202,176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45,548,511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8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22,471,776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279,539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(280,403)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17,205</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125,600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93,750</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22,188,706</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Arial" w:cs="Arial" w:eastAsia="Arial" w:hAnsi="Arial"/>
                <w:sz w:val="14"/>
                <w:szCs w:val="14"/>
                <w:color w:val="auto"/>
              </w:rPr>
              <w:t>615,453</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private 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3,178,174</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pre-funded warrants and warrants through private placement</w:t>
            </w:r>
          </w:p>
        </w:tc>
        <w:tc>
          <w:tcPr>
            <w:tcW w:w="800" w:type="dxa"/>
            <w:vAlign w:val="bottom"/>
          </w:tcPr>
          <w:p>
            <w:pPr>
              <w:jc w:val="right"/>
              <w:spacing w:after="0"/>
              <w:rPr>
                <w:sz w:val="20"/>
                <w:szCs w:val="20"/>
                <w:color w:val="auto"/>
              </w:rPr>
            </w:pPr>
            <w:r>
              <w:rPr>
                <w:rFonts w:ascii="Arial" w:cs="Arial" w:eastAsia="Arial" w:hAnsi="Arial"/>
                <w:sz w:val="14"/>
                <w:szCs w:val="14"/>
                <w:color w:val="auto"/>
              </w:rPr>
              <w:t>37,634,883</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26,125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26,129</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86,325,547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348,664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(335,753)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110,212</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76,128</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tcPr>
          <w:p>
            <w:pPr>
              <w:jc w:val="right"/>
              <w:spacing w:after="0"/>
              <w:rPr>
                <w:sz w:val="20"/>
                <w:szCs w:val="20"/>
                <w:color w:val="auto"/>
              </w:rPr>
            </w:pPr>
            <w:r>
              <w:rPr>
                <w:rFonts w:ascii="Arial" w:cs="Arial" w:eastAsia="Arial" w:hAnsi="Arial"/>
                <w:sz w:val="14"/>
                <w:szCs w:val="14"/>
                <w:color w:val="auto"/>
              </w:rPr>
              <w:t>1,069,486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private placement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5,416,390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pre-funded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8,342,128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warrants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6,637,608</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24,263</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warrants with long-term debt,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(68,876)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(68,876)</w:t>
            </w:r>
          </w:p>
        </w:tc>
        <w:tc>
          <w:tcPr>
            <w:tcW w:w="0" w:type="dxa"/>
            <w:vAlign w:val="bottom"/>
          </w:tcPr>
          <w:p>
            <w:pPr>
              <w:spacing w:after="0"/>
              <w:rPr>
                <w:sz w:val="1"/>
                <w:szCs w:val="1"/>
                <w:color w:val="auto"/>
              </w:rPr>
            </w:pPr>
          </w:p>
        </w:tc>
      </w:tr>
      <w:tr>
        <w:trPr>
          <w:trHeight w:val="184"/>
        </w:trPr>
        <w:tc>
          <w:tcPr>
            <w:tcW w:w="5600" w:type="dxa"/>
            <w:vAlign w:val="bottom"/>
            <w:tcBorders>
              <w:top w:val="single" w:sz="8" w:color="CCEEFF"/>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Balance at December 31, 2020</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5"/>
              </w:rPr>
              <w:t>108,071,249</w:t>
            </w:r>
          </w:p>
        </w:tc>
        <w:tc>
          <w:tcPr>
            <w:tcW w:w="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391,175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(404,629)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(4,563)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tcBorders>
              <w:top w:val="single" w:sz="8" w:color="CCEEFF"/>
            </w:tcBorders>
            <w:vMerge w:val="continue"/>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58,794</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161</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5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5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447,492</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201,250</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13,767,511</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51,933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51,934</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1,076,669</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5,624</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7,720</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(25,687)</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123,622,965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(430,316)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22,521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2" w:lineRule="exact"/>
        <w:rPr>
          <w:sz w:val="20"/>
          <w:szCs w:val="20"/>
          <w:color w:val="auto"/>
        </w:rPr>
      </w:pPr>
    </w:p>
    <w:p>
      <w:pPr>
        <w:jc w:val="right"/>
        <w:ind w:right="422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right"/>
        <w:ind w:righ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18"/>
                <w:szCs w:val="18"/>
                <w:color w:val="auto"/>
              </w:rPr>
            </w:pPr>
          </w:p>
        </w:tc>
        <w:tc>
          <w:tcPr>
            <w:tcW w:w="2680" w:type="dxa"/>
            <w:vAlign w:val="bottom"/>
            <w:gridSpan w:val="6"/>
          </w:tcPr>
          <w:p>
            <w:pPr>
              <w:jc w:val="right"/>
              <w:ind w:right="68"/>
              <w:spacing w:after="0"/>
              <w:rPr>
                <w:sz w:val="20"/>
                <w:szCs w:val="20"/>
                <w:color w:val="auto"/>
              </w:rPr>
            </w:pPr>
            <w:r>
              <w:rPr>
                <w:rFonts w:ascii="Arial" w:cs="Arial" w:eastAsia="Arial" w:hAnsi="Arial"/>
                <w:sz w:val="16"/>
                <w:szCs w:val="16"/>
                <w:b w:val="1"/>
                <w:bCs w:val="1"/>
                <w:color w:val="auto"/>
              </w:rPr>
              <w:t>(Amounts in thousands)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(68,876)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86"/>
        </w:trPr>
        <w:tc>
          <w:tcPr>
            <w:tcW w:w="740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marketable securities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86"/>
        </w:trPr>
        <w:tc>
          <w:tcPr>
            <w:tcW w:w="7400" w:type="dxa"/>
            <w:vAlign w:val="bottom"/>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5,161</w:t>
            </w:r>
          </w:p>
        </w:tc>
        <w:tc>
          <w:tcPr>
            <w:tcW w:w="0" w:type="dxa"/>
            <w:vAlign w:val="bottom"/>
          </w:tcPr>
          <w:p>
            <w:pPr>
              <w:spacing w:after="0"/>
              <w:rPr>
                <w:sz w:val="1"/>
                <w:szCs w:val="1"/>
                <w:color w:val="auto"/>
              </w:rPr>
            </w:pPr>
          </w:p>
        </w:tc>
      </w:tr>
      <w:tr>
        <w:trPr>
          <w:trHeight w:val="186"/>
        </w:trPr>
        <w:tc>
          <w:tcPr>
            <w:tcW w:w="7400" w:type="dxa"/>
            <w:vAlign w:val="bottom"/>
          </w:tcPr>
          <w:p>
            <w:pPr>
              <w:ind w:left="220"/>
              <w:spacing w:after="0"/>
              <w:rPr>
                <w:sz w:val="20"/>
                <w:szCs w:val="20"/>
                <w:color w:val="auto"/>
              </w:rPr>
            </w:pPr>
            <w:r>
              <w:rPr>
                <w:rFonts w:ascii="Arial" w:cs="Arial" w:eastAsia="Arial" w:hAnsi="Arial"/>
                <w:sz w:val="14"/>
                <w:szCs w:val="14"/>
                <w:color w:val="auto"/>
              </w:rPr>
              <w:t>Non-cash interest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liabilities revaluation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6"/>
        </w:trPr>
        <w:tc>
          <w:tcPr>
            <w:tcW w:w="7400" w:type="dxa"/>
            <w:vAlign w:val="bottom"/>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realized losses on marketable securities</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40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7400" w:type="dxa"/>
            <w:vAlign w:val="bottom"/>
          </w:tcPr>
          <w:p>
            <w:pPr>
              <w:ind w:left="360"/>
              <w:spacing w:after="0"/>
              <w:rPr>
                <w:sz w:val="20"/>
                <w:szCs w:val="20"/>
                <w:color w:val="auto"/>
              </w:rPr>
            </w:pPr>
            <w:r>
              <w:rPr>
                <w:rFonts w:ascii="Arial" w:cs="Arial" w:eastAsia="Arial" w:hAnsi="Arial"/>
                <w:sz w:val="14"/>
                <w:szCs w:val="14"/>
                <w:color w:val="auto"/>
              </w:rPr>
              <w:t>Prepaid expenses, deposits and other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6"/>
        </w:trPr>
        <w:tc>
          <w:tcPr>
            <w:tcW w:w="7400" w:type="dxa"/>
            <w:vAlign w:val="bottom"/>
          </w:tcPr>
          <w:p>
            <w:pPr>
              <w:ind w:left="360"/>
              <w:spacing w:after="0"/>
              <w:rPr>
                <w:sz w:val="20"/>
                <w:szCs w:val="20"/>
                <w:color w:val="auto"/>
              </w:rPr>
            </w:pPr>
            <w:r>
              <w:rPr>
                <w:rFonts w:ascii="Arial" w:cs="Arial" w:eastAsia="Arial" w:hAnsi="Arial"/>
                <w:sz w:val="14"/>
                <w:szCs w:val="14"/>
                <w:color w:val="auto"/>
              </w:rPr>
              <w:t>Income taxes payable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(45,496)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94,462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6"/>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86"/>
        </w:trPr>
        <w:tc>
          <w:tcPr>
            <w:tcW w:w="74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(used in) provided by operating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(60,382)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34,881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(51,435)</w:t>
            </w:r>
          </w:p>
        </w:tc>
        <w:tc>
          <w:tcPr>
            <w:tcW w:w="0" w:type="dxa"/>
            <w:vAlign w:val="bottom"/>
          </w:tcPr>
          <w:p>
            <w:pPr>
              <w:spacing w:after="0"/>
              <w:rPr>
                <w:sz w:val="1"/>
                <w:szCs w:val="1"/>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marketable securities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Payment made for investments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(18,188)</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Sales of marketable securities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1,992</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6"/>
        </w:trPr>
        <w:tc>
          <w:tcPr>
            <w:tcW w:w="740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77"/>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long-term debt, net of expenses</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24,736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Repayments of principal on outstanding debt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(19,313)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30,942</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Net proceeds from issuance of common stock- at-the-market offering</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51,958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 private placement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Issuance costs paid for December 2019 financing</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(4,381)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financing fees</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Proceeds from exercise of pre-funded and common warrants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6"/>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74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52,897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14,431</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105,041</w:t>
            </w:r>
          </w:p>
        </w:tc>
        <w:tc>
          <w:tcPr>
            <w:tcW w:w="0" w:type="dxa"/>
            <w:vAlign w:val="bottom"/>
          </w:tcPr>
          <w:p>
            <w:pPr>
              <w:spacing w:after="0"/>
              <w:rPr>
                <w:sz w:val="1"/>
                <w:szCs w:val="1"/>
                <w:color w:val="auto"/>
              </w:rPr>
            </w:pPr>
          </w:p>
        </w:tc>
      </w:tr>
      <w:tr>
        <w:trPr>
          <w:trHeight w:val="179"/>
        </w:trPr>
        <w:tc>
          <w:tcPr>
            <w:tcW w:w="74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48,513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53,869</w:t>
            </w:r>
          </w:p>
        </w:tc>
        <w:tc>
          <w:tcPr>
            <w:tcW w:w="0" w:type="dxa"/>
            <w:vAlign w:val="bottom"/>
          </w:tcPr>
          <w:p>
            <w:pPr>
              <w:spacing w:after="0"/>
              <w:rPr>
                <w:sz w:val="1"/>
                <w:szCs w:val="1"/>
                <w:color w:val="auto"/>
              </w:rPr>
            </w:pPr>
          </w:p>
        </w:tc>
      </w:tr>
      <w:tr>
        <w:trPr>
          <w:trHeight w:val="186"/>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140,064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91,551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37,682</w:t>
            </w:r>
          </w:p>
        </w:tc>
        <w:tc>
          <w:tcPr>
            <w:tcW w:w="0" w:type="dxa"/>
            <w:vAlign w:val="bottom"/>
          </w:tcPr>
          <w:p>
            <w:pPr>
              <w:spacing w:after="0"/>
              <w:rPr>
                <w:sz w:val="1"/>
                <w:szCs w:val="1"/>
                <w:color w:val="auto"/>
              </w:rPr>
            </w:pPr>
          </w:p>
        </w:tc>
      </w:tr>
      <w:tr>
        <w:trPr>
          <w:trHeight w:val="21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140,064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91,551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8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Cashless warrant exercise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21,790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Reclassification of warrant liability to equity upon exercise of warrants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1,494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warrants issued in connection with issuance of long-term debt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offering costs in accrued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4,381</w:t>
            </w:r>
          </w:p>
        </w:tc>
        <w:tc>
          <w:tcPr>
            <w:tcW w:w="0" w:type="dxa"/>
            <w:vAlign w:val="bottom"/>
          </w:tcPr>
          <w:p>
            <w:pPr>
              <w:spacing w:after="0"/>
              <w:rPr>
                <w:sz w:val="1"/>
                <w:szCs w:val="1"/>
                <w:color w:val="auto"/>
              </w:rPr>
            </w:pPr>
          </w:p>
        </w:tc>
      </w:tr>
      <w:tr>
        <w:trPr>
          <w:trHeight w:val="186"/>
        </w:trPr>
        <w:tc>
          <w:tcPr>
            <w:tcW w:w="740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issuance costs in accrued liabilities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r>
        <w:rPr>
          <w:rFonts w:ascii="Arial" w:cs="Arial" w:eastAsia="Arial" w:hAnsi="Arial"/>
          <w:sz w:val="16"/>
          <w:szCs w:val="16"/>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Selecta Biosciences, Inc., or the Company, was incorporated in Delaware on December 10, 2007, and is based in Watertown, Massachusetts. The Company is a clinical-stage biopharmaceutical company. The Company’s ImmTOR® platform encapsulates rapamycin, also known as sirolimus, an FDA approved immunomodulator, in biodegradable nanoparticles ImmTOR is designed to induce antigen-specific immune tolerance. The Company believes, by combining ImmTOR with antigens of interest, the Company’s precision immune tolerance platform has the potential to restore self-tolerance to auto-antigens in autoimmune diseases, amplify the efficacy of biologics (including gene therapies) and mitigate the formation of anti-drug antibodies, or ADAs, against biologic drugs.</w:t>
      </w:r>
    </w:p>
    <w:p>
      <w:pPr>
        <w:spacing w:after="0" w:line="84"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8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To date, the Company has financed its operations primarily through the initial public offering of its common stock, private placements of its common stock, issuances of common and preferred stock, debt, research grants, research collaborations and licenses.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spacing w:after="0" w:line="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As of December 31, 2021, the Company’s cash, cash equivalents, restricted cash and marketable securities were $129.4 million, of which $1.4 million was restricted cash related to lease commitments and $0.3 million was held by its Russian subsidiary designated solely for use in its operations. The Company believes the cash, cash equivalents, restricted cash and marketable securities as of December 31, 2021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December 31, 2021, the Company had an accumulated deficit of $430.3 million. The Company anticipates operating losses to continue for the</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foreseeable future due to, among other things, costs related to research and development of its product candidates and its administrative organization.</w:t>
      </w:r>
    </w:p>
    <w:p>
      <w:pPr>
        <w:spacing w:after="0" w:line="140"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or disruptions, supply chain disruptions, the ultimate impact on financial markets and the global economy, and the effectiveness of actions taken in the United States and other countries to contain and treat the disease.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December 31,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6" w:lineRule="exact"/>
        <w:rPr>
          <w:sz w:val="20"/>
          <w:szCs w:val="20"/>
          <w:color w:val="auto"/>
        </w:rPr>
      </w:pPr>
    </w:p>
    <w:p>
      <w:pPr>
        <w:ind w:right="7680" w:firstLine="8"/>
        <w:spacing w:after="0" w:line="378" w:lineRule="auto"/>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jc w:val="both"/>
        <w:ind w:right="80"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All significant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and estimating accrued research and development expenses. The Company assesses the above estimates on an ongoing basis; however, actual results could materially differ from those estimates.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340" w:firstLine="324"/>
        <w:spacing w:after="0" w:line="277" w:lineRule="auto"/>
        <w:rPr>
          <w:sz w:val="20"/>
          <w:szCs w:val="20"/>
          <w:color w:val="auto"/>
        </w:rPr>
      </w:pPr>
      <w:r>
        <w:rPr>
          <w:rFonts w:ascii="Arial" w:cs="Arial" w:eastAsia="Arial" w:hAnsi="Arial"/>
          <w:sz w:val="18"/>
          <w:szCs w:val="18"/>
          <w:color w:val="auto"/>
        </w:rPr>
        <w:t>The Company views its operations and manages its business in one operating segment, the research and development of nanoparticle immunomodulatory drugs for the treatment and prevention of human diseases.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Restricted Cash, Marketable Securities and Investments</w:t>
      </w:r>
    </w:p>
    <w:p>
      <w:pPr>
        <w:spacing w:after="0" w:line="12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6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also invest in equity securities of companies whose securities are not publicly traded and where fair value is not readily available. These investments are recorded using cost minus impairment adjusted for changes in observable prices,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and other assets in our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cash equivalents, short-term deposits and marketable securities, investments, and accounts receivable. Cash and cash equivalents are deposited with federally insured financial institutions in the United States and may, at times, exceed federally insured limits.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2021, the Company maintained approximately $0.3 million in Russian bank accounts, all of which was held in U.S. dollars.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Company’s financial instruments consist mainly of cash equivalents, restricted cash, accounts payable, loans payable, marketable securities, investments and common warrants. The carrying amounts of cash equivalents, restricted cash, accounts receivable, and accounts payable approximate their estimated fair value due to their short-term maturities.</w:t>
      </w:r>
    </w:p>
    <w:p>
      <w:pPr>
        <w:spacing w:after="0" w:line="7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7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is determined using Level 3 inputs.</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80" w:lineRule="exact"/>
        <w:rPr>
          <w:sz w:val="20"/>
          <w:szCs w:val="20"/>
          <w:color w:val="auto"/>
        </w:rPr>
      </w:pPr>
    </w:p>
    <w:p>
      <w:pPr>
        <w:ind w:right="260" w:firstLine="324"/>
        <w:spacing w:after="0" w:line="375" w:lineRule="auto"/>
        <w:rPr>
          <w:sz w:val="20"/>
          <w:szCs w:val="20"/>
          <w:color w:val="auto"/>
        </w:rPr>
      </w:pPr>
      <w:r>
        <w:rPr>
          <w:rFonts w:ascii="Arial" w:cs="Arial" w:eastAsia="Arial" w:hAnsi="Arial"/>
          <w:sz w:val="18"/>
          <w:szCs w:val="18"/>
          <w:color w:val="auto"/>
        </w:rPr>
        <w:t xml:space="preserve">The carrying amounts reflected in our consolidated balance sheet for investments approximate fair value, and are assessed for impairment quarterly. </w:t>
      </w:r>
      <w:r>
        <w:rPr>
          <w:rFonts w:ascii="Arial" w:cs="Arial" w:eastAsia="Arial" w:hAnsi="Arial"/>
          <w:sz w:val="18"/>
          <w:szCs w:val="18"/>
          <w:b w:val="1"/>
          <w:bCs w:val="1"/>
          <w:color w:val="auto"/>
        </w:rPr>
        <w:t>Property and Equipment</w:t>
      </w:r>
    </w:p>
    <w:p>
      <w:pPr>
        <w:spacing w:after="0" w:line="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measured as the market capitalization of the Company exceeds its carrying value.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Debt issuance costs and fees paid to lenders are classified as a debt discount and are recorded as a direct deduction from the face amount of the related debt. Debt issuance costs are amortized over the term of the related debt using the effective interest method and recorded as interest expense.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unrealized gains and losses on debt securities and foreign currency translation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Arial" w:cs="Arial" w:eastAsia="Arial" w:hAnsi="Arial"/>
          <w:sz w:val="16"/>
          <w:szCs w:val="16"/>
          <w:i w:val="1"/>
          <w:iCs w:val="1"/>
          <w:color w:val="auto"/>
        </w:rPr>
        <w:t>Revenue from Contracts with Customers (ASC 606)</w:t>
      </w:r>
      <w:r>
        <w:rPr>
          <w:rFonts w:ascii="Arial" w:cs="Arial" w:eastAsia="Arial" w:hAnsi="Arial"/>
          <w:sz w:val="16"/>
          <w:szCs w:val="16"/>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1" w:lineRule="exact"/>
        <w:rPr>
          <w:sz w:val="20"/>
          <w:szCs w:val="20"/>
          <w:color w:val="auto"/>
        </w:rPr>
      </w:pPr>
    </w:p>
    <w:p>
      <w:pPr>
        <w:ind w:firstLine="8"/>
        <w:spacing w:after="0" w:line="268"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 associated with Swedish Orphan Biovitrum, or Sobi, Asklepios Biopharmaceutical, Inc., or AskBio, Sarepta Therapeutics, Inc., or Sarepta, and Takeda Pharmaceuticals USA, Inc., or Takeda, (see Note 12) will be satisfied over time, and revenue will be recognized using the output method, based on the proportion of actual deliveries to the total expected deliveries over the initial term.</w:t>
      </w:r>
    </w:p>
    <w:p>
      <w:pPr>
        <w:spacing w:after="0" w:line="6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 xml:space="preserve">Collaboration and License Revenue: </w:t>
      </w:r>
      <w:r>
        <w:rPr>
          <w:rFonts w:ascii="Arial" w:cs="Arial" w:eastAsia="Arial" w:hAnsi="Arial"/>
          <w:sz w:val="16"/>
          <w:szCs w:val="16"/>
          <w:color w:val="auto"/>
        </w:rPr>
        <w:t>The Company currently generates its revenue through collaboration and license agreements with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Arial" w:cs="Arial" w:eastAsia="Arial" w:hAnsi="Arial"/>
          <w:sz w:val="16"/>
          <w:szCs w:val="16"/>
          <w:i w:val="1"/>
          <w:iCs w:val="1"/>
          <w:color w:val="auto"/>
        </w:rPr>
        <w:t>Collaborative Arrangements (ASC 808</w:t>
      </w:r>
      <w:r>
        <w:rPr>
          <w:rFonts w:ascii="Arial" w:cs="Arial" w:eastAsia="Arial" w:hAnsi="Arial"/>
          <w:sz w:val="16"/>
          <w:szCs w:val="16"/>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Arial" w:cs="Arial" w:eastAsia="Arial" w:hAnsi="Arial"/>
          <w:sz w:val="16"/>
          <w:szCs w:val="16"/>
          <w:i w:val="1"/>
          <w:iCs w:val="1"/>
          <w:color w:val="auto"/>
        </w:rPr>
        <w:t>Research and Development (ASC 730)</w:t>
      </w:r>
      <w:r>
        <w:rPr>
          <w:rFonts w:ascii="Arial" w:cs="Arial" w:eastAsia="Arial" w:hAnsi="Arial"/>
          <w:sz w:val="16"/>
          <w:szCs w:val="16"/>
          <w:color w:val="auto"/>
        </w:rPr>
        <w:t>, and records reimbursements from counterparties as an offset to the related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59"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(R&amp;D) expenses; and (v) profit/loss sharing arising from co-promotion arrangements.</w:t>
      </w:r>
    </w:p>
    <w:p>
      <w:pPr>
        <w:spacing w:after="0" w:line="5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licenses are evaluated to determine if they are issued at a discount, and therefore, represent material rights and accounted for as separate performance obligations.</w:t>
      </w:r>
    </w:p>
    <w:p>
      <w:pPr>
        <w:spacing w:after="0" w:line="6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R&amp;D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June 2020, the Company and Sobi entered into a license and development agreement, or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The reimbursable costs exclude any costs of additional development activities required that are related to ImmTOR and that are unrelated to SEL-212.</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and then in accordance with ASC 815-40,</w:t>
      </w:r>
      <w:r>
        <w:rPr>
          <w:rFonts w:ascii="Arial" w:cs="Arial" w:eastAsia="Arial" w:hAnsi="Arial"/>
          <w:sz w:val="16"/>
          <w:szCs w:val="16"/>
          <w:i w:val="1"/>
          <w:iCs w:val="1"/>
          <w:color w:val="auto"/>
        </w:rPr>
        <w:t xml:space="preserve"> 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or the underlying shares by paying cash or other assets, or must or may require settlement by issuing variable number of shares.</w:t>
      </w:r>
    </w:p>
    <w:p>
      <w:pPr>
        <w:spacing w:after="0" w:line="53" w:lineRule="exact"/>
        <w:rPr>
          <w:sz w:val="20"/>
          <w:szCs w:val="20"/>
          <w:color w:val="auto"/>
        </w:rPr>
      </w:pPr>
    </w:p>
    <w:p>
      <w:pPr>
        <w:ind w:right="180" w:firstLine="324"/>
        <w:spacing w:after="0" w:line="290" w:lineRule="auto"/>
        <w:rPr>
          <w:sz w:val="20"/>
          <w:szCs w:val="20"/>
          <w:color w:val="auto"/>
        </w:rPr>
      </w:pPr>
      <w:r>
        <w:rPr>
          <w:rFonts w:ascii="Arial" w:cs="Arial" w:eastAsia="Arial" w:hAnsi="Arial"/>
          <w:sz w:val="16"/>
          <w:szCs w:val="16"/>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calculates basic net loss per share by dividing net loss attributable to common stockholders by the weighted average number of common shares outstanding during the period. Diluted net income per share is calculated by dividing the net income attributable to common stockholders by the weighted-average number of common equivalent shares outstanding for the period, including any dilutive effect from outstanding stock options, restricted stock units, warrants to purchase common stock, and employee stock purchase plan stock using the treasury stock method. Given that the Company recorded a net loss for each of the periods presented, there is no difference between basic and diluted net loss per share since the effect of common stock equivalents would be anti-dilutive and are, therefore, excluded from the diluted net loss per share calculation.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accounts for its leases in accordance with ASC Topic 842, </w:t>
      </w:r>
      <w:r>
        <w:rPr>
          <w:rFonts w:ascii="Arial" w:cs="Arial" w:eastAsia="Arial" w:hAnsi="Arial"/>
          <w:sz w:val="18"/>
          <w:szCs w:val="18"/>
          <w:i w:val="1"/>
          <w:iCs w:val="1"/>
          <w:color w:val="auto"/>
        </w:rPr>
        <w:t>Leases (ASC 842)</w:t>
      </w:r>
      <w:r>
        <w:rPr>
          <w:rFonts w:ascii="Arial" w:cs="Arial" w:eastAsia="Arial" w:hAnsi="Arial"/>
          <w:sz w:val="18"/>
          <w:szCs w:val="18"/>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use (ROU) assets and their corresponding lease liabilities are recorded based on the present value of lease payments over the expected remaining lease term.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7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fair values to the lease components and non-lease components. Although separation of lease and non-lease components is required, the Company elected the practical expedient to not separate lease and non-lease components.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estimated incremental borrowing rate upon lease modification.</w:t>
      </w:r>
    </w:p>
    <w:p>
      <w:pPr>
        <w:spacing w:after="0" w:line="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enters into lease agreements with terms generally ranging from 2-8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1 and 5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by clarifying or improving disclosure requirements to align with the SEC’s regulations. The Company adopted the new standard effective January 1, 2021, and there was no impact on its consolidated financial statements.</w:t>
      </w:r>
    </w:p>
    <w:p>
      <w:pPr>
        <w:spacing w:after="0" w:line="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simplifies the accounting for income taxes by removing certain exceptions to the general principles in Topic 740. The Company adopted the new standard effective January 1, 2021, and there was no impact on its consolidated financial statements.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w:t>
      </w:r>
      <w:r>
        <w:rPr>
          <w:rFonts w:ascii="Arial" w:cs="Arial" w:eastAsia="Arial" w:hAnsi="Arial"/>
          <w:sz w:val="17"/>
          <w:szCs w:val="17"/>
          <w:color w:val="auto"/>
        </w:rPr>
        <w:t xml:space="preserve"> – </w:t>
      </w:r>
      <w:r>
        <w:rPr>
          <w:rFonts w:ascii="Arial" w:cs="Arial" w:eastAsia="Arial" w:hAnsi="Arial"/>
          <w:sz w:val="17"/>
          <w:szCs w:val="17"/>
          <w:i w:val="1"/>
          <w:iCs w:val="1"/>
          <w:color w:val="auto"/>
        </w:rPr>
        <w: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t>
      </w:r>
      <w:r>
        <w:rPr>
          <w:rFonts w:ascii="Arial" w:cs="Arial" w:eastAsia="Arial" w:hAnsi="Arial"/>
          <w:sz w:val="17"/>
          <w:szCs w:val="17"/>
          <w:i w:val="1"/>
          <w:iCs w:val="1"/>
          <w:color w:val="auto"/>
        </w:rPr>
        <w:t xml:space="preserve"> Stock Compensation (Topic 718), and Derivatives and Hedging </w:t>
      </w:r>
      <w:r>
        <w:rPr>
          <w:rFonts w:ascii="Arial" w:cs="Arial" w:eastAsia="Arial" w:hAnsi="Arial"/>
          <w:sz w:val="17"/>
          <w:szCs w:val="17"/>
          <w:color w:val="auto"/>
        </w:rPr>
        <w:t>–</w:t>
      </w:r>
      <w:r>
        <w:rPr>
          <w:rFonts w:ascii="Arial" w:cs="Arial" w:eastAsia="Arial" w:hAnsi="Arial"/>
          <w:sz w:val="17"/>
          <w:szCs w:val="17"/>
          <w:i w:val="1"/>
          <w:iCs w:val="1"/>
          <w:color w:val="auto"/>
        </w:rPr>
        <w:t xml:space="preserve"> Contracts in Entity’s Own Equity (Subtopic 815-40): Issuer's Accounting for Certain Modifications or Exchanges of Freestanding Equity-Classified Written Call Options</w:t>
      </w:r>
      <w:r>
        <w:rPr>
          <w:rFonts w:ascii="Arial" w:cs="Arial" w:eastAsia="Arial" w:hAnsi="Arial"/>
          <w:sz w:val="17"/>
          <w:szCs w:val="17"/>
          <w:color w:val="auto"/>
        </w:rPr>
        <w:t>. ASU 2021-04 provides guidance as to how entities should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for a modification of the terms or conditions or an exchange of a freestanding equity-classified written call option (i.e., a warrant) that remains equity-classified after modification or exchange as an exchange of the original instrument for a new instrument. An entity should apply the guidance provided in ASU 2021-04 prospectively to modifications or exchanges occurring on or after the effective date. This new standard will be effective for us for fiscal years beginning after December 15, 2021 including interim periods within those fiscal years. The adoption of ASU 2021-04 is not expected to have an impact on the Company’s financial position or results of operations upon adoption.</w:t>
      </w:r>
    </w:p>
    <w:p>
      <w:pPr>
        <w:spacing w:after="0" w:line="7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w:t>
      </w:r>
      <w:r>
        <w:rPr>
          <w:rFonts w:ascii="Arial" w:cs="Arial" w:eastAsia="Arial" w:hAnsi="Arial"/>
          <w:sz w:val="18"/>
          <w:szCs w:val="18"/>
          <w:color w:val="auto"/>
        </w:rPr>
        <w:t>. ASU 2020-06 simplifies the accounting for certain financial instruments with characteristics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including convertible instruments and contracts on an entity’s own equity. This new standard will be effective for smaller reporting companies for fiscal years beginning after December 15, 2023, including interim periods within those fiscal years. The Company is assessing the impact this standard will have on its consolidated financial statements and disclosures.</w:t>
      </w:r>
    </w:p>
    <w:p>
      <w:pPr>
        <w:spacing w:after="0" w:line="8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Subsequently, in November 2018, the FASB issued ASU 2018-19,</w:t>
      </w:r>
      <w:r>
        <w:rPr>
          <w:rFonts w:ascii="Arial" w:cs="Arial" w:eastAsia="Arial" w:hAnsi="Arial"/>
          <w:sz w:val="18"/>
          <w:szCs w:val="18"/>
          <w:i w:val="1"/>
          <w:iCs w:val="1"/>
          <w:color w:val="auto"/>
        </w:rPr>
        <w:t xml:space="preserve"> Codification Improvements to Topic 326, Financial Instruments-Credit Losses</w:t>
      </w:r>
      <w:r>
        <w:rPr>
          <w:rFonts w:ascii="Arial" w:cs="Arial" w:eastAsia="Arial" w:hAnsi="Arial"/>
          <w:sz w:val="18"/>
          <w:szCs w:val="18"/>
          <w:color w:val="auto"/>
        </w:rPr>
        <w:t>. ASU 2016-13 requires entities to measure all expected credit losses for most financial assets held at the reporting date based on an expected loss</w:t>
      </w:r>
      <w:r>
        <w:rPr>
          <w:rFonts w:ascii="Arial" w:cs="Arial" w:eastAsia="Arial" w:hAnsi="Arial"/>
          <w:sz w:val="18"/>
          <w:szCs w:val="18"/>
          <w:i w:val="1"/>
          <w:iCs w:val="1"/>
          <w:color w:val="auto"/>
        </w:rPr>
        <w:t xml:space="preserve"> </w:t>
      </w:r>
      <w:r>
        <w:rPr>
          <w:rFonts w:ascii="Arial" w:cs="Arial" w:eastAsia="Arial" w:hAnsi="Arial"/>
          <w:sz w:val="18"/>
          <w:szCs w:val="18"/>
          <w:color w:val="auto"/>
        </w:rPr>
        <w:t>model which includes historical experience, current conditions, and reasonable and supportable forecasts. ASU 2016-13 also requires enhanced disclosures to help financial</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statement users better understand significant estimates and judgments used in estimating credit losses. This ASU is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 and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marketable securities held as of December 31, 2021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11,992</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13,998</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All marketable securities held at December 31, 2021 had maturities of less than 12 months when purchased and are classified as short-term marketable securities on the accompanying consolidated balance sheet. During the year ended December 31, 2021, there were no marketable securities adjusted for other than temporary declines in fair value. The Company does not intend to sell its investments and it is not more likely than not that the Company will be required to sell the investments before recovery of their amortized cost bases, which may be maturity. As of December 31, 2021, the Company has a $2.0 million investment in Cyrus pursuant to the Cyrus Agreement. The Company’s maximum exposure to loss related to this variable interest entity is limited to the carrying value of the investment. See Note 14 for details.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 held no marketable securities or investments.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has reported a net loss for the years ended December 31, 2021, 2020 and 2019. The Company used the treasury stock method to determine the number of dilutive shares. The following table sets forth the computation of basic and diluted net loss per share (in thousands, except share and per-share data):</w:t>
      </w:r>
    </w:p>
    <w:p>
      <w:pPr>
        <w:spacing w:after="0" w:line="108"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70"/>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r>
      <w:tr>
        <w:trPr>
          <w:trHeight w:val="156"/>
        </w:trPr>
        <w:tc>
          <w:tcPr>
            <w:tcW w:w="7000" w:type="dxa"/>
            <w:vAlign w:val="bottom"/>
          </w:tcPr>
          <w:p>
            <w:pPr>
              <w:ind w:left="200"/>
              <w:spacing w:after="0" w:line="155" w:lineRule="exact"/>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(25,687)</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(68,876)</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(55,350)</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7000" w:type="dxa"/>
            <w:vAlign w:val="bottom"/>
            <w:tcBorders>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Denominator:</w:t>
            </w: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r>
      <w:tr>
        <w:trPr>
          <w:trHeight w:val="186"/>
        </w:trPr>
        <w:tc>
          <w:tcPr>
            <w:tcW w:w="7000" w:type="dxa"/>
            <w:vAlign w:val="bottom"/>
          </w:tcPr>
          <w:p>
            <w:pPr>
              <w:ind w:left="200"/>
              <w:spacing w:after="0"/>
              <w:rPr>
                <w:sz w:val="20"/>
                <w:szCs w:val="20"/>
                <w:color w:val="auto"/>
              </w:rPr>
            </w:pPr>
            <w:r>
              <w:rPr>
                <w:rFonts w:ascii="Arial" w:cs="Arial" w:eastAsia="Arial" w:hAnsi="Arial"/>
                <w:sz w:val="14"/>
                <w:szCs w:val="14"/>
                <w:color w:val="auto"/>
              </w:rPr>
              <w:t>Weighted-average common shares outstanding - basic and diluted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114,328,798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101,202,176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45,548,511</w:t>
            </w:r>
          </w:p>
        </w:tc>
      </w:tr>
      <w:tr>
        <w:trPr>
          <w:trHeight w:val="19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r>
      <w:tr>
        <w:trPr>
          <w:trHeight w:val="179"/>
        </w:trPr>
        <w:tc>
          <w:tcPr>
            <w:tcW w:w="7000" w:type="dxa"/>
            <w:vAlign w:val="bottom"/>
          </w:tcPr>
          <w:p>
            <w:pPr>
              <w:ind w:left="20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(0.22)</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r>
      <w:tr>
        <w:trPr>
          <w:trHeight w:val="24"/>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represents the potential dilutive common shares excluded from the computation of the diluted net loss per share for all periods presented, as the effect would have been anti-dilutive: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187"/>
        </w:trPr>
        <w:tc>
          <w:tcPr>
            <w:tcW w:w="7000" w:type="dxa"/>
            <w:vAlign w:val="bottom"/>
          </w:tcPr>
          <w:p>
            <w:pPr>
              <w:spacing w:after="0"/>
              <w:rPr>
                <w:sz w:val="16"/>
                <w:szCs w:val="16"/>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4"/>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RSUs and ESPP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11,492,002</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7,909,583</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7,002,527</w:t>
            </w: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Warrants to purchase common stock</w:t>
            </w:r>
          </w:p>
        </w:tc>
        <w:tc>
          <w:tcPr>
            <w:tcW w:w="1300" w:type="dxa"/>
            <w:vAlign w:val="bottom"/>
          </w:tcPr>
          <w:p>
            <w:pPr>
              <w:jc w:val="right"/>
              <w:spacing w:after="0"/>
              <w:rPr>
                <w:sz w:val="20"/>
                <w:szCs w:val="20"/>
                <w:color w:val="auto"/>
              </w:rPr>
            </w:pPr>
            <w:r>
              <w:rPr>
                <w:rFonts w:ascii="Arial" w:cs="Arial" w:eastAsia="Arial" w:hAnsi="Arial"/>
                <w:sz w:val="14"/>
                <w:szCs w:val="14"/>
                <w:color w:val="auto"/>
              </w:rPr>
              <w:t>10,735,980</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12,378,016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23,084,120</w:t>
            </w:r>
          </w:p>
        </w:tc>
      </w:tr>
      <w:tr>
        <w:trPr>
          <w:trHeight w:val="211"/>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22,227,982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20,287,599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30,086,647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present the Company’s assets and liabilities that are measured at fair value on a recurring basis as of December 31, 2021 and 2020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 paper</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11,992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80,561</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66,563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13,998</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 liabilities</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25,423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25,423</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25,423</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25,423</w:t>
            </w:r>
          </w:p>
        </w:tc>
      </w:tr>
      <w:tr>
        <w:trPr>
          <w:trHeight w:val="21"/>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Money market funds (included in cash equivalents)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566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28,708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28,708</w:t>
            </w:r>
          </w:p>
        </w:tc>
      </w:tr>
      <w:tr>
        <w:trPr>
          <w:trHeight w:val="211"/>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within the fair value hierarchy during the years ended December 31, 2021 or 2020.</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2021 and 2020, the money market funds were classified as cash and cash equivalents on the accompanying consolidated balance sheets as they mature within 90 days from the date of purchase.</w:t>
      </w:r>
    </w:p>
    <w:p>
      <w:pPr>
        <w:spacing w:after="0" w:line="6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of December 31, 2021, the Company had restricted cash balances relating to a secured letter of credit in connection with its lease for the Company’s headquarters (see Note 8 included elsewhere in this Annual Report). The Company’s consolidated statement of cash flows includes the following as of December 31, 2021, 2020 and 2019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4"/>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114,057</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138,685</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89,893</w:t>
            </w:r>
          </w:p>
        </w:tc>
      </w:tr>
      <w:tr>
        <w:trPr>
          <w:trHeight w:val="186"/>
        </w:trPr>
        <w:tc>
          <w:tcPr>
            <w:tcW w:w="700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192"/>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r>
      <w:tr>
        <w:trPr>
          <w:trHeight w:val="183"/>
        </w:trPr>
        <w:tc>
          <w:tcPr>
            <w:tcW w:w="700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115,436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140,064</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91,551</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As of December 31, 2021, marketable securities classified as Level 2 within the valuation hierarchy consist of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 Payable</w:t>
      </w:r>
    </w:p>
    <w:p>
      <w:pPr>
        <w:spacing w:after="0" w:line="11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At December 31, 2021, in light of the recent issuance of the Term A Loan under the 2020 Term Loan, the Company believes the carrying value approximates the fair value of the loan.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Warrants</w:t>
      </w:r>
    </w:p>
    <w:p>
      <w:pPr>
        <w:spacing w:after="0" w:line="11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is required to revalue the common warrants at each reporting date with any changes in fair value recorded in the statement of operations and comprehensive loss. The valuation of the common warrants is considered Level 3 of the fair value hierarchy due to the need to use assumptions in the valuation that are both significant to the fair value measurement and unobservable including the volatility rate and the estimated term of the warrants. Generally, increases (decreases) in the fair value of the underlying stock and estimated term would result in a directionally similar impact to the fair value measurement. The changes in the fair values of the Level 3 warrant liability are reflected in the statement of operations and comprehensive loss for the years ended December 31, 2021, 2020 and 2019.</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warrants is determined using the following inputs to the Black-Scholes simulation valuation:</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6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6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Black-Scholes pricing model assumptions used to record the fair value of the warrant liability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6"/>
                <w:szCs w:val="16"/>
                <w:color w:val="auto"/>
              </w:rPr>
            </w:pPr>
          </w:p>
        </w:tc>
      </w:tr>
      <w:tr>
        <w:trPr>
          <w:trHeight w:val="195"/>
        </w:trPr>
        <w:tc>
          <w:tcPr>
            <w:tcW w:w="9180" w:type="dxa"/>
            <w:vAlign w:val="bottom"/>
            <w:gridSpan w:val="2"/>
          </w:tcPr>
          <w:p>
            <w:pPr>
              <w:ind w:left="8860"/>
              <w:spacing w:after="0"/>
              <w:rPr>
                <w:sz w:val="20"/>
                <w:szCs w:val="20"/>
                <w:color w:val="auto"/>
              </w:rPr>
            </w:pPr>
            <w:r>
              <w:rPr>
                <w:rFonts w:ascii="Arial" w:cs="Arial" w:eastAsia="Arial" w:hAnsi="Arial"/>
                <w:sz w:val="14"/>
                <w:szCs w:val="14"/>
                <w:b w:val="1"/>
                <w:bCs w:val="1"/>
                <w:color w:val="auto"/>
                <w:w w:val="96"/>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88"/>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0.97 %</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0.36 %</w:t>
            </w:r>
          </w:p>
        </w:tc>
      </w:tr>
      <w:tr>
        <w:trPr>
          <w:trHeight w:val="186"/>
        </w:trPr>
        <w:tc>
          <w:tcPr>
            <w:tcW w:w="9180" w:type="dxa"/>
            <w:vAlign w:val="bottom"/>
            <w:gridSpan w:val="2"/>
          </w:tcPr>
          <w:p>
            <w:pPr>
              <w:ind w:left="20"/>
              <w:spacing w:after="0"/>
              <w:rPr>
                <w:sz w:val="20"/>
                <w:szCs w:val="20"/>
                <w:color w:val="auto"/>
              </w:rPr>
            </w:pPr>
            <w:r>
              <w:rPr>
                <w:rFonts w:ascii="Arial" w:cs="Arial" w:eastAsia="Arial" w:hAnsi="Arial"/>
                <w:sz w:val="14"/>
                <w:szCs w:val="14"/>
                <w:color w:val="auto"/>
              </w:rPr>
              <w:t>Dividend yield</w:t>
            </w:r>
          </w:p>
        </w:tc>
        <w:tc>
          <w:tcPr>
            <w:tcW w:w="1100" w:type="dxa"/>
            <w:vAlign w:val="bottom"/>
            <w:gridSpan w:val="3"/>
          </w:tcPr>
          <w:p>
            <w:pPr>
              <w:jc w:val="right"/>
              <w:ind w:righ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82"/>
        </w:trPr>
        <w:tc>
          <w:tcPr>
            <w:tcW w:w="918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540" w:type="dxa"/>
            <w:vAlign w:val="bottom"/>
          </w:tcPr>
          <w:p>
            <w:pPr>
              <w:jc w:val="right"/>
              <w:spacing w:after="0"/>
              <w:rPr>
                <w:sz w:val="20"/>
                <w:szCs w:val="20"/>
                <w:color w:val="auto"/>
              </w:rPr>
            </w:pPr>
            <w:r>
              <w:rPr>
                <w:rFonts w:ascii="Arial" w:cs="Arial" w:eastAsia="Arial" w:hAnsi="Arial"/>
                <w:sz w:val="14"/>
                <w:szCs w:val="14"/>
                <w:color w:val="auto"/>
                <w:w w:val="93"/>
              </w:rPr>
              <w:t>96.10 %</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98.63 %</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a roll-forward of fair value for the Company’s Level 3 warrant liabilities (see Note 10),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Warrant liabilities</w:t>
            </w:r>
          </w:p>
        </w:tc>
      </w:t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as of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186"/>
        </w:trPr>
        <w:tc>
          <w:tcPr>
            <w:tcW w:w="9920" w:type="dxa"/>
            <w:vAlign w:val="bottom"/>
          </w:tcPr>
          <w:p>
            <w:pPr>
              <w:ind w:left="200"/>
              <w:spacing w:after="0"/>
              <w:rPr>
                <w:sz w:val="20"/>
                <w:szCs w:val="20"/>
                <w:color w:val="auto"/>
              </w:rPr>
            </w:pPr>
            <w:r>
              <w:rPr>
                <w:rFonts w:ascii="Arial" w:cs="Arial" w:eastAsia="Arial" w:hAnsi="Arial"/>
                <w:sz w:val="14"/>
                <w:szCs w:val="14"/>
                <w:color w:val="auto"/>
              </w:rPr>
              <w:t>Exercises</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(5,624)</w:t>
            </w:r>
          </w:p>
        </w:tc>
      </w:tr>
      <w:tr>
        <w:trPr>
          <w:trHeight w:val="189"/>
        </w:trPr>
        <w:tc>
          <w:tcPr>
            <w:tcW w:w="9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fair value</w:t>
            </w:r>
          </w:p>
        </w:tc>
        <w:tc>
          <w:tcPr>
            <w:tcW w:w="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2,339</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Fair value as of December 31, 2021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25,423</w:t>
            </w:r>
          </w:p>
        </w:tc>
      </w:tr>
      <w:tr>
        <w:trPr>
          <w:trHeight w:val="20"/>
        </w:trPr>
        <w:tc>
          <w:tcPr>
            <w:tcW w:w="9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process</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property and equipment</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(4,797)</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w:t>
            </w:r>
          </w:p>
        </w:tc>
      </w:tr>
      <w:tr>
        <w:trPr>
          <w:trHeight w:val="211"/>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2280"/>
        <w:spacing w:after="0" w:line="402" w:lineRule="auto"/>
        <w:rPr>
          <w:sz w:val="20"/>
          <w:szCs w:val="20"/>
          <w:color w:val="auto"/>
        </w:rPr>
      </w:pPr>
      <w:r>
        <w:rPr>
          <w:rFonts w:ascii="Arial" w:cs="Arial" w:eastAsia="Arial" w:hAnsi="Arial"/>
          <w:sz w:val="18"/>
          <w:szCs w:val="18"/>
          <w:color w:val="auto"/>
        </w:rPr>
        <w:t>Depreciation expense was $0.6 million, $0.6 million and $0.7 million for the years ended December 31, 2021, 2020 and 2019,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employee related expenses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Collaboration and licensing</w:t>
            </w:r>
          </w:p>
        </w:tc>
        <w:tc>
          <w:tcPr>
            <w:tcW w:w="8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patent fees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external research and development costs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4,339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2,029</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services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10,533</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8,146</w:t>
            </w:r>
          </w:p>
        </w:tc>
      </w:tr>
      <w:tr>
        <w:trPr>
          <w:trHeight w:val="21"/>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Other accrued expenses as of December 31, 2021 include a $0.9 million estimated liability for plaintiff’s litigation relating to the two lawsuits described further within Note 17.</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July 2019, the Company entered into a lease for 25,078 square feet of laboratory and office space located at 65 Grove Street, Watertown, Massachusetts, or the Headquarters Lease. As part of the Headquarters Lease, the Company incurred $0.8 million in non-reimbursable construction costs. The lease began in March 2020, when the Company took control of the office space, and the lease term is 8 years. The discount rate of 8.9% was determined based on the Company’s incremental borrowing rate adjusted for the lease term, including any reasonably certain renewal periods. In connection with the Headquarters Lease, the Company secured a letter of credit from Silicon Valley Bank, or SVB, for $1.4 million, recognized as long-term restricted cash, as of December 31, 2021 and 2020, respectively, which automatically renews each year.</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Moscow, Russia Lease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month-to-month facility agreement for its Moscow, Russia office. Rent expense is recognized as incurred.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the years ended December 31, 2021, 2020 and 2019 was $2.9 million, $2.7 million, and $2.1 million, respectively.</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2021, 2020 and 2019, the components of lease costs were as follows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Year Ended</w:t>
      </w:r>
    </w:p>
    <w:p>
      <w:pPr>
        <w:jc w:val="center"/>
        <w:ind w:left="704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84"/>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828</w:t>
            </w:r>
          </w:p>
        </w:tc>
      </w:tr>
      <w:tr>
        <w:trPr>
          <w:trHeight w:val="189"/>
        </w:trPr>
        <w:tc>
          <w:tcPr>
            <w:tcW w:w="7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8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6"/>
        </w:trPr>
        <w:tc>
          <w:tcPr>
            <w:tcW w:w="706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2,209</w:t>
            </w:r>
          </w:p>
        </w:tc>
      </w:tr>
      <w:tr>
        <w:trPr>
          <w:trHeight w:val="20"/>
        </w:trPr>
        <w:tc>
          <w:tcPr>
            <w:tcW w:w="7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2"/>
          </w:tcPr>
          <w:p>
            <w:pPr>
              <w:ind w:left="340"/>
              <w:spacing w:after="0"/>
              <w:rPr>
                <w:sz w:val="20"/>
                <w:szCs w:val="20"/>
                <w:color w:val="auto"/>
              </w:rPr>
            </w:pPr>
            <w:r>
              <w:rPr>
                <w:rFonts w:ascii="Arial" w:cs="Arial" w:eastAsia="Arial" w:hAnsi="Arial"/>
                <w:sz w:val="18"/>
                <w:szCs w:val="18"/>
                <w:color w:val="auto"/>
                <w:w w:val="99"/>
              </w:rPr>
              <w:t>The maturity of the Company’s operating lease liabilities as of December 31, 2021 were as follows (in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8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2023</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2025</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8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2,844</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future minimum lease payments</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12,752</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8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211"/>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lease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4"/>
              </w:rPr>
              <w:t>The supplemental disclosure for the statement of cash flows related to operating leases were as follows (in thousands):</w:t>
            </w: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93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in 2020, which was non-cash, the changes in the Company’s right-of-use asset and lease liability for the years ended December 31, 2021 and 2020 are reflected in the non-cash lease expense and accrued expenses and other liabilities, respectively, in the consolidated statements of cash flows.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149"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6.4 years</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years</w:t>
            </w:r>
          </w:p>
        </w:tc>
      </w:tr>
      <w:tr>
        <w:trPr>
          <w:trHeight w:val="182"/>
        </w:trPr>
        <w:tc>
          <w:tcPr>
            <w:tcW w:w="916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56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8.9 %</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August 31, 2020, the Company entered into a term loan of up to $35.0 million, or the 2020 Term Loan, consisting of term loans in an aggregate amount of $25.0 million, or the Term A Loan, and term loans in an aggregate amount of $10.0 million, or the Term B Loan, governed by a loan and security agreement, or the Loan Agreement, between the Company and Oxford Finance LLC, or Oxford, as Collateral Agent and a Lender, and SVB, as a Lender. The Term A Loan was funded in full on August 31, 2020, or the Funding Date. The second draw period expired on September 30, 2021 and the Term B Loan is no longer available to be drawn by the Company in the future.</w:t>
      </w:r>
    </w:p>
    <w:p>
      <w:pPr>
        <w:spacing w:after="0" w:line="8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2020 Term Loan will mature on August 1, 2025. Each advance under the Term Loan accrues interest at a floating per annum rate equal to the greater of (a) 7.90%, and (b) the lesser of (x) the sum of (i) the prime rate reported in The Wall Street Journal on the last business day of the month that immediately precedes the month in which the interest will accrue, and (ii) 4.65% and (y) 10.00%. The Term Loan provides for interest-only payments on a monthly basis until April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 (B) a prepayment fee of between 3.0% and 1.0% of the aggregate original principal amount advanced by the lender depending on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 $2.3 million is recorded as a loan discount.</w:t>
      </w:r>
    </w:p>
    <w:p>
      <w:pPr>
        <w:spacing w:after="0" w:line="7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spacing w:after="0" w:line="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spacing w:after="0" w:line="5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 incurred $0.4 million in debt issuance costs in connection with the closing of the 2020 Term Loan. Debt issuance costs are presented in the consolidated balance sheet as a direct deduction from the associated liability and amortized to interest expense over the term of the related debt.</w:t>
      </w:r>
    </w:p>
    <w:p>
      <w:pPr>
        <w:spacing w:after="0" w:line="1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 assessed all terms and features of the 2020 Term Loan to identify any potential embedded features that would require bifurcation. As part of this analysis, the Company assessed the economic characteristics and risks of the 2020 Term Loan, including any put, call, and contingent features. The Company determined that the interest rate collar and prepayment call option did not require bifurcation; whereas the contingent put option and default (contingent) interest rate feature met bifurcation criteria resulting in immaterial amounts.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August 31, 2020, in connection with the 2020 Term A Loan, the Company issued warrants to the Lenders to purchase an aggregate of 196,850 shares of its common stock at an exercise price equal to $2.54 per share. In accordance with ASC 815-40, these warrants are classified as permanent equity in the accompanying consolidated balance sheets and will expire ten years from the date of issuance. The initial grant date fair value of the warrants was $0.4 million as determined by the Black-Scholes valuation model and recorded to stockholders' equity, with the SVB portion allocated to the reacquisition price of the 2017 Term Loan and the Oxford fair value portion as a loan discount to the Term A Loan.</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Payoff</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the Funding Date, the Company entered into a payoff letter with SVB, pursuant to which the Company utilized $13.7 million of the 2020 Term Loan to pay off all outstanding obligations under the previous term loan, consisting of the principal payment, final prepayment and accrued interest. During the year ended December 31, 2020, the Company recognized a loss on extinguishment of debt in the amount of $0.5 million determined as the difference between the reacquisition price and carrying value at August 31, 2020.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and 2020, the outstanding principal balance under the 2020 Term Loan was $25.0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2020 Term Loan and unamortized debt discount balances as of December 31, 2021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Face value</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Venture debt termination fee</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2,250</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discount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Current portion of loan payable</w:t>
            </w: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(5,961)</w:t>
            </w:r>
          </w:p>
        </w:tc>
      </w:tr>
      <w:tr>
        <w:trPr>
          <w:trHeight w:val="20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 payable, net of current portion</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19,673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ind w:left="340"/>
              <w:spacing w:after="0"/>
              <w:rPr>
                <w:sz w:val="20"/>
                <w:szCs w:val="20"/>
                <w:color w:val="auto"/>
              </w:rPr>
            </w:pPr>
            <w:r>
              <w:rPr>
                <w:rFonts w:ascii="Arial" w:cs="Arial" w:eastAsia="Arial" w:hAnsi="Arial"/>
                <w:sz w:val="18"/>
                <w:szCs w:val="18"/>
                <w:color w:val="auto"/>
              </w:rPr>
              <w:t>Future minimum principal payments on the 2020 Term Loan as of December 31, 2021 are as follows (in thousands):</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Year ended:</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2022</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5,488</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7,317</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7,317</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4,878</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Total minimum principal payments</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r>
      <w:tr>
        <w:trPr>
          <w:trHeight w:val="24"/>
        </w:trPr>
        <w:tc>
          <w:tcPr>
            <w:tcW w:w="9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During the years ended December 31, 2021, 2020 and 2019, the Company recognized $2.8 million, $1.6 million and $1.5 million respectively of interest expense related to the 2020 and 2017 Term Loans.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2017 Sales Agreement and August 2020 Shelf Registration Statement</w:t>
      </w:r>
    </w:p>
    <w:p>
      <w:pPr>
        <w:spacing w:after="0" w:line="11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August 2017, the Company entered into a sales agreement, or the 2017 Sales Agreement, with Jefferies LLC, as sales agent, to sell shares of its common stock with an aggregate value of up to $50.0 million in an “at the market offering.” On August 6, 2020, concurrent with the filing of the updated shelf registration statement, the Company entered into a sales agreement, or the 2020 Sales Agreement with Jefferies LLC, as sales agent, pursuant to which the Company may, from time to time, issue and sell common stock with an aggregate value of up to $50.0 million in an “at the market offering.” The 2017 Sales Agreement terminated pursuant to its terms in August 2020. On August 6, 2020, the Company filed an updated universal shelf registration statement on Form S-3 (Reg. No. 333-241692) with the SEC to sell an aggregate amount of up to $200.0 million of certain of its securities. The shelf registration statement was declared effective by the SEC on August 14, 2020. On October 8, 2021, the Company delivered notice to Jefferies LLC that the Company was terminating the 2020 Sales Agreement, with effect as of October 19, 2021.</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Sales Agreement</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October 25, 2021, the Company entered into a Sales Agreement, or the 2021 Sales Agreement, with SVB Leerink LLC to sell shares of the Company’s common stock, from time to time, through an “at the market” equity offering program under which SVB Leerink will act as sales agent. The shares of common stock sold pursuant to the 2021 Sales Agreement will be issued pursuant to the Company’s shelf registration statement on Form S-3 (File No. 333-241692), filed on August 6, 2020 with the Securities and Exchange Commission and related prospectus supplement, filed on October 25, 2021 with the SEC, for aggregate gross sales proceeds of up to $75.0 million.</w:t>
      </w:r>
    </w:p>
    <w:p>
      <w:pPr>
        <w:spacing w:after="0" w:line="8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year ended December 31, 2021, the Company sold 13,767,511 shares of its common stock pursuant to the 2021 and 2020 Sales Agreement for aggregate net proceeds of $51.9 million, after deducting commissions and other transaction costs. During the year ended December 31, 2020, the Company sold 1,069,486 shares of its common stock pursuant to the 2020 and 2017 Sales Agreements for aggregate net proceeds of $2.1 million, after deducting commissions and other transaction costs.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June 2020 Sobi Stock Purchase</w:t>
      </w:r>
    </w:p>
    <w:p>
      <w:pPr>
        <w:spacing w:after="0" w:line="11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7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12 for details.</w:t>
      </w:r>
    </w:p>
    <w:p>
      <w:pPr>
        <w:spacing w:after="0" w:line="5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Also on June 11, 2020, the Company entered into a registration rights agreement (as amended by that certain letter agreement, dated as of November 4, 2020,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 statement declared effective within ten (10) Business Days after the SEC informs the Company that no review of such resale registration statement will be made or that the SEC has no further comments on such resale registration statement.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December 2019 Financing</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On December 18, 2019, the Company entered into a securities purchase agreement, or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or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6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Company recorded the fair value of the common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4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common warrants were revalued as of December 31, 2021 at $25.4 million. During the years ended December 31, 2021, 2020 and 2019, the Company recorded a decrease in the fair value of the warrants of $2.3 million, $10.4 million, and $0.9 million, respectively, in the consolidated statements of operations and comprehensive loss.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June 2017 Financing</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June 2017, the Company entered into a securities purchase agreement, or the Institutional Purchase Agreement with a select group of institutional investors, or the Institutional Investors and a securities purchase agreement with Timothy A. Springer, 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purchase price for each warrant was equal to $0.125 for each Warrant Share, consistent with Nasdaq Stock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 After deducting for placement agent fees and offering expenses, the aggregate net proceeds from the 2017 PIPE were approximately $47.1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year ended December 31, 2021, warrant holders exercised 1,642,036 common warrants on a cashless basis and received 1,076,669 shares of common stock.</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Number of Warrants</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Equity</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Liability classified</w:t>
            </w:r>
          </w:p>
        </w:tc>
        <w:tc>
          <w:tcPr>
            <w:tcW w:w="14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220" w:type="dxa"/>
            <w:vAlign w:val="bottom"/>
          </w:tcPr>
          <w:p>
            <w:pPr>
              <w:jc w:val="right"/>
              <w:ind w:right="48"/>
              <w:spacing w:after="0" w:line="135"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8,437,747</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22,988,501</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31,426,248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Exercises</w:t>
            </w:r>
          </w:p>
        </w:tc>
        <w:tc>
          <w:tcPr>
            <w:tcW w:w="1320" w:type="dxa"/>
            <w:vAlign w:val="bottom"/>
          </w:tcPr>
          <w:p>
            <w:pPr>
              <w:jc w:val="right"/>
              <w:spacing w:after="0"/>
              <w:rPr>
                <w:sz w:val="20"/>
                <w:szCs w:val="20"/>
                <w:color w:val="auto"/>
              </w:rPr>
            </w:pPr>
            <w:r>
              <w:rPr>
                <w:rFonts w:ascii="Arial" w:cs="Arial" w:eastAsia="Arial" w:hAnsi="Arial"/>
                <w:sz w:val="14"/>
                <w:szCs w:val="14"/>
                <w:color w:val="auto"/>
              </w:rPr>
              <w:t>(8,342,128)</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(10,902,954)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(19,245,082)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196,850</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9"/>
        </w:trPr>
        <w:tc>
          <w:tcPr>
            <w:tcW w:w="56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292,469</w:t>
            </w:r>
          </w:p>
        </w:tc>
        <w:tc>
          <w:tcPr>
            <w:tcW w:w="12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12,085,547</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(1,642,036)</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(1,642,036)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292,469</w:t>
            </w:r>
          </w:p>
        </w:tc>
        <w:tc>
          <w:tcPr>
            <w:tcW w:w="12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10,443,511</w:t>
            </w:r>
          </w:p>
        </w:tc>
        <w:tc>
          <w:tcPr>
            <w:tcW w:w="10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10,735,980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As of December 31, 2021, the Company had 200,000,000 shares of common stock authorized for issuance, $0.0001 par value per share, with 123,622,965 shares issued and outstanding. The voting, dividend and liquidation rights of the common stockholders are subject to and qualified by the rights, powers and preferences of the preferred stock. The common stock has the following characteristics: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December 31, 2021, no dividends have been declared or paid on common stock.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Upon liquidation of the Company, the common stockholders are entitled to receive all assets of the Company available for distribution to such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1148"/>
              <w:spacing w:after="0"/>
              <w:rPr>
                <w:sz w:val="20"/>
                <w:szCs w:val="20"/>
                <w:color w:val="auto"/>
              </w:rPr>
            </w:pPr>
            <w:r>
              <w:rPr>
                <w:rFonts w:ascii="Arial" w:cs="Arial" w:eastAsia="Arial" w:hAnsi="Arial"/>
                <w:sz w:val="14"/>
                <w:szCs w:val="14"/>
                <w:b w:val="1"/>
                <w:bCs w:val="1"/>
                <w:color w:val="auto"/>
              </w:rPr>
              <w:t>As of</w:t>
            </w:r>
          </w:p>
        </w:tc>
      </w:tr>
      <w:tr>
        <w:trPr>
          <w:trHeight w:val="187"/>
        </w:trPr>
        <w:tc>
          <w:tcPr>
            <w:tcW w:w="84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December 31, 2020</w:t>
            </w:r>
          </w:p>
        </w:tc>
      </w:tr>
      <w:tr>
        <w:trPr>
          <w:trHeight w:val="184"/>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10,735,980</w:t>
            </w:r>
          </w:p>
        </w:tc>
        <w:tc>
          <w:tcPr>
            <w:tcW w:w="1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Arial" w:cs="Arial" w:eastAsia="Arial" w:hAnsi="Arial"/>
                <w:sz w:val="14"/>
                <w:szCs w:val="14"/>
                <w:color w:val="auto"/>
              </w:rPr>
              <w:t>6,039,564</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4,916,374</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394,450</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common stock options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11,039,873</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7,775,249</w:t>
            </w: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28,209,867</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25,157,139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Incentive Plans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7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2021 and 2020, the number of shares of common stock that may be issued under the 2016 Plan was increased by 4,322,850 and 3,453,022 shares, respectively. As of December 31, 2021, 1,925,537 shares remain available for future issuance under the 2016 Plan.</w:t>
      </w:r>
    </w:p>
    <w:p>
      <w:pPr>
        <w:spacing w:after="0" w:line="84"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December 31, 2021, there are 1,591,661 shares available for future grant under the 2018 Inducement Incentive Award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Stock-based compensation expense by classification included within the consolidated statements of operations and comprehensive loss was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66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84"/>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w:t>
            </w:r>
          </w:p>
        </w:tc>
      </w:tr>
      <w:tr>
        <w:trPr>
          <w:trHeight w:val="18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w:t>
            </w:r>
          </w:p>
        </w:tc>
      </w:tr>
      <w:tr>
        <w:trPr>
          <w:trHeight w:val="211"/>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65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r>
      <w:tr>
        <w:trPr>
          <w:trHeight w:val="184"/>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1.86 %</w:t>
            </w:r>
          </w:p>
        </w:tc>
      </w:tr>
      <w:tr>
        <w:trPr>
          <w:trHeight w:val="186"/>
        </w:trPr>
        <w:tc>
          <w:tcPr>
            <w:tcW w:w="65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92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r>
      <w:tr>
        <w:trPr>
          <w:trHeight w:val="186"/>
        </w:trPr>
        <w:tc>
          <w:tcPr>
            <w:tcW w:w="65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7"/>
              </w:rPr>
              <w:t>95.04 %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91.00 %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87.66 %</w:t>
            </w:r>
          </w:p>
        </w:tc>
      </w:tr>
      <w:tr>
        <w:trPr>
          <w:trHeight w:val="192"/>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common stock</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w:t>
            </w:r>
          </w:p>
        </w:tc>
      </w:tr>
    </w:tbl>
    <w:p>
      <w:pPr>
        <w:spacing w:after="0" w:line="200" w:lineRule="exact"/>
        <w:rPr>
          <w:sz w:val="20"/>
          <w:szCs w:val="20"/>
          <w:color w:val="auto"/>
        </w:rPr>
      </w:pPr>
    </w:p>
    <w:p>
      <w:pPr>
        <w:spacing w:after="0" w:line="24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years ended December 31, 2021, 2020 and 2019 was $2.73, $1.86, and $1.47 respectively.</w:t>
      </w:r>
    </w:p>
    <w:p>
      <w:pPr>
        <w:spacing w:after="0" w:line="6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of December 31, 2021 and 2020, total unrecognized compensation expense related to unvested employee stock options was $11.5 million and $8.0 million, respectively, which is expected to be recognized over a weighted average period of 2.7 years and 2.3 years, respectively.</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stock option activity under the 2008 Plan, 2016 Plan, and 2018 Inducement Incentive Award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820" w:type="dxa"/>
            <w:vAlign w:val="bottom"/>
          </w:tcPr>
          <w:p>
            <w:pPr>
              <w:spacing w:after="0"/>
              <w:rPr>
                <w:sz w:val="16"/>
                <w:szCs w:val="16"/>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 term</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195"/>
        </w:trPr>
        <w:tc>
          <w:tcPr>
            <w:tcW w:w="4820" w:type="dxa"/>
            <w:vAlign w:val="bottom"/>
          </w:tcPr>
          <w:p>
            <w:pPr>
              <w:spacing w:after="0"/>
              <w:rPr>
                <w:sz w:val="16"/>
                <w:szCs w:val="16"/>
                <w:color w:val="auto"/>
              </w:rPr>
            </w:pPr>
          </w:p>
        </w:tc>
        <w:tc>
          <w:tcPr>
            <w:tcW w:w="1500" w:type="dxa"/>
            <w:vAlign w:val="bottom"/>
          </w:tcPr>
          <w:p>
            <w:pPr>
              <w:jc w:val="right"/>
              <w:ind w:right="44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w w:val="99"/>
              </w:rPr>
              <w:t>(in thousands)</w:t>
            </w:r>
          </w:p>
        </w:tc>
      </w:tr>
      <w:tr>
        <w:trPr>
          <w:trHeight w:val="18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Employees</w:t>
            </w: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00" w:type="dxa"/>
            <w:vAlign w:val="bottom"/>
          </w:tcPr>
          <w:p>
            <w:pPr>
              <w:jc w:val="right"/>
              <w:spacing w:after="0"/>
              <w:rPr>
                <w:sz w:val="20"/>
                <w:szCs w:val="20"/>
                <w:color w:val="auto"/>
              </w:rPr>
            </w:pPr>
            <w:r>
              <w:rPr>
                <w:rFonts w:ascii="Arial" w:cs="Arial" w:eastAsia="Arial" w:hAnsi="Arial"/>
                <w:sz w:val="14"/>
                <w:szCs w:val="14"/>
                <w:color w:val="auto"/>
              </w:rPr>
              <w:t>7,302,176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4,456</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4,625,611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(398,754)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(912,233)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10,616,800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4,982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December 31, 2021</w:t>
            </w:r>
          </w:p>
        </w:tc>
        <w:tc>
          <w:tcPr>
            <w:tcW w:w="1500" w:type="dxa"/>
            <w:vAlign w:val="bottom"/>
          </w:tcPr>
          <w:p>
            <w:pPr>
              <w:jc w:val="right"/>
              <w:spacing w:after="0"/>
              <w:rPr>
                <w:sz w:val="20"/>
                <w:szCs w:val="20"/>
                <w:color w:val="auto"/>
              </w:rPr>
            </w:pPr>
            <w:r>
              <w:rPr>
                <w:rFonts w:ascii="Arial" w:cs="Arial" w:eastAsia="Arial" w:hAnsi="Arial"/>
                <w:sz w:val="14"/>
                <w:szCs w:val="14"/>
                <w:color w:val="auto"/>
              </w:rPr>
              <w:t>4,459,309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3,149</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9,917,248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4,796</w:t>
            </w:r>
          </w:p>
        </w:tc>
      </w:tr>
      <w:tr>
        <w:trPr>
          <w:trHeight w:val="216"/>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Non-employee consultants</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00" w:type="dxa"/>
            <w:vAlign w:val="bottom"/>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December 31, 2021</w:t>
            </w:r>
          </w:p>
        </w:tc>
        <w:tc>
          <w:tcPr>
            <w:tcW w:w="1500" w:type="dxa"/>
            <w:vAlign w:val="bottom"/>
          </w:tcPr>
          <w:p>
            <w:pPr>
              <w:jc w:val="right"/>
              <w:spacing w:after="0"/>
              <w:rPr>
                <w:sz w:val="20"/>
                <w:szCs w:val="20"/>
                <w:color w:val="auto"/>
              </w:rPr>
            </w:pPr>
            <w:r>
              <w:rPr>
                <w:rFonts w:ascii="Arial" w:cs="Arial" w:eastAsia="Arial" w:hAnsi="Arial"/>
                <w:sz w:val="14"/>
                <w:szCs w:val="14"/>
                <w:color w:val="auto"/>
              </w:rPr>
              <w:t>423,073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423,073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the year ended December 31, 2021, the Company granted 407,700 restricted stock awards with a weighted average fair value of $3.11 per share based on the closing price of the Company’s common stock on the date of grant to employees under the 2016 Plan, which will vest over a four year term. Forfeitures are estimated at the time of grant and are adjusted, if necessary, in subsequent periods if actual forfeitures differ from those estimates. The Company has estimated a forfeiture rate of 10% for restricted stock awards to employees based on historical attrition trends. In addition, the Company awarded 197,500 restricted stock units to executives under the 2016 Plan. These restricted stock units vested in two equal installments on the dates applicable performance conditions were achieved during the year ended December 31, 2021.</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Unrecognized compensation expense for all restricted stock units was $0.9 million as of December 31, 2021, which is expected to be recognized over a weighted average period of 2.7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units under the 2016 Plan and 2018 Inducement Incentive Award Plan: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1"/>
                <w:szCs w:val="11"/>
                <w:color w:val="auto"/>
              </w:rPr>
            </w:pPr>
          </w:p>
        </w:tc>
        <w:tc>
          <w:tcPr>
            <w:tcW w:w="13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80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184"/>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80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605,200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394,450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June 2016, the Company approved the 2016 Employee Stock Purchase Plan, or the ESPP, which authorized 173,076 shares of common stock for future issuance under the ESPP to participating employees. In January 2021 and 2020, the number of shares of common stock authorized for issuance under the ESPP was increased by 1,080,711 shares and 863,254 shares, respectively. During the year ended December 31, 2021, the Company issued 58,794 shares of common stock under the ESPP. As of December 31, 2021, 2,522,366 shares remain available for future issuance under the ESPP.</w:t>
      </w:r>
    </w:p>
    <w:p>
      <w:pPr>
        <w:spacing w:after="0" w:line="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each of the years ended December 31, 2021 and 2020, the Company recognized $0.1 million of stock-based compensation expense under the ESPP, respectively.</w:t>
      </w:r>
    </w:p>
    <w:p>
      <w:pPr>
        <w:spacing w:after="0" w:line="200" w:lineRule="exact"/>
        <w:rPr>
          <w:sz w:val="20"/>
          <w:szCs w:val="20"/>
          <w:color w:val="auto"/>
        </w:rPr>
      </w:pPr>
    </w:p>
    <w:p>
      <w:pPr>
        <w:spacing w:after="0" w:line="209" w:lineRule="exact"/>
        <w:rPr>
          <w:sz w:val="20"/>
          <w:szCs w:val="20"/>
          <w:color w:val="auto"/>
        </w:rPr>
      </w:pPr>
    </w:p>
    <w:p>
      <w:pPr>
        <w:ind w:right="8560" w:firstLine="8"/>
        <w:spacing w:after="0" w:line="425" w:lineRule="auto"/>
        <w:tabs>
          <w:tab w:leader="none" w:pos="2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Takeda Pharmaceuticals USA, Inc.</w:t>
      </w: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Pursuant to the Takeda Agreement, the Company determined the Takeda Agreement represents a service arrangement under the scope of ASC 606, and given the reversion of the rights under the Takeda Agreement represents a penalty in substance for a termination by Takeda, the contract term would remain the stated term of the Takeda Agreement. The Company determined that the research license, the licensed know-how, and the manufactured supply and delivery of materials represent a single promise and performance obligation to be transferred to Takeda over time due to the nature of the promises in the contract. The delivery of the manufactured supply is the predominant promise within the arrangement, as it is essential to the utility of the licensed intellectual property. The material to be supplied by the Company to Takeda is unique to the Company and cannot be obtained by other vendors. As such, consideration in the initial transaction price will be allocated to the single performance obligation and the recognition period would not extend beyond the initial contractual period. The Company will recognize the revenue associated with the upfront payment and combined single performance obligation utilizing the output method over the term that manufactured supply is delivered to Takeda.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will re-evaluate the transaction price in each reporting period, as uncertain events are resolved, or as other changes in circumstances occur. Takeda has the right to exercise covenant release rights on a field-by-field basis. If Takeda exercises its covenant release rights, we could receive exercise payments per indication and would be entitled to significant development and commercial milestone payments and tiered royalties on commercial sales. The Company determined that a significant financing component does not exist in its arrangement with Takeda. The Company also determined the options to negotiate additional fields, pursue other products, enter into a supply agreement explore additional fields, and pursue additional development under the initial fields do not represent material rights under the agreement. Takeda has the right to terminate the Takeda Agreement in its entirety or on a field-by-field basis, upon 90 days’ written notice to the Company.</w:t>
      </w:r>
    </w:p>
    <w:p>
      <w:pPr>
        <w:spacing w:after="0" w:line="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As of December 31, 2021, the Company recorded $1.0 million and $1.0 million, as a short-term and long-term contract liabilities, respectively, representing deferred revenue associated with this agreement. Revenue of $1.0 million related to the Takeda Agreement was recognized during the year ended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Swedish Orphan Biovitrum</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June 11, 2020, the Company and Sobi entered into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6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transactions contemplated by the Sobi License were consummated on July 28, 2020 following the expiration or termination of the required waiting periods under the Hart-Scott-Rodino Antitrust Improvements Act of 1976.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8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10 for details.</w:t>
      </w:r>
    </w:p>
    <w:p>
      <w:pPr>
        <w:spacing w:after="0" w:line="1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70" w:lineRule="exact"/>
        <w:rPr>
          <w:sz w:val="20"/>
          <w:szCs w:val="20"/>
          <w:color w:val="auto"/>
        </w:rPr>
      </w:pPr>
    </w:p>
    <w:p>
      <w:pPr>
        <w:jc w:val="both"/>
        <w:ind w:right="280" w:firstLine="324"/>
        <w:spacing w:after="0" w:line="296" w:lineRule="auto"/>
        <w:rPr>
          <w:sz w:val="20"/>
          <w:szCs w:val="20"/>
          <w:color w:val="auto"/>
        </w:rPr>
      </w:pPr>
      <w:r>
        <w:rPr>
          <w:rFonts w:ascii="Arial" w:cs="Arial" w:eastAsia="Arial" w:hAnsi="Arial"/>
          <w:sz w:val="16"/>
          <w:szCs w:val="16"/>
          <w:color w:val="auto"/>
        </w:rPr>
        <w:t>As of December 31, 2021 and 2020, the Company recorded $37.5 million and $68.3 million, respectively, as a short-term contract liability and $5.1 million and $24.2 million, respectively, as a long-term contract liability, representing deferred revenue associated with this agreement. In addition, as of December 31, 2021 the Company has recorded $0.7 million of contract assets related to incremental costs that would not have been incurred if the Sobi License had not been obtained, of which $0.6 million is presented in prepaid expenses and other current assets and less than $0.1 million is presented in other assets in the accompanying consolidated balance sheets. Amortization of contract assets was $0.7 million for the year ended December 31, 2021.</w:t>
      </w:r>
    </w:p>
    <w:p>
      <w:pPr>
        <w:spacing w:after="0" w:line="5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of December 31, 2021 and 2020, the Company recorded a total outstanding receivable of $9.9 million and $6.9 million, respectively, representing billings for the Phase 3 DISSOLVE program that are subject to reimbursement by Sobi. Revenue of $83.5 million and $16.6 million related to the Sobi License was recognized during the years ended December 31, 2021 and 2020,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June 2020, the Company and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6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8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5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During the year ended December 31, 2021, the Company and Sarepta entered into a third amendment relating to the additional feasibility study.</w:t>
      </w:r>
    </w:p>
    <w:p>
      <w:pPr>
        <w:spacing w:after="0" w:line="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2021, two milestones remained constrained, and as of December 31, 2020, all milestones were constrained. The Company will re-evaluate the transaction price in each reporting period, as uncertain events are resolved. The Company will recognize the revenue associated with the upfront payment and combined single performance obligation utilizing the output method, over the 24 month term as the manufactured supply is delivered to Sarepta.</w:t>
      </w:r>
    </w:p>
    <w:p>
      <w:pPr>
        <w:spacing w:after="0" w:line="79"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As of December 31, 2021 and 2020, the Company recorded $4.6 million and $2.0 million, respectively, as a short-term contract liability representing deferred revenue associated with this agreement. Revenue of $0.4 million related to the Sarepta Agreement was recognized during the year ended December 31, 2021. De minimis revenue related to the Sarepta License Agreement was recognized during the year ended December 31, 2020.</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December 2019, the Company and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7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w:t>
      </w:r>
    </w:p>
    <w:p>
      <w:pPr>
        <w:spacing w:after="0" w:line="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December 31, 2021 and 2020, all milestones were constrained. The Company will re-evaluate the transaction price in each reporting period, as uncertain events are resolved, or as other changes in circumstances occur.</w:t>
      </w:r>
    </w:p>
    <w:p>
      <w:pPr>
        <w:spacing w:after="0" w:line="5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At each of December 31, 2021 and 2020, the Company recorded $1.7 million as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years ended December 31, 2021 and 2020 as no deliveries were made during these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December 2016, the Company entered into a license and option agreement, or the Spark License Agreement, with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8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Pursuant to the Spark License Agreement, Spark made an upfront payment of $15.0 million. Additionally, in connection with the Spark License Agreement, the Company entered into a Stock Purchase Agreement with Spark. Pursuant to the Spark Purchase Agreement, Spark purchased a total of $15.0 million of the Company’s common stock including 197,238 shares for an aggregate purchase price of $5.0 million at the Initial Closing, 324,362 shares of common stock for an aggregate purchase price of $5.0 million on June 8, 2017, and 205,254 shares of common stock from the Company for an aggregate purchase price of $5.0 million on October 31, 2017.</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June 2017, the Company and Spark entered into a letter agreement, or the Letter Agreement, pursuant to which the parties agreed that Spark and the Company agreed to reimburse Spark for all costs and expenses, including the cost of materials provided by the Company, associated with the preclinical research and toxicology studies being performed by Spark for any licensed products for a specified amount of time, or the Reimbursement Period, in an amount not to exceed $2.5 million. 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June 2019, the term of the Reimbursement Period under the Letter Agreement expired. During the year ended December 31, 2019, the Company updated its estimate of variable consideration included in the transaction price to include $1.2 million of unpaid reimbursements to Spark.</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term for Spark to exercise additional target options expired. Therefore, during the year ended December 31, 2019, the Company recognized $6.7 million in revenue. Additionally, during the year ended December 31, 2019, there were two deliveries resulting in less than $0.1 million of revenue recognized. As of December 31, 2020, there was a contract liability of $9.2 million representing long-term deferred revenue to be recognized upon the occurrence of future deliveries under this agreement.</w:t>
      </w:r>
    </w:p>
    <w:p>
      <w:pPr>
        <w:spacing w:after="0" w:line="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No revenue related to the Spark License Agreement was recognized during the years ended December 31, 2021 and 2020, as no deliveries were made during these periods.</w:t>
      </w:r>
    </w:p>
    <w:p>
      <w:pPr>
        <w:spacing w:after="0" w:line="62"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On January 18, 2022, both parties agreed to mutually terminate the Spark License Agreement. Therefore, the contract liability of $9.2 million representing deferred revenue is presented as short-term on the accompanying consolidated balance sheet as of December 31, 2021.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year ended December 31, 2021, revenue of $0.1 million related to the remaining contract liability of the Russia-based Development Fund of New Technologies Development and Commercialization Center, or Skolkovo, grant funding was recognized at the expiration of the three-year audit period.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As of December 31, 2021, the aggregate amount of the transaction price allocated to remaining performance obligations was $65.3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Balances from Contracts with Customers </w:t>
      </w:r>
      <w:r>
        <w:rPr>
          <w:rFonts w:ascii="Arial" w:cs="Arial" w:eastAsia="Arial" w:hAnsi="Arial"/>
          <w:sz w:val="18"/>
          <w:szCs w:val="18"/>
          <w:color w:val="auto"/>
        </w:rPr>
        <w:t>(</w:t>
      </w:r>
      <w:r>
        <w:rPr>
          <w:rFonts w:ascii="Arial" w:cs="Arial" w:eastAsia="Arial" w:hAnsi="Arial"/>
          <w:sz w:val="18"/>
          <w:szCs w:val="18"/>
          <w:i w:val="1"/>
          <w:iCs w:val="1"/>
          <w:color w:val="auto"/>
        </w:rPr>
        <w:t>Takeda, Sobi, Sarepta, AskBio, Spark and Skolkovo</w:t>
      </w:r>
      <w:r>
        <w:rPr>
          <w:rFonts w:ascii="Arial" w:cs="Arial" w:eastAsia="Arial" w:hAnsi="Arial"/>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the Company’s contract liabilities during the year ended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Arial" w:cs="Arial" w:eastAsia="Arial" w:hAnsi="Arial"/>
                <w:sz w:val="14"/>
                <w:szCs w:val="14"/>
                <w:b w:val="1"/>
                <w:bCs w:val="1"/>
                <w:color w:val="auto"/>
              </w:rPr>
              <w:t>Balance at</w:t>
            </w:r>
          </w:p>
        </w:tc>
      </w:tr>
      <w:tr>
        <w:trPr>
          <w:trHeight w:val="195"/>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beginning of period</w:t>
            </w:r>
          </w:p>
        </w:tc>
        <w:tc>
          <w:tcPr>
            <w:tcW w:w="30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6"/>
                <w:szCs w:val="16"/>
                <w:color w:val="auto"/>
              </w:rPr>
            </w:pPr>
          </w:p>
        </w:tc>
        <w:tc>
          <w:tcPr>
            <w:tcW w:w="1400" w:type="dxa"/>
            <w:vAlign w:val="bottom"/>
          </w:tcPr>
          <w:p>
            <w:pPr>
              <w:jc w:val="right"/>
              <w:ind w:right="348"/>
              <w:spacing w:after="0"/>
              <w:rPr>
                <w:sz w:val="20"/>
                <w:szCs w:val="20"/>
                <w:color w:val="auto"/>
              </w:rPr>
            </w:pPr>
            <w:r>
              <w:rPr>
                <w:rFonts w:ascii="Arial" w:cs="Arial" w:eastAsia="Arial" w:hAnsi="Arial"/>
                <w:sz w:val="14"/>
                <w:szCs w:val="14"/>
                <w:b w:val="1"/>
                <w:bCs w:val="1"/>
                <w:color w:val="auto"/>
              </w:rPr>
              <w:t>end of period</w:t>
            </w:r>
          </w:p>
        </w:tc>
      </w:tr>
      <w:tr>
        <w:trPr>
          <w:trHeight w:val="175"/>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r>
      <w:tr>
        <w:trPr>
          <w:trHeight w:val="186"/>
        </w:trPr>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110,796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(51,496)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65,300</w:t>
            </w:r>
          </w:p>
        </w:tc>
      </w:tr>
      <w:tr>
        <w:trPr>
          <w:trHeight w:val="21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110,796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65,300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Consulting Services</w:t>
      </w:r>
    </w:p>
    <w:p>
      <w:pPr>
        <w:spacing w:after="0" w:line="11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Company incurred expenses for consulting services provided by its founders totaling $0.1 million, $0.1 million and $0.5 million during the years ended December 31, 2021, 2020 and 2019, respectively. The Company entered into consulting agreements with its founders to serve on its Scientific Advisory Board, effective January 1, 2020 to December 31, 2021, under which they were paid quarterly for their services.</w:t>
      </w:r>
    </w:p>
    <w:p>
      <w:pPr>
        <w:spacing w:after="0" w:line="200" w:lineRule="exact"/>
        <w:rPr>
          <w:sz w:val="20"/>
          <w:szCs w:val="20"/>
          <w:color w:val="auto"/>
        </w:rPr>
      </w:pPr>
    </w:p>
    <w:p>
      <w:pPr>
        <w:spacing w:after="0" w:line="204" w:lineRule="exact"/>
        <w:rPr>
          <w:sz w:val="20"/>
          <w:szCs w:val="20"/>
          <w:color w:val="auto"/>
        </w:rPr>
      </w:pPr>
    </w:p>
    <w:p>
      <w:pPr>
        <w:ind w:right="7980" w:firstLine="8"/>
        <w:spacing w:after="0" w:line="425" w:lineRule="auto"/>
        <w:tabs>
          <w:tab w:leader="none" w:pos="27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License Agreements Ginkgo Bioworks Holdings, Inc.</w:t>
      </w: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Collaboration and License Agreement</w:t>
      </w:r>
    </w:p>
    <w:p>
      <w:pPr>
        <w:spacing w:after="0" w:line="11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Selecta common stock, clinical and commercial milestone payments of up to $85.0 million in cash. The Ginkgo Agreement was assessed for collaboration components and was determined not to be within the scope of ASC 808 as the risk and rewards are not shared by both parties. The Company will expense costs related to the Ginkgo Agreement as incurred until regulatory approval is received in accordance with ASC 730. The Company is accounting for the contingently issuable shares to be issued in exchange for the license obtained from Ginkgo as a liability classified stock based compensation arrangement with a non-employee which will be recognized when achievement of the milestones is probable. The Company will assess the capitalization of costs incurred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Genovis AB (publ.)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w:t>
      </w:r>
    </w:p>
    <w:p>
      <w:pPr>
        <w:spacing w:after="0" w:line="11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October 21, 2021, the Company entered into an Exclusive License Agreement, or the Genovis Agreement, with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development and sales-based milestones.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Cyrus Biotechnology,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License Agreement</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September 7,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potentially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spacing w:after="0" w:line="7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57"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determined its equity interest to be within the scope of ASC 321 and elected to record the $2.0 million investment of Cyrus’ Series B Preferred Stock at cost on the purchase date.</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2021,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The feasibility study and license agreement with AskBio, or AskBio Collaboration Agreement, otherwise remains in effect. Consequently, the Company has assumed all rights to the MMA program and intends to continue to progress the SEL-302 program through clinical development. The Company filed an IND to conduct a Phase 1/2 clinical trial of its SEL-302 product candidate in pediatric patients with methylmalonic acidemia in the third quarter of 2021. On November 23, 2021, this trial was placed on clinical hold by the FDA, with questions specifically relating to chemistry, manufacturing and controls, or CMC, of the AAV vector. On February 9, 2022, we submitted a written response to the FDA to answer its questions. On March 9, 2022, we received a letter from the FDA indicating the clinical hold was removed and the trial may proceed.</w:t>
      </w:r>
    </w:p>
    <w:p>
      <w:pPr>
        <w:spacing w:after="0" w:line="8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SEL-399 program combined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This promising study in healthy volunteers provides support for the potential use of ImmTOR for the inhibition of neutralizing antibodies to AAV8 in gene therapy clinical trials.</w:t>
      </w:r>
    </w:p>
    <w:p>
      <w:pPr>
        <w:spacing w:after="0" w:line="8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8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R&amp;D expense and selling, general and administrative expense on the Company’s condensed consolidated statements of operations.</w:t>
      </w:r>
    </w:p>
    <w:p>
      <w:pPr>
        <w:spacing w:after="0" w:line="6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6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years ended December 31, 2021 and 2020, the Company recognized $2.7 million and $3.8 million, respectively, of collaboration expense under the AskBio Collaboration Agreement in which actual costs incurred by both parties approximate a 50% cost share.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ind w:right="580" w:firstLine="324"/>
        <w:spacing w:after="0" w:line="311" w:lineRule="auto"/>
        <w:rPr>
          <w:sz w:val="20"/>
          <w:szCs w:val="20"/>
          <w:color w:val="auto"/>
        </w:rPr>
      </w:pPr>
      <w:r>
        <w:rPr>
          <w:rFonts w:ascii="Arial" w:cs="Arial" w:eastAsia="Arial" w:hAnsi="Arial"/>
          <w:sz w:val="16"/>
          <w:szCs w:val="16"/>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8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As of December 31, 2021, and in connection with the execution of the Spark License Agreement, the Company has made contractual payments pursuant to the MIT License totaling $2.2 million, and $0.4 million relative to the calculated premium paid by Spark for the equity investments made under the Spark Purchase Agreement. The Company made no additional payments during the year ended December 31,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2021.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5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June 11, 2020, the Company entered into the Sobi License (see note 12). In September 2020, Sobi paid the Company a one-time upfront payment of $75.0 million. Sobi has also agreed to make milestone payments totaling up to $630.0 million to the Company upon achievement of various development and regulatory milestones and sales thresholds for annual net sales of SEL-212, and tiered royalty payments ranging from low double digits on the lowest sales tier to high teens on the highest sales tier.</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For income tax purposes, the transfer of trademark and product rights is treated as a sale and the net proceeds from the sale are taxed under the default installment method as cash is received by the Company. During the year ending December 31, 2021, the Company completed an analysis of future tax obligations under the default installment sale method versus making a timely filed election on its 2020 tax return due October 15, 2021 to elect out of the installment sale method for income tax purposes. As a result, the Company elected out of the default installment sale treatment with the filing of its tax return. In the elect out method, the Company was taxed based upon the estimated fair value of all present and future proceeds from the sale and the Company utilized all of its available net operating losses and income tax credits, which served to reduce the federal and state tax liability. As the Company recognizes future revenue under the Sobi license for US GAAP purposes, the Company will exclude that revenue from taxable income.</w:t>
      </w:r>
    </w:p>
    <w:p>
      <w:pPr>
        <w:spacing w:after="0" w:line="5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year ended December 31, 2021, the Company recognized a current tax expense of $16.0 million, inclusive of estimated penalties and interest of $1.3 million. For the years ended December 31, 2020 and 2019, the Company did not record a current or deferred income tax expense or benefit. The following table reconciles the federal statutory income rate to the Company’s effective income tax rate: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44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1440" w:type="dxa"/>
            <w:vAlign w:val="bottom"/>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54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18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Statutory U.S. federal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State income taxes - net of federal benefit</w:t>
            </w:r>
          </w:p>
        </w:tc>
        <w:tc>
          <w:tcPr>
            <w:tcW w:w="1440" w:type="dxa"/>
            <w:vAlign w:val="bottom"/>
          </w:tcPr>
          <w:p>
            <w:pPr>
              <w:jc w:val="right"/>
              <w:spacing w:after="0"/>
              <w:rPr>
                <w:sz w:val="20"/>
                <w:szCs w:val="20"/>
                <w:color w:val="auto"/>
              </w:rPr>
            </w:pPr>
            <w:r>
              <w:rPr>
                <w:rFonts w:ascii="Arial" w:cs="Arial" w:eastAsia="Arial" w:hAnsi="Arial"/>
                <w:sz w:val="14"/>
                <w:szCs w:val="14"/>
                <w:color w:val="auto"/>
              </w:rPr>
              <w:t>(166.0 %)</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Permanent items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Research tax credits</w:t>
            </w:r>
          </w:p>
        </w:tc>
        <w:tc>
          <w:tcPr>
            <w:tcW w:w="1440" w:type="dxa"/>
            <w:vAlign w:val="bottom"/>
          </w:tcPr>
          <w:p>
            <w:pPr>
              <w:jc w:val="right"/>
              <w:spacing w:after="0"/>
              <w:rPr>
                <w:sz w:val="20"/>
                <w:szCs w:val="20"/>
                <w:color w:val="auto"/>
              </w:rPr>
            </w:pPr>
            <w:r>
              <w:rPr>
                <w:rFonts w:ascii="Arial" w:cs="Arial" w:eastAsia="Arial" w:hAnsi="Arial"/>
                <w:sz w:val="14"/>
                <w:szCs w:val="14"/>
                <w:color w:val="auto"/>
              </w:rPr>
              <w:t>55.0 %</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1.1 %</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156.5 %</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Other</w:t>
            </w:r>
          </w:p>
        </w:tc>
        <w:tc>
          <w:tcPr>
            <w:tcW w:w="1440" w:type="dxa"/>
            <w:vAlign w:val="bottom"/>
          </w:tcPr>
          <w:p>
            <w:pPr>
              <w:jc w:val="right"/>
              <w:spacing w:after="0"/>
              <w:rPr>
                <w:sz w:val="20"/>
                <w:szCs w:val="20"/>
                <w:color w:val="auto"/>
              </w:rPr>
            </w:pPr>
            <w:r>
              <w:rPr>
                <w:rFonts w:ascii="Arial" w:cs="Arial" w:eastAsia="Arial" w:hAnsi="Arial"/>
                <w:sz w:val="14"/>
                <w:szCs w:val="14"/>
                <w:color w:val="auto"/>
              </w:rPr>
              <w:t>(3.7 %)</w:t>
            </w:r>
          </w:p>
        </w:tc>
        <w:tc>
          <w:tcPr>
            <w:tcW w:w="1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14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net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(230.1 %)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(26.3 %)</w:t>
            </w: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440" w:type="dxa"/>
            <w:vAlign w:val="bottom"/>
          </w:tcPr>
          <w:p>
            <w:pPr>
              <w:jc w:val="right"/>
              <w:spacing w:after="0"/>
              <w:rPr>
                <w:sz w:val="20"/>
                <w:szCs w:val="20"/>
                <w:color w:val="auto"/>
              </w:rPr>
            </w:pPr>
            <w:r>
              <w:rPr>
                <w:rFonts w:ascii="Arial" w:cs="Arial" w:eastAsia="Arial" w:hAnsi="Arial"/>
                <w:sz w:val="14"/>
                <w:szCs w:val="14"/>
                <w:color w:val="auto"/>
              </w:rPr>
              <w:t>(5.2 %)</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11"/>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that give rise to the Company’s net deferred tax assets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Net operating loss carryforwards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13,932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63,678</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credits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7,632</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Stock-based compensations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2,919</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102,583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26,699</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Patent costs/amortization</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5,379</w:t>
            </w: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deferred tax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132,120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109,979</w:t>
            </w:r>
          </w:p>
        </w:tc>
      </w:tr>
      <w:tr>
        <w:trPr>
          <w:trHeight w:val="216"/>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(2,991)</w:t>
            </w: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deferred tax liabilities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w:t>
            </w: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 before valuation allowance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129,345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106,977</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(129,345)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(106,977)</w:t>
            </w: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6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The valuation allowance increased by $22.4 million and $16.3 million for the years ended December 31, 2021, and 2020, respectively, primarily as a result of an increase in deferred revenue. In 2014, the Company’s Russian subsidiary was granted a 10 year tax holiday in Russia. The Company’s foreign operations continue to benefit from the tax holiday, which is set to expire on December 31, 2023, however the Company is in the process of closing down operations in Russia and does not expect any tax liability.</w:t>
      </w:r>
    </w:p>
    <w:p>
      <w:pPr>
        <w:spacing w:after="0" w:line="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December 31, 2021, the Company has federal and state net operating loss carryforwards of $51.1 million and $50.8 million, respectively, which will expire at various times through 2041. Of the federal net operating losses, $51.1 million can be carried forward indefinitely but will be subject to an 80% limitation. The Company has $1.2 million and $0.3 million, respectively, of federal and state research and development tax credit carryforwards, which will expire at various times through 2041. Utilization of the NOL carryforwards and research and orphan drug credit carryforwards may be subject to a substantial annual limitation under Section 382 of the Internal Revenue Code of 1986, as amended (the Code), and similar state law due to ownership changes that could occur in the future.</w:t>
      </w:r>
    </w:p>
    <w:p>
      <w:pPr>
        <w:spacing w:after="0" w:line="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limitation may result in expiration of a portion of the NOL carryforwards or research and orphan drug credit carryforwards before utilization. The Company performed an analysis of ownership changes through December 31, 2021. Based on this analysis, the Company does not believe that any of its tax attributes through December 31, 2021 will expire unutilized due to Section 382 limitations.</w:t>
      </w:r>
    </w:p>
    <w:p>
      <w:pPr>
        <w:spacing w:after="0" w:line="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The Company applies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uncertain tax positions. As of the adoption date on January 1, 2010 and through December 31, 2021, the Company had no unrecognized tax benefits or related interest and penalties accrued.</w:t>
      </w:r>
    </w:p>
    <w:p>
      <w:pPr>
        <w:spacing w:after="0" w:line="6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During 2021, the Company completed a detailed study of its research and development and orphan drug credits through December 31, 2020. As a result, the Company adjusted its current tax payable and deferred tax asset balances and the impacts are included in the federal research and orphan drug credit and state income taxes lines in the effective rate reconciliation above.</w:t>
      </w:r>
    </w:p>
    <w:p>
      <w:pPr>
        <w:spacing w:after="0" w:line="7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 of operations. As of December 31, 2021, the Company had no accrued interest related to uncertain tax positions.</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four years and participant contributions vest immediately. Contributions by the Company totaled $0.2 million, $0.1 million, and $0.1 million during each of the years ended December 31, 2021, 2020 and 2019, respectively.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December 31, 2021, the Company was not a party to any litigation that could have a material adverse effect on the Company’s business, financial position, results of operations or cash flows.</w:t>
      </w:r>
    </w:p>
    <w:p>
      <w:pPr>
        <w:spacing w:after="0" w:line="6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they expect to submit documentation to the Court for its approval of the settlement in the near future. As of December 31, 2021, the Company accrued an estimated liability of $0.9 million for the plaintiff’s litigation, as the liability has been determined to be probable.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required to make under these indemnification agreements is unlimited. To date, the Company had not experienced any material losses related to any of its indemnification obligations, and no material claims with respect thereto were outstanding.</w:t>
      </w:r>
    </w:p>
    <w:p>
      <w:pPr>
        <w:spacing w:after="0" w:line="6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License Agreements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January 3, 2022, the Company entered into a Collaboration and License Agreement with Ginkgo Bioworks, Inc, or the Second Ginkgo Agreement.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Selecta common stock, clinical and commercial milestone payments of up to $207 million in cash, as well as downstream value in the form of royalties on sales.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Subsequent to December 31, 2021, the Company sold 576,418 shares of its common stock pursuant to the 2021 Sales Agreement for aggregate net proceeds of $1.7 million, after deducting commissions and other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320" w:top="125" w:right="39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216" w:lineRule="exact"/>
        <w:rPr>
          <w:sz w:val="20"/>
          <w:szCs w:val="20"/>
          <w:color w:val="auto"/>
        </w:rPr>
      </w:pPr>
    </w:p>
    <w:p>
      <w:pPr>
        <w:ind w:left="680" w:hanging="348"/>
        <w:spacing w:after="0"/>
        <w:tabs>
          <w:tab w:leader="none" w:pos="6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4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March 10, 2022</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920" w:type="dxa"/>
            <w:vAlign w:val="bottom"/>
          </w:tcPr>
          <w:p>
            <w:pPr>
              <w:jc w:val="center"/>
              <w:spacing w:after="0"/>
              <w:rPr>
                <w:sz w:val="20"/>
                <w:szCs w:val="20"/>
                <w:color w:val="auto"/>
              </w:rPr>
            </w:pPr>
            <w:r>
              <w:rPr>
                <w:rFonts w:ascii="Arial" w:cs="Arial" w:eastAsia="Arial" w:hAnsi="Arial"/>
                <w:sz w:val="20"/>
                <w:szCs w:val="20"/>
                <w:i w:val="1"/>
                <w:iCs w:val="1"/>
                <w:color w:val="auto"/>
                <w:w w:val="93"/>
              </w:rPr>
              <w:t>(Principal Executive Officer)</w:t>
            </w:r>
          </w:p>
        </w:tc>
      </w:tr>
    </w:tbl>
    <w:p>
      <w:pPr>
        <w:sectPr>
          <w:pgSz w:w="11900" w:h="16838" w:orient="portrait"/>
          <w:cols w:equalWidth="0" w:num="1">
            <w:col w:w="11240"/>
          </w:cols>
          <w:pgMar w:left="320" w:top="76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Kevin Tan, certify that:</w:t>
      </w:r>
    </w:p>
    <w:p>
      <w:pPr>
        <w:spacing w:after="0" w:line="216" w:lineRule="exact"/>
        <w:rPr>
          <w:sz w:val="20"/>
          <w:szCs w:val="20"/>
          <w:color w:val="auto"/>
        </w:rPr>
      </w:pPr>
    </w:p>
    <w:p>
      <w:pPr>
        <w:ind w:left="680" w:hanging="348"/>
        <w:spacing w:after="0"/>
        <w:tabs>
          <w:tab w:leader="none" w:pos="6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4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920" w:type="dxa"/>
            <w:vAlign w:val="bottom"/>
          </w:tcPr>
          <w:p>
            <w:pPr>
              <w:spacing w:after="0"/>
              <w:rPr>
                <w:sz w:val="20"/>
                <w:szCs w:val="20"/>
                <w:color w:val="auto"/>
              </w:rPr>
            </w:pPr>
            <w:r>
              <w:rPr>
                <w:rFonts w:ascii="Arial" w:cs="Arial" w:eastAsia="Arial" w:hAnsi="Arial"/>
                <w:sz w:val="20"/>
                <w:szCs w:val="20"/>
                <w:color w:val="2C2C2C"/>
              </w:rPr>
              <w:t>March 10, 2022</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Kevin Tan</w:t>
            </w:r>
          </w:p>
        </w:tc>
      </w:tr>
      <w:tr>
        <w:trPr>
          <w:trHeight w:val="233"/>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1"/>
              </w:rPr>
              <w:t>Kevin Tan</w:t>
            </w:r>
          </w:p>
        </w:tc>
      </w:tr>
      <w:tr>
        <w:trPr>
          <w:trHeight w:val="243"/>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592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i w:val="1"/>
                <w:iCs w:val="1"/>
                <w:color w:val="auto"/>
                <w:w w:val="95"/>
              </w:rPr>
              <w:t>(Principal Financial Officer)</w:t>
            </w:r>
          </w:p>
        </w:tc>
      </w:tr>
    </w:tbl>
    <w:p>
      <w:pPr>
        <w:sectPr>
          <w:pgSz w:w="11900" w:h="16838" w:orient="portrait"/>
          <w:cols w:equalWidth="0" w:num="1">
            <w:col w:w="11240"/>
          </w:cols>
          <w:pgMar w:left="320" w:top="76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35" w:lineRule="exact"/>
        <w:rPr>
          <w:sz w:val="20"/>
          <w:szCs w:val="20"/>
          <w:color w:val="auto"/>
        </w:rPr>
      </w:pPr>
    </w:p>
    <w:p>
      <w:pPr>
        <w:ind w:right="280" w:firstLine="324"/>
        <w:spacing w:after="0" w:line="250" w:lineRule="auto"/>
        <w:rPr>
          <w:sz w:val="20"/>
          <w:szCs w:val="20"/>
          <w:color w:val="auto"/>
        </w:rPr>
      </w:pPr>
      <w:r>
        <w:rPr>
          <w:rFonts w:ascii="Arial" w:cs="Arial" w:eastAsia="Arial" w:hAnsi="Arial"/>
          <w:sz w:val="20"/>
          <w:szCs w:val="20"/>
          <w:color w:val="auto"/>
        </w:rPr>
        <w:t>In connection with the Annual Report on Form 10-K of Selecta Biosciences, Inc. (the “Company”) for the period ended December 31, 2021 as filed with the Securities and Exchange Commission on the date hereof (the “Report”), each of the undersigned officers of the Company hereby certifies, pursuant to 18 U.S.C. Section 1350, that to his knowledge:</w:t>
      </w:r>
    </w:p>
    <w:p>
      <w:pPr>
        <w:spacing w:after="0" w:line="78" w:lineRule="exact"/>
        <w:rPr>
          <w:sz w:val="20"/>
          <w:szCs w:val="20"/>
          <w:color w:val="auto"/>
        </w:rPr>
      </w:pPr>
    </w:p>
    <w:p>
      <w:pPr>
        <w:ind w:left="660" w:right="220" w:hanging="328"/>
        <w:spacing w:after="0" w:line="260" w:lineRule="auto"/>
        <w:tabs>
          <w:tab w:leader="none" w:pos="67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period ended December 31, 2021 (the “Report”) fully complies with the requirements of Section 13(a) or 15(d) of the Securities Exchange Act of 1934, as amended; and</w:t>
      </w:r>
    </w:p>
    <w:p>
      <w:pPr>
        <w:spacing w:after="0" w:line="68"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80" w:type="dxa"/>
            <w:vAlign w:val="bottom"/>
          </w:tcPr>
          <w:p>
            <w:pPr>
              <w:spacing w:after="0"/>
              <w:rPr>
                <w:sz w:val="20"/>
                <w:szCs w:val="20"/>
                <w:color w:val="auto"/>
              </w:rPr>
            </w:pPr>
            <w:r>
              <w:rPr>
                <w:rFonts w:ascii="Arial" w:cs="Arial" w:eastAsia="Arial" w:hAnsi="Arial"/>
                <w:sz w:val="20"/>
                <w:szCs w:val="20"/>
                <w:color w:val="2C2C2C"/>
              </w:rPr>
              <w:t>March 10, 2022</w:t>
            </w:r>
          </w:p>
        </w:tc>
        <w:tc>
          <w:tcPr>
            <w:tcW w:w="40" w:type="dxa"/>
            <w:vAlign w:val="bottom"/>
            <w:tcBorders>
              <w:bottom w:val="single" w:sz="8" w:color="auto"/>
            </w:tcBorders>
          </w:tcPr>
          <w:p>
            <w:pPr>
              <w:spacing w:after="0"/>
              <w:rPr>
                <w:sz w:val="21"/>
                <w:szCs w:val="21"/>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20"/>
                <w:szCs w:val="20"/>
                <w:color w:val="auto"/>
                <w:w w:val="89"/>
              </w:rPr>
              <w:t>/s/ Carsten Brunn, Ph.D.</w:t>
            </w:r>
          </w:p>
        </w:tc>
      </w:tr>
      <w:tr>
        <w:trPr>
          <w:trHeight w:val="233"/>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color w:val="auto"/>
                <w:w w:val="89"/>
              </w:rPr>
              <w:t>Carsten Brunn, Ph.D.</w:t>
            </w:r>
          </w:p>
        </w:tc>
      </w:tr>
      <w:tr>
        <w:trPr>
          <w:trHeight w:val="243"/>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i w:val="1"/>
                <w:iCs w:val="1"/>
                <w:color w:val="auto"/>
                <w:w w:val="90"/>
              </w:rPr>
              <w:t>President and Chief Executive Officer, and Director</w:t>
            </w:r>
          </w:p>
        </w:tc>
      </w:tr>
      <w:tr>
        <w:trPr>
          <w:trHeight w:val="250"/>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60"/>
              <w:spacing w:after="0"/>
              <w:rPr>
                <w:sz w:val="20"/>
                <w:szCs w:val="20"/>
                <w:color w:val="auto"/>
              </w:rPr>
            </w:pPr>
            <w:r>
              <w:rPr>
                <w:rFonts w:ascii="Arial" w:cs="Arial" w:eastAsia="Arial" w:hAnsi="Arial"/>
                <w:sz w:val="20"/>
                <w:szCs w:val="20"/>
                <w:i w:val="1"/>
                <w:iCs w:val="1"/>
                <w:color w:val="auto"/>
                <w:w w:val="93"/>
              </w:rPr>
              <w:t>(Principal Executive Officer)</w:t>
            </w:r>
          </w:p>
        </w:tc>
      </w:tr>
      <w:tr>
        <w:trPr>
          <w:trHeight w:val="927"/>
        </w:trPr>
        <w:tc>
          <w:tcPr>
            <w:tcW w:w="6280" w:type="dxa"/>
            <w:vAlign w:val="bottom"/>
          </w:tcPr>
          <w:p>
            <w:pPr>
              <w:spacing w:after="0"/>
              <w:rPr>
                <w:sz w:val="20"/>
                <w:szCs w:val="20"/>
                <w:color w:val="auto"/>
              </w:rPr>
            </w:pPr>
            <w:r>
              <w:rPr>
                <w:rFonts w:ascii="Arial" w:cs="Arial" w:eastAsia="Arial" w:hAnsi="Arial"/>
                <w:sz w:val="20"/>
                <w:szCs w:val="20"/>
                <w:color w:val="2C2C2C"/>
              </w:rPr>
              <w:t>March 10, 2022</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color w:val="auto"/>
                <w:w w:val="90"/>
              </w:rPr>
              <w:t>/s/ Kevin Tan</w:t>
            </w:r>
          </w:p>
        </w:tc>
      </w:tr>
      <w:tr>
        <w:trPr>
          <w:trHeight w:val="233"/>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Kevin Tan</w:t>
            </w:r>
          </w:p>
        </w:tc>
        <w:tc>
          <w:tcPr>
            <w:tcW w:w="20" w:type="dxa"/>
            <w:vAlign w:val="bottom"/>
          </w:tcPr>
          <w:p>
            <w:pPr>
              <w:spacing w:after="0"/>
              <w:rPr>
                <w:sz w:val="20"/>
                <w:szCs w:val="20"/>
                <w:color w:val="auto"/>
              </w:rPr>
            </w:pPr>
          </w:p>
        </w:tc>
      </w:tr>
      <w:tr>
        <w:trPr>
          <w:trHeight w:val="243"/>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i w:val="1"/>
                <w:iCs w:val="1"/>
                <w:color w:val="auto"/>
                <w:w w:val="94"/>
              </w:rPr>
              <w:t>Chief Financial Officer</w:t>
            </w:r>
          </w:p>
        </w:tc>
      </w:tr>
      <w:tr>
        <w:trPr>
          <w:trHeight w:val="250"/>
        </w:trPr>
        <w:tc>
          <w:tcPr>
            <w:tcW w:w="6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80" w:type="dxa"/>
            <w:vAlign w:val="bottom"/>
            <w:gridSpan w:val="2"/>
          </w:tcPr>
          <w:p>
            <w:pPr>
              <w:jc w:val="center"/>
              <w:ind w:right="20"/>
              <w:spacing w:after="0"/>
              <w:rPr>
                <w:sz w:val="20"/>
                <w:szCs w:val="20"/>
                <w:color w:val="auto"/>
              </w:rPr>
            </w:pPr>
            <w:r>
              <w:rPr>
                <w:rFonts w:ascii="Arial" w:cs="Arial" w:eastAsia="Arial" w:hAnsi="Arial"/>
                <w:sz w:val="20"/>
                <w:szCs w:val="20"/>
                <w:i w:val="1"/>
                <w:iCs w:val="1"/>
                <w:color w:val="auto"/>
                <w:w w:val="95"/>
              </w:rPr>
              <w:t>(Principal Financial Officer)</w:t>
            </w:r>
          </w:p>
        </w:tc>
      </w:tr>
    </w:tbl>
    <w:p>
      <w:pPr>
        <w:sectPr>
          <w:pgSz w:w="11900" w:h="16838" w:orient="portrait"/>
          <w:cols w:equalWidth="0" w:num="1">
            <w:col w:w="11240"/>
          </w:cols>
          <w:pgMar w:left="320" w:top="76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112" w:lineRule="exact"/>
        <w:rPr>
          <w:sz w:val="20"/>
          <w:szCs w:val="20"/>
          <w:color w:val="auto"/>
        </w:rPr>
      </w:pPr>
    </w:p>
    <w:p>
      <w:pPr>
        <w:ind w:left="660" w:right="380" w:hanging="328"/>
        <w:spacing w:after="0" w:line="341" w:lineRule="auto"/>
        <w:tabs>
          <w:tab w:leader="none" w:pos="655" w:val="left"/>
        </w:tabs>
        <w:numPr>
          <w:ilvl w:val="0"/>
          <w:numId w:val="44"/>
        </w:numPr>
        <w:rPr>
          <w:rFonts w:ascii="Arial" w:cs="Arial" w:eastAsia="Arial" w:hAnsi="Arial"/>
          <w:sz w:val="19"/>
          <w:szCs w:val="19"/>
          <w:color w:val="auto"/>
        </w:rPr>
      </w:pPr>
      <w:r>
        <w:rPr>
          <w:rFonts w:ascii="Arial" w:cs="Arial" w:eastAsia="Arial" w:hAnsi="Arial"/>
          <w:sz w:val="19"/>
          <w:szCs w:val="19"/>
          <w:color w:val="auto"/>
        </w:rPr>
        <w:t>Registration Statement (Form S-8, File No. 333-212215) pertaining to the 2008 Stock Incentive Plan, as amended, the 2016 Incentive Award Plan and the 2016 Employee Stock Purchase Plan of Selecta Biosciences, Inc.,</w:t>
      </w:r>
    </w:p>
    <w:p>
      <w:pPr>
        <w:ind w:left="660" w:right="560" w:hanging="328"/>
        <w:spacing w:after="0" w:line="263"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S-8, File No. 333-224109) pertaining to the 2016 Incentive Awards Plan and the 2016 Employee Stock Purchase Plan of Selecta Biosciences, Inc.,</w:t>
      </w:r>
    </w:p>
    <w:p>
      <w:pPr>
        <w:spacing w:after="0" w:line="66" w:lineRule="exact"/>
        <w:rPr>
          <w:rFonts w:ascii="Arial" w:cs="Arial" w:eastAsia="Arial" w:hAnsi="Arial"/>
          <w:sz w:val="22"/>
          <w:szCs w:val="22"/>
          <w:color w:val="auto"/>
        </w:rPr>
      </w:pPr>
    </w:p>
    <w:p>
      <w:pPr>
        <w:ind w:left="660" w:right="620" w:hanging="328"/>
        <w:spacing w:after="0" w:line="263"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S-8, File No. 333-228264) pertaining to the 2018 Employment Inducement Incentive Award Plan of Selecta Biosciences, Inc.,</w:t>
      </w:r>
    </w:p>
    <w:p>
      <w:pPr>
        <w:spacing w:after="0" w:line="66" w:lineRule="exact"/>
        <w:rPr>
          <w:rFonts w:ascii="Arial" w:cs="Arial" w:eastAsia="Arial" w:hAnsi="Arial"/>
          <w:sz w:val="22"/>
          <w:szCs w:val="22"/>
          <w:color w:val="auto"/>
        </w:rPr>
      </w:pPr>
    </w:p>
    <w:p>
      <w:pPr>
        <w:ind w:left="660" w:right="620" w:hanging="328"/>
        <w:spacing w:after="0" w:line="263"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S-8, File No. 333-230501) pertaining to the 2018 Employment Inducement Incentive Award Plan of Selecta Biosciences, Inc.,</w:t>
      </w:r>
    </w:p>
    <w:p>
      <w:pPr>
        <w:spacing w:after="0" w:line="66" w:lineRule="exact"/>
        <w:rPr>
          <w:rFonts w:ascii="Arial" w:cs="Arial" w:eastAsia="Arial" w:hAnsi="Arial"/>
          <w:sz w:val="22"/>
          <w:szCs w:val="22"/>
          <w:color w:val="auto"/>
        </w:rPr>
      </w:pPr>
    </w:p>
    <w:p>
      <w:pPr>
        <w:ind w:left="660" w:right="640" w:hanging="328"/>
        <w:spacing w:after="0" w:line="263"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S-8, File No. 333-239075) pertaining to the 2016 Incentive Award Plan and the 2016 Employee Stock Purchase Plan of Selecta Biosciences, Inc.,</w:t>
      </w:r>
    </w:p>
    <w:p>
      <w:pPr>
        <w:spacing w:after="0" w:line="66" w:lineRule="exact"/>
        <w:rPr>
          <w:rFonts w:ascii="Arial" w:cs="Arial" w:eastAsia="Arial" w:hAnsi="Arial"/>
          <w:sz w:val="22"/>
          <w:szCs w:val="22"/>
          <w:color w:val="auto"/>
        </w:rPr>
      </w:pPr>
    </w:p>
    <w:p>
      <w:pPr>
        <w:ind w:left="660" w:right="640" w:hanging="328"/>
        <w:spacing w:after="0" w:line="263"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S-8, File No. 333-256061) pertaining to the 2016 Incentive Award Plan and the 2016 Employee Stock Purchase Plan of Selecta Biosciences, Inc.,</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S-3, File No. 333-236147) of Selecta Biosciences, Inc.,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Registration Statement (Form S-3, File No. 333-241692) of Selecta Biosciences, Inc.;</w:t>
      </w:r>
    </w:p>
    <w:p>
      <w:pPr>
        <w:spacing w:after="0" w:line="200" w:lineRule="exact"/>
        <w:rPr>
          <w:sz w:val="20"/>
          <w:szCs w:val="20"/>
          <w:color w:val="auto"/>
        </w:rPr>
      </w:pPr>
    </w:p>
    <w:p>
      <w:pPr>
        <w:spacing w:after="0" w:line="263" w:lineRule="exact"/>
        <w:rPr>
          <w:sz w:val="20"/>
          <w:szCs w:val="20"/>
          <w:color w:val="auto"/>
        </w:rPr>
      </w:pPr>
    </w:p>
    <w:p>
      <w:pPr>
        <w:ind w:right="160"/>
        <w:spacing w:after="0" w:line="287" w:lineRule="auto"/>
        <w:rPr>
          <w:sz w:val="20"/>
          <w:szCs w:val="20"/>
          <w:color w:val="auto"/>
        </w:rPr>
      </w:pPr>
      <w:r>
        <w:rPr>
          <w:rFonts w:ascii="Arial" w:cs="Arial" w:eastAsia="Arial" w:hAnsi="Arial"/>
          <w:sz w:val="21"/>
          <w:szCs w:val="21"/>
          <w:color w:val="auto"/>
        </w:rPr>
        <w:t>of our report dated March 10, 2022 with respect to the consolidated financial statements of Selecta Biosciences, Inc. included in this Annual Report (Form 10-K) of Selecta Biosciences, Inc. for the year ended December 31, 2021.</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March 10, 2022</w:t>
      </w:r>
    </w:p>
    <w:p>
      <w:pPr>
        <w:sectPr>
          <w:pgSz w:w="11900" w:h="16838" w:orient="portrait"/>
          <w:cols w:equalWidth="0" w:num="1">
            <w:col w:w="11240"/>
          </w:cols>
          <w:pgMar w:left="320" w:top="76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color w:val="auto"/>
        </w:rPr>
        <w:t>Exhibit 4.10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 AS AMENDED</w:t>
      </w:r>
    </w:p>
    <w:p>
      <w:pPr>
        <w:spacing w:after="0" w:line="200" w:lineRule="exact"/>
        <w:rPr>
          <w:sz w:val="20"/>
          <w:szCs w:val="20"/>
          <w:color w:val="auto"/>
        </w:rPr>
      </w:pPr>
    </w:p>
    <w:p>
      <w:pPr>
        <w:spacing w:after="0" w:line="243" w:lineRule="exact"/>
        <w:rPr>
          <w:sz w:val="20"/>
          <w:szCs w:val="20"/>
          <w:color w:val="auto"/>
        </w:rPr>
      </w:pPr>
    </w:p>
    <w:p>
      <w:pPr>
        <w:ind w:right="280" w:firstLine="648"/>
        <w:spacing w:after="0" w:line="369" w:lineRule="auto"/>
        <w:rPr>
          <w:sz w:val="20"/>
          <w:szCs w:val="20"/>
          <w:color w:val="auto"/>
        </w:rPr>
      </w:pPr>
      <w:r>
        <w:rPr>
          <w:rFonts w:ascii="Arial" w:cs="Arial" w:eastAsia="Arial" w:hAnsi="Arial"/>
          <w:sz w:val="16"/>
          <w:szCs w:val="16"/>
          <w:color w:val="auto"/>
        </w:rPr>
        <w:t>As of December 31, 2021, Selecta Biosciences, Inc. (the “Company,” “we,” “us” and “our”) had one class of securities registered under Section 12 of the Securities Exchange Act of 1934, as amended: our common stock, par value $0.0001 per share (“common stock”).</w:t>
      </w:r>
    </w:p>
    <w:p>
      <w:pPr>
        <w:spacing w:after="0" w:line="1" w:lineRule="exact"/>
        <w:rPr>
          <w:sz w:val="20"/>
          <w:szCs w:val="20"/>
          <w:color w:val="auto"/>
        </w:rPr>
      </w:pPr>
    </w:p>
    <w:p>
      <w:pPr>
        <w:ind w:right="40" w:firstLine="648"/>
        <w:spacing w:after="0" w:line="244" w:lineRule="auto"/>
        <w:rPr>
          <w:sz w:val="20"/>
          <w:szCs w:val="20"/>
          <w:color w:val="auto"/>
        </w:rPr>
      </w:pPr>
      <w:r>
        <w:rPr>
          <w:rFonts w:ascii="Arial" w:cs="Arial" w:eastAsia="Arial" w:hAnsi="Arial"/>
          <w:sz w:val="20"/>
          <w:szCs w:val="20"/>
          <w:color w:val="auto"/>
        </w:rPr>
        <w:t>The following description of our common stock is a summary and does not purport to be complete. It is subject to and qualified in its entirety by reference to our Restated Certificate of Incorporation (the “Certificate”), our Amended and Restated Bylaws (the “Bylaws”) and applicable provisions of the Delaware General Corporation Law (“DGCL”). Our Certificate and Bylaws are included as exhibits to the Annual Report on Form 10-K of which this Exhibit 4.10 forms a part. We encourage you to carefully read our Certificate, Bylaws and the applicable provisions of the DGCL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1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8"/>
          <w:szCs w:val="18"/>
          <w:color w:val="auto"/>
        </w:rPr>
        <w:t>Under the Certificate, we have the authority to issue 200,000,000 shares of common stock. Our common stock is listed on The Nasdaq Global Market under the symbol “SELB.” The rights, preferences and privileges of holders of our common stock are subject to, and may be adversely affected by, the rights of the holders of shares of any series of preferred stock we may designate and issue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Outstanding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outstanding shares of our common stock are duly authorized, validly issued, fully paid and nonassessable.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114"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Rights Upon Liquidation</w:t>
      </w:r>
    </w:p>
    <w:p>
      <w:pPr>
        <w:spacing w:after="0" w:line="11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0"/>
          <w:szCs w:val="20"/>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114"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Holders of common stock are entitled to receive proportionately any dividends as may be declared by our board of directors, subject to any preferential dividend rights of outstanding preferred stock.</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Holders of common stock have no preemptive, subscription, redemption or conversion rights.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w:t>
      </w:r>
    </w:p>
    <w:p>
      <w:pPr>
        <w:spacing w:after="0" w:line="114"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Certain holders our common stock or their transferees are entitled to the following rights with respect to the registration of such shares for public resale under the Securities Act of 1933, as amended (the “Securities Act”).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9" w:right="339" w:bottom="1440" w:gutter="0" w:footer="0" w:header="0"/>
        </w:sectPr>
      </w:pPr>
    </w:p>
    <w:bookmarkStart w:id="118" w:name="page119"/>
    <w:bookmarkEnd w:id="118"/>
    <w:p>
      <w:pPr>
        <w:ind w:right="60" w:firstLine="648"/>
        <w:spacing w:after="0" w:line="244" w:lineRule="auto"/>
        <w:rPr>
          <w:sz w:val="20"/>
          <w:szCs w:val="20"/>
          <w:color w:val="auto"/>
        </w:rPr>
      </w:pPr>
      <w:r>
        <w:rPr>
          <w:rFonts w:ascii="Arial" w:cs="Arial" w:eastAsia="Arial" w:hAnsi="Arial"/>
          <w:sz w:val="20"/>
          <w:szCs w:val="20"/>
          <w:color w:val="auto"/>
        </w:rPr>
        <w:t>These registration rights are granted pursuant to (i) a registration rights agreement, or the 2019 Registration Rights Agreement, we entered into in connection with the private placement of 37,634,883 shares of our common stock and warrants to purchase 31,330,629 shares of our common stock, or the 2019 Private Placement, which closed on December 23, 2019; and (ii) a registration rights agreement, or the 2020 Registration Rights Agreement, we entered into in connection with the private placement of 5,416,390 shares of our common stock, or the 2020 Private Placement, which closed on July 31, 2020.</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2019 Registration Rights Agreement</w:t>
      </w:r>
    </w:p>
    <w:p>
      <w:pPr>
        <w:spacing w:after="0" w:line="108"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The shares of common stock underlying the warrants and the shares of common stock issued in connection with our 2019 Private Placement are currently registered under a registration statement that has been declared effective by the SEC, pursuant to the 2019 Registration Rights Agreement. Subject to certain exceptions, pursuant to the 2019 Registration Rights Agreement, we have agreed to use reasonable best efforts to keep the registration statement registering the resale of these shares of common effective under the Securities Act until the earlier of (i) such time as all of the securities registered for resale have been disposed of pursuant to and in accordance with the registration statement, (ii) such time as all of the securities registered for resale have been sold in accordance with Rule 144 under the Securities Act, (iii) the date on which the shares of common stock registered for resale become eligible for resale without volume or manner-of-sale restrictions and without current public information pursuant to Rule 144; and (iv) December 23, 2024.</w:t>
      </w:r>
    </w:p>
    <w:p>
      <w:pPr>
        <w:spacing w:after="0" w:line="60"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We have also agreed, among other things, to indemnify the investors under the registration statement from certain liabilities and to pay all fees and expenses (excluding any legal fees of the selling holder(s), and any underwriting discounts and selling commissions) incident to our obligations under the 2019 Registration Rights Agreement.</w:t>
      </w:r>
    </w:p>
    <w:p>
      <w:pPr>
        <w:spacing w:after="0" w:line="321" w:lineRule="exact"/>
        <w:rPr>
          <w:sz w:val="20"/>
          <w:szCs w:val="20"/>
          <w:color w:val="auto"/>
        </w:rPr>
      </w:pPr>
    </w:p>
    <w:p>
      <w:pPr>
        <w:ind w:left="340"/>
        <w:spacing w:after="0"/>
        <w:rPr>
          <w:sz w:val="20"/>
          <w:szCs w:val="20"/>
          <w:color w:val="auto"/>
        </w:rPr>
      </w:pPr>
      <w:r>
        <w:rPr>
          <w:rFonts w:ascii="Arial" w:cs="Arial" w:eastAsia="Arial" w:hAnsi="Arial"/>
          <w:sz w:val="20"/>
          <w:szCs w:val="20"/>
          <w:b w:val="1"/>
          <w:bCs w:val="1"/>
          <w:i w:val="1"/>
          <w:iCs w:val="1"/>
          <w:color w:val="auto"/>
        </w:rPr>
        <w:t>2020 Registration Rights Agreement</w:t>
      </w:r>
    </w:p>
    <w:p>
      <w:pPr>
        <w:spacing w:after="0" w:line="108" w:lineRule="exact"/>
        <w:rPr>
          <w:sz w:val="20"/>
          <w:szCs w:val="20"/>
          <w:color w:val="auto"/>
        </w:rPr>
      </w:pPr>
    </w:p>
    <w:p>
      <w:pPr>
        <w:ind w:right="80" w:firstLine="648"/>
        <w:spacing w:after="0" w:line="278" w:lineRule="auto"/>
        <w:rPr>
          <w:sz w:val="20"/>
          <w:szCs w:val="20"/>
          <w:color w:val="auto"/>
        </w:rPr>
      </w:pPr>
      <w:r>
        <w:rPr>
          <w:rFonts w:ascii="Arial" w:cs="Arial" w:eastAsia="Arial" w:hAnsi="Arial"/>
          <w:sz w:val="18"/>
          <w:szCs w:val="18"/>
          <w:color w:val="auto"/>
        </w:rPr>
        <w:t>Holders of registrable securities under the 2020 Registration Rights Agreement, as amended,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57" w:lineRule="exact"/>
        <w:rPr>
          <w:sz w:val="20"/>
          <w:szCs w:val="20"/>
          <w:color w:val="auto"/>
        </w:rPr>
      </w:pPr>
    </w:p>
    <w:p>
      <w:pPr>
        <w:ind w:right="60" w:firstLine="648"/>
        <w:spacing w:after="0" w:line="263" w:lineRule="auto"/>
        <w:rPr>
          <w:sz w:val="20"/>
          <w:szCs w:val="20"/>
          <w:color w:val="auto"/>
        </w:rPr>
      </w:pPr>
      <w:r>
        <w:rPr>
          <w:rFonts w:ascii="Arial" w:cs="Arial" w:eastAsia="Arial" w:hAnsi="Arial"/>
          <w:sz w:val="19"/>
          <w:szCs w:val="19"/>
          <w:i w:val="1"/>
          <w:iCs w:val="1"/>
          <w:color w:val="auto"/>
        </w:rPr>
        <w:t>Piggyback Registration Rights</w:t>
      </w:r>
      <w:r>
        <w:rPr>
          <w:rFonts w:ascii="Arial" w:cs="Arial" w:eastAsia="Arial" w:hAnsi="Arial"/>
          <w:sz w:val="19"/>
          <w:szCs w:val="19"/>
          <w:color w:val="auto"/>
        </w:rPr>
        <w:t>. Any time we propose to register any shares of our common stock under the Securities Act,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8"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i w:val="1"/>
          <w:iCs w:val="1"/>
          <w:color w:val="auto"/>
        </w:rPr>
        <w:t>Demand Registration Rights</w:t>
      </w:r>
      <w:r>
        <w:rPr>
          <w:rFonts w:ascii="Arial" w:cs="Arial" w:eastAsia="Arial" w:hAnsi="Arial"/>
          <w:sz w:val="20"/>
          <w:szCs w:val="20"/>
          <w:color w:val="auto"/>
        </w:rPr>
        <w:t>. If the holders of registrable securities request in writing that we effect a registration with respect to all</w:t>
      </w:r>
      <w:r>
        <w:rPr>
          <w:rFonts w:ascii="Arial" w:cs="Arial" w:eastAsia="Arial" w:hAnsi="Arial"/>
          <w:sz w:val="20"/>
          <w:szCs w:val="20"/>
          <w:i w:val="1"/>
          <w:iCs w:val="1"/>
          <w:color w:val="auto"/>
        </w:rPr>
        <w:t xml:space="preserve"> </w:t>
      </w:r>
      <w:r>
        <w:rPr>
          <w:rFonts w:ascii="Arial" w:cs="Arial" w:eastAsia="Arial" w:hAnsi="Arial"/>
          <w:sz w:val="20"/>
          <w:szCs w:val="20"/>
          <w:color w:val="auto"/>
        </w:rPr>
        <w:t>of the registrable securities, we will be required to effect such registration.</w:t>
      </w:r>
    </w:p>
    <w:p>
      <w:pPr>
        <w:spacing w:after="0" w:line="69"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i w:val="1"/>
          <w:iCs w:val="1"/>
          <w:color w:val="auto"/>
        </w:rPr>
        <w:t>Expenses</w:t>
      </w:r>
      <w:r>
        <w:rPr>
          <w:rFonts w:ascii="Arial" w:cs="Arial" w:eastAsia="Arial" w:hAnsi="Arial"/>
          <w:sz w:val="20"/>
          <w:szCs w:val="20"/>
          <w:color w:val="auto"/>
        </w:rPr>
        <w:t>. Ordinarily, other than underwriting discounts and commissions, we will be required to pay all expenses incurred by us</w:t>
      </w:r>
      <w:r>
        <w:rPr>
          <w:rFonts w:ascii="Arial" w:cs="Arial" w:eastAsia="Arial" w:hAnsi="Arial"/>
          <w:sz w:val="20"/>
          <w:szCs w:val="20"/>
          <w:i w:val="1"/>
          <w:iCs w:val="1"/>
          <w:color w:val="auto"/>
        </w:rPr>
        <w:t xml:space="preserve"> </w:t>
      </w:r>
      <w:r>
        <w:rPr>
          <w:rFonts w:ascii="Arial" w:cs="Arial" w:eastAsia="Arial" w:hAnsi="Arial"/>
          <w:sz w:val="20"/>
          <w:szCs w:val="20"/>
          <w:color w:val="auto"/>
        </w:rPr>
        <w:t>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83" w:lineRule="exact"/>
        <w:rPr>
          <w:sz w:val="20"/>
          <w:szCs w:val="20"/>
          <w:color w:val="auto"/>
        </w:rPr>
      </w:pPr>
    </w:p>
    <w:p>
      <w:pPr>
        <w:ind w:right="300" w:firstLine="648"/>
        <w:spacing w:after="0" w:line="250" w:lineRule="auto"/>
        <w:rPr>
          <w:sz w:val="20"/>
          <w:szCs w:val="20"/>
          <w:color w:val="auto"/>
        </w:rPr>
      </w:pPr>
      <w:r>
        <w:rPr>
          <w:rFonts w:ascii="Arial" w:cs="Arial" w:eastAsia="Arial" w:hAnsi="Arial"/>
          <w:sz w:val="20"/>
          <w:szCs w:val="20"/>
          <w:i w:val="1"/>
          <w:iCs w:val="1"/>
          <w:color w:val="auto"/>
        </w:rPr>
        <w:t>Termination of Registration Rights</w:t>
      </w:r>
      <w:r>
        <w:rPr>
          <w:rFonts w:ascii="Arial" w:cs="Arial" w:eastAsia="Arial" w:hAnsi="Arial"/>
          <w:sz w:val="20"/>
          <w:szCs w:val="20"/>
          <w:color w:val="auto"/>
        </w:rPr>
        <w:t>. The registration rights terminate upon the earlier of (i) such time as there are no longer any</w:t>
      </w:r>
      <w:r>
        <w:rPr>
          <w:rFonts w:ascii="Arial" w:cs="Arial" w:eastAsia="Arial" w:hAnsi="Arial"/>
          <w:sz w:val="20"/>
          <w:szCs w:val="20"/>
          <w:i w:val="1"/>
          <w:iCs w:val="1"/>
          <w:color w:val="auto"/>
        </w:rPr>
        <w:t xml:space="preserve"> </w:t>
      </w:r>
      <w:r>
        <w:rPr>
          <w:rFonts w:ascii="Arial" w:cs="Arial" w:eastAsia="Arial" w:hAnsi="Arial"/>
          <w:sz w:val="20"/>
          <w:szCs w:val="20"/>
          <w:color w:val="auto"/>
        </w:rPr>
        <w:t>registrable securities held by the purchaser, its affiliates or permitted transferees and (ii) such time as all of the securities can otherwise be sold without regard to the volume or manner-of-sale restrictions pursuant to Rule 144.</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 and Our Certificate of Incorporation and Bylaws</w:t>
      </w:r>
    </w:p>
    <w:p>
      <w:pPr>
        <w:spacing w:after="0" w:line="114"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Some provisions of the DGCL, our Certificate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771" w:right="359" w:bottom="1440" w:gutter="0" w:footer="0" w:header="0"/>
        </w:sectPr>
      </w:pPr>
    </w:p>
    <w:bookmarkStart w:id="119" w:name="page120"/>
    <w:bookmarkEnd w:id="119"/>
    <w:p>
      <w:pPr>
        <w:ind w:firstLine="648"/>
        <w:spacing w:after="0" w:line="244" w:lineRule="auto"/>
        <w:rPr>
          <w:sz w:val="20"/>
          <w:szCs w:val="20"/>
          <w:color w:val="auto"/>
        </w:rPr>
      </w:pPr>
      <w:r>
        <w:rPr>
          <w:rFonts w:ascii="Arial" w:cs="Arial" w:eastAsia="Arial" w:hAnsi="Arial"/>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6" w:lineRule="exact"/>
        <w:rPr>
          <w:sz w:val="20"/>
          <w:szCs w:val="20"/>
          <w:color w:val="auto"/>
        </w:rPr>
      </w:pPr>
    </w:p>
    <w:p>
      <w:pPr>
        <w:jc w:val="both"/>
        <w:ind w:right="300" w:firstLine="648"/>
        <w:spacing w:after="0" w:line="246" w:lineRule="auto"/>
        <w:rPr>
          <w:sz w:val="20"/>
          <w:szCs w:val="20"/>
          <w:color w:val="auto"/>
        </w:rPr>
      </w:pPr>
      <w:r>
        <w:rPr>
          <w:rFonts w:ascii="Arial" w:cs="Arial" w:eastAsia="Arial" w:hAnsi="Arial"/>
          <w:sz w:val="20"/>
          <w:szCs w:val="20"/>
          <w:i w:val="1"/>
          <w:iCs w:val="1"/>
          <w:color w:val="auto"/>
        </w:rPr>
        <w:t>Undesignated Preferred Stock</w:t>
      </w:r>
      <w:r>
        <w:rPr>
          <w:rFonts w:ascii="Arial" w:cs="Arial" w:eastAsia="Arial" w:hAnsi="Arial"/>
          <w:sz w:val="20"/>
          <w:szCs w:val="20"/>
          <w:color w:val="auto"/>
        </w:rPr>
        <w:t>. The ability of our board of directors, without action by the stockholders, to issue up to 10,000,000</w:t>
      </w:r>
      <w:r>
        <w:rPr>
          <w:rFonts w:ascii="Arial" w:cs="Arial" w:eastAsia="Arial" w:hAnsi="Arial"/>
          <w:sz w:val="20"/>
          <w:szCs w:val="20"/>
          <w:i w:val="1"/>
          <w:iCs w:val="1"/>
          <w:color w:val="auto"/>
        </w:rPr>
        <w:t xml:space="preserve"> </w:t>
      </w:r>
      <w:r>
        <w:rPr>
          <w:rFonts w:ascii="Arial" w:cs="Arial" w:eastAsia="Arial" w:hAnsi="Arial"/>
          <w:sz w:val="20"/>
          <w:szCs w:val="20"/>
          <w:color w:val="auto"/>
        </w:rPr>
        <w:t>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83"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i w:val="1"/>
          <w:iCs w:val="1"/>
          <w:color w:val="auto"/>
        </w:rPr>
        <w:t>Stockholder Meetings</w:t>
      </w:r>
      <w:r>
        <w:rPr>
          <w:rFonts w:ascii="Arial" w:cs="Arial" w:eastAsia="Arial" w:hAnsi="Arial"/>
          <w:sz w:val="20"/>
          <w:szCs w:val="20"/>
          <w:color w:val="auto"/>
        </w:rPr>
        <w:t>. Our Bylaws provide that a special meeting of stockholders may be called only by our chairman of the board,</w:t>
      </w:r>
      <w:r>
        <w:rPr>
          <w:rFonts w:ascii="Arial" w:cs="Arial" w:eastAsia="Arial" w:hAnsi="Arial"/>
          <w:sz w:val="20"/>
          <w:szCs w:val="20"/>
          <w:i w:val="1"/>
          <w:iCs w:val="1"/>
          <w:color w:val="auto"/>
        </w:rPr>
        <w:t xml:space="preserve"> </w:t>
      </w:r>
      <w:r>
        <w:rPr>
          <w:rFonts w:ascii="Arial" w:cs="Arial" w:eastAsia="Arial" w:hAnsi="Arial"/>
          <w:sz w:val="20"/>
          <w:szCs w:val="20"/>
          <w:color w:val="auto"/>
        </w:rPr>
        <w:t>chief executive officer or president (in the absence of a chief executive officer), or by a resolution adopted by a majority of our board of directors.</w:t>
      </w:r>
    </w:p>
    <w:p>
      <w:pPr>
        <w:spacing w:after="0" w:line="78"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Our Bylaws establish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44"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i w:val="1"/>
          <w:iCs w:val="1"/>
          <w:color w:val="auto"/>
        </w:rPr>
        <w:t>Elimination of Stockholder Action by Written Consent</w:t>
      </w:r>
      <w:r>
        <w:rPr>
          <w:rFonts w:ascii="Arial" w:cs="Arial" w:eastAsia="Arial" w:hAnsi="Arial"/>
          <w:sz w:val="20"/>
          <w:szCs w:val="20"/>
          <w:color w:val="auto"/>
        </w:rPr>
        <w:t>. Our Certificate eliminates the right of stockholders to act by written consent</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a meeting.</w:t>
      </w:r>
    </w:p>
    <w:p>
      <w:pPr>
        <w:spacing w:after="0" w:line="69"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20"/>
          <w:szCs w:val="20"/>
          <w:i w:val="1"/>
          <w:iCs w:val="1"/>
          <w:color w:val="auto"/>
        </w:rPr>
        <w:t>Staggered Board</w:t>
      </w:r>
      <w:r>
        <w:rPr>
          <w:rFonts w:ascii="Arial" w:cs="Arial" w:eastAsia="Arial" w:hAnsi="Arial"/>
          <w:sz w:val="20"/>
          <w:szCs w:val="20"/>
          <w:color w:val="auto"/>
        </w:rPr>
        <w:t>. Our board of directors is divided into three classes. The directors in each class will serve for a three-year term, one</w:t>
      </w:r>
      <w:r>
        <w:rPr>
          <w:rFonts w:ascii="Arial" w:cs="Arial" w:eastAsia="Arial" w:hAnsi="Arial"/>
          <w:sz w:val="20"/>
          <w:szCs w:val="20"/>
          <w:i w:val="1"/>
          <w:iCs w:val="1"/>
          <w:color w:val="auto"/>
        </w:rPr>
        <w:t xml:space="preserve"> </w:t>
      </w:r>
      <w:r>
        <w:rPr>
          <w:rFonts w:ascii="Arial" w:cs="Arial" w:eastAsia="Arial" w:hAnsi="Arial"/>
          <w:sz w:val="20"/>
          <w:szCs w:val="20"/>
          <w:color w:val="auto"/>
        </w:rPr>
        <w:t>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83" w:lineRule="exact"/>
        <w:rPr>
          <w:sz w:val="20"/>
          <w:szCs w:val="20"/>
          <w:color w:val="auto"/>
        </w:rPr>
      </w:pPr>
    </w:p>
    <w:p>
      <w:pPr>
        <w:ind w:right="380" w:firstLine="648"/>
        <w:spacing w:after="0" w:line="250" w:lineRule="auto"/>
        <w:rPr>
          <w:sz w:val="20"/>
          <w:szCs w:val="20"/>
          <w:color w:val="auto"/>
        </w:rPr>
      </w:pPr>
      <w:r>
        <w:rPr>
          <w:rFonts w:ascii="Arial" w:cs="Arial" w:eastAsia="Arial" w:hAnsi="Arial"/>
          <w:sz w:val="20"/>
          <w:szCs w:val="20"/>
          <w:i w:val="1"/>
          <w:iCs w:val="1"/>
          <w:color w:val="auto"/>
        </w:rPr>
        <w:t>Removal of Directors</w:t>
      </w:r>
      <w:r>
        <w:rPr>
          <w:rFonts w:ascii="Arial" w:cs="Arial" w:eastAsia="Arial" w:hAnsi="Arial"/>
          <w:sz w:val="20"/>
          <w:szCs w:val="20"/>
          <w:color w:val="auto"/>
        </w:rPr>
        <w:t>. Our Certificate provides that no member of our board of directors may be removed from office by our</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except for cause and, in addition to any other vote required by law, upon the approval of the holders of at least two-thirds in voting power of the outstanding shares of stock entitled to vote in the election of directors.</w:t>
      </w:r>
    </w:p>
    <w:p>
      <w:pPr>
        <w:spacing w:after="0" w:line="78"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i w:val="1"/>
          <w:iCs w:val="1"/>
          <w:color w:val="auto"/>
        </w:rPr>
        <w:t>Stockholders Not Entitled to Cumulative Voting</w:t>
      </w:r>
      <w:r>
        <w:rPr>
          <w:rFonts w:ascii="Arial" w:cs="Arial" w:eastAsia="Arial" w:hAnsi="Arial"/>
          <w:sz w:val="20"/>
          <w:szCs w:val="20"/>
          <w:color w:val="auto"/>
        </w:rPr>
        <w:t>. Our Certificate does not permit stockholders to cumulate their votes in the election</w:t>
      </w:r>
      <w:r>
        <w:rPr>
          <w:rFonts w:ascii="Arial" w:cs="Arial" w:eastAsia="Arial" w:hAnsi="Arial"/>
          <w:sz w:val="20"/>
          <w:szCs w:val="20"/>
          <w:i w:val="1"/>
          <w:iCs w:val="1"/>
          <w:color w:val="auto"/>
        </w:rPr>
        <w:t xml:space="preserve"> </w:t>
      </w:r>
      <w:r>
        <w:rPr>
          <w:rFonts w:ascii="Arial" w:cs="Arial" w:eastAsia="Arial" w:hAnsi="Arial"/>
          <w:sz w:val="20"/>
          <w:szCs w:val="20"/>
          <w:color w:val="auto"/>
        </w:rPr>
        <w:t>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83"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i w:val="1"/>
          <w:iCs w:val="1"/>
          <w:color w:val="auto"/>
        </w:rPr>
        <w:t>Delaware Anti-Takeover Statute</w:t>
      </w:r>
      <w:r>
        <w:rPr>
          <w:rFonts w:ascii="Arial" w:cs="Arial" w:eastAsia="Arial" w:hAnsi="Arial"/>
          <w:sz w:val="18"/>
          <w:szCs w:val="18"/>
          <w:color w:val="auto"/>
        </w:rPr>
        <w:t>. We are subject to Section 203 of the DGCL, which prohibits persons deemed to be</w:t>
      </w:r>
      <w:r>
        <w:rPr>
          <w:rFonts w:ascii="Arial" w:cs="Arial" w:eastAsia="Arial" w:hAnsi="Arial"/>
          <w:sz w:val="18"/>
          <w:szCs w:val="18"/>
          <w:i w:val="1"/>
          <w:iCs w:val="1"/>
          <w:color w:val="auto"/>
        </w:rPr>
        <w:t xml:space="preserve"> </w:t>
      </w:r>
      <w:r>
        <w:rPr>
          <w:rFonts w:ascii="Arial" w:cs="Arial" w:eastAsia="Arial" w:hAnsi="Arial"/>
          <w:sz w:val="15"/>
          <w:szCs w:val="15"/>
          <w:color w:val="auto"/>
        </w:rPr>
        <w:t>“</w:t>
      </w:r>
      <w:r>
        <w:rPr>
          <w:rFonts w:ascii="Arial" w:cs="Arial" w:eastAsia="Arial" w:hAnsi="Arial"/>
          <w:sz w:val="18"/>
          <w:szCs w:val="18"/>
          <w:color w:val="auto"/>
        </w:rPr>
        <w:t>interested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r>
        <w:rPr>
          <w:rFonts w:ascii="Arial" w:cs="Arial" w:eastAsia="Arial" w:hAnsi="Arial"/>
          <w:sz w:val="15"/>
          <w:szCs w:val="15"/>
          <w:color w:val="auto"/>
        </w:rPr>
        <w:t>”</w:t>
      </w:r>
      <w:r>
        <w:rPr>
          <w:rFonts w:ascii="Arial" w:cs="Arial" w:eastAsia="Arial" w:hAnsi="Arial"/>
          <w:sz w:val="18"/>
          <w:szCs w:val="18"/>
          <w:color w:val="auto"/>
        </w:rPr>
        <w:t xml:space="preserve"> from engaging in a </w:t>
      </w:r>
      <w:r>
        <w:rPr>
          <w:rFonts w:ascii="Arial" w:cs="Arial" w:eastAsia="Arial" w:hAnsi="Arial"/>
          <w:sz w:val="15"/>
          <w:szCs w:val="15"/>
          <w:color w:val="auto"/>
        </w:rPr>
        <w:t>“</w:t>
      </w:r>
      <w:r>
        <w:rPr>
          <w:rFonts w:ascii="Arial" w:cs="Arial" w:eastAsia="Arial" w:hAnsi="Arial"/>
          <w:sz w:val="18"/>
          <w:szCs w:val="18"/>
          <w:color w:val="auto"/>
        </w:rPr>
        <w:t>business combination</w:t>
      </w:r>
      <w:r>
        <w:rPr>
          <w:rFonts w:ascii="Arial" w:cs="Arial" w:eastAsia="Arial" w:hAnsi="Arial"/>
          <w:sz w:val="15"/>
          <w:szCs w:val="15"/>
          <w:color w:val="auto"/>
        </w:rPr>
        <w:t>”</w:t>
      </w:r>
      <w:r>
        <w:rPr>
          <w:rFonts w:ascii="Arial" w:cs="Arial" w:eastAsia="Arial" w:hAnsi="Arial"/>
          <w:sz w:val="18"/>
          <w:szCs w:val="18"/>
          <w:color w:val="auto"/>
        </w:rPr>
        <w:t xml:space="preserve">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w:t>
      </w:r>
      <w:r>
        <w:rPr>
          <w:rFonts w:ascii="Arial" w:cs="Arial" w:eastAsia="Arial" w:hAnsi="Arial"/>
          <w:sz w:val="15"/>
          <w:szCs w:val="15"/>
          <w:color w:val="auto"/>
        </w:rPr>
        <w:t>“</w:t>
      </w:r>
      <w:r>
        <w:rPr>
          <w:rFonts w:ascii="Arial" w:cs="Arial" w:eastAsia="Arial" w:hAnsi="Arial"/>
          <w:sz w:val="18"/>
          <w:szCs w:val="18"/>
          <w:color w:val="auto"/>
        </w:rPr>
        <w:t>interested stockholder</w:t>
      </w:r>
      <w:r>
        <w:rPr>
          <w:rFonts w:ascii="Arial" w:cs="Arial" w:eastAsia="Arial" w:hAnsi="Arial"/>
          <w:sz w:val="15"/>
          <w:szCs w:val="15"/>
          <w:color w:val="auto"/>
        </w:rPr>
        <w:t>”</w:t>
      </w:r>
      <w:r>
        <w:rPr>
          <w:rFonts w:ascii="Arial" w:cs="Arial" w:eastAsia="Arial" w:hAnsi="Arial"/>
          <w:sz w:val="18"/>
          <w:szCs w:val="18"/>
          <w:color w:val="auto"/>
        </w:rPr>
        <w:t xml:space="preserve"> is a person who, together with affiliates and associates, owns, or within three years prior to the determination of interested stockholder status did own, 15% or more of a corporation's voting stock. Generally, a </w:t>
      </w:r>
      <w:r>
        <w:rPr>
          <w:rFonts w:ascii="Arial" w:cs="Arial" w:eastAsia="Arial" w:hAnsi="Arial"/>
          <w:sz w:val="15"/>
          <w:szCs w:val="15"/>
          <w:color w:val="auto"/>
        </w:rPr>
        <w:t>“</w:t>
      </w:r>
      <w:r>
        <w:rPr>
          <w:rFonts w:ascii="Arial" w:cs="Arial" w:eastAsia="Arial" w:hAnsi="Arial"/>
          <w:sz w:val="18"/>
          <w:szCs w:val="18"/>
          <w:color w:val="auto"/>
        </w:rPr>
        <w:t>business combination</w:t>
      </w:r>
      <w:r>
        <w:rPr>
          <w:rFonts w:ascii="Arial" w:cs="Arial" w:eastAsia="Arial" w:hAnsi="Arial"/>
          <w:sz w:val="15"/>
          <w:szCs w:val="15"/>
          <w:color w:val="auto"/>
        </w:rPr>
        <w:t>”</w:t>
      </w:r>
      <w:r>
        <w:rPr>
          <w:rFonts w:ascii="Arial" w:cs="Arial" w:eastAsia="Arial" w:hAnsi="Arial"/>
          <w:sz w:val="18"/>
          <w:szCs w:val="18"/>
          <w:color w:val="auto"/>
        </w:rPr>
        <w:t xml:space="preserve">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60"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Certificate provides that, unless we consent in writing to the selection of an alternative form, the Court of</w:t>
      </w:r>
      <w:r>
        <w:rPr>
          <w:rFonts w:ascii="Arial" w:cs="Arial" w:eastAsia="Arial" w:hAnsi="Arial"/>
          <w:sz w:val="18"/>
          <w:szCs w:val="18"/>
          <w:i w:val="1"/>
          <w:iCs w:val="1"/>
          <w:color w:val="auto"/>
        </w:rPr>
        <w:t xml:space="preserve"> </w:t>
      </w:r>
      <w:r>
        <w:rPr>
          <w:rFonts w:ascii="Arial" w:cs="Arial" w:eastAsia="Arial" w:hAnsi="Arial"/>
          <w:sz w:val="18"/>
          <w:szCs w:val="18"/>
          <w:color w:val="auto"/>
        </w:rPr>
        <w:t>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or Bylaws; or (4) any action asserting a claim governed by the internal affairs doctrine. Our Certificate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is inapplicable or unenforceable if it is challenged in a proceeding or otherwise.</w:t>
      </w:r>
    </w:p>
    <w:p>
      <w:pPr>
        <w:spacing w:after="0" w:line="60"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i w:val="1"/>
          <w:iCs w:val="1"/>
          <w:color w:val="auto"/>
        </w:rPr>
        <w:t>Amendment of Certificate</w:t>
      </w:r>
      <w:r>
        <w:rPr>
          <w:rFonts w:ascii="Arial" w:cs="Arial" w:eastAsia="Arial" w:hAnsi="Arial"/>
          <w:sz w:val="20"/>
          <w:szCs w:val="20"/>
          <w:color w:val="auto"/>
        </w:rPr>
        <w:t>. The amendment of any of the above provisions in our Certificate, except for the provision making it</w:t>
      </w:r>
      <w:r>
        <w:rPr>
          <w:rFonts w:ascii="Arial" w:cs="Arial" w:eastAsia="Arial" w:hAnsi="Arial"/>
          <w:sz w:val="20"/>
          <w:szCs w:val="20"/>
          <w:i w:val="1"/>
          <w:iCs w:val="1"/>
          <w:color w:val="auto"/>
        </w:rPr>
        <w:t xml:space="preserve"> </w:t>
      </w:r>
      <w:r>
        <w:rPr>
          <w:rFonts w:ascii="Arial" w:cs="Arial" w:eastAsia="Arial" w:hAnsi="Arial"/>
          <w:sz w:val="20"/>
          <w:szCs w:val="20"/>
          <w:color w:val="auto"/>
        </w:rPr>
        <w:t>possible for our board of directors to issue preferred stock and the provision prohibiting cumulative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879"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voting, would require approval by holders of at least two-thirds in voting power of the outstanding shares of stock entitled to vote thereon.</w:t>
      </w:r>
    </w:p>
    <w:p>
      <w:pPr>
        <w:spacing w:after="0" w:line="13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The provisions of the DGCL, our Certificate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87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upperLetter"/>
      <w:start w:val="35"/>
    </w:lvl>
  </w:abstractNum>
  <w:abstractNum w:abstractNumId="5">
    <w:nsid w:val="79838CB2"/>
    <w:multiLevelType w:val="hybridMultilevel"/>
    <w:lvl w:ilvl="0">
      <w:lvlJc w:val="left"/>
      <w:lvlText w:val="•"/>
      <w:numFmt w:val="bullet"/>
      <w:start w:val="1"/>
    </w:lvl>
    <w:lvl w:ilvl="1">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404"/>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Roman"/>
      <w:start w:val="3"/>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2"/>
    </w:lvl>
  </w:abstractNum>
  <w:abstractNum w:abstractNumId="37">
    <w:nsid w:val="153EA438"/>
    <w:multiLevelType w:val="hybridMultilevel"/>
    <w:lvl w:ilvl="0">
      <w:lvlJc w:val="left"/>
      <w:lvlText w:val="(%1)"/>
      <w:numFmt w:val="lowerRoman"/>
      <w:start w:val="1"/>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decimal"/>
      <w:start w:val="14"/>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32"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01" Type="http://schemas.openxmlformats.org/officeDocument/2006/relationships/hyperlink" Target="http://www.sec.gov/Archives/edgar/data/1453687/000110465916129891/a16-14002_1ex3d1.htm" TargetMode="External"/><Relationship Id="rId102" Type="http://schemas.openxmlformats.org/officeDocument/2006/relationships/hyperlink" Target="http://www.sec.gov/Archives/edgar/data/1453687/000145368721000124/exhibit32_amendedandrestat.htm" TargetMode="External"/><Relationship Id="rId103" Type="http://schemas.openxmlformats.org/officeDocument/2006/relationships/hyperlink" Target="http://www.sec.gov/Archives/edgar/data/1453687/000104746916013398/a2228672zex-4_2.htm" TargetMode="External"/><Relationship Id="rId104" Type="http://schemas.openxmlformats.org/officeDocument/2006/relationships/hyperlink" Target="http://www.sec.gov/Archives/edgar/data/1453687/000104746916013398/a2228672zex-4_5.htm" TargetMode="External"/><Relationship Id="rId105" Type="http://schemas.openxmlformats.org/officeDocument/2006/relationships/hyperlink" Target="http://www.sec.gov/Archives/edgar/data/1453687/000104746916013398/a2228672zex-4_6.htm" TargetMode="External"/><Relationship Id="rId106" Type="http://schemas.openxmlformats.org/officeDocument/2006/relationships/hyperlink" Target="http://www.sec.gov/Archives/edgar/data/1453687/000145368717000048/exhibit41_selectabioscienc.htm" TargetMode="External"/><Relationship Id="rId107" Type="http://schemas.openxmlformats.org/officeDocument/2006/relationships/hyperlink" Target="http://www.sec.gov/Archives/edgar/data/1453687/000110465919075844/tm1926772d1_ex10-2.htm" TargetMode="External"/><Relationship Id="rId108" Type="http://schemas.openxmlformats.org/officeDocument/2006/relationships/hyperlink" Target="http://www.sec.gov/Archives/edgar/data/1453687/000145368720000096/exhibit41sobiregistrat.htm" TargetMode="External"/><Relationship Id="rId109" Type="http://schemas.openxmlformats.org/officeDocument/2006/relationships/hyperlink" Target="http://www.sec.gov/Archives/edgar/data/1453687/000145368720000129/exhibit42sobirraandame.htm" TargetMode="External"/><Relationship Id="rId110" Type="http://schemas.openxmlformats.org/officeDocument/2006/relationships/hyperlink" Target="http://www.sec.gov/Archives/edgar/data/1453687/000110465919075844/tm1926772d1_ex4-1.htm" TargetMode="External"/><Relationship Id="rId111" Type="http://schemas.openxmlformats.org/officeDocument/2006/relationships/hyperlink" Target="http://www.sec.gov/Archives/edgar/data/1453687/000145368720000104/exhibit41formofwarrant.htm" TargetMode="External"/><Relationship Id="rId114" Type="http://schemas.openxmlformats.org/officeDocument/2006/relationships/hyperlink" Target="http://www.sec.gov/Archives/edgar/data/1453687/000104746916013718/a2228810zex-10_2.htm" TargetMode="External"/><Relationship Id="rId115" Type="http://schemas.openxmlformats.org/officeDocument/2006/relationships/hyperlink" Target="http://www.sec.gov/Archives/edgar/data/1453687/000104746916013718/a2228810zex-10_3.htm" TargetMode="External"/><Relationship Id="rId116" Type="http://schemas.openxmlformats.org/officeDocument/2006/relationships/hyperlink" Target="http://www.sec.gov/Archives/edgar/data/1453687/000145368718000061/exhibit101_2018employmenti.htm" TargetMode="External"/><Relationship Id="rId117" Type="http://schemas.openxmlformats.org/officeDocument/2006/relationships/hyperlink" Target="http://www.sec.gov/Archives/edgar/data/1453687/000104746916013886/a2228960zex-10_1.htm" TargetMode="External"/><Relationship Id="rId118" Type="http://schemas.openxmlformats.org/officeDocument/2006/relationships/hyperlink" Target="http://www.sec.gov/Archives/edgar/data/1453687/000145368720000052/exhibit101non-eedircom.htm" TargetMode="External"/><Relationship Id="rId119" Type="http://schemas.openxmlformats.org/officeDocument/2006/relationships/hyperlink" Target="http://www.sec.gov/Archives/edgar/data/1453687/000104746916013398/a2228672zex-10_5.htm" TargetMode="External"/><Relationship Id="rId120" Type="http://schemas.openxmlformats.org/officeDocument/2006/relationships/hyperlink" Target="http://www.sec.gov/Archives/edgar/data/1453687/000104746916013398/a2228672zex-10_7a.htm" TargetMode="External"/><Relationship Id="rId121" Type="http://schemas.openxmlformats.org/officeDocument/2006/relationships/hyperlink" Target="http://www.sec.gov/Archives/edgar/data/1453687/000104746916013398/a2228672zex-10_7b.htm" TargetMode="External"/><Relationship Id="rId122" Type="http://schemas.openxmlformats.org/officeDocument/2006/relationships/hyperlink" Target="http://www.sec.gov/Archives/edgar/data/1453687/000104746916013398/a2228672zex-10_7c.htm" TargetMode="External"/><Relationship Id="rId123" Type="http://schemas.openxmlformats.org/officeDocument/2006/relationships/hyperlink" Target="http://www.sec.gov/Archives/edgar/data/1453687/000104746916013398/a2228672zex-10_7d.htm" TargetMode="External"/><Relationship Id="rId124" Type="http://schemas.openxmlformats.org/officeDocument/2006/relationships/hyperlink" Target="http://www.sec.gov/Archives/edgar/data/1453687/000104746916013398/a2228672zex-10_7e.htm" TargetMode="External"/><Relationship Id="rId125" Type="http://schemas.openxmlformats.org/officeDocument/2006/relationships/hyperlink" Target="http://www.sec.gov/Archives/edgar/data/1453687/000145368716000020/exhibit103a-3rdamendmentto.htm" TargetMode="External"/><Relationship Id="rId126" Type="http://schemas.openxmlformats.org/officeDocument/2006/relationships/hyperlink" Target="http://www.sec.gov/Archives/edgar/data/1453687/000145368716000020/exhibit103b-selectamit2xwa.htm" TargetMode="External"/><Relationship Id="rId127" Type="http://schemas.openxmlformats.org/officeDocument/2006/relationships/hyperlink" Target="http://www.sec.gov/Archives/edgar/data/1453687/000145368716000020/exhibit103c-sparkxselectam.htm" TargetMode="External"/><Relationship Id="rId128" Type="http://schemas.openxmlformats.org/officeDocument/2006/relationships/hyperlink" Target="http://www.sec.gov/Archives/edgar/data/1453687/000145368720000028/exhibit107imassachuset.htm" TargetMode="External"/><Relationship Id="rId129" Type="http://schemas.openxmlformats.org/officeDocument/2006/relationships/hyperlink" Target="http://www.sec.gov/Archives/edgar/data/1453687/000145368720000096/exhibit101mitfifthamen.htm" TargetMode="External"/><Relationship Id="rId130" Type="http://schemas.openxmlformats.org/officeDocument/2006/relationships/hyperlink" Target="http://www.sec.gov/Archives/edgar/data/1453687/000145368717000053/exhibit106_63017.htm" TargetMode="External"/><Relationship Id="rId131" Type="http://schemas.openxmlformats.org/officeDocument/2006/relationships/hyperlink" Target="http://www.sec.gov/Archives/edgar/data/1453687/000104746916013398/a2228672zex-10_10.htm" TargetMode="External"/><Relationship Id="rId133" Type="http://schemas.openxmlformats.org/officeDocument/2006/relationships/hyperlink" Target="http://www.sec.gov/Archives/edgar/data/1453687/000145368719000157/exhibit103leaseagreeme.htm" TargetMode="External"/><Relationship Id="rId134" Type="http://schemas.openxmlformats.org/officeDocument/2006/relationships/hyperlink" Target="http://www.sec.gov/Archives/edgar/data/1453687/000145368718000061/exhibit102_brunnemployment.htm" TargetMode="External"/><Relationship Id="rId135" Type="http://schemas.openxmlformats.org/officeDocument/2006/relationships/hyperlink" Target="http://www.sec.gov/Archives/edgar/data/1453687/000104746916013718/a2228810zex-10_18.htm" TargetMode="External"/><Relationship Id="rId136" Type="http://schemas.openxmlformats.org/officeDocument/2006/relationships/hyperlink" Target="http://www.sec.gov/Archives/edgar/data/1453687/000104746916013718/a2228810zex-10_21.htm" TargetMode="External"/><Relationship Id="rId137" Type="http://schemas.openxmlformats.org/officeDocument/2006/relationships/hyperlink" Target="http://www.sec.gov/Archives/edgar/data/1453687/000145368720000129/exhibit101ptraberemplo.htm" TargetMode="External"/><Relationship Id="rId138" Type="http://schemas.openxmlformats.org/officeDocument/2006/relationships/hyperlink" Target="http://www.sec.gov/Archives/edgar/data/1453687/000145368721000156/exhibit101_ktanxemployment.htm" TargetMode="External"/><Relationship Id="rId139" Type="http://schemas.openxmlformats.org/officeDocument/2006/relationships/hyperlink" Target="http://www.sec.gov/Archives/edgar/data/1453687/000145368716000020/exhibit102-sparkspaedgarre.htm" TargetMode="External"/><Relationship Id="rId140" Type="http://schemas.openxmlformats.org/officeDocument/2006/relationships/hyperlink" Target="http://www.sec.gov/Archives/edgar/data/1453687/000145368719000157/exhibit102feasibilitys.htm" TargetMode="External"/><Relationship Id="rId141" Type="http://schemas.openxmlformats.org/officeDocument/2006/relationships/hyperlink" Target="http://www.sec.gov/Archives/edgar/data/1453687/000145368720000096/exhibit102sobilicensea.htm" TargetMode="External"/><Relationship Id="rId142" Type="http://schemas.openxmlformats.org/officeDocument/2006/relationships/hyperlink" Target="http://www.sec.gov/Archives/edgar/data/1453687/000145368717000048/exhibit102_selectabioscien.htm" TargetMode="External"/><Relationship Id="rId143" Type="http://schemas.openxmlformats.org/officeDocument/2006/relationships/hyperlink" Target="http://www.sec.gov/Archives/edgar/data/1453687/000141057819000832/tv527995_ex10-1.htm" TargetMode="External"/><Relationship Id="rId144" Type="http://schemas.openxmlformats.org/officeDocument/2006/relationships/hyperlink" Target="http://www.sec.gov/Archives/edgar/data/1453687/000145368720000104/exhibit1011loanandsecu.htm" TargetMode="External"/><Relationship Id="rId145" Type="http://schemas.openxmlformats.org/officeDocument/2006/relationships/hyperlink" Target="http://www.sec.gov/Archives/edgar/data/1453687/000145368721000156/exhibit103_firstamendmentt.htm" TargetMode="External"/><Relationship Id="rId146" Type="http://schemas.openxmlformats.org/officeDocument/2006/relationships/hyperlink" Target="http://www.sec.gov/Archives/edgar/data/1453687/000104746916013398/a222867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2022-03-10T07:06:59Z</dcterms:created>
  <dcterms:modified xsi:type="dcterms:W3CDTF">2022-03-10T07:06:59Z</dcterms:modified>
</cp:coreProperties>
</file>