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-10795</wp:posOffset>
            </wp:positionV>
            <wp:extent cx="141605" cy="1911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605" cy="191135"/>
                    </a:xfrm>
                    <a:prstGeom prst="rect">
                      <a:avLst/>
                    </a:prstGeom>
                    <a:noFill/>
                  </pic:spPr>
                </pic:pic>
              </a:graphicData>
            </a:graphic>
          </wp:anchor>
        </w:drawing>
      </w:r>
    </w:p>
    <w:p>
      <w:pPr>
        <w:jc w:val="both"/>
        <w:ind w:left="340" w:right="340" w:hanging="257"/>
        <w:spacing w:after="0" w:line="182"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9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276465" cy="9375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93751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48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Nanodimension Management Ltd</w:t>
        </w:r>
      </w:hyperlink>
    </w:p>
    <w:p>
      <w:pPr>
        <w:spacing w:after="0" w:line="321"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280"/>
        <w:spacing w:after="0" w:line="345" w:lineRule="auto"/>
        <w:rPr>
          <w:sz w:val="20"/>
          <w:szCs w:val="20"/>
          <w:color w:val="auto"/>
        </w:rPr>
      </w:pPr>
      <w:r>
        <w:rPr>
          <w:rFonts w:ascii="Arial" w:cs="Arial" w:eastAsia="Arial" w:hAnsi="Arial"/>
          <w:sz w:val="17"/>
          <w:szCs w:val="17"/>
          <w:color w:val="0000FF"/>
        </w:rPr>
        <w:t>GOVERNOR'S SQUARE, UNIT 3-213-62 23 LIME TREE BAY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SELECTA BIOSCIENCES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SELB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06/27/2016</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47"/>
        <w:spacing w:after="0"/>
        <w:tabs>
          <w:tab w:leader="none" w:pos="1827" w:val="left"/>
          <w:tab w:leader="none" w:pos="21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67" w:lineRule="exact"/>
        <w:rPr>
          <w:sz w:val="24"/>
          <w:szCs w:val="24"/>
          <w:color w:val="auto"/>
        </w:rPr>
      </w:pPr>
    </w:p>
    <w:p>
      <w:pPr>
        <w:sectPr>
          <w:pgSz w:w="11900" w:h="16838" w:orient="portrait"/>
          <w:cols w:equalWidth="0" w:num="3">
            <w:col w:w="3340" w:space="720"/>
            <w:col w:w="3440" w:space="553"/>
            <w:col w:w="3467"/>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960" w:type="dxa"/>
            <w:vAlign w:val="bottom"/>
            <w:gridSpan w:val="11"/>
            <w:vMerge w:val="restart"/>
          </w:tcPr>
          <w:p>
            <w:pPr>
              <w:ind w:left="5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40" w:type="dxa"/>
            <w:vAlign w:val="bottom"/>
            <w:gridSpan w:val="7"/>
            <w:vMerge w:val="continue"/>
          </w:tcPr>
          <w:p>
            <w:pPr>
              <w:spacing w:after="0"/>
              <w:rPr>
                <w:sz w:val="5"/>
                <w:szCs w:val="5"/>
                <w:color w:val="auto"/>
              </w:rPr>
            </w:pPr>
          </w:p>
        </w:tc>
        <w:tc>
          <w:tcPr>
            <w:tcW w:w="39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gridSpan w:val="4"/>
          </w:tcPr>
          <w:p>
            <w:pPr>
              <w:ind w:left="5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60" w:type="dxa"/>
            <w:vAlign w:val="bottom"/>
            <w:gridSpan w:val="3"/>
            <w:vMerge w:val="continue"/>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vMerge w:val="restart"/>
          </w:tcPr>
          <w:p>
            <w:pPr>
              <w:spacing w:after="0"/>
              <w:rPr>
                <w:sz w:val="20"/>
                <w:szCs w:val="20"/>
                <w:color w:val="auto"/>
              </w:rPr>
            </w:pPr>
            <w:r>
              <w:rPr>
                <w:rFonts w:ascii="Arial" w:cs="Arial" w:eastAsia="Arial" w:hAnsi="Arial"/>
                <w:sz w:val="17"/>
                <w:szCs w:val="17"/>
                <w:color w:val="0000FF"/>
              </w:rPr>
              <w:t>GRAND</w:t>
            </w:r>
          </w:p>
        </w:tc>
        <w:tc>
          <w:tcPr>
            <w:tcW w:w="56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7"/>
                <w:szCs w:val="17"/>
                <w:color w:val="0000FF"/>
              </w:rPr>
              <w:t>E9</w:t>
            </w:r>
          </w:p>
        </w:tc>
        <w:tc>
          <w:tcPr>
            <w:tcW w:w="1180" w:type="dxa"/>
            <w:vAlign w:val="bottom"/>
            <w:gridSpan w:val="4"/>
            <w:vMerge w:val="restart"/>
          </w:tcPr>
          <w:p>
            <w:pPr>
              <w:ind w:left="40"/>
              <w:spacing w:after="0"/>
              <w:rPr>
                <w:sz w:val="20"/>
                <w:szCs w:val="20"/>
                <w:color w:val="auto"/>
              </w:rPr>
            </w:pPr>
            <w:r>
              <w:rPr>
                <w:rFonts w:ascii="Arial" w:cs="Arial" w:eastAsia="Arial" w:hAnsi="Arial"/>
                <w:sz w:val="17"/>
                <w:szCs w:val="17"/>
                <w:color w:val="0000FF"/>
              </w:rPr>
              <w:t>KY1-1302</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18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7"/>
                <w:szCs w:val="17"/>
                <w:color w:val="0000FF"/>
              </w:rPr>
              <w:t>X</w:t>
            </w:r>
          </w:p>
        </w:tc>
        <w:tc>
          <w:tcPr>
            <w:tcW w:w="3120" w:type="dxa"/>
            <w:vAlign w:val="bottom"/>
            <w:gridSpan w:val="7"/>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CAYMAN</w:t>
            </w:r>
          </w:p>
        </w:tc>
        <w:tc>
          <w:tcPr>
            <w:tcW w:w="1280" w:type="dxa"/>
            <w:vAlign w:val="bottom"/>
            <w:gridSpan w:val="2"/>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1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gridSpan w:val="2"/>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80" w:type="dxa"/>
            <w:vAlign w:val="bottom"/>
            <w:gridSpan w:val="4"/>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8"/>
          </w:tcPr>
          <w:p>
            <w:pPr>
              <w:ind w:left="9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5. Amount of</w:t>
            </w:r>
          </w:p>
        </w:tc>
        <w:tc>
          <w:tcPr>
            <w:tcW w:w="130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1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1300" w:type="dxa"/>
            <w:vAlign w:val="bottom"/>
            <w:gridSpan w:val="2"/>
          </w:tcPr>
          <w:p>
            <w:pPr>
              <w:ind w:left="360"/>
              <w:spacing w:after="0" w:line="128" w:lineRule="exact"/>
              <w:rPr>
                <w:sz w:val="20"/>
                <w:szCs w:val="20"/>
                <w:color w:val="auto"/>
              </w:rPr>
            </w:pPr>
            <w:r>
              <w:rPr>
                <w:rFonts w:ascii="Arial" w:cs="Arial" w:eastAsia="Arial" w:hAnsi="Arial"/>
                <w:sz w:val="12"/>
                <w:szCs w:val="12"/>
                <w:b w:val="1"/>
                <w:bCs w:val="1"/>
                <w:color w:val="auto"/>
              </w:rPr>
              <w:t>Form: Direct</w:t>
            </w:r>
          </w:p>
        </w:tc>
        <w:tc>
          <w:tcPr>
            <w:tcW w:w="11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1300" w:type="dxa"/>
            <w:vAlign w:val="bottom"/>
            <w:gridSpan w:val="2"/>
          </w:tcPr>
          <w:p>
            <w:pPr>
              <w:ind w:left="360"/>
              <w:spacing w:after="0" w:line="131" w:lineRule="exact"/>
              <w:rPr>
                <w:sz w:val="20"/>
                <w:szCs w:val="20"/>
                <w:color w:val="auto"/>
              </w:rPr>
            </w:pPr>
            <w:r>
              <w:rPr>
                <w:rFonts w:ascii="Arial" w:cs="Arial" w:eastAsia="Arial" w:hAnsi="Arial"/>
                <w:sz w:val="12"/>
                <w:szCs w:val="12"/>
                <w:b w:val="1"/>
                <w:bCs w:val="1"/>
                <w:color w:val="auto"/>
              </w:rPr>
              <w:t>(D) or Indirect</w:t>
            </w:r>
          </w:p>
        </w:tc>
        <w:tc>
          <w:tcPr>
            <w:tcW w:w="11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Owned Following   (I) (Instr. 4)</w:t>
            </w:r>
          </w:p>
        </w:tc>
        <w:tc>
          <w:tcPr>
            <w:tcW w:w="11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3"/>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4"/>
              </w:rPr>
              <w:t>Transaction(s)</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(Instr. 3 and 4)</w:t>
            </w: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40" w:type="dxa"/>
            <w:vAlign w:val="bottom"/>
            <w:gridSpan w:val="6"/>
            <w:vMerge w:val="restart"/>
          </w:tcPr>
          <w:p>
            <w:pPr>
              <w:ind w:left="760"/>
              <w:spacing w:after="0"/>
              <w:rPr>
                <w:sz w:val="20"/>
                <w:szCs w:val="20"/>
                <w:color w:val="auto"/>
              </w:rPr>
            </w:pPr>
            <w:r>
              <w:rPr>
                <w:rFonts w:ascii="Arial" w:cs="Arial" w:eastAsia="Arial" w:hAnsi="Arial"/>
                <w:sz w:val="17"/>
                <w:szCs w:val="17"/>
                <w:color w:val="0000FF"/>
              </w:rPr>
              <w:t>06/27/2016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ind w:left="120"/>
              <w:spacing w:after="0"/>
              <w:rPr>
                <w:sz w:val="20"/>
                <w:szCs w:val="20"/>
                <w:color w:val="auto"/>
              </w:rPr>
            </w:pPr>
            <w:r>
              <w:rPr>
                <w:rFonts w:ascii="Arial" w:cs="Arial" w:eastAsia="Arial" w:hAnsi="Arial"/>
                <w:sz w:val="17"/>
                <w:szCs w:val="17"/>
                <w:color w:val="0000FF"/>
                <w:w w:val="97"/>
              </w:rPr>
              <w:t>637,790</w:t>
            </w:r>
          </w:p>
        </w:tc>
        <w:tc>
          <w:tcPr>
            <w:tcW w:w="600" w:type="dxa"/>
            <w:vAlign w:val="bottom"/>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center"/>
              <w:ind w:right="14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0000FF"/>
                <w:w w:val="97"/>
              </w:rPr>
              <w:t>660,957</w:t>
            </w:r>
          </w:p>
        </w:tc>
        <w:tc>
          <w:tcPr>
            <w:tcW w:w="740" w:type="dxa"/>
            <w:vAlign w:val="bottom"/>
          </w:tcPr>
          <w:p>
            <w:pPr>
              <w:spacing w:after="0"/>
              <w:rPr>
                <w:sz w:val="21"/>
                <w:szCs w:val="21"/>
                <w:color w:val="auto"/>
              </w:rPr>
            </w:pPr>
          </w:p>
        </w:tc>
        <w:tc>
          <w:tcPr>
            <w:tcW w:w="560" w:type="dxa"/>
            <w:vAlign w:val="bottom"/>
            <w:vMerge w:val="restart"/>
          </w:tcPr>
          <w:p>
            <w:pPr>
              <w:spacing w:after="0"/>
              <w:rPr>
                <w:sz w:val="20"/>
                <w:szCs w:val="20"/>
                <w:color w:val="auto"/>
              </w:rPr>
            </w:pPr>
            <w:r>
              <w:rPr>
                <w:rFonts w:ascii="Arial" w:cs="Arial" w:eastAsia="Arial" w:hAnsi="Arial"/>
                <w:sz w:val="17"/>
                <w:szCs w:val="17"/>
                <w:color w:val="0000FF"/>
              </w:rPr>
              <w:t>I</w:t>
            </w:r>
          </w:p>
        </w:tc>
        <w:tc>
          <w:tcPr>
            <w:tcW w:w="380" w:type="dxa"/>
            <w:vAlign w:val="bottom"/>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1320" w:type="dxa"/>
            <w:vAlign w:val="bottom"/>
            <w:tcBorders>
              <w:top w:val="single" w:sz="8" w:color="2C2C2C"/>
            </w:tcBorders>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740" w:type="dxa"/>
            <w:vAlign w:val="bottom"/>
            <w:tcBorders>
              <w:top w:val="single" w:sz="8" w:color="2C2C2C"/>
            </w:tcBorders>
            <w:gridSpan w:val="6"/>
            <w:vMerge w:val="restart"/>
          </w:tcPr>
          <w:p>
            <w:pPr>
              <w:ind w:left="760"/>
              <w:spacing w:after="0"/>
              <w:rPr>
                <w:sz w:val="20"/>
                <w:szCs w:val="20"/>
                <w:color w:val="auto"/>
              </w:rPr>
            </w:pPr>
            <w:r>
              <w:rPr>
                <w:rFonts w:ascii="Arial" w:cs="Arial" w:eastAsia="Arial" w:hAnsi="Arial"/>
                <w:sz w:val="17"/>
                <w:szCs w:val="17"/>
                <w:color w:val="0000FF"/>
              </w:rPr>
              <w:t>06/27/2016</w:t>
            </w: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w w:val="97"/>
              </w:rPr>
              <w:t>385,000</w:t>
            </w:r>
          </w:p>
        </w:tc>
        <w:tc>
          <w:tcPr>
            <w:tcW w:w="600" w:type="dxa"/>
            <w:vAlign w:val="bottom"/>
            <w:tcBorders>
              <w:top w:val="single" w:sz="8" w:color="2C2C2C"/>
            </w:tcBorders>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tcBorders>
            <w:vMerge w:val="restart"/>
          </w:tcPr>
          <w:p>
            <w:pPr>
              <w:jc w:val="center"/>
              <w:ind w:right="10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w:t>
            </w:r>
          </w:p>
        </w:tc>
        <w:tc>
          <w:tcPr>
            <w:tcW w:w="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2"/>
            <w:vMerge w:val="restart"/>
          </w:tcPr>
          <w:p>
            <w:pPr>
              <w:jc w:val="right"/>
              <w:ind w:right="620"/>
              <w:spacing w:after="0"/>
              <w:rPr>
                <w:sz w:val="20"/>
                <w:szCs w:val="20"/>
                <w:color w:val="auto"/>
              </w:rPr>
            </w:pPr>
            <w:r>
              <w:rPr>
                <w:rFonts w:ascii="Arial" w:cs="Arial" w:eastAsia="Arial" w:hAnsi="Arial"/>
                <w:sz w:val="17"/>
                <w:szCs w:val="17"/>
                <w:color w:val="0000FF"/>
                <w:w w:val="89"/>
              </w:rPr>
              <w:t>1,045,957</w:t>
            </w:r>
          </w:p>
        </w:tc>
        <w:tc>
          <w:tcPr>
            <w:tcW w:w="56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0000FF"/>
              </w:rPr>
              <w:t>I</w:t>
            </w:r>
          </w:p>
        </w:tc>
        <w:tc>
          <w:tcPr>
            <w:tcW w:w="380" w:type="dxa"/>
            <w:vAlign w:val="bottom"/>
            <w:tcBorders>
              <w:top w:val="single" w:sz="8" w:color="2C2C2C"/>
            </w:tcBorders>
          </w:tcPr>
          <w:p>
            <w:pPr>
              <w:ind w:left="20"/>
              <w:spacing w:after="0"/>
              <w:rPr>
                <w:sz w:val="20"/>
                <w:szCs w:val="20"/>
                <w:color w:val="auto"/>
              </w:rPr>
            </w:pPr>
            <w:r>
              <w:rPr>
                <w:rFonts w:ascii="Arial" w:cs="Arial" w:eastAsia="Arial" w:hAnsi="Arial"/>
                <w:sz w:val="17"/>
                <w:szCs w:val="17"/>
                <w:color w:val="0000FF"/>
              </w:rPr>
              <w:t>See</w:t>
            </w:r>
          </w:p>
        </w:tc>
        <w:tc>
          <w:tcPr>
            <w:tcW w:w="7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1180" w:type="dxa"/>
            <w:vAlign w:val="bottom"/>
            <w:gridSpan w:val="4"/>
            <w:vMerge w:val="restart"/>
          </w:tcPr>
          <w:p>
            <w:pPr>
              <w:ind w:left="20"/>
              <w:spacing w:after="0" w:line="269" w:lineRule="exact"/>
              <w:rPr>
                <w:sz w:val="20"/>
                <w:szCs w:val="20"/>
                <w:color w:val="auto"/>
              </w:rPr>
            </w:pPr>
            <w:r>
              <w:rPr>
                <w:rFonts w:ascii="Arial" w:cs="Arial" w:eastAsia="Arial" w:hAnsi="Arial"/>
                <w:sz w:val="31"/>
                <w:szCs w:val="31"/>
                <w:color w:val="0000FF"/>
                <w:w w:val="93"/>
                <w:vertAlign w:val="subscript"/>
              </w:rPr>
              <w:t>Footnote</w:t>
            </w:r>
            <w:r>
              <w:rPr>
                <w:rFonts w:ascii="Arial" w:cs="Arial" w:eastAsia="Arial" w:hAnsi="Arial"/>
                <w:sz w:val="11"/>
                <w:szCs w:val="11"/>
                <w:color w:val="008000"/>
                <w:w w:val="93"/>
              </w:rPr>
              <w:t>(1)(2)(3)</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20" w:type="dxa"/>
            <w:vAlign w:val="bottom"/>
            <w:gridSpan w:val="17"/>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60" w:type="dxa"/>
            <w:vAlign w:val="bottom"/>
            <w:gridSpan w:val="12"/>
          </w:tcPr>
          <w:p>
            <w:pPr>
              <w:ind w:left="2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4"/>
          </w:tcPr>
          <w:p>
            <w:pPr>
              <w:ind w:left="10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60" w:type="dxa"/>
            <w:vAlign w:val="bottom"/>
            <w:gridSpan w:val="2"/>
          </w:tcPr>
          <w:p>
            <w:pPr>
              <w:jc w:val="center"/>
              <w:ind w:right="13"/>
              <w:spacing w:after="0"/>
              <w:rPr>
                <w:sz w:val="20"/>
                <w:szCs w:val="20"/>
                <w:color w:val="auto"/>
              </w:rPr>
            </w:pPr>
            <w:r>
              <w:rPr>
                <w:rFonts w:ascii="Arial" w:cs="Arial" w:eastAsia="Arial" w:hAnsi="Arial"/>
                <w:sz w:val="12"/>
                <w:szCs w:val="12"/>
                <w:b w:val="1"/>
                <w:bCs w:val="1"/>
                <w:color w:val="auto"/>
                <w:w w:val="97"/>
              </w:rPr>
              <w:t>8. Price of</w:t>
            </w: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8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jc w:val="center"/>
              <w:ind w:right="595"/>
              <w:spacing w:after="0" w:line="131" w:lineRule="exact"/>
              <w:rPr>
                <w:sz w:val="20"/>
                <w:szCs w:val="20"/>
                <w:color w:val="auto"/>
              </w:rPr>
            </w:pPr>
            <w:r>
              <w:rPr>
                <w:rFonts w:ascii="Arial" w:cs="Arial" w:eastAsia="Arial" w:hAnsi="Arial"/>
                <w:sz w:val="12"/>
                <w:szCs w:val="12"/>
                <w:b w:val="1"/>
                <w:bCs w:val="1"/>
                <w:color w:val="auto"/>
                <w:w w:val="99"/>
              </w:rPr>
              <w:t>Date</w:t>
            </w:r>
          </w:p>
        </w:tc>
        <w:tc>
          <w:tcPr>
            <w:tcW w:w="118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60" w:type="dxa"/>
            <w:vAlign w:val="bottom"/>
            <w:gridSpan w:val="2"/>
          </w:tcPr>
          <w:p>
            <w:pPr>
              <w:jc w:val="center"/>
              <w:ind w:right="13"/>
              <w:spacing w:after="0" w:line="131"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1" w:lineRule="exact"/>
              <w:rPr>
                <w:sz w:val="20"/>
                <w:szCs w:val="20"/>
                <w:color w:val="auto"/>
              </w:rPr>
            </w:pPr>
            <w:r>
              <w:rPr>
                <w:rFonts w:ascii="Arial" w:cs="Arial" w:eastAsia="Arial" w:hAnsi="Arial"/>
                <w:sz w:val="12"/>
                <w:szCs w:val="12"/>
                <w:b w:val="1"/>
                <w:bCs w:val="1"/>
                <w:color w:val="auto"/>
                <w:w w:val="99"/>
              </w:rPr>
              <w:t>Form:</w:t>
            </w:r>
          </w:p>
        </w:tc>
        <w:tc>
          <w:tcPr>
            <w:tcW w:w="380" w:type="dxa"/>
            <w:vAlign w:val="bottom"/>
          </w:tcPr>
          <w:p>
            <w:pPr>
              <w:spacing w:after="0"/>
              <w:rPr>
                <w:sz w:val="11"/>
                <w:szCs w:val="11"/>
                <w:color w:val="auto"/>
              </w:rPr>
            </w:pP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0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600" w:type="dxa"/>
            <w:vAlign w:val="bottom"/>
          </w:tcPr>
          <w:p>
            <w:pPr>
              <w:spacing w:after="0"/>
              <w:rPr>
                <w:sz w:val="11"/>
                <w:szCs w:val="11"/>
                <w:color w:val="auto"/>
              </w:rPr>
            </w:pPr>
          </w:p>
        </w:tc>
        <w:tc>
          <w:tcPr>
            <w:tcW w:w="6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B</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ind w:left="32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0000FF"/>
              </w:rPr>
              <w:t>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left="279"/>
              <w:spacing w:after="0"/>
              <w:rPr>
                <w:sz w:val="20"/>
                <w:szCs w:val="20"/>
                <w:color w:val="auto"/>
              </w:rPr>
            </w:pPr>
            <w:r>
              <w:rPr>
                <w:rFonts w:ascii="Arial" w:cs="Arial" w:eastAsia="Arial" w:hAnsi="Arial"/>
                <w:sz w:val="13"/>
                <w:szCs w:val="13"/>
                <w:color w:val="0000FF"/>
                <w:w w:val="93"/>
              </w:rPr>
              <w:t>315,729</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00" w:type="dxa"/>
            <w:vAlign w:val="bottom"/>
          </w:tcPr>
          <w:p>
            <w:pPr>
              <w:ind w:left="60"/>
              <w:spacing w:after="0" w:line="126" w:lineRule="exact"/>
              <w:rPr>
                <w:sz w:val="20"/>
                <w:szCs w:val="20"/>
                <w:color w:val="auto"/>
              </w:rPr>
            </w:pPr>
            <w:r>
              <w:rPr>
                <w:rFonts w:ascii="Arial" w:cs="Arial" w:eastAsia="Arial" w:hAnsi="Arial"/>
                <w:sz w:val="13"/>
                <w:szCs w:val="13"/>
                <w:color w:val="0000FF"/>
                <w:w w:val="98"/>
              </w:rPr>
              <w:t>Common</w:t>
            </w:r>
          </w:p>
        </w:tc>
        <w:tc>
          <w:tcPr>
            <w:tcW w:w="660" w:type="dxa"/>
            <w:vAlign w:val="bottom"/>
            <w:gridSpan w:val="2"/>
            <w:vMerge w:val="restart"/>
          </w:tcPr>
          <w:p>
            <w:pPr>
              <w:jc w:val="center"/>
              <w:ind w:left="8"/>
              <w:spacing w:after="0"/>
              <w:rPr>
                <w:sz w:val="20"/>
                <w:szCs w:val="20"/>
                <w:color w:val="auto"/>
              </w:rPr>
            </w:pPr>
            <w:r>
              <w:rPr>
                <w:rFonts w:ascii="Arial" w:cs="Arial" w:eastAsia="Arial" w:hAnsi="Arial"/>
                <w:sz w:val="17"/>
                <w:szCs w:val="17"/>
                <w:color w:val="0000FF"/>
                <w:w w:val="87"/>
              </w:rPr>
              <w:t>315,729</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11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60" w:type="dxa"/>
            <w:vAlign w:val="bottom"/>
            <w:vMerge w:val="restart"/>
          </w:tcPr>
          <w:p>
            <w:pPr>
              <w:ind w:left="500"/>
              <w:spacing w:after="0"/>
              <w:rPr>
                <w:sz w:val="20"/>
                <w:szCs w:val="20"/>
                <w:color w:val="auto"/>
              </w:rPr>
            </w:pPr>
            <w:r>
              <w:rPr>
                <w:rFonts w:ascii="Arial" w:cs="Arial" w:eastAsia="Arial" w:hAnsi="Arial"/>
                <w:sz w:val="13"/>
                <w:szCs w:val="13"/>
                <w:color w:val="0000FF"/>
              </w:rPr>
              <w:t>I</w:t>
            </w:r>
          </w:p>
        </w:tc>
        <w:tc>
          <w:tcPr>
            <w:tcW w:w="3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C</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ind w:left="32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0000FF"/>
              </w:rPr>
              <w:t>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left="279"/>
              <w:spacing w:after="0"/>
              <w:rPr>
                <w:sz w:val="20"/>
                <w:szCs w:val="20"/>
                <w:color w:val="auto"/>
              </w:rPr>
            </w:pPr>
            <w:r>
              <w:rPr>
                <w:rFonts w:ascii="Arial" w:cs="Arial" w:eastAsia="Arial" w:hAnsi="Arial"/>
                <w:sz w:val="13"/>
                <w:szCs w:val="13"/>
                <w:color w:val="0000FF"/>
                <w:w w:val="90"/>
              </w:rPr>
              <w:t>94,183</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00" w:type="dxa"/>
            <w:vAlign w:val="bottom"/>
          </w:tcPr>
          <w:p>
            <w:pPr>
              <w:ind w:left="60"/>
              <w:spacing w:after="0" w:line="126" w:lineRule="exact"/>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ind w:left="48"/>
              <w:spacing w:after="0"/>
              <w:rPr>
                <w:sz w:val="20"/>
                <w:szCs w:val="20"/>
                <w:color w:val="auto"/>
              </w:rPr>
            </w:pPr>
            <w:r>
              <w:rPr>
                <w:rFonts w:ascii="Arial" w:cs="Arial" w:eastAsia="Arial" w:hAnsi="Arial"/>
                <w:sz w:val="17"/>
                <w:szCs w:val="17"/>
                <w:color w:val="0000FF"/>
                <w:w w:val="88"/>
              </w:rPr>
              <w:t>94,183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11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60" w:type="dxa"/>
            <w:vAlign w:val="bottom"/>
            <w:vMerge w:val="restart"/>
          </w:tcPr>
          <w:p>
            <w:pPr>
              <w:ind w:left="500"/>
              <w:spacing w:after="0"/>
              <w:rPr>
                <w:sz w:val="20"/>
                <w:szCs w:val="20"/>
                <w:color w:val="auto"/>
              </w:rPr>
            </w:pPr>
            <w:r>
              <w:rPr>
                <w:rFonts w:ascii="Arial" w:cs="Arial" w:eastAsia="Arial" w:hAnsi="Arial"/>
                <w:sz w:val="13"/>
                <w:szCs w:val="13"/>
                <w:color w:val="0000FF"/>
              </w:rPr>
              <w:t>I</w:t>
            </w:r>
          </w:p>
        </w:tc>
        <w:tc>
          <w:tcPr>
            <w:tcW w:w="3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D</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ind w:left="32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0000FF"/>
              </w:rPr>
              <w:t>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left="279"/>
              <w:spacing w:after="0"/>
              <w:rPr>
                <w:sz w:val="20"/>
                <w:szCs w:val="20"/>
                <w:color w:val="auto"/>
              </w:rPr>
            </w:pPr>
            <w:r>
              <w:rPr>
                <w:rFonts w:ascii="Arial" w:cs="Arial" w:eastAsia="Arial" w:hAnsi="Arial"/>
                <w:sz w:val="13"/>
                <w:szCs w:val="13"/>
                <w:color w:val="0000FF"/>
                <w:w w:val="90"/>
              </w:rPr>
              <w:t>83,596</w:t>
            </w:r>
          </w:p>
        </w:tc>
        <w:tc>
          <w:tcPr>
            <w:tcW w:w="800" w:type="dxa"/>
            <w:vAlign w:val="bottom"/>
          </w:tcPr>
          <w:p>
            <w:pPr>
              <w:ind w:left="36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00" w:type="dxa"/>
            <w:vAlign w:val="bottom"/>
          </w:tcPr>
          <w:p>
            <w:pPr>
              <w:ind w:left="60"/>
              <w:spacing w:after="0" w:line="126" w:lineRule="exact"/>
              <w:rPr>
                <w:sz w:val="20"/>
                <w:szCs w:val="20"/>
                <w:color w:val="auto"/>
              </w:rPr>
            </w:pPr>
            <w:r>
              <w:rPr>
                <w:rFonts w:ascii="Arial" w:cs="Arial" w:eastAsia="Arial" w:hAnsi="Arial"/>
                <w:sz w:val="13"/>
                <w:szCs w:val="13"/>
                <w:color w:val="0000FF"/>
                <w:w w:val="98"/>
              </w:rPr>
              <w:t>Common</w:t>
            </w:r>
          </w:p>
        </w:tc>
        <w:tc>
          <w:tcPr>
            <w:tcW w:w="620" w:type="dxa"/>
            <w:vAlign w:val="bottom"/>
            <w:vMerge w:val="restart"/>
          </w:tcPr>
          <w:p>
            <w:pPr>
              <w:jc w:val="center"/>
              <w:ind w:left="48"/>
              <w:spacing w:after="0"/>
              <w:rPr>
                <w:sz w:val="20"/>
                <w:szCs w:val="20"/>
                <w:color w:val="auto"/>
              </w:rPr>
            </w:pPr>
            <w:r>
              <w:rPr>
                <w:rFonts w:ascii="Arial" w:cs="Arial" w:eastAsia="Arial" w:hAnsi="Arial"/>
                <w:sz w:val="17"/>
                <w:szCs w:val="17"/>
                <w:color w:val="0000FF"/>
                <w:w w:val="88"/>
              </w:rPr>
              <w:t>83,596</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11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60" w:type="dxa"/>
            <w:vAlign w:val="bottom"/>
            <w:vMerge w:val="restart"/>
          </w:tcPr>
          <w:p>
            <w:pPr>
              <w:ind w:left="500"/>
              <w:spacing w:after="0"/>
              <w:rPr>
                <w:sz w:val="20"/>
                <w:szCs w:val="20"/>
                <w:color w:val="auto"/>
              </w:rPr>
            </w:pPr>
            <w:r>
              <w:rPr>
                <w:rFonts w:ascii="Arial" w:cs="Arial" w:eastAsia="Arial" w:hAnsi="Arial"/>
                <w:sz w:val="13"/>
                <w:szCs w:val="13"/>
                <w:color w:val="0000FF"/>
              </w:rPr>
              <w:t>I</w:t>
            </w:r>
          </w:p>
        </w:tc>
        <w:tc>
          <w:tcPr>
            <w:tcW w:w="3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Series E</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60" w:type="dxa"/>
            <w:vAlign w:val="bottom"/>
            <w:gridSpan w:val="3"/>
          </w:tcPr>
          <w:p>
            <w:pPr>
              <w:ind w:left="60"/>
              <w:spacing w:after="0" w:line="126" w:lineRule="exact"/>
              <w:rPr>
                <w:sz w:val="20"/>
                <w:szCs w:val="20"/>
                <w:color w:val="auto"/>
              </w:rPr>
            </w:pPr>
            <w:r>
              <w:rPr>
                <w:rFonts w:ascii="Arial" w:cs="Arial" w:eastAsia="Arial" w:hAnsi="Arial"/>
                <w:sz w:val="13"/>
                <w:szCs w:val="13"/>
                <w:color w:val="0000FF"/>
              </w:rPr>
              <w:t>Convertible</w:t>
            </w:r>
          </w:p>
        </w:tc>
        <w:tc>
          <w:tcPr>
            <w:tcW w:w="560" w:type="dxa"/>
            <w:vAlign w:val="bottom"/>
          </w:tcPr>
          <w:p>
            <w:pPr>
              <w:ind w:left="32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06/27/2016</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spacing w:after="0"/>
              <w:rPr>
                <w:sz w:val="20"/>
                <w:szCs w:val="20"/>
                <w:color w:val="auto"/>
              </w:rPr>
            </w:pPr>
            <w:r>
              <w:rPr>
                <w:rFonts w:ascii="Arial" w:cs="Arial" w:eastAsia="Arial" w:hAnsi="Arial"/>
                <w:sz w:val="13"/>
                <w:szCs w:val="13"/>
                <w:color w:val="0000FF"/>
              </w:rPr>
              <w:t>C</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center"/>
              <w:ind w:left="279"/>
              <w:spacing w:after="0"/>
              <w:rPr>
                <w:sz w:val="20"/>
                <w:szCs w:val="20"/>
                <w:color w:val="auto"/>
              </w:rPr>
            </w:pPr>
            <w:r>
              <w:rPr>
                <w:rFonts w:ascii="Arial" w:cs="Arial" w:eastAsia="Arial" w:hAnsi="Arial"/>
                <w:sz w:val="13"/>
                <w:szCs w:val="13"/>
                <w:color w:val="0000FF"/>
                <w:w w:val="90"/>
              </w:rPr>
              <w:t>93,078</w:t>
            </w:r>
          </w:p>
        </w:tc>
        <w:tc>
          <w:tcPr>
            <w:tcW w:w="800" w:type="dxa"/>
            <w:vAlign w:val="bottom"/>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00" w:type="dxa"/>
            <w:vAlign w:val="bottom"/>
          </w:tcPr>
          <w:p>
            <w:pPr>
              <w:ind w:left="60"/>
              <w:spacing w:after="0" w:line="126" w:lineRule="exact"/>
              <w:rPr>
                <w:sz w:val="20"/>
                <w:szCs w:val="20"/>
                <w:color w:val="auto"/>
              </w:rPr>
            </w:pPr>
            <w:r>
              <w:rPr>
                <w:rFonts w:ascii="Arial" w:cs="Arial" w:eastAsia="Arial" w:hAnsi="Arial"/>
                <w:sz w:val="13"/>
                <w:szCs w:val="13"/>
                <w:color w:val="0000FF"/>
                <w:w w:val="98"/>
              </w:rPr>
              <w:t>Common</w:t>
            </w:r>
          </w:p>
        </w:tc>
        <w:tc>
          <w:tcPr>
            <w:tcW w:w="660" w:type="dxa"/>
            <w:vAlign w:val="bottom"/>
            <w:gridSpan w:val="2"/>
            <w:vMerge w:val="restart"/>
          </w:tcPr>
          <w:p>
            <w:pPr>
              <w:jc w:val="center"/>
              <w:ind w:left="8"/>
              <w:spacing w:after="0"/>
              <w:rPr>
                <w:sz w:val="20"/>
                <w:szCs w:val="20"/>
                <w:color w:val="auto"/>
              </w:rPr>
            </w:pPr>
            <w:r>
              <w:rPr>
                <w:rFonts w:ascii="Arial" w:cs="Arial" w:eastAsia="Arial" w:hAnsi="Arial"/>
                <w:sz w:val="17"/>
                <w:szCs w:val="17"/>
                <w:color w:val="0000FF"/>
                <w:w w:val="87"/>
              </w:rPr>
              <w:t>144,282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center"/>
              <w:ind w:right="113"/>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60" w:type="dxa"/>
            <w:vAlign w:val="bottom"/>
            <w:vMerge w:val="restart"/>
          </w:tcPr>
          <w:p>
            <w:pPr>
              <w:ind w:left="500"/>
              <w:spacing w:after="0"/>
              <w:rPr>
                <w:sz w:val="20"/>
                <w:szCs w:val="20"/>
                <w:color w:val="auto"/>
              </w:rPr>
            </w:pPr>
            <w:r>
              <w:rPr>
                <w:rFonts w:ascii="Arial" w:cs="Arial" w:eastAsia="Arial" w:hAnsi="Arial"/>
                <w:sz w:val="13"/>
                <w:szCs w:val="13"/>
                <w:color w:val="0000FF"/>
              </w:rPr>
              <w:t>I</w:t>
            </w:r>
          </w:p>
        </w:tc>
        <w:tc>
          <w:tcPr>
            <w:tcW w:w="380" w:type="dxa"/>
            <w:vAlign w:val="bottom"/>
          </w:tcPr>
          <w:p>
            <w:pPr>
              <w:spacing w:after="0"/>
              <w:rPr>
                <w:sz w:val="10"/>
                <w:szCs w:val="10"/>
                <w:color w:val="auto"/>
              </w:rPr>
            </w:pPr>
          </w:p>
        </w:tc>
        <w:tc>
          <w:tcPr>
            <w:tcW w:w="8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Preferred</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Stock</w:t>
            </w: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gridSpan w:val="3"/>
          </w:tcPr>
          <w:p>
            <w:pPr>
              <w:ind w:left="20"/>
              <w:spacing w:after="0" w:line="161" w:lineRule="exact"/>
              <w:rPr>
                <w:sz w:val="20"/>
                <w:szCs w:val="20"/>
                <w:color w:val="auto"/>
              </w:rPr>
            </w:pPr>
            <w:r>
              <w:rPr>
                <w:rFonts w:ascii="Arial" w:cs="Arial" w:eastAsia="Arial" w:hAnsi="Arial"/>
                <w:sz w:val="12"/>
                <w:szCs w:val="12"/>
                <w:color w:val="0000FF"/>
                <w:w w:val="99"/>
              </w:rPr>
              <w:t>Footnote</w:t>
            </w:r>
            <w:r>
              <w:rPr>
                <w:rFonts w:ascii="Arial" w:cs="Arial" w:eastAsia="Arial" w:hAnsi="Arial"/>
                <w:sz w:val="18"/>
                <w:szCs w:val="18"/>
                <w:color w:val="008000"/>
                <w:w w:val="99"/>
                <w:vertAlign w:val="superscript"/>
              </w:rPr>
              <w:t>(1)(3)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2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8"/>
          </w:tcPr>
          <w:p>
            <w:pPr>
              <w:spacing w:after="0" w:line="217" w:lineRule="exact"/>
              <w:rPr>
                <w:rFonts w:ascii="Arial" w:cs="Arial" w:eastAsia="Arial" w:hAnsi="Arial"/>
                <w:sz w:val="21"/>
                <w:szCs w:val="21"/>
                <w:color w:val="0000EE"/>
              </w:rPr>
            </w:pPr>
            <w:hyperlink r:id="rId12">
              <w:r>
                <w:rPr>
                  <w:rFonts w:ascii="Arial" w:cs="Arial" w:eastAsia="Arial" w:hAnsi="Arial"/>
                  <w:sz w:val="21"/>
                  <w:szCs w:val="21"/>
                  <w:color w:val="0000EE"/>
                </w:rPr>
                <w:t>Nanodimension Management Ltd</w:t>
              </w:r>
            </w:hyperlink>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right="595"/>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80" w:type="dxa"/>
            <w:vAlign w:val="bottom"/>
            <w:gridSpan w:val="8"/>
          </w:tcPr>
          <w:p>
            <w:pPr>
              <w:spacing w:after="0"/>
              <w:rPr>
                <w:sz w:val="20"/>
                <w:szCs w:val="20"/>
                <w:color w:val="auto"/>
              </w:rPr>
            </w:pPr>
            <w:r>
              <w:rPr>
                <w:rFonts w:ascii="Arial" w:cs="Arial" w:eastAsia="Arial" w:hAnsi="Arial"/>
                <w:sz w:val="17"/>
                <w:szCs w:val="17"/>
                <w:color w:val="0000FF"/>
              </w:rPr>
              <w:t>GOVERNOR'S SQUARE, UNIT 3-213-62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23 LIME TREE BAY AVE</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GRAND CAYMAN E9</w:t>
            </w:r>
          </w:p>
        </w:tc>
        <w:tc>
          <w:tcPr>
            <w:tcW w:w="320" w:type="dxa"/>
            <w:vAlign w:val="bottom"/>
          </w:tcPr>
          <w:p>
            <w:pPr>
              <w:spacing w:after="0"/>
              <w:rPr>
                <w:sz w:val="20"/>
                <w:szCs w:val="20"/>
                <w:color w:val="auto"/>
              </w:rPr>
            </w:pPr>
          </w:p>
        </w:tc>
        <w:tc>
          <w:tcPr>
            <w:tcW w:w="860" w:type="dxa"/>
            <w:vAlign w:val="bottom"/>
            <w:gridSpan w:val="3"/>
          </w:tcPr>
          <w:p>
            <w:pPr>
              <w:ind w:left="100"/>
              <w:spacing w:after="0"/>
              <w:rPr>
                <w:sz w:val="20"/>
                <w:szCs w:val="20"/>
                <w:color w:val="auto"/>
              </w:rPr>
            </w:pPr>
            <w:r>
              <w:rPr>
                <w:rFonts w:ascii="Arial" w:cs="Arial" w:eastAsia="Arial" w:hAnsi="Arial"/>
                <w:sz w:val="17"/>
                <w:szCs w:val="17"/>
                <w:color w:val="0000FF"/>
                <w:w w:val="97"/>
              </w:rPr>
              <w:t>KY1-1302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gridSpan w:val="2"/>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right="555"/>
              <w:spacing w:after="0"/>
              <w:rPr>
                <w:sz w:val="20"/>
                <w:szCs w:val="20"/>
                <w:color w:val="auto"/>
              </w:rPr>
            </w:pPr>
            <w:r>
              <w:rPr>
                <w:rFonts w:ascii="Arial" w:cs="Arial" w:eastAsia="Arial" w:hAnsi="Arial"/>
                <w:sz w:val="13"/>
                <w:szCs w:val="13"/>
                <w:color w:val="auto"/>
                <w:w w:val="97"/>
              </w:rPr>
              <w:t>(State)</w:t>
            </w:r>
          </w:p>
        </w:tc>
        <w:tc>
          <w:tcPr>
            <w:tcW w:w="320" w:type="dxa"/>
            <w:vAlign w:val="bottom"/>
          </w:tcPr>
          <w:p>
            <w:pPr>
              <w:spacing w:after="0"/>
              <w:rPr>
                <w:sz w:val="24"/>
                <w:szCs w:val="24"/>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50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80" w:type="dxa"/>
            <w:vAlign w:val="bottom"/>
            <w:gridSpan w:val="8"/>
          </w:tcPr>
          <w:p>
            <w:pPr>
              <w:spacing w:after="0" w:line="217" w:lineRule="exact"/>
              <w:rPr>
                <w:rFonts w:ascii="Arial" w:cs="Arial" w:eastAsia="Arial" w:hAnsi="Arial"/>
                <w:sz w:val="21"/>
                <w:szCs w:val="21"/>
                <w:color w:val="0000EE"/>
              </w:rPr>
            </w:pPr>
            <w:hyperlink r:id="rId14">
              <w:r>
                <w:rPr>
                  <w:rFonts w:ascii="Arial" w:cs="Arial" w:eastAsia="Arial" w:hAnsi="Arial"/>
                  <w:sz w:val="21"/>
                  <w:szCs w:val="21"/>
                  <w:color w:val="0000EE"/>
                </w:rPr>
                <w:t>Nanodimension Limited Partnership</w:t>
              </w:r>
            </w:hyperlink>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6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right="595"/>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-5619750</wp:posOffset>
            </wp:positionV>
            <wp:extent cx="24130" cy="3244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3244215"/>
                    </a:xfrm>
                    <a:prstGeom prst="rect">
                      <a:avLst/>
                    </a:prstGeom>
                    <a:noFill/>
                  </pic:spPr>
                </pic:pic>
              </a:graphicData>
            </a:graphic>
          </wp:anchor>
        </w:drawing>
      </w:r>
    </w:p>
    <w:p>
      <w:pPr>
        <w:sectPr>
          <w:pgSz w:w="11900" w:h="16838" w:orient="portrait"/>
          <w:cols w:equalWidth="0" w:num="1">
            <w:col w:w="11520"/>
          </w:cols>
          <w:pgMar w:left="240" w:top="223" w:right="13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GOVERNOR'S SQUARE, UNIT 3-213-62</w:t>
      </w:r>
    </w:p>
    <w:p>
      <w:pPr>
        <w:sectPr>
          <w:pgSz w:w="11900" w:h="16838" w:orient="portrait"/>
          <w:cols w:equalWidth="0" w:num="1">
            <w:col w:w="11520"/>
          </w:cols>
          <w:pgMar w:left="240" w:top="223" w:right="1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t>23 LIME TREE BAY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-118110</wp:posOffset>
            </wp:positionV>
            <wp:extent cx="2921000" cy="933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00" cy="933450"/>
                    </a:xfrm>
                    <a:prstGeom prst="rect">
                      <a:avLst/>
                    </a:prstGeom>
                    <a:noFill/>
                  </pic:spPr>
                </pic:pic>
              </a:graphicData>
            </a:graphic>
          </wp:anchor>
        </w:drawing>
      </w: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3"/>
                <w:szCs w:val="13"/>
                <w:color w:val="auto"/>
              </w:rPr>
            </w:pPr>
          </w:p>
        </w:tc>
        <w:tc>
          <w:tcPr>
            <w:tcW w:w="196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2400" w:type="dxa"/>
            <w:vAlign w:val="bottom"/>
            <w:gridSpan w:val="2"/>
          </w:tcPr>
          <w:p>
            <w:pPr>
              <w:ind w:left="20"/>
              <w:spacing w:after="0"/>
              <w:rPr>
                <w:sz w:val="20"/>
                <w:szCs w:val="20"/>
                <w:color w:val="auto"/>
              </w:rPr>
            </w:pPr>
            <w:r>
              <w:rPr>
                <w:rFonts w:ascii="Arial" w:cs="Arial" w:eastAsia="Arial" w:hAnsi="Arial"/>
                <w:sz w:val="17"/>
                <w:szCs w:val="17"/>
                <w:color w:val="0000FF"/>
              </w:rPr>
              <w:t>GRAND CAYMAN E9</w:t>
            </w:r>
          </w:p>
        </w:tc>
        <w:tc>
          <w:tcPr>
            <w:tcW w:w="1960" w:type="dxa"/>
            <w:vAlign w:val="bottom"/>
          </w:tcPr>
          <w:p>
            <w:pPr>
              <w:ind w:left="540"/>
              <w:spacing w:after="0"/>
              <w:rPr>
                <w:sz w:val="20"/>
                <w:szCs w:val="20"/>
                <w:color w:val="auto"/>
              </w:rPr>
            </w:pPr>
            <w:r>
              <w:rPr>
                <w:rFonts w:ascii="Arial" w:cs="Arial" w:eastAsia="Arial" w:hAnsi="Arial"/>
                <w:sz w:val="17"/>
                <w:szCs w:val="17"/>
                <w:color w:val="0000FF"/>
              </w:rPr>
              <w:t>KY1-1302</w:t>
            </w:r>
          </w:p>
        </w:tc>
      </w:tr>
      <w:tr>
        <w:trPr>
          <w:trHeight w:val="152"/>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460" w:type="dxa"/>
            <w:vAlign w:val="bottom"/>
          </w:tcPr>
          <w:p>
            <w:pPr>
              <w:ind w:left="54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Held by NanoDimension L.P. ("ND LP).</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Consists of 660,957 shares held by ND LP, 350,000 shares held by NanoDimension L.P. II ("NDLP2") and 35,000 shares held by NanoDimension Management Limited ("ND GP").</w:t>
      </w:r>
    </w:p>
    <w:p>
      <w:pPr>
        <w:spacing w:after="0" w:line="46" w:lineRule="exact"/>
        <w:rPr>
          <w:rFonts w:ascii="Arial" w:cs="Arial" w:eastAsia="Arial" w:hAnsi="Arial"/>
          <w:sz w:val="13"/>
          <w:szCs w:val="13"/>
          <w:color w:val="008000"/>
        </w:rPr>
      </w:pPr>
    </w:p>
    <w:p>
      <w:pPr>
        <w:ind w:right="40" w:firstLine="4"/>
        <w:spacing w:after="0" w:line="261" w:lineRule="auto"/>
        <w:tabs>
          <w:tab w:leader="none" w:pos="131"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ND GP serves as the general partner of ND LP and possesses the power to direct the voting and disposition of the shares owned by ND LP and may be deemed to have indirect beneficial ownership of the shares held by ND LP. NanoDimension II Mangement Limited ("NDGP2") serves as the general partner of NDLP2 and possesses the power to direct the voting and disposition of the shares owned by NDLP2 and may be deemed to have indirect beneficial ownership of the shares held by NDLP2. ND GP and NDGP2 disclaim beneficial ownership of such shares, except to the extent of their pecuniary interest therein. Jonathan Nicholson and Richard Coles are the members of the board of directors of ND GP and NDGP2 and share voting and dispositive power over the shares held by ND LP and NDLP2. Each reporting person disclaims beneficial ownership of the securities reported herein, except to the extent of their respective pecuniary interest therein.</w:t>
      </w:r>
    </w:p>
    <w:p>
      <w:pPr>
        <w:spacing w:after="0" w:line="20" w:lineRule="exact"/>
        <w:rPr>
          <w:rFonts w:ascii="Arial" w:cs="Arial" w:eastAsia="Arial" w:hAnsi="Arial"/>
          <w:sz w:val="12"/>
          <w:szCs w:val="12"/>
          <w:color w:val="008000"/>
        </w:rPr>
      </w:pPr>
    </w:p>
    <w:p>
      <w:pPr>
        <w:ind w:right="20" w:firstLine="4"/>
        <w:spacing w:after="0" w:line="254" w:lineRule="auto"/>
        <w:tabs>
          <w:tab w:leader="none" w:pos="13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preferred stock is convertible at any time, at the holder's election and has no expiration date. The preferred stock automatically converted into common stock on a 1-for-1 basis upon the closing of the Issuer's initial public offering.</w:t>
      </w:r>
    </w:p>
    <w:p>
      <w:pPr>
        <w:spacing w:after="0" w:line="23" w:lineRule="exact"/>
        <w:rPr>
          <w:rFonts w:ascii="Arial" w:cs="Arial" w:eastAsia="Arial" w:hAnsi="Arial"/>
          <w:sz w:val="13"/>
          <w:szCs w:val="13"/>
          <w:color w:val="008000"/>
        </w:rPr>
      </w:pPr>
    </w:p>
    <w:p>
      <w:pPr>
        <w:ind w:firstLine="4"/>
        <w:spacing w:after="0" w:line="254" w:lineRule="auto"/>
        <w:tabs>
          <w:tab w:leader="none" w:pos="131"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Series E Convertible Preferred Stock is convertible at any time, at the holder's election and has no expiration date. The Series E Convertible Preferred Stock automatically converted into common stock on an approximately 1-for-1.550115 basis upon the closing of the Issuer's initial public offering.</w:t>
      </w:r>
    </w:p>
    <w:p>
      <w:pPr>
        <w:sectPr>
          <w:pgSz w:w="11900" w:h="16838" w:orient="portrait"/>
          <w:cols w:equalWidth="0" w:num="1">
            <w:col w:w="11180"/>
          </w:cols>
          <w:pgMar w:left="280" w:top="131" w:right="439" w:bottom="1440" w:gutter="0" w:footer="0" w:header="0"/>
        </w:sectPr>
      </w:pPr>
    </w:p>
    <w:p>
      <w:pPr>
        <w:spacing w:after="0" w:line="50"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NanoDimension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-3175</wp:posOffset>
            </wp:positionV>
            <wp:extent cx="1296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Ltd. By: /s/ Jonathan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0</wp:posOffset>
            </wp:positionV>
            <wp:extent cx="1395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95730" cy="8255"/>
                    </a:xfrm>
                    <a:prstGeom prst="rect">
                      <a:avLst/>
                    </a:prstGeom>
                    <a:noFill/>
                  </pic:spPr>
                </pic:pic>
              </a:graphicData>
            </a:graphic>
          </wp:anchor>
        </w:drawing>
      </w:r>
    </w:p>
    <w:p>
      <w:pPr>
        <w:spacing w:after="0" w:line="1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-13970</wp:posOffset>
            </wp:positionV>
            <wp:extent cx="359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359410" cy="8255"/>
                    </a:xfrm>
                    <a:prstGeom prst="rect">
                      <a:avLst/>
                    </a:prstGeom>
                    <a:noFill/>
                  </pic:spPr>
                </pic:pic>
              </a:graphicData>
            </a:graphic>
          </wp:anchor>
        </w:drawing>
      </w:r>
    </w:p>
    <w:p>
      <w:pPr>
        <w:spacing w:after="0" w:line="40"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NanoDimension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-10160</wp:posOffset>
            </wp:positionV>
            <wp:extent cx="1084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6"/>
          <w:szCs w:val="16"/>
          <w:color w:val="0000FF"/>
        </w:rPr>
        <w:t>NanoDimension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-6985</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Ltd., 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-6985</wp:posOffset>
            </wp:positionV>
            <wp:extent cx="1320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spacing w:after="0" w:line="5"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Jonathan Nicholson,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-13970</wp:posOffset>
            </wp:positionV>
            <wp:extent cx="1266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0000FF"/>
        </w:rPr>
        <w:t>06/29/2016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4914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409" w:lineRule="exact"/>
        <w:rPr>
          <w:sz w:val="20"/>
          <w:szCs w:val="20"/>
          <w:color w:val="auto"/>
        </w:rPr>
      </w:pPr>
    </w:p>
    <w:p>
      <w:pPr>
        <w:sectPr>
          <w:pgSz w:w="11900" w:h="16838" w:orient="portrait"/>
          <w:cols w:equalWidth="0" w:num="2">
            <w:col w:w="9020" w:space="100"/>
            <w:col w:w="2060"/>
          </w:cols>
          <w:pgMar w:left="280" w:top="131" w:right="43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640" w:firstLine="4"/>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80"/>
      </w:cols>
      <w:pgMar w:left="280" w:top="13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2" Type="http://schemas.openxmlformats.org/officeDocument/2006/relationships/hyperlink" Target="http://www.sec.gov/cgi-bin/browse-edgar?action=getcompany&amp;CIK=0001677406" TargetMode="External"/><Relationship Id="rId13" Type="http://schemas.openxmlformats.org/officeDocument/2006/relationships/hyperlink" Target="http://www.sec.gov/cgi-bin/browse-edgar?action=getcompany&amp;CIK=0001453687" TargetMode="External"/><Relationship Id="rId14" Type="http://schemas.openxmlformats.org/officeDocument/2006/relationships/hyperlink" Target="http://www.sec.gov/cgi-bin/browse-edgar?action=getcompany&amp;CIK=00016774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2019-12-08T18:31:50Z</dcterms:created>
  <dcterms:modified xsi:type="dcterms:W3CDTF">2019-12-08T18:31:50Z</dcterms:modified>
</cp:coreProperties>
</file>