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-505460</wp:posOffset>
            </wp:positionV>
            <wp:extent cx="51435" cy="51879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5614670</wp:posOffset>
            </wp:positionH>
            <wp:positionV relativeFrom="paragraph">
              <wp:posOffset>-505460</wp:posOffset>
            </wp:positionV>
            <wp:extent cx="51435" cy="518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7298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729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2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5"/>
                </w:rPr>
                <w:t>Malik Kemal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07/01/2024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Cartesian Therapeutics, Inc.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RNAC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CARTESIAN THERAPEUTICS,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704 QUINCE ORCHARD ROAD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22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GAITHERSBURG MD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20878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7" w:right="880" w:firstLine="7"/>
        <w:spacing w:after="0" w:line="260" w:lineRule="auto"/>
        <w:tabs>
          <w:tab w:leader="none" w:pos="108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tbl>
      <w:tblPr>
        <w:tblLayout w:type="fixed"/>
        <w:tblInd w:w="51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3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3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68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8" w:hanging="118"/>
        <w:spacing w:after="0"/>
        <w:tabs>
          <w:tab w:leader="none" w:pos="118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438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7" w:space="720"/>
            <w:col w:w="3073" w:space="222"/>
            <w:col w:w="2718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580" w:type="dxa"/>
            <w:vAlign w:val="bottom"/>
          </w:tcPr>
          <w:p>
            <w:pPr>
              <w:ind w:left="2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60" w:type="dxa"/>
            <w:vAlign w:val="bottom"/>
            <w:gridSpan w:val="3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Exhibit 24 - Power of Attorney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3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Matthew Bartholomae, Attorney-in-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07/03/2024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auto"/>
            </w:tcBorders>
          </w:tcPr>
          <w:p>
            <w:pPr>
              <w:spacing w:after="0" w:line="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fact for Kemal Malik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3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500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154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15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417830</wp:posOffset>
            </wp:positionV>
            <wp:extent cx="6944360" cy="910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9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4" w:name="page5"/>
    <w:bookmarkEnd w:id="4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797921" TargetMode="External"/><Relationship Id="rId12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2024-07-03T15:13:02Z</dcterms:created>
  <dcterms:modified xsi:type="dcterms:W3CDTF">2024-07-03T15:13:02Z</dcterms:modified>
</cp:coreProperties>
</file>