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7"/>
          <w:szCs w:val="27"/>
          <w:b w:val="1"/>
          <w:bCs w:val="1"/>
          <w:color w:val="auto"/>
        </w:rPr>
        <w:t>UNITED STATES</w:t>
      </w:r>
    </w:p>
    <w:p>
      <w:pPr>
        <w:spacing w:after="0" w:line="178"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SECURITIES AND EXCHANGE COMMISSION</w:t>
      </w:r>
    </w:p>
    <w:p>
      <w:pPr>
        <w:spacing w:after="0" w:line="25"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Washington, D.C. 20549</w:t>
      </w:r>
    </w:p>
    <w:p>
      <w:pPr>
        <w:spacing w:after="0" w:line="336"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FORM 8-K</w:t>
      </w:r>
    </w:p>
    <w:p>
      <w:pPr>
        <w:spacing w:after="0" w:line="36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CURRENT REPORT</w:t>
      </w:r>
    </w:p>
    <w:p>
      <w:pPr>
        <w:spacing w:after="0" w:line="18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Section 13 or 15(d) of</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3"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Date of report (Date of earliest event reported): June 4, 2018</w:t>
      </w:r>
    </w:p>
    <w:p>
      <w:pPr>
        <w:spacing w:after="0" w:line="348"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SELECTA BIOSCIENCES, INC.</w:t>
      </w:r>
    </w:p>
    <w:p>
      <w:pPr>
        <w:spacing w:after="0" w:line="25"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(Exact name of registrant as specified in its charter)</w:t>
      </w:r>
    </w:p>
    <w:p>
      <w:pPr>
        <w:spacing w:after="0" w:line="122" w:lineRule="exact"/>
        <w:rPr>
          <w:sz w:val="24"/>
          <w:szCs w:val="24"/>
          <w:color w:val="auto"/>
        </w:rPr>
      </w:pPr>
    </w:p>
    <w:tbl>
      <w:tblPr>
        <w:tblLayout w:type="fixed"/>
        <w:tblInd w:w="840" w:type="dxa"/>
        <w:tblCellMar>
          <w:top w:w="0" w:type="dxa"/>
          <w:left w:w="0" w:type="dxa"/>
          <w:bottom w:w="0" w:type="dxa"/>
          <w:right w:w="0" w:type="dxa"/>
        </w:tblCellMar>
      </w:tblPr>
      <w:tr>
        <w:trPr>
          <w:trHeight w:val="192"/>
        </w:trPr>
        <w:tc>
          <w:tcPr>
            <w:tcW w:w="2600" w:type="dxa"/>
            <w:vAlign w:val="bottom"/>
          </w:tcPr>
          <w:p>
            <w:pPr>
              <w:jc w:val="center"/>
              <w:ind w:right="746"/>
              <w:spacing w:after="0"/>
              <w:rPr>
                <w:sz w:val="20"/>
                <w:szCs w:val="20"/>
                <w:color w:val="auto"/>
              </w:rPr>
            </w:pPr>
            <w:r>
              <w:rPr>
                <w:rFonts w:ascii="Arial" w:cs="Arial" w:eastAsia="Arial" w:hAnsi="Arial"/>
                <w:sz w:val="15"/>
                <w:szCs w:val="15"/>
                <w:b w:val="1"/>
                <w:bCs w:val="1"/>
                <w:color w:val="auto"/>
                <w:w w:val="87"/>
              </w:rPr>
              <w:t>Delaware</w:t>
            </w: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89"/>
              </w:rPr>
              <w:t>001-37798</w:t>
            </w:r>
          </w:p>
        </w:tc>
        <w:tc>
          <w:tcPr>
            <w:tcW w:w="2020" w:type="dxa"/>
            <w:vAlign w:val="bottom"/>
          </w:tcPr>
          <w:p>
            <w:pPr>
              <w:jc w:val="center"/>
              <w:ind w:left="846"/>
              <w:spacing w:after="0"/>
              <w:rPr>
                <w:sz w:val="20"/>
                <w:szCs w:val="20"/>
                <w:color w:val="auto"/>
              </w:rPr>
            </w:pPr>
            <w:r>
              <w:rPr>
                <w:rFonts w:ascii="Arial" w:cs="Arial" w:eastAsia="Arial" w:hAnsi="Arial"/>
                <w:sz w:val="15"/>
                <w:szCs w:val="15"/>
                <w:b w:val="1"/>
                <w:bCs w:val="1"/>
                <w:color w:val="auto"/>
                <w:w w:val="87"/>
              </w:rPr>
              <w:t>26-1622110</w:t>
            </w:r>
          </w:p>
        </w:tc>
      </w:tr>
      <w:tr>
        <w:trPr>
          <w:trHeight w:val="212"/>
        </w:trPr>
        <w:tc>
          <w:tcPr>
            <w:tcW w:w="2600" w:type="dxa"/>
            <w:vAlign w:val="bottom"/>
          </w:tcPr>
          <w:p>
            <w:pPr>
              <w:jc w:val="center"/>
              <w:ind w:right="746"/>
              <w:spacing w:after="0"/>
              <w:rPr>
                <w:sz w:val="20"/>
                <w:szCs w:val="20"/>
                <w:color w:val="auto"/>
              </w:rPr>
            </w:pPr>
            <w:r>
              <w:rPr>
                <w:rFonts w:ascii="Arial" w:cs="Arial" w:eastAsia="Arial" w:hAnsi="Arial"/>
                <w:sz w:val="15"/>
                <w:szCs w:val="15"/>
                <w:color w:val="auto"/>
                <w:w w:val="90"/>
              </w:rPr>
              <w:t>(State or other jurisdiction of</w:t>
            </w:r>
          </w:p>
        </w:tc>
        <w:tc>
          <w:tcPr>
            <w:tcW w:w="4840" w:type="dxa"/>
            <w:vAlign w:val="bottom"/>
          </w:tcPr>
          <w:p>
            <w:pPr>
              <w:jc w:val="center"/>
              <w:ind w:right="166"/>
              <w:spacing w:after="0"/>
              <w:rPr>
                <w:sz w:val="20"/>
                <w:szCs w:val="20"/>
                <w:color w:val="auto"/>
              </w:rPr>
            </w:pPr>
            <w:r>
              <w:rPr>
                <w:rFonts w:ascii="Arial" w:cs="Arial" w:eastAsia="Arial" w:hAnsi="Arial"/>
                <w:sz w:val="15"/>
                <w:szCs w:val="15"/>
                <w:color w:val="auto"/>
                <w:w w:val="91"/>
              </w:rPr>
              <w:t>(Commission</w:t>
            </w:r>
          </w:p>
        </w:tc>
        <w:tc>
          <w:tcPr>
            <w:tcW w:w="2020" w:type="dxa"/>
            <w:vAlign w:val="bottom"/>
          </w:tcPr>
          <w:p>
            <w:pPr>
              <w:jc w:val="center"/>
              <w:ind w:left="846"/>
              <w:spacing w:after="0"/>
              <w:rPr>
                <w:sz w:val="20"/>
                <w:szCs w:val="20"/>
                <w:color w:val="auto"/>
              </w:rPr>
            </w:pPr>
            <w:r>
              <w:rPr>
                <w:rFonts w:ascii="Arial" w:cs="Arial" w:eastAsia="Arial" w:hAnsi="Arial"/>
                <w:sz w:val="15"/>
                <w:szCs w:val="15"/>
                <w:color w:val="auto"/>
                <w:w w:val="92"/>
              </w:rPr>
              <w:t>(I.R.S. Employer</w:t>
            </w:r>
          </w:p>
        </w:tc>
      </w:tr>
      <w:tr>
        <w:trPr>
          <w:trHeight w:val="188"/>
        </w:trPr>
        <w:tc>
          <w:tcPr>
            <w:tcW w:w="2600" w:type="dxa"/>
            <w:vAlign w:val="bottom"/>
          </w:tcPr>
          <w:p>
            <w:pPr>
              <w:jc w:val="center"/>
              <w:ind w:right="746"/>
              <w:spacing w:after="0"/>
              <w:rPr>
                <w:sz w:val="20"/>
                <w:szCs w:val="20"/>
                <w:color w:val="auto"/>
              </w:rPr>
            </w:pPr>
            <w:r>
              <w:rPr>
                <w:rFonts w:ascii="Arial" w:cs="Arial" w:eastAsia="Arial" w:hAnsi="Arial"/>
                <w:sz w:val="15"/>
                <w:szCs w:val="15"/>
                <w:color w:val="auto"/>
                <w:w w:val="91"/>
              </w:rPr>
              <w:t>incorporation or organization)</w:t>
            </w:r>
          </w:p>
        </w:tc>
        <w:tc>
          <w:tcPr>
            <w:tcW w:w="4840" w:type="dxa"/>
            <w:vAlign w:val="bottom"/>
          </w:tcPr>
          <w:p>
            <w:pPr>
              <w:jc w:val="center"/>
              <w:ind w:right="166"/>
              <w:spacing w:after="0"/>
              <w:rPr>
                <w:sz w:val="20"/>
                <w:szCs w:val="20"/>
                <w:color w:val="auto"/>
              </w:rPr>
            </w:pPr>
            <w:r>
              <w:rPr>
                <w:rFonts w:ascii="Arial" w:cs="Arial" w:eastAsia="Arial" w:hAnsi="Arial"/>
                <w:sz w:val="15"/>
                <w:szCs w:val="15"/>
                <w:color w:val="auto"/>
                <w:w w:val="92"/>
              </w:rPr>
              <w:t>File Number)</w:t>
            </w:r>
          </w:p>
        </w:tc>
        <w:tc>
          <w:tcPr>
            <w:tcW w:w="2020" w:type="dxa"/>
            <w:vAlign w:val="bottom"/>
          </w:tcPr>
          <w:p>
            <w:pPr>
              <w:jc w:val="center"/>
              <w:ind w:left="846"/>
              <w:spacing w:after="0"/>
              <w:rPr>
                <w:sz w:val="20"/>
                <w:szCs w:val="20"/>
                <w:color w:val="auto"/>
              </w:rPr>
            </w:pPr>
            <w:r>
              <w:rPr>
                <w:rFonts w:ascii="Arial" w:cs="Arial" w:eastAsia="Arial" w:hAnsi="Arial"/>
                <w:sz w:val="15"/>
                <w:szCs w:val="15"/>
                <w:color w:val="auto"/>
                <w:w w:val="94"/>
              </w:rPr>
              <w:t>Identification No.)</w:t>
            </w:r>
          </w:p>
        </w:tc>
      </w:tr>
      <w:tr>
        <w:trPr>
          <w:trHeight w:val="363"/>
        </w:trPr>
        <w:tc>
          <w:tcPr>
            <w:tcW w:w="2600" w:type="dxa"/>
            <w:vAlign w:val="bottom"/>
          </w:tcPr>
          <w:p>
            <w:pPr>
              <w:spacing w:after="0"/>
              <w:rPr>
                <w:sz w:val="24"/>
                <w:szCs w:val="24"/>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90"/>
              </w:rPr>
              <w:t>480 Arsenal Way</w:t>
            </w:r>
          </w:p>
        </w:tc>
        <w:tc>
          <w:tcPr>
            <w:tcW w:w="2020" w:type="dxa"/>
            <w:vAlign w:val="bottom"/>
          </w:tcPr>
          <w:p>
            <w:pPr>
              <w:spacing w:after="0"/>
              <w:rPr>
                <w:sz w:val="24"/>
                <w:szCs w:val="24"/>
                <w:color w:val="auto"/>
              </w:rPr>
            </w:pPr>
          </w:p>
        </w:tc>
      </w:tr>
      <w:tr>
        <w:trPr>
          <w:trHeight w:val="182"/>
        </w:trPr>
        <w:tc>
          <w:tcPr>
            <w:tcW w:w="2600" w:type="dxa"/>
            <w:vAlign w:val="bottom"/>
          </w:tcPr>
          <w:p>
            <w:pPr>
              <w:spacing w:after="0"/>
              <w:rPr>
                <w:sz w:val="15"/>
                <w:szCs w:val="15"/>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93"/>
              </w:rPr>
              <w:t>Watertown, MA 02472</w:t>
            </w:r>
          </w:p>
        </w:tc>
        <w:tc>
          <w:tcPr>
            <w:tcW w:w="2020" w:type="dxa"/>
            <w:vAlign w:val="bottom"/>
          </w:tcPr>
          <w:p>
            <w:pPr>
              <w:spacing w:after="0"/>
              <w:rPr>
                <w:sz w:val="15"/>
                <w:szCs w:val="15"/>
                <w:color w:val="auto"/>
              </w:rPr>
            </w:pPr>
          </w:p>
        </w:tc>
      </w:tr>
      <w:tr>
        <w:trPr>
          <w:trHeight w:val="188"/>
        </w:trPr>
        <w:tc>
          <w:tcPr>
            <w:tcW w:w="2600" w:type="dxa"/>
            <w:vAlign w:val="bottom"/>
          </w:tcPr>
          <w:p>
            <w:pPr>
              <w:spacing w:after="0"/>
              <w:rPr>
                <w:sz w:val="16"/>
                <w:szCs w:val="16"/>
                <w:color w:val="auto"/>
              </w:rPr>
            </w:pPr>
          </w:p>
        </w:tc>
        <w:tc>
          <w:tcPr>
            <w:tcW w:w="4840" w:type="dxa"/>
            <w:vAlign w:val="bottom"/>
          </w:tcPr>
          <w:p>
            <w:pPr>
              <w:ind w:left="880"/>
              <w:spacing w:after="0"/>
              <w:rPr>
                <w:sz w:val="20"/>
                <w:szCs w:val="20"/>
                <w:color w:val="auto"/>
              </w:rPr>
            </w:pPr>
            <w:r>
              <w:rPr>
                <w:rFonts w:ascii="Arial" w:cs="Arial" w:eastAsia="Arial" w:hAnsi="Arial"/>
                <w:sz w:val="15"/>
                <w:szCs w:val="15"/>
                <w:color w:val="auto"/>
              </w:rPr>
              <w:t>(Address of principal executive offices) (Zip Code)</w:t>
            </w:r>
          </w:p>
        </w:tc>
        <w:tc>
          <w:tcPr>
            <w:tcW w:w="2020" w:type="dxa"/>
            <w:vAlign w:val="bottom"/>
          </w:tcPr>
          <w:p>
            <w:pPr>
              <w:spacing w:after="0"/>
              <w:rPr>
                <w:sz w:val="16"/>
                <w:szCs w:val="16"/>
                <w:color w:val="auto"/>
              </w:rPr>
            </w:pPr>
          </w:p>
        </w:tc>
      </w:tr>
      <w:tr>
        <w:trPr>
          <w:trHeight w:val="345"/>
        </w:trPr>
        <w:tc>
          <w:tcPr>
            <w:tcW w:w="2600" w:type="dxa"/>
            <w:vAlign w:val="bottom"/>
          </w:tcPr>
          <w:p>
            <w:pPr>
              <w:spacing w:after="0"/>
              <w:rPr>
                <w:sz w:val="24"/>
                <w:szCs w:val="24"/>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89"/>
              </w:rPr>
              <w:t>(617) 923-1400</w:t>
            </w:r>
          </w:p>
        </w:tc>
        <w:tc>
          <w:tcPr>
            <w:tcW w:w="2020" w:type="dxa"/>
            <w:vAlign w:val="bottom"/>
          </w:tcPr>
          <w:p>
            <w:pPr>
              <w:spacing w:after="0"/>
              <w:rPr>
                <w:sz w:val="24"/>
                <w:szCs w:val="24"/>
                <w:color w:val="auto"/>
              </w:rPr>
            </w:pPr>
          </w:p>
        </w:tc>
      </w:tr>
      <w:tr>
        <w:trPr>
          <w:trHeight w:val="188"/>
        </w:trPr>
        <w:tc>
          <w:tcPr>
            <w:tcW w:w="2600" w:type="dxa"/>
            <w:vAlign w:val="bottom"/>
          </w:tcPr>
          <w:p>
            <w:pPr>
              <w:spacing w:after="0"/>
              <w:rPr>
                <w:sz w:val="16"/>
                <w:szCs w:val="16"/>
                <w:color w:val="auto"/>
              </w:rPr>
            </w:pPr>
          </w:p>
        </w:tc>
        <w:tc>
          <w:tcPr>
            <w:tcW w:w="4840" w:type="dxa"/>
            <w:vAlign w:val="bottom"/>
          </w:tcPr>
          <w:p>
            <w:pPr>
              <w:jc w:val="center"/>
              <w:ind w:right="126"/>
              <w:spacing w:after="0"/>
              <w:rPr>
                <w:sz w:val="20"/>
                <w:szCs w:val="20"/>
                <w:color w:val="auto"/>
              </w:rPr>
            </w:pPr>
            <w:r>
              <w:rPr>
                <w:rFonts w:ascii="Arial" w:cs="Arial" w:eastAsia="Arial" w:hAnsi="Arial"/>
                <w:sz w:val="15"/>
                <w:szCs w:val="15"/>
                <w:color w:val="auto"/>
                <w:w w:val="87"/>
              </w:rPr>
              <w:t>(Registrant’s telephone number, include area code)</w:t>
            </w:r>
          </w:p>
        </w:tc>
        <w:tc>
          <w:tcPr>
            <w:tcW w:w="2020" w:type="dxa"/>
            <w:vAlign w:val="bottom"/>
          </w:tcPr>
          <w:p>
            <w:pPr>
              <w:spacing w:after="0"/>
              <w:rPr>
                <w:sz w:val="16"/>
                <w:szCs w:val="16"/>
                <w:color w:val="auto"/>
              </w:rPr>
            </w:pPr>
          </w:p>
        </w:tc>
      </w:tr>
    </w:tbl>
    <w:p>
      <w:pPr>
        <w:spacing w:after="0" w:line="163"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N/A</w:t>
      </w:r>
    </w:p>
    <w:p>
      <w:pPr>
        <w:spacing w:after="0" w:line="19"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35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 x</w:t>
      </w:r>
    </w:p>
    <w:p>
      <w:pPr>
        <w:spacing w:after="0" w:line="183" w:lineRule="exact"/>
        <w:rPr>
          <w:sz w:val="24"/>
          <w:szCs w:val="24"/>
          <w:color w:val="auto"/>
        </w:rPr>
      </w:pPr>
    </w:p>
    <w:p>
      <w:pPr>
        <w:ind w:right="240"/>
        <w:spacing w:after="0" w:line="268"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200"/>
          </w:cols>
          <w:pgMar w:left="220" w:top="582" w:right="47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5"/>
          <w:szCs w:val="15"/>
          <w:color w:val="auto"/>
        </w:rPr>
        <w:t>Selecta Biosciences, Inc. (the “Company”) from time to time presents and/or distributes to the investment community at various industry and other conferences slide presentations to provide updates and summaries of its business. A copy of its current corporate slide presentation (the “Presentation”) is attached to this Current Report on Form 8-K as Exhibit 99.1. The Company undertakes no obligation to update, supplement or amend the materials attached hereto as Exhibit 99.1.</w:t>
      </w:r>
    </w:p>
    <w:p>
      <w:pPr>
        <w:spacing w:after="0" w:line="156"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8.01. Other Events.</w:t>
      </w:r>
    </w:p>
    <w:p>
      <w:pPr>
        <w:spacing w:after="0" w:line="198"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 xml:space="preserve">On May 30, 2018, the Company commenced the fourth combination dose in </w:t>
      </w:r>
      <w:r>
        <w:rPr>
          <w:rFonts w:ascii="Arial" w:cs="Arial" w:eastAsia="Arial" w:hAnsi="Arial"/>
          <w:sz w:val="15"/>
          <w:szCs w:val="15"/>
          <w:color w:val="333333"/>
        </w:rPr>
        <w:t>patients in the cohorts expected to receive five doses</w:t>
      </w:r>
      <w:r>
        <w:rPr>
          <w:rFonts w:ascii="Arial" w:cs="Arial" w:eastAsia="Arial" w:hAnsi="Arial"/>
          <w:sz w:val="15"/>
          <w:szCs w:val="15"/>
          <w:color w:val="auto"/>
        </w:rPr>
        <w:t xml:space="preserve"> of SEL-212 in its Phase 2 clinical trial of SEL-212 in chronic severe gout.</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 Exhibits</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Exhibit No.</w:t>
            </w:r>
          </w:p>
        </w:tc>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2"/>
                <w:szCs w:val="12"/>
                <w:b w:val="1"/>
                <w:bCs w:val="1"/>
                <w:color w:val="auto"/>
              </w:rPr>
              <w:t>Description</w:t>
            </w:r>
          </w:p>
        </w:tc>
      </w:tr>
      <w:tr>
        <w:trPr>
          <w:trHeight w:val="263"/>
        </w:trPr>
        <w:tc>
          <w:tcPr>
            <w:tcW w:w="1140" w:type="dxa"/>
            <w:vAlign w:val="bottom"/>
            <w:tcBorders>
              <w:top w:val="single" w:sz="8" w:color="auto"/>
            </w:tcBorders>
            <w:gridSpan w:val="2"/>
          </w:tcPr>
          <w:p>
            <w:pPr>
              <w:jc w:val="right"/>
              <w:spacing w:after="0"/>
              <w:rPr>
                <w:rFonts w:ascii="Arial" w:cs="Arial" w:eastAsia="Arial" w:hAnsi="Arial"/>
                <w:sz w:val="15"/>
                <w:szCs w:val="15"/>
                <w:color w:val="0000FF"/>
              </w:rPr>
            </w:pPr>
            <w:hyperlink w:anchor="page4">
              <w:r>
                <w:rPr>
                  <w:rFonts w:ascii="Arial" w:cs="Arial" w:eastAsia="Arial" w:hAnsi="Arial"/>
                  <w:sz w:val="15"/>
                  <w:szCs w:val="15"/>
                  <w:color w:val="0000FF"/>
                </w:rPr>
                <w:t>99.</w:t>
              </w:r>
              <w:r>
                <w:rPr>
                  <w:rFonts w:ascii="Arial" w:cs="Arial" w:eastAsia="Arial" w:hAnsi="Arial"/>
                  <w:sz w:val="15"/>
                  <w:szCs w:val="15"/>
                  <w:u w:val="single" w:color="auto"/>
                  <w:color w:val="0000FF"/>
                </w:rPr>
                <w:t>1</w:t>
              </w:r>
            </w:hyperlink>
          </w:p>
        </w:tc>
        <w:tc>
          <w:tcPr>
            <w:tcW w:w="4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560" w:type="dxa"/>
            <w:vAlign w:val="bottom"/>
            <w:tcBorders>
              <w:top w:val="single" w:sz="8" w:color="auto"/>
            </w:tcBorders>
            <w:gridSpan w:val="2"/>
          </w:tcPr>
          <w:p>
            <w:pPr>
              <w:spacing w:after="0"/>
              <w:rPr>
                <w:rFonts w:ascii="Arial" w:cs="Arial" w:eastAsia="Arial" w:hAnsi="Arial"/>
                <w:sz w:val="15"/>
                <w:szCs w:val="15"/>
                <w:color w:val="0000FF"/>
              </w:rPr>
            </w:pPr>
            <w:hyperlink w:anchor="page4">
              <w:r>
                <w:rPr>
                  <w:rFonts w:ascii="Arial" w:cs="Arial" w:eastAsia="Arial" w:hAnsi="Arial"/>
                  <w:sz w:val="15"/>
                  <w:szCs w:val="15"/>
                  <w:color w:val="0000FF"/>
                </w:rPr>
                <w:t>Corporate slide presentation of Selecta Biosciences, Inc. dated June 2018</w:t>
              </w:r>
            </w:hyperlink>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bl>
    <w:p>
      <w:pPr>
        <w:sectPr>
          <w:pgSz w:w="11900" w:h="16838" w:orient="portrait"/>
          <w:cols w:equalWidth="0" w:num="1">
            <w:col w:w="11440"/>
          </w:cols>
          <w:pgMar w:left="220" w:top="6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8120" w:type="dxa"/>
            <w:vAlign w:val="bottom"/>
            <w:gridSpan w:val="2"/>
          </w:tcPr>
          <w:p>
            <w:pPr>
              <w:ind w:left="2200"/>
              <w:spacing w:after="0"/>
              <w:rPr>
                <w:sz w:val="20"/>
                <w:szCs w:val="20"/>
                <w:color w:val="auto"/>
              </w:rPr>
            </w:pPr>
            <w:r>
              <w:rPr>
                <w:rFonts w:ascii="Arial" w:cs="Arial" w:eastAsia="Arial" w:hAnsi="Arial"/>
                <w:sz w:val="15"/>
                <w:szCs w:val="15"/>
                <w:color w:val="auto"/>
              </w:rPr>
              <w:t>SELECTA BIOSCIENCES, INC.</w:t>
            </w:r>
          </w:p>
        </w:tc>
      </w:tr>
      <w:tr>
        <w:trPr>
          <w:trHeight w:val="666"/>
        </w:trPr>
        <w:tc>
          <w:tcPr>
            <w:tcW w:w="3300" w:type="dxa"/>
            <w:vAlign w:val="bottom"/>
          </w:tcPr>
          <w:p>
            <w:pPr>
              <w:spacing w:after="0"/>
              <w:rPr>
                <w:sz w:val="20"/>
                <w:szCs w:val="20"/>
                <w:color w:val="auto"/>
              </w:rPr>
            </w:pPr>
            <w:r>
              <w:rPr>
                <w:rFonts w:ascii="Arial" w:cs="Arial" w:eastAsia="Arial" w:hAnsi="Arial"/>
                <w:sz w:val="15"/>
                <w:szCs w:val="15"/>
                <w:color w:val="auto"/>
              </w:rPr>
              <w:t>Date: June 4, 2018</w:t>
            </w:r>
          </w:p>
        </w:tc>
        <w:tc>
          <w:tcPr>
            <w:tcW w:w="2860" w:type="dxa"/>
            <w:vAlign w:val="bottom"/>
          </w:tcPr>
          <w:p>
            <w:pPr>
              <w:ind w:left="2200"/>
              <w:spacing w:after="0"/>
              <w:rPr>
                <w:sz w:val="20"/>
                <w:szCs w:val="20"/>
                <w:color w:val="auto"/>
              </w:rPr>
            </w:pPr>
            <w:r>
              <w:rPr>
                <w:rFonts w:ascii="Arial" w:cs="Arial" w:eastAsia="Arial" w:hAnsi="Arial"/>
                <w:sz w:val="15"/>
                <w:szCs w:val="15"/>
                <w:color w:val="auto"/>
              </w:rPr>
              <w:t>By:</w:t>
            </w:r>
          </w:p>
        </w:tc>
        <w:tc>
          <w:tcPr>
            <w:tcW w:w="5260" w:type="dxa"/>
            <w:vAlign w:val="bottom"/>
          </w:tcPr>
          <w:p>
            <w:pPr>
              <w:ind w:left="20"/>
              <w:spacing w:after="0"/>
              <w:rPr>
                <w:sz w:val="20"/>
                <w:szCs w:val="20"/>
                <w:color w:val="auto"/>
              </w:rPr>
            </w:pPr>
            <w:r>
              <w:rPr>
                <w:rFonts w:ascii="Arial" w:cs="Arial" w:eastAsia="Arial" w:hAnsi="Arial"/>
                <w:sz w:val="15"/>
                <w:szCs w:val="15"/>
                <w:color w:val="auto"/>
              </w:rPr>
              <w:t>/s/ Werner Cautreels, Ph.D.</w:t>
            </w:r>
          </w:p>
        </w:tc>
      </w:tr>
      <w:tr>
        <w:trPr>
          <w:trHeight w:val="23"/>
        </w:trPr>
        <w:tc>
          <w:tcPr>
            <w:tcW w:w="3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r>
      <w:tr>
        <w:trPr>
          <w:trHeight w:val="190"/>
        </w:trPr>
        <w:tc>
          <w:tcPr>
            <w:tcW w:w="33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Werner Cautreels, Ph.D.</w:t>
            </w:r>
          </w:p>
        </w:tc>
      </w:tr>
      <w:tr>
        <w:trPr>
          <w:trHeight w:val="222"/>
        </w:trPr>
        <w:tc>
          <w:tcPr>
            <w:tcW w:w="3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President and Chief Executive Officer</w:t>
            </w:r>
          </w:p>
        </w:tc>
      </w:tr>
    </w:tbl>
    <w:p>
      <w:pPr>
        <w:sectPr>
          <w:pgSz w:w="11900" w:h="16838" w:orient="portrait"/>
          <w:cols w:equalWidth="0" w:num="1">
            <w:col w:w="11460"/>
          </w:cols>
          <w:pgMar w:left="220" w:top="680"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4194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208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4616450</wp:posOffset>
            </wp:positionV>
            <wp:extent cx="721233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4616450</wp:posOffset>
            </wp:positionV>
            <wp:extent cx="721233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2019-12-28T21:43:24Z</dcterms:created>
  <dcterms:modified xsi:type="dcterms:W3CDTF">2019-12-28T21:43:24Z</dcterms:modified>
</cp:coreProperties>
</file>