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17)*</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816212302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Michael K. Bradshaw, Jr.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Nelson Mullins Riley &amp; Scarborough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101 Constitution Avenue NW, Suite 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20001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Tel: (202) 689-2800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Fax: (202) 689-2860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14,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66"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whom copies are sent.</w:t>
      </w:r>
    </w:p>
    <w:p>
      <w:pPr>
        <w:spacing w:after="0" w:line="159" w:lineRule="exact"/>
        <w:rPr>
          <w:sz w:val="24"/>
          <w:szCs w:val="24"/>
          <w:color w:val="auto"/>
        </w:rPr>
      </w:pPr>
    </w:p>
    <w:p>
      <w:pPr>
        <w:ind w:left="340" w:right="6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1" w:name="page2"/>
    <w:bookmarkEnd w:id="1"/>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Timothy A. Springer</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right="7780" w:hanging="615"/>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PF, WC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9,481,816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9,481,816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9,481,816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37.1%</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TAS Partners LLC</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563,206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563,206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563,206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4577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57771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960" w:right="8160" w:hanging="615"/>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Chafen Lu</w:t>
      </w:r>
    </w:p>
    <w:p>
      <w:pPr>
        <w:spacing w:after="0" w:line="2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9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306"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w:t>
      </w:r>
    </w:p>
    <w:p>
      <w:pPr>
        <w:spacing w:after="0" w:line="71" w:lineRule="exact"/>
        <w:rPr>
          <w:rFonts w:ascii="Times New Roman" w:cs="Times New Roman" w:eastAsia="Times New Roman" w:hAnsi="Times New Roman"/>
          <w:sz w:val="18"/>
          <w:szCs w:val="18"/>
          <w:color w:val="auto"/>
        </w:rPr>
      </w:pPr>
    </w:p>
    <w:p>
      <w:pPr>
        <w:ind w:left="960" w:hanging="615"/>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306" w:lineRule="exact"/>
        <w:rPr>
          <w:rFonts w:ascii="Times New Roman" w:cs="Times New Roman" w:eastAsia="Times New Roman" w:hAnsi="Times New Roman"/>
          <w:sz w:val="18"/>
          <w:szCs w:val="18"/>
          <w:color w:val="auto"/>
        </w:rPr>
      </w:pPr>
    </w:p>
    <w:p>
      <w:pPr>
        <w:ind w:left="960" w:right="7640" w:hanging="615"/>
        <w:spacing w:after="0" w:line="27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40"/>
        </w:trPr>
        <w:tc>
          <w:tcPr>
            <w:tcW w:w="18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74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continue"/>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350,740 shares</w:t>
            </w:r>
          </w:p>
        </w:tc>
        <w:tc>
          <w:tcPr>
            <w:tcW w:w="0" w:type="dxa"/>
            <w:vAlign w:val="bottom"/>
          </w:tcPr>
          <w:p>
            <w:pPr>
              <w:spacing w:after="0"/>
              <w:rPr>
                <w:sz w:val="1"/>
                <w:szCs w:val="1"/>
                <w:color w:val="auto"/>
              </w:rPr>
            </w:pPr>
          </w:p>
        </w:tc>
      </w:tr>
      <w:tr>
        <w:trPr>
          <w:trHeight w:val="120"/>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660" w:type="dxa"/>
            <w:vAlign w:val="bottom"/>
            <w:tcBorders>
              <w:bottom w:val="single" w:sz="8" w:color="auto"/>
              <w:right w:val="single" w:sz="8" w:color="auto"/>
            </w:tcBorders>
          </w:tcPr>
          <w:p>
            <w:pPr>
              <w:spacing w:after="0"/>
              <w:rPr>
                <w:sz w:val="10"/>
                <w:szCs w:val="10"/>
                <w:color w:val="auto"/>
              </w:rPr>
            </w:pPr>
          </w:p>
        </w:tc>
        <w:tc>
          <w:tcPr>
            <w:tcW w:w="87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4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184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660" w:type="dxa"/>
            <w:vAlign w:val="bottom"/>
            <w:tcBorders>
              <w:right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right w:val="single" w:sz="8" w:color="auto"/>
            </w:tcBorders>
          </w:tcPr>
          <w:p>
            <w:pPr>
              <w:spacing w:after="0"/>
              <w:rPr>
                <w:sz w:val="20"/>
                <w:szCs w:val="20"/>
                <w:color w:val="auto"/>
              </w:rPr>
            </w:pPr>
          </w:p>
        </w:tc>
        <w:tc>
          <w:tcPr>
            <w:tcW w:w="87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660" w:type="dxa"/>
            <w:vAlign w:val="bottom"/>
            <w:tcBorders>
              <w:right w:val="single" w:sz="8" w:color="auto"/>
            </w:tcBorders>
          </w:tcPr>
          <w:p>
            <w:pPr>
              <w:spacing w:after="0"/>
              <w:rPr>
                <w:sz w:val="18"/>
                <w:szCs w:val="18"/>
                <w:color w:val="auto"/>
              </w:rPr>
            </w:pPr>
          </w:p>
        </w:tc>
        <w:tc>
          <w:tcPr>
            <w:tcW w:w="8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350,740 shares</w:t>
            </w:r>
          </w:p>
        </w:tc>
        <w:tc>
          <w:tcPr>
            <w:tcW w:w="0" w:type="dxa"/>
            <w:vAlign w:val="bottom"/>
          </w:tcPr>
          <w:p>
            <w:pPr>
              <w:spacing w:after="0"/>
              <w:rPr>
                <w:sz w:val="1"/>
                <w:szCs w:val="1"/>
                <w:color w:val="auto"/>
              </w:rPr>
            </w:pPr>
          </w:p>
        </w:tc>
      </w:tr>
      <w:tr>
        <w:trPr>
          <w:trHeight w:val="61"/>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660" w:type="dxa"/>
            <w:vAlign w:val="bottom"/>
            <w:tcBorders>
              <w:bottom w:val="single" w:sz="8" w:color="auto"/>
              <w:right w:val="single" w:sz="8" w:color="auto"/>
            </w:tcBorders>
          </w:tcPr>
          <w:p>
            <w:pPr>
              <w:spacing w:after="0"/>
              <w:rPr>
                <w:sz w:val="5"/>
                <w:szCs w:val="5"/>
                <w:color w:val="auto"/>
              </w:rPr>
            </w:pPr>
          </w:p>
        </w:tc>
        <w:tc>
          <w:tcPr>
            <w:tcW w:w="8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840" w:type="dxa"/>
            <w:vAlign w:val="bottom"/>
            <w:tcBorders>
              <w:right w:val="single" w:sz="8" w:color="auto"/>
            </w:tcBorders>
            <w:vMerge w:val="continue"/>
          </w:tcPr>
          <w:p>
            <w:pPr>
              <w:spacing w:after="0"/>
              <w:rPr>
                <w:sz w:val="11"/>
                <w:szCs w:val="11"/>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1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right w:val="single" w:sz="8" w:color="auto"/>
            </w:tcBorders>
            <w:vMerge w:val="continue"/>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40" w:type="dxa"/>
            <w:vAlign w:val="bottom"/>
            <w:tcBorders>
              <w:right w:val="single" w:sz="8" w:color="auto"/>
            </w:tcBorders>
            <w:vMerge w:val="continue"/>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87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28"/>
        </w:trPr>
        <w:tc>
          <w:tcPr>
            <w:tcW w:w="1840" w:type="dxa"/>
            <w:vAlign w:val="bottom"/>
            <w:tcBorders>
              <w:bottom w:val="single" w:sz="8" w:color="auto"/>
              <w:right w:val="single" w:sz="8" w:color="auto"/>
            </w:tcBorders>
          </w:tcPr>
          <w:p>
            <w:pPr>
              <w:spacing w:after="0"/>
              <w:rPr>
                <w:sz w:val="11"/>
                <w:szCs w:val="11"/>
                <w:color w:val="auto"/>
              </w:rPr>
            </w:pPr>
          </w:p>
        </w:tc>
        <w:tc>
          <w:tcPr>
            <w:tcW w:w="660" w:type="dxa"/>
            <w:vAlign w:val="bottom"/>
            <w:tcBorders>
              <w:bottom w:val="single" w:sz="8" w:color="auto"/>
              <w:right w:val="single" w:sz="8" w:color="auto"/>
            </w:tcBorders>
          </w:tcPr>
          <w:p>
            <w:pPr>
              <w:spacing w:after="0"/>
              <w:rPr>
                <w:sz w:val="11"/>
                <w:szCs w:val="11"/>
                <w:color w:val="auto"/>
              </w:rPr>
            </w:pPr>
          </w:p>
        </w:tc>
        <w:tc>
          <w:tcPr>
            <w:tcW w:w="87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Aggregate Amount Beneficially Owned by Each Reporting Person</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350,740 shares</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Check if the Aggregate Amount in Row (11) Excludes Certain Shares (See Instructions)</w:t>
      </w:r>
    </w:p>
    <w:p>
      <w:pPr>
        <w:spacing w:after="0" w:line="306"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Percent of Class Represented by Amount in Row (11)</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w:t>
      </w:r>
    </w:p>
    <w:p>
      <w:pPr>
        <w:spacing w:after="0" w:line="72" w:lineRule="exact"/>
        <w:rPr>
          <w:sz w:val="20"/>
          <w:szCs w:val="20"/>
          <w:color w:val="auto"/>
        </w:rPr>
      </w:pPr>
    </w:p>
    <w:p>
      <w:pPr>
        <w:ind w:left="300"/>
        <w:spacing w:after="0"/>
        <w:tabs>
          <w:tab w:leader="none" w:pos="9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Type of Reporting Person (See Instructions)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4" w:name="page5"/>
    <w:bookmarkEnd w:id="4"/>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5 of 7 Pages</w:t>
      </w:r>
    </w:p>
    <w:p>
      <w:pPr>
        <w:spacing w:after="0" w:line="200" w:lineRule="exact"/>
        <w:rPr>
          <w:sz w:val="20"/>
          <w:szCs w:val="20"/>
          <w:color w:val="auto"/>
        </w:rPr>
      </w:pPr>
    </w:p>
    <w:p>
      <w:pPr>
        <w:spacing w:after="0" w:line="24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Amendment No. 17 to the statement on Schedule 13D (this “Statement”) with respect to the shares of common stock, par value $0.0001 per share (the “Shares”), of Cartesian Therapeutics, Inc. (formerly known as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Amendment No. 9 filed on December 27, 2021, Amendment No. 10 filed on September 25, 2023, Amendment No. 11 filed on November 17, 2023, Amendment No. 12 filed on March 28, 2024, Amendment No. 13 filed on April 12, 2024, Amendment No. 14 filed on July 5, 2024, Amendment No. 15 filed on September 27, 2024 and Amendment No. 16 filed on October 4, 2024 (such statement and amendments, as further amended herein, the “Schedule 13D”), amends the Schedule 13D as set forth below.</w:t>
      </w:r>
    </w:p>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capitalized terms contained herein but not otherwise defined shall have the meanings ascribed to such terms in the Schedule 13D. Except as specifically amended by this Amendment No. 17, items in the Schedule 13D are unchanged.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to be supplemented by the following:</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open market purchases on November 14, 2024, Dr. Springer acquired an aggregate of 96,399 Shares at prices ranging from $15.65 to $17.00 per share for an aggregate purchase price of approximately $1,578,156. Dr. Springer used personal funds for such acquisitions.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open market purchases on November 15, 2024, Dr. Springer acquired an aggregate of 277,246 Shares at prices ranging from $16.61 to $17.25 per share for an aggregate purchase price of approximately $4,739,186. Dr. Springer used personal funds for such acquisitions.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open market purchases on November 18, 2024, Dr. Springer acquired an aggregate of 58,295 Shares at prices ranging from $17.32 to $18.50 per share for an aggregate purchase price of approximately $1,056,183. Dr. Springer used personal funds for such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u w:val="single" w:color="auto"/>
          <w:color w:val="auto"/>
        </w:rPr>
        <w:t>Interest in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Schedule 13D is hereby amended and restated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3 and the cover page of the Schedule 13D is incorporated herein by reference into this Item 5.</w:t>
      </w:r>
    </w:p>
    <w:p>
      <w:pPr>
        <w:spacing w:after="0" w:line="225" w:lineRule="exact"/>
        <w:rPr>
          <w:sz w:val="20"/>
          <w:szCs w:val="20"/>
          <w:color w:val="auto"/>
        </w:rPr>
      </w:pPr>
    </w:p>
    <w:p>
      <w:pPr>
        <w:ind w:right="200" w:firstLine="8"/>
        <w:spacing w:after="0" w:line="266" w:lineRule="auto"/>
        <w:tabs>
          <w:tab w:leader="none" w:pos="2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percentages of beneficial ownership reported in this Item 5, and on each Reporting Person’s cover page to this Statement, are based on a total of 25,414,898 Shares issued and outstanding as of November 1, 2024, as reported on the Issuer’s Quarterly Report on Form 10-Q, dated November 7, 2024. All of the Share numbers reported below, and on each Reporting Person’s cover page to this Statement, are as of November 18,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Reporting Persons, in the aggregate, beneficially own 9,481,816 Shares, representing approximately 37.1% of such class of securities.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Dr. Springer is the beneficial owner of a total of 9,481,816 Shares, representing approximately 37.1% of the outstanding Shares and consisting of (i) 8,449,773 Shares held directly, (ii) 113,587 Shares underlying warrants exercisable within 60 days of November 18, 2024 held directly, (iii) 2,533 Shares issuable upon exercise of outstanding options exercisable within 60 days of November 18, 2024, (iv) 1,977 Shares underlying RSUs vesting within 60 days of November 18, 2024, (v) 529,798 Shares held by TAS, (vi) 33,408 Shares underlying warrants exercisable within 60 days of November 18, 2024 held by TAS, (vii) 330,695 Shares held by Dr. Lu and (viii) 20,045 Shares underlying warrants exercisable within 60 days of November 18, 2024 held by Dr. Lu.</w:t>
      </w:r>
    </w:p>
    <w:p>
      <w:pPr>
        <w:spacing w:after="0" w:line="18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TAS is the beneficial owner of a total of 563,206 Shares, representing approximately 2.2% of the outstanding Shares and consisting of (i) 529,798 Shares and (ii) 33,408 Shares underlying warrants exercisable within 60 days of November 18, 2024. TAS holds all such Shares directly. Dr. Springer is the sole managing member of TAS.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Dr. Lu is the beneficial owner of a total of 350,740 Shares, representing approximately 1.4% of the outstanding Shares and consisting of (i) 330,695 Shares held directly and (ii) 20,045 Shares underlying warrants exercisable within 60 days of November 18, 2024 held directly. Dr. Lu is the spouse of Dr. Springer.</w:t>
      </w:r>
    </w:p>
    <w:p>
      <w:pPr>
        <w:spacing w:after="0" w:line="176" w:lineRule="exact"/>
        <w:rPr>
          <w:sz w:val="20"/>
          <w:szCs w:val="20"/>
          <w:color w:val="auto"/>
        </w:rPr>
      </w:pPr>
    </w:p>
    <w:p>
      <w:pPr>
        <w:ind w:right="24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spacing w:after="0" w:line="175" w:lineRule="exact"/>
        <w:rPr>
          <w:rFonts w:ascii="Times New Roman" w:cs="Times New Roman" w:eastAsia="Times New Roman" w:hAnsi="Times New Roman"/>
          <w:sz w:val="18"/>
          <w:szCs w:val="18"/>
          <w:color w:val="auto"/>
        </w:rPr>
      </w:pPr>
    </w:p>
    <w:p>
      <w:pPr>
        <w:ind w:right="560" w:firstLine="8"/>
        <w:spacing w:after="0" w:line="282"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not engaged in any transactions with respect to the Shares during the 60 days before the date of this filing, except as described herein and in Item 3 of Schedule 13D.</w:t>
      </w:r>
    </w:p>
    <w:p>
      <w:pPr>
        <w:spacing w:after="0" w:line="161" w:lineRule="exact"/>
        <w:rPr>
          <w:rFonts w:ascii="Times New Roman" w:cs="Times New Roman" w:eastAsia="Times New Roman" w:hAnsi="Times New Roman"/>
          <w:sz w:val="18"/>
          <w:szCs w:val="18"/>
          <w:color w:val="auto"/>
        </w:rPr>
      </w:pPr>
    </w:p>
    <w:p>
      <w:pPr>
        <w:ind w:right="24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the proceeds from the sale of, the Shares.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 w:name="page7"/>
    <w:bookmarkEnd w:id="6"/>
    <w:p>
      <w:pPr>
        <w:spacing w:after="0"/>
        <w:tabs>
          <w:tab w:leader="none" w:pos="552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816212302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Timothy A. Springer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Chafen Lu</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TAS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A. Springer</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Timothy A. Springer</w:t>
            </w:r>
          </w:p>
        </w:tc>
      </w:tr>
      <w:tr>
        <w:trPr>
          <w:trHeight w:val="23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898"/>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2024-11-18T20:54:59Z</dcterms:created>
  <dcterms:modified xsi:type="dcterms:W3CDTF">2024-11-18T20:54:59Z</dcterms:modified>
</cp:coreProperties>
</file>