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5"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5"/>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2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200" w:type="dxa"/>
            <w:vAlign w:val="bottom"/>
          </w:tcPr>
          <w:p>
            <w:pPr>
              <w:spacing w:after="0"/>
              <w:rPr>
                <w:sz w:val="20"/>
                <w:szCs w:val="20"/>
                <w:color w:val="auto"/>
              </w:rPr>
            </w:pPr>
          </w:p>
        </w:tc>
      </w:tr>
      <w:tr>
        <w:trPr>
          <w:trHeight w:val="351"/>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w:t>
            </w:r>
          </w:p>
        </w:tc>
        <w:tc>
          <w:tcPr>
            <w:tcW w:w="42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21703</w:t>
            </w: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3120" w:type="dxa"/>
            <w:vAlign w:val="bottom"/>
          </w:tcPr>
          <w:p>
            <w:pPr>
              <w:spacing w:after="0"/>
              <w:rPr>
                <w:sz w:val="24"/>
                <w:szCs w:val="24"/>
                <w:color w:val="auto"/>
              </w:rPr>
            </w:pPr>
          </w:p>
        </w:tc>
        <w:tc>
          <w:tcPr>
            <w:tcW w:w="4200" w:type="dxa"/>
            <w:vAlign w:val="bottom"/>
          </w:tcPr>
          <w:p>
            <w:pPr>
              <w:jc w:val="right"/>
              <w:ind w:right="2910"/>
              <w:spacing w:after="0"/>
              <w:rPr>
                <w:sz w:val="20"/>
                <w:szCs w:val="20"/>
                <w:color w:val="auto"/>
              </w:rPr>
            </w:pPr>
            <w:r>
              <w:rPr>
                <w:rFonts w:ascii="Times New Roman" w:cs="Times New Roman" w:eastAsia="Times New Roman" w:hAnsi="Times New Roman"/>
                <w:sz w:val="18"/>
                <w:szCs w:val="18"/>
                <w:b w:val="1"/>
                <w:bCs w:val="1"/>
                <w:color w:val="auto"/>
              </w:rPr>
              <w:t>(301) 348-8698</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2343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31750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Contingent Value Rights</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8" w:right="359" w:bottom="1440" w:gutter="0" w:footer="0" w:header="0"/>
        </w:sectPr>
      </w:pP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1" w:lineRule="exact"/>
        <w:rPr>
          <w:sz w:val="24"/>
          <w:szCs w:val="24"/>
          <w:color w:val="auto"/>
        </w:rPr>
      </w:pPr>
    </w:p>
    <w:p>
      <w:pPr>
        <w:sectPr>
          <w:pgSz w:w="11900" w:h="16838" w:orient="portrait"/>
          <w:cols w:equalWidth="0" w:num="4">
            <w:col w:w="3280" w:space="80"/>
            <w:col w:w="2300" w:space="720"/>
            <w:col w:w="1780" w:space="80"/>
            <w:col w:w="2980"/>
          </w:cols>
          <w:pgMar w:left="320" w:top="1168" w:right="359" w:bottom="1440" w:gutter="0" w:footer="0" w:header="0"/>
          <w:type w:val="continuous"/>
        </w:sectPr>
      </w:pPr>
    </w:p>
    <w:p>
      <w:pPr>
        <w:spacing w:after="0" w:line="30"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1" w:name="page2"/>
    <w:bookmarkEnd w:id="1"/>
    <w:p>
      <w:pPr>
        <w:ind w:right="65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 2025, the registrant had 26,002,042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64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2025 and December 31, 2024</w:t>
            </w:r>
          </w:p>
        </w:tc>
        <w:tc>
          <w:tcPr>
            <w:tcW w:w="466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and Six Months ended June 30, 2025</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6</w:t>
            </w:r>
          </w:p>
        </w:tc>
      </w:tr>
      <w:tr>
        <w:trPr>
          <w:trHeight w:val="156"/>
        </w:trPr>
        <w:tc>
          <w:tcPr>
            <w:tcW w:w="980" w:type="dxa"/>
            <w:vAlign w:val="bottom"/>
          </w:tcPr>
          <w:p>
            <w:pPr>
              <w:spacing w:after="0"/>
              <w:rPr>
                <w:sz w:val="13"/>
                <w:szCs w:val="13"/>
                <w:color w:val="auto"/>
              </w:rPr>
            </w:pPr>
          </w:p>
        </w:tc>
        <w:tc>
          <w:tcPr>
            <w:tcW w:w="908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and 2024</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Deficit for the Three Months ended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7</w:t>
            </w:r>
          </w:p>
        </w:tc>
      </w:tr>
      <w:tr>
        <w:trPr>
          <w:trHeight w:val="155"/>
        </w:trPr>
        <w:tc>
          <w:tcPr>
            <w:tcW w:w="98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March 31, and June 30, 2025 and 2024</w:t>
            </w:r>
          </w:p>
        </w:tc>
        <w:tc>
          <w:tcPr>
            <w:tcW w:w="1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2024</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40" w:type="dxa"/>
            <w:vAlign w:val="bottom"/>
            <w:gridSpan w:val="6"/>
          </w:tcPr>
          <w:p>
            <w:pPr>
              <w:spacing w:after="0"/>
              <w:rPr>
                <w:sz w:val="18"/>
                <w:szCs w:val="18"/>
                <w:color w:val="auto"/>
              </w:rPr>
            </w:pPr>
          </w:p>
        </w:tc>
        <w:tc>
          <w:tcPr>
            <w:tcW w:w="3460" w:type="dxa"/>
            <w:vAlign w:val="bottom"/>
            <w:gridSpan w:val="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5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60" w:type="dxa"/>
            <w:vAlign w:val="bottom"/>
            <w:gridSpan w:val="3"/>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0" w:type="dxa"/>
            <w:vAlign w:val="bottom"/>
            <w:gridSpan w:val="7"/>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480"/>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20" w:type="dxa"/>
            <w:vAlign w:val="bottom"/>
            <w:gridSpan w:val="1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18"/>
                <w:szCs w:val="18"/>
                <w:color w:val="auto"/>
              </w:rPr>
            </w:pPr>
          </w:p>
        </w:tc>
        <w:tc>
          <w:tcPr>
            <w:tcW w:w="758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40" w:type="dxa"/>
            <w:vAlign w:val="bottom"/>
            <w:gridSpan w:val="1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540" w:type="dxa"/>
            <w:vAlign w:val="bottom"/>
            <w:gridSpan w:val="11"/>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future pandemics or similar events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third-parties, including contract research organizations, or CROs, in the conduct of our preclinical studies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from inflation, changes in interest rates, volatile market conditions, current or potential bank failures, and tariffs;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in the Middle East and geopolitical tensions in and with China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similar events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 policy changes.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212,610</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216,626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7,761</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387,739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391,420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441,825</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Series A Preferred Stock, $0.0001 par value; 134,904.563 shares authorized as of June 30, 2025 and December 31, 2024; 120,790.402</w:t>
            </w:r>
          </w:p>
        </w:tc>
        <w:tc>
          <w:tcPr>
            <w:tcW w:w="30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June 30, 2025 and December 31, 2024</w:t>
            </w:r>
          </w:p>
        </w:tc>
        <w:tc>
          <w:tcPr>
            <w:tcW w:w="30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B Preferred Stock, $0.0001 par value; 437,927 shares authorized as of June 30, 2025 and December 31, 2024; 437,927 shares issued</w:t>
            </w:r>
          </w:p>
        </w:tc>
        <w:tc>
          <w:tcPr>
            <w:tcW w:w="30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outstanding as of June 30, 2025 and December 31, 2024</w:t>
            </w: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 $0.0001 par value; 9,427,168.437 shares authorized as of June 30, 2025 and December 31, 2024; no shares issued and</w:t>
            </w:r>
          </w:p>
        </w:tc>
        <w:tc>
          <w:tcPr>
            <w:tcW w:w="30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June 30, 2025 and December 31, 2024</w:t>
            </w:r>
          </w:p>
        </w:tc>
        <w:tc>
          <w:tcPr>
            <w:tcW w:w="30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June 30, 2025 and December 31, 2024; 26,000,065 and 25,767,369</w:t>
            </w:r>
          </w:p>
        </w:tc>
        <w:tc>
          <w:tcPr>
            <w:tcW w:w="3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June 30, 2025 and December 31, 2024, respectively</w:t>
            </w:r>
          </w:p>
        </w:tc>
        <w:tc>
          <w:tcPr>
            <w:tcW w:w="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695,942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deficit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39,285</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38,876</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Undistributed earnings allocable to participating securities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allocable to shares of common stock - basic and diluted</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allocable to common stockholders: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25,980,262</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16,723,479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25,941,670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26,447,251</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17,791,143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25,941,670</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7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Deficit</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2"/>
                <w:szCs w:val="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2"/>
                <w:szCs w:val="2"/>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7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25,767,369</w:t>
            </w: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689,887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(692,071)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55,690</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113,042</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0" w:type="dxa"/>
            <w:vAlign w:val="bottom"/>
          </w:tcPr>
          <w:p>
            <w:pPr>
              <w:spacing w:after="0"/>
              <w:rPr>
                <w:sz w:val="1"/>
                <w:szCs w:val="1"/>
                <w:color w:val="auto"/>
              </w:rPr>
            </w:pPr>
          </w:p>
        </w:tc>
      </w:tr>
      <w:tr>
        <w:trPr>
          <w:trHeight w:val="20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25,936,101</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(4,589)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20" w:type="dxa"/>
            <w:vAlign w:val="bottom"/>
            <w:tcBorders>
              <w:top w:val="single" w:sz="8" w:color="CCEEFF"/>
            </w:tcBorders>
            <w:vMerge w:val="continue"/>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25,690</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38,274</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120,790.402</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26,000,065</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695,942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left="340" w:right="560"/>
        <w:spacing w:after="0" w:line="263"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reflect the Reverse Stock Split for all periods presented.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Deficit</w:t>
      </w:r>
    </w:p>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right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for Series</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540" w:type="dxa"/>
            <w:vAlign w:val="bottom"/>
            <w:tcBorders>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660" w:type="dxa"/>
            <w:vAlign w:val="bottom"/>
            <w:tcBorders>
              <w:right w:val="single" w:sz="8" w:color="auto"/>
            </w:tcBorders>
            <w:gridSpan w:val="2"/>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180" w:type="dxa"/>
            <w:vAlign w:val="bottom"/>
            <w:gridSpan w:val="4"/>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2"/>
                <w:szCs w:val="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2"/>
                <w:szCs w:val="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2"/>
                <w:szCs w:val="2"/>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82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 Amount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16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Balance at</w:t>
            </w: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right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435,120.513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5,397,597</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vMerge w:val="continue"/>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Series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 Preferred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 connection with</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private placement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and settlement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related forward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75,197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Transfer of Series</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 Preferred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options for</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A Preferred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to</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 (372,048)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3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equity</w:t>
            </w:r>
          </w:p>
        </w:tc>
        <w:tc>
          <w:tcPr>
            <w:tcW w:w="150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at March</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5,515,836</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559,275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(671,471)</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(116,800)</w:t>
            </w:r>
          </w:p>
        </w:tc>
        <w:tc>
          <w:tcPr>
            <w:tcW w:w="0" w:type="dxa"/>
            <w:vAlign w:val="bottom"/>
          </w:tcPr>
          <w:p>
            <w:pPr>
              <w:spacing w:after="0"/>
              <w:rPr>
                <w:sz w:val="1"/>
                <w:szCs w:val="1"/>
                <w:color w:val="auto"/>
              </w:rPr>
            </w:pPr>
          </w:p>
        </w:tc>
      </w:tr>
      <w:tr>
        <w:trPr>
          <w:trHeight w:val="19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31, 2024</w:t>
            </w:r>
          </w:p>
        </w:tc>
        <w:tc>
          <w:tcPr>
            <w:tcW w:w="8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Conversion of</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1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 Preferred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to common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(367,919.247)</w:t>
            </w:r>
          </w:p>
        </w:tc>
        <w:tc>
          <w:tcPr>
            <w:tcW w:w="38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12,263,951</w:t>
            </w:r>
          </w:p>
        </w:tc>
        <w:tc>
          <w:tcPr>
            <w:tcW w:w="2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exercise of</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36,451</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Equity offering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9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540"/>
              <w:spacing w:after="0" w:line="135"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at June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166,341.592</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17,816,238</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560,766</w:t>
            </w:r>
          </w:p>
        </w:tc>
        <w:tc>
          <w:tcPr>
            <w:tcW w:w="8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(657,635)</w:t>
            </w:r>
          </w:p>
        </w:tc>
        <w:tc>
          <w:tcPr>
            <w:tcW w:w="8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(101,458)</w:t>
            </w:r>
          </w:p>
        </w:tc>
        <w:tc>
          <w:tcPr>
            <w:tcW w:w="0" w:type="dxa"/>
            <w:vAlign w:val="bottom"/>
          </w:tcPr>
          <w:p>
            <w:pPr>
              <w:spacing w:after="0"/>
              <w:rPr>
                <w:sz w:val="1"/>
                <w:szCs w:val="1"/>
                <w:color w:val="auto"/>
              </w:rPr>
            </w:pPr>
          </w:p>
        </w:tc>
      </w:tr>
      <w:tr>
        <w:trPr>
          <w:trHeight w:val="175"/>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30, 2024</w:t>
            </w:r>
          </w:p>
        </w:tc>
        <w:tc>
          <w:tcPr>
            <w:tcW w:w="8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(42,988)</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value right liability revaluation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36,800</w:t>
            </w: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contract liabilities revaluation</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(26,169)</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Unbilled receivable</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w:t>
            </w: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w:t>
            </w:r>
          </w:p>
        </w:tc>
      </w:tr>
      <w:tr>
        <w:trPr>
          <w:trHeight w:val="203"/>
        </w:trPr>
        <w:tc>
          <w:tcPr>
            <w:tcW w:w="8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offering costs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warrants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contingent value rights distributions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04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43,151</w:t>
            </w: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10,608</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78,288</w:t>
            </w:r>
          </w:p>
        </w:tc>
      </w:tr>
      <w:tr>
        <w:trPr>
          <w:trHeight w:val="169"/>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162,059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88,896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 xml:space="preserve">Cartesian Therapeutics, Inc. </w:t>
      </w:r>
      <w:r>
        <w:rPr>
          <w:rFonts w:ascii="Times New Roman" w:cs="Times New Roman" w:eastAsia="Times New Roman" w:hAnsi="Times New Roman"/>
          <w:sz w:val="17"/>
          <w:szCs w:val="17"/>
          <w:b w:val="1"/>
          <w:bCs w:val="1"/>
          <w:color w:val="auto"/>
        </w:rPr>
        <w:t>and Subsidiaries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08"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Cartesian Therapeutics, Inc., or the Company (formerly known as Selecta Biosciences, Inc., or Selecta), was incorporated in Delaware on December 10, 2007, and is headquartered in Frederick, Maryland. The Company is a clinical-stage biotechnology company pioneering cell therapy for the treatment of autoimmune diseases leveraging its proprietary technology and manufacturing platform to enhance cell function. The Company believes its cell therapy has the potential to deliver deep, durable clinical benefit to a broad group of patients with autoimmune diseases because they can be administered over a short period of time, in an outpatient setting, and without pre-treatment chemotherapy.</w:t>
      </w:r>
    </w:p>
    <w:p>
      <w:pPr>
        <w:spacing w:after="0" w:line="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4 to the consolidated financial statements included in the Company’s Annual Report on Form 10-K for the year ended December 31, 2024.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w:t>
      </w:r>
    </w:p>
    <w:p>
      <w:pPr>
        <w:spacing w:after="0" w:line="80"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7"/>
          <w:szCs w:val="17"/>
          <w:color w:val="auto"/>
        </w:rPr>
        <w:t>In connection with the Merger, the Company entered into a definitive agreement, or the 2023 Securities Purchase Agreement, for a private investment in public equity transaction, or the 2023 Private Placement, with the Investors (as defined below). The 2023 Securities Purchase Agreement provides for the issuance to the Investors of an aggregate of 149,330.115 shares of Series A Preferred Stock for an aggregate purchase price of approximately</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$60.25 million. See Note 11 to the consolidated financial statements included in the Company’s Annual Report on Form 10-K for the year ended December 31, 2024 for further discussion of the 2023 Private Placement.</w:t>
      </w:r>
    </w:p>
    <w:p>
      <w:pPr>
        <w:spacing w:after="0" w:line="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7 to these unaudited consolidated financial statements.</w:t>
      </w:r>
    </w:p>
    <w:p>
      <w:pPr>
        <w:spacing w:after="0" w:line="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March 27, 2024, the Company’s stockholders approved the conversion of shares of Series A Preferred Stock into shares of common stock. For additional information, see Note 11 to the consolidated financial statements included in the Company’s Annual Report on Form 10-K for the year ended December 31, 2024.</w:t>
      </w:r>
    </w:p>
    <w:p>
      <w:pPr>
        <w:spacing w:after="0" w:line="6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8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On July 2, 2024, the Company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On September 20, 2024, the Company’s stockholders approved the conversion of shares of Series B Preferred Stock into shares of</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common stock. For additional information, see Note 11 to the consolidated financial statements included in the Company’s Annual Report on Form 10-K for the year ended December 31, 2024.</w:t>
      </w:r>
    </w:p>
    <w:p>
      <w:pPr>
        <w:spacing w:after="0" w:line="5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six months ended June 30, 2025 and 2024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2024 included in the Company’s Annual Report on Form 10-K that was filed with the SEC on March 13, 2025.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2025, the consolidated results of operations for the three and six months ended June 30, 2025, and cash flows for the six months ended June 30, 2025. Such adjustments are of a normal and recurring nature. The results of operations for the three and six months ended June 30, 2025 are not necessarily indicative of the results of operations that may be expected for the year ending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As of June 30, 2025, the Company’s cash, cash equivalents, and restricted cash were $162.1 million, of which $1.7 million was restricted cash related to lease commitments. The Company believes the cash, cash equivalents and restricted cash as of June 30, 2025 will enable it to fund its current planned operations for at least the next 12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Gross Proceeds will be distributed, net of specified deductions, to holders of the CVRs. There is no obligation to the Company to fund any amount related to the CVR liability. See Note 7.</w:t>
      </w:r>
    </w:p>
    <w:p>
      <w:pPr>
        <w:spacing w:after="0" w:line="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June 30, 2025, the Company had an accumulated deficit of $693.9 million. The Company anticipates operating losses to continue for the foreseeable future due to, among other things, costs related to research and development of its product candidates and its administrative organization.</w:t>
      </w:r>
    </w:p>
    <w:p>
      <w:pPr>
        <w:spacing w:after="0" w:line="200" w:lineRule="exact"/>
        <w:rPr>
          <w:sz w:val="20"/>
          <w:szCs w:val="20"/>
          <w:color w:val="auto"/>
        </w:rPr>
      </w:pPr>
    </w:p>
    <w:p>
      <w:pPr>
        <w:spacing w:after="0" w:line="219" w:lineRule="exact"/>
        <w:rPr>
          <w:sz w:val="20"/>
          <w:szCs w:val="20"/>
          <w:color w:val="auto"/>
        </w:rPr>
      </w:pPr>
    </w:p>
    <w:p>
      <w:pPr>
        <w:ind w:right="9140" w:firstLine="8"/>
        <w:spacing w:after="0" w:line="391" w:lineRule="auto"/>
        <w:tabs>
          <w:tab w:leader="none" w:pos="1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Principles of Consolidation</w:t>
      </w:r>
    </w:p>
    <w:p>
      <w:pPr>
        <w:spacing w:after="0" w:line="2"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or Selecta (RUS), a Russian limited liability corporation, Selecta Biosciences Security Corporation, a Massachusetts securities corporation which the Company dissolved in December 2024, and Cartesian Bio, LLC, a Delaware limited liability company, which is a variable interest entity for which the Company is the primary beneficiary. All significant intercompany accounts and transactions have been eliminated.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140" w:firstLine="324"/>
        <w:spacing w:after="0" w:line="23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fair value of the intangible assets acquired in connection with the Merger, fair value of the CVRs, deferred income taxes, revenue recognition, accrued research and development expenses, stock-based compensation expense, fair value of the liability-classified warrants, and impairment of long-lived assets. The Company assesses the above estimates on an ongoing basis; however, actual results could materially differ from those estimates.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 maker, or the CODM, for the purposes of assessing performance and allocating resources. 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 The Company’s CODM function is fulfilled by its Chief Executive Officer. The CODM function assesses performance for the segment and decides how to allocate resources based on consolidated net income (loss) that is also reported on the consolidated statements of operations and comprehensive income (loss). The CODM function uses net income (loss) to monitor budget versus actual results to assess performance of the segment. Segment assets are the same as total assets on the Company’s consolidated balance sheets. All long-lived assets are located in the United States. Long-lived assets consist of property and equipment, net, and operating lease right-of-use assets.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3 – Summary of Significant Accounting Policies included in the Company’s Annual Report on Form 10-K for the year ended December 31, 2024. There have been no material changes to the Company’s significant accounting policies during the six months ended June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with the year ended December 31, 2025. Early adoption is permitted. Upon adoption, the guidance can be applied prospectively or retrospectively. The Company is currently in the process of evaluating the impact of the standard’s adoption on its consolidated financial statements and related disclosures.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which requires public companies to disclose, in interim and annual reporting periods, additional information about certain expenses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 early adoption permitted. The Company is currently in the process of evaluating the impact of the standard’s adoption on its consolidated financial statements and related disclosures.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 As a result of the Merger, Selecta changed its corporate name to Cartesian Therapeutics, Inc. See Note 4 to the consolidated financial statements included in the Company’s Annual Report on Form 10-K for the year ended December 31, 2024 for further discussion of the Merger.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Merger resulted in goodwill of approximately $48.2 million. There were no changes to the carrying value of the Company’s goodwill during the six months ended June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indefinite-lived intangible assets, all of which were acquired in the Merger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Descartes-08 for SLE</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56,700</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in-process research and development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2021, the Company and Cyrus Biotechnology, Inc., or Cyrus, entered into a stock purchase agreement, or the Series B Preferred Stock Purchase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(Loss) Per Share Allocable to Common Stockholders</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treasury stock method to determine the number of dilutive shares for the three months ended June 30, 2025 and 2024. The following table sets forth the computation of basic and diluted net income (loss) per share allocable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stockholders for the three and six months ended June 30, 2025 and 2024 (in thousands, except share and per-share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(42,988)</w:t>
            </w:r>
          </w:p>
        </w:tc>
      </w:tr>
      <w:tr>
        <w:trPr>
          <w:trHeight w:val="210"/>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Undistributed earnings allocable to participating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 allocable to shares of common stock - basic and diluted</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(42,988)</w:t>
            </w:r>
          </w:p>
        </w:tc>
      </w:tr>
      <w:tr>
        <w:trPr>
          <w:trHeight w:val="21"/>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25,980,262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16,723,479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25,941,670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11,068,749</w:t>
            </w:r>
          </w:p>
        </w:tc>
      </w:tr>
      <w:tr>
        <w:trPr>
          <w:trHeight w:val="210"/>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Dilutive effect of employee equity incentive plans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diluted</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26,447,251</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17,791,143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25,941,670</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11,068,749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r>
      <w:tr>
        <w:trPr>
          <w:trHeight w:val="18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21"/>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income (loss) per share allocable to common stockholders for all periods presented, as the effect would have been anti-dilutive: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and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2,336,681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740,211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3,030,053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2,344,017</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975,132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975,132</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7,493,477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7,260,062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8,186,849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8,863,868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June 30, 2025 and December 31,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39,933</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353,464</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399,336</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1060"/>
        <w:spacing w:after="0" w:line="375" w:lineRule="auto"/>
        <w:rPr>
          <w:sz w:val="20"/>
          <w:szCs w:val="20"/>
          <w:color w:val="auto"/>
        </w:rPr>
      </w:pPr>
      <w:r>
        <w:rPr>
          <w:rFonts w:ascii="Times New Roman" w:cs="Times New Roman" w:eastAsia="Times New Roman" w:hAnsi="Times New Roman"/>
          <w:sz w:val="18"/>
          <w:szCs w:val="18"/>
          <w:color w:val="auto"/>
        </w:rPr>
        <w:t xml:space="preserve">There were no transfers within the fair value hierarchy during the six months ended June 30, 2025 or the year ended December 31, 2024. </w:t>
      </w:r>
      <w:r>
        <w:rPr>
          <w:rFonts w:ascii="Times New Roman" w:cs="Times New Roman" w:eastAsia="Times New Roman" w:hAnsi="Times New Roman"/>
          <w:sz w:val="18"/>
          <w:szCs w:val="18"/>
          <w:i w:val="1"/>
          <w:iCs w:val="1"/>
          <w:color w:val="auto"/>
        </w:rPr>
        <w:t>Cash, Cash Equivalents, and Restricted Cash</w:t>
      </w:r>
    </w:p>
    <w:p>
      <w:pPr>
        <w:spacing w:after="0" w:line="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money market funds were classified as cash and cash equivalents on the accompanying consolidated balance sheets as they mature within 90 days from the date of purchase.</w:t>
      </w:r>
    </w:p>
    <w:p>
      <w:pPr>
        <w:spacing w:after="0" w:line="40"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restricted cash balances relating to secured letters of credit in connection with its real estate leases. The Company’s consolidated statements of cash flows include the following as of June 30, 2025 and 2024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87,227</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162,059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0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7"/>
          <w:szCs w:val="17"/>
          <w:color w:val="auto"/>
        </w:rPr>
        <w:t>In December 2019, the Company issued warrants to purchase common stock in connection with a private placement, or the 2019 Warrants. The outstanding 2019 Warrants expired on December 23, 2024 in accordance with their terms. Pursuant to the terms of the 2019 Warrants, the Company could have been required to settle the 2019 Warrants in cash in the event of certain acquisitions of the Company and, as a result, the 2019 Warrants were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w:t>
      </w:r>
    </w:p>
    <w:p>
      <w:pPr>
        <w:spacing w:after="0" w:line="8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statements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2019 Warrants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04" w:lineRule="exact"/>
        <w:rPr>
          <w:sz w:val="20"/>
          <w:szCs w:val="20"/>
          <w:color w:val="auto"/>
        </w:rPr>
      </w:pPr>
    </w:p>
    <w:p>
      <w:pPr>
        <w:ind w:left="660"/>
        <w:spacing w:after="0" w:line="251"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was assumed to be equivalent to their remaining contractual term which expired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23, 2024. The expected life of the 2022 Warrants is assumed to be equivalent to their remaining contractual term which expires on April 11, 2027.</w:t>
      </w:r>
    </w:p>
    <w:p>
      <w:pPr>
        <w:spacing w:after="0" w:line="80"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for a period of time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remaining life of the warrants.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2019 Warrants expired on December 23, 2024 and therefore, there were no 2019 Warrants outstanding as of December 31, 2024 or June 30,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w:t>
            </w: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104.15%</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92.92%</w:t>
            </w: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11 to these unaudited consolidated financial statements) for the six months ended June 30,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3,836</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rPr>
              <w:t>(2,472)</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June 30, 2025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1,364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30 CVRs per each share of common stock underlying such warrants.</w:t>
      </w:r>
    </w:p>
    <w:p>
      <w:pPr>
        <w:spacing w:after="0" w:line="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CVR entitles its holder to distributions of the following, pro-rated on a per-CVR basis, during the period ending on the date on which the Royalty Term (as defined in the Sobi License) ends, or the Termination Date:</w:t>
      </w:r>
    </w:p>
    <w:p>
      <w:pPr>
        <w:spacing w:after="0" w:line="94" w:lineRule="exact"/>
        <w:rPr>
          <w:sz w:val="20"/>
          <w:szCs w:val="20"/>
          <w:color w:val="auto"/>
        </w:rPr>
      </w:pPr>
    </w:p>
    <w:p>
      <w:pPr>
        <w:ind w:left="660" w:right="180" w:hanging="328"/>
        <w:spacing w:after="0" w:line="239"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132" w:lineRule="exact"/>
        <w:rPr>
          <w:rFonts w:ascii="Arial" w:cs="Arial" w:eastAsia="Arial" w:hAnsi="Arial"/>
          <w:sz w:val="22"/>
          <w:szCs w:val="22"/>
          <w:color w:val="auto"/>
        </w:rPr>
      </w:pPr>
    </w:p>
    <w:p>
      <w:pPr>
        <w:ind w:left="660" w:right="40" w:hanging="328"/>
        <w:spacing w:after="0" w:line="243"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4"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were included in the scheduled distribution to the holders of the CVR in March 2025.</w:t>
      </w:r>
    </w:p>
    <w:p>
      <w:pPr>
        <w:spacing w:after="0" w:line="9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CVRs represent financial instruments that are accounted for under the fair value option election in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or ASC 825.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Monte Carlo simulation model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expected volatility of future revenues,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2025 - 2038</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2025-2038</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bl>
    <w:p>
      <w:pPr>
        <w:spacing w:after="0" w:line="200" w:lineRule="exact"/>
        <w:rPr>
          <w:sz w:val="20"/>
          <w:szCs w:val="20"/>
          <w:color w:val="auto"/>
        </w:rPr>
      </w:pPr>
    </w:p>
    <w:p>
      <w:pPr>
        <w:spacing w:after="0" w:line="227"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six months ended June 30, 2025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395,500</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(35,646)</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June 30, 2025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352,100</w:t>
            </w:r>
          </w:p>
        </w:tc>
      </w:tr>
      <w:tr>
        <w:trPr>
          <w:trHeight w:val="21"/>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Forward Contract Liabilities</w:t>
      </w:r>
    </w:p>
    <w:p>
      <w:pPr>
        <w:spacing w:after="0" w:line="106"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The Company entered into a contract for the issuance of 149,330.115 shares of Series A Preferred Stock as part of the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to the consolidated financial statements included in the Company’s Annual Report on Form 10-K for the year ended December 31, 2024. The initial fair value of the forward contract liability on November 13, 2023 was insignificant as the fair value of the underlying Series A Preferred Stock was equal to the purchase price of the Series A Preferred Stock as agreed upon in the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$0.6 million and $0.2 million for the three months ended June 30, 2025 and 2024, respectively, and $1.2 million and $0.4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9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9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8,012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7495 New Horizon Way Leases</w:t>
      </w:r>
    </w:p>
    <w:p>
      <w:pPr>
        <w:spacing w:after="0" w:line="11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w:t>
      </w:r>
    </w:p>
    <w:p>
      <w:pPr>
        <w:spacing w:after="0" w:line="7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68"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of $3.6 million 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Effective May 7, 2024, the Company and the Landlord entered into the first amendment to the Frederick Lease Agreement, or the First Frederick Lease Agreement Amendment,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was September 1, 2024.</w:t>
      </w:r>
    </w:p>
    <w:p>
      <w:pPr>
        <w:spacing w:after="0" w:line="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$1.2 million on the commencement date. The First Frederick Lease Agreement Amendment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Effective August 30, 2024, the Company and the Landlord entered into the second amendment to the Frederick Lease Agreement, or the Second Frederick Lease Agreement Amendment, providing for the expansion of the premises leased pursuant to the Frederick Lease Agreement and First Frederick Lease Agreement Amendment by approximately 2,009 square feet. In connection with the expansion of the leased premises, the Company is obligated to pay $0.1 million in additional annual base rent for the first year of the term, which is subject to an annual upward adjustment of 3% of the then-current rental rate, as well as its share of operating costs and taxes. The lease commenced on September 1, 2024, which was the date the Landlord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delivered full possession of the premises to the Company and will be coterminous with the Frederick Lease Agreement and the First Frederick Lease Agreement Amendment. The rent commencement date was September 1, 2024.</w:t>
      </w:r>
    </w:p>
    <w:p>
      <w:pPr>
        <w:spacing w:after="0" w:line="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$0.3 million on the commencement date. The discount rate of 14% was determined based on the Company’s incremental borrowing rate adjusted for the lease term.</w:t>
      </w:r>
    </w:p>
    <w:p>
      <w:pPr>
        <w:spacing w:after="0" w:line="54"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On March 13, 2025, the Company and the Landlord entered into the third amendment to the Frederick Lease Agreement, or the Third Frederick Lease Agreement Amendment, providing for the expansion of the premises leased pursuant to the Frederick Lease Agreement by approximately 6,439 square feet. In connection with the expansion of the leased premises, the Company is obligated to pay $0.2 million in additional annual base rent for the first year of the term, which is subject to an annual upward adjustment of 3% of the then-current rental rate, as well as its share of operating costs and taxes. The initial term of the Third Frederick Lease Agreement Amendment is expected to commence on September 1, 2025 once the Landlord delivers full possession of the premises to the Company and will be coterminous with the Frederick Lease Agreement, the First Frederick Lease Agreement Amendment and the Second Frederick Lease Agreement Amendment.</w:t>
      </w:r>
    </w:p>
    <w:p>
      <w:pPr>
        <w:spacing w:after="0" w:line="63" w:lineRule="exact"/>
        <w:rPr>
          <w:sz w:val="20"/>
          <w:szCs w:val="20"/>
          <w:color w:val="auto"/>
        </w:rPr>
      </w:pPr>
    </w:p>
    <w:p>
      <w:pPr>
        <w:jc w:val="both"/>
        <w:ind w:right="200" w:firstLine="324"/>
        <w:spacing w:after="0" w:line="245" w:lineRule="auto"/>
        <w:rPr>
          <w:sz w:val="20"/>
          <w:szCs w:val="20"/>
          <w:color w:val="auto"/>
        </w:rPr>
      </w:pPr>
      <w:r>
        <w:rPr>
          <w:rFonts w:ascii="Times New Roman" w:cs="Times New Roman" w:eastAsia="Times New Roman" w:hAnsi="Times New Roman"/>
          <w:sz w:val="18"/>
          <w:szCs w:val="18"/>
          <w:color w:val="auto"/>
        </w:rPr>
        <w:t>The Company secured a letter of credit from Silicon Valley Bank, a division of First-Citizens Bank &amp; Trust Company (successor by purchase to the Federal Deposit Insurance Corporation as Receiver for Silicon Valley Bridge Bank, N.A. (as successor to Silicon Valley Bank)), or SVB, for $0.3 million for the Frederick Lease Agreement, the First Frederick Lease Agreement Amendment and the Second Frederick Lease Agreement Amendment, which is recognized as long-term restricted cash as of June 30, 2025 and December 31, 2024 and renews automatically each year.</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06" w:lineRule="exact"/>
        <w:rPr>
          <w:sz w:val="20"/>
          <w:szCs w:val="20"/>
          <w:color w:val="auto"/>
        </w:rPr>
      </w:pPr>
    </w:p>
    <w:p>
      <w:pPr>
        <w:jc w:val="both"/>
        <w:ind w:right="140" w:firstLine="324"/>
        <w:spacing w:after="0" w:line="256" w:lineRule="auto"/>
        <w:rPr>
          <w:sz w:val="20"/>
          <w:szCs w:val="20"/>
          <w:color w:val="auto"/>
        </w:rPr>
      </w:pPr>
      <w:r>
        <w:rPr>
          <w:rFonts w:ascii="Times New Roman" w:cs="Times New Roman" w:eastAsia="Times New Roman" w:hAnsi="Times New Roman"/>
          <w:sz w:val="17"/>
          <w:szCs w:val="17"/>
          <w:color w:val="auto"/>
        </w:rPr>
        <w:t>In July 2019, the Company entered into a lease with BRE-BMR Grove LLC for 25,078 square feet of laboratory and office space located at 65 Grove Street, Watertown, Massachusetts, or the Watertown Lease Agreement. As part of the Watertown Lease Agreement, the Company incurred $0.8 million in on-reimbursable construction costs. The lease began in March 2020, when the Company took control of the office space, and the lease term is eight years.</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discount rate of 8.9% was determined based on the Company’s incremental borrowing rate adjusted for the lease term, including any reasonably certain renewal periods.</w:t>
      </w:r>
    </w:p>
    <w:p>
      <w:pPr>
        <w:spacing w:after="0" w:line="209"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On September 1, 2022, the Company entered into an amendment to the Watertown Lease, or the Watertown Lease Agreement Amendment, to expand the Company’s laboratory and office space located at 65 Grove Street, Watertown, Massachusetts by approximately 7,216 square feet. The lease term began on September 1, 2022, consistent with when the Company took control of the office space and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 during such year.</w:t>
      </w:r>
    </w:p>
    <w:p>
      <w:pPr>
        <w:spacing w:after="0" w:line="216" w:lineRule="exact"/>
        <w:rPr>
          <w:sz w:val="20"/>
          <w:szCs w:val="20"/>
          <w:color w:val="auto"/>
        </w:rPr>
      </w:pPr>
    </w:p>
    <w:p>
      <w:pPr>
        <w:ind w:right="380" w:firstLine="324"/>
        <w:spacing w:after="0" w:line="245" w:lineRule="auto"/>
        <w:rPr>
          <w:sz w:val="20"/>
          <w:szCs w:val="20"/>
          <w:color w:val="auto"/>
        </w:rPr>
      </w:pPr>
      <w:r>
        <w:rPr>
          <w:rFonts w:ascii="Times New Roman" w:cs="Times New Roman" w:eastAsia="Times New Roman" w:hAnsi="Times New Roman"/>
          <w:sz w:val="18"/>
          <w:szCs w:val="18"/>
          <w:color w:val="auto"/>
        </w:rPr>
        <w:t>On October 6, 2022, the Company entered into a sublease agreement to sublease 7,216 square feet of space currently rented by the Company at 65 Grove Street, Watertown, Massachusetts. The sublease commenced on October 24, 2022. The term of the sublease expired on March 31, 2024 with no option to extend the sublease term. Sublease income is included within other (expense) income, net in the consolidated statements of operations and comprehensive income (loss).</w:t>
      </w:r>
    </w:p>
    <w:p>
      <w:pPr>
        <w:spacing w:after="0" w:line="208"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As a result of the sublease agreement,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90"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June 30, 2025 and December 31, 2024, and renews automatically each year.</w:t>
      </w:r>
    </w:p>
    <w:p>
      <w:pPr>
        <w:spacing w:after="0" w:line="54"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8"/>
          <w:szCs w:val="18"/>
          <w:color w:val="auto"/>
        </w:rPr>
        <w:t>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The term of this sublease expired on November 5, 2024. Sublease income is included within other (expense) income, net in the consolidated statements of operations and comprehensive income (loss).</w:t>
      </w:r>
    </w:p>
    <w:p>
      <w:pPr>
        <w:spacing w:after="0" w:line="9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expiration of the sublease to Sobi in November 2024 and the Company’s decision to cease use of its office and laboratory space at 65 Grove Street, Watertown, Massachusetts, the Company assessed the right-of-use assets and related furniture and fixtures associated with the Watertown Lease Agreement and Watertown Lease Agreement Amendment for impairment. The carrying value of each asset group was compared against the future net undiscounted cash flows projected to be generate over the remaining lease terms. These projections included management’s estimates of cash inflows from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potential sublease income. The carrying amount of the asset groups was found to be unrecoverable, thus the Company assessed the fair value of each asset group. The fair value was determined using the income approach, whereby the Company discounted the estimated net cash flows using a rate commensurate with the Company’s estimated incremental borrowing rate. As a result of this assessment, which included unrecoverable operating and maintenance costs, the Company determined that each asset group was fully impaired. As such, an impairment charge of $7.6 million was recognized during the year ended December 31, 2024, $7.4 million of which related to the right-of-use assets and $0.2 million related to property and equipment.</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704 Quince Orchard Road Leases</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six months ended June 30, 2025 and 2024, the components of lease costs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6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June 30, 2025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3"/>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(remainder)</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17,024</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3,675</w:t>
            </w:r>
          </w:p>
        </w:tc>
      </w:tr>
      <w:tr>
        <w:trPr>
          <w:trHeight w:val="228"/>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statements of cash flows related to operating leases was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r>
    </w:tbl>
    <w:p>
      <w:pPr>
        <w:spacing w:after="0" w:line="18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Other than the initial recording of the right-of-use assets and lease liabilities for the Frederick Lease Agreement and Amended Frederick Lease Agreement, which were non-cash, the changes in the Company’s right-of-use assets and lease liabilities for the six months ended June 30, 2025 and 2024 are reflected in the non-cash lease expense and accrued expenses and other liabilities, respectively, in the consolidated statements of cash flows.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Private Placement</w:t>
      </w:r>
    </w:p>
    <w:p>
      <w:pPr>
        <w:spacing w:after="0" w:line="106" w:lineRule="exact"/>
        <w:rPr>
          <w:sz w:val="20"/>
          <w:szCs w:val="20"/>
          <w:color w:val="auto"/>
        </w:rPr>
      </w:pPr>
    </w:p>
    <w:p>
      <w:pPr>
        <w:ind w:right="780" w:firstLine="324"/>
        <w:spacing w:after="0" w:line="266" w:lineRule="auto"/>
        <w:rPr>
          <w:sz w:val="20"/>
          <w:szCs w:val="20"/>
          <w:color w:val="auto"/>
        </w:rPr>
      </w:pPr>
      <w:r>
        <w:rPr>
          <w:rFonts w:ascii="Times New Roman" w:cs="Times New Roman" w:eastAsia="Times New Roman" w:hAnsi="Times New Roman"/>
          <w:sz w:val="18"/>
          <w:szCs w:val="18"/>
          <w:color w:val="auto"/>
        </w:rPr>
        <w:t>On July 2, 2024, the Company and certain institutional and accredited investors, or the Purchasers, entered into the 2024 Securities Purchase Agreement for the 2024 Private Placement.</w:t>
      </w:r>
    </w:p>
    <w:p>
      <w:pPr>
        <w:spacing w:after="0" w:line="54"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Pursuant to the 2024 Securities Purchase Agreement, the Purchasers agreed to purchase an aggregate of 3,563,247 shares of common stock and 2,937,903 shares of Series B Preferred Stock, inclusive of 2,359,500 shares of Series B Preferred Stock purchased by directors and executive officers of the Company, and related parties thereto, each at a price per share of $20.00. The 2024 Private Placement resulted in gross proceeds of approximately $130.0 million before deducting placement agent fees and other offering expenses.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December 13, 2024, the Company entered into a Sales Agreement, or the Sales Agreement, with Leerink Partners LLC to sell shares of the Company’s common stock, from time to time, through an “at the market” equity offering program under which Leerink Partners LLC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and the year ended December 31, 2024, the Company sold no shares of its common stock pursuant to the Sales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there were no warrants issued, exercised, or cancelled. The following is a summary of the Company’s warrants as of June 30,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2025</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included in the Company’s Annual Report on Form 10-K for the year ended December 31, 2024 for further discussion of the terms related to the Company’s warrants.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120,790.402 shares of Series A Preferred Stock and 437,927 shares of Series B Preferred Stock issued and outstanding, respectively, which are convertible into 4,464,273 shares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of June 30, 2025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3"/>
        </w:trPr>
        <w:tc>
          <w:tcPr>
            <w:tcW w:w="9920" w:type="dxa"/>
            <w:vAlign w:val="bottom"/>
          </w:tcPr>
          <w:p>
            <w:pPr>
              <w:spacing w:after="0"/>
              <w:rPr>
                <w:sz w:val="17"/>
                <w:szCs w:val="17"/>
                <w:color w:val="auto"/>
              </w:rPr>
            </w:pP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692,523</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4,123,417</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533,331</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2,496,722</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4,026,346</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12,310,266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Incentive Plans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June 2024, the Company’s stockholders approved an amendment and restatement of the 2016 Plan to reserve an additional 3,466,544 shares of the Company’s common stock for issuance. In January 2025, the number of shares of common stock that may be issued under the 2016 Plan was increased by 1,030,694. As of June 30, 2025, 3,582,706 shares remain available for future issuance under the 2016 Plan.</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and December 2024, the Board of Directors approved amendments and restatements of the 2018 Inducement Incentive Award Plan to reserve an additional 360,000 and 450,000 shares, respectively, of the Company’s common stock for issuance thereunder. As of June 30, 2025, there are 458,737 shares available for future grant under the 2018 Inducement Incentive Award Plan.</w:t>
      </w:r>
    </w:p>
    <w:p>
      <w:pPr>
        <w:spacing w:after="0" w:line="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June 30, 2025, there are 36,179 shares available for future grant under the Old Cartesian Plan.</w:t>
      </w:r>
    </w:p>
    <w:p>
      <w:pPr>
        <w:spacing w:after="0" w:line="62" w:lineRule="exact"/>
        <w:rPr>
          <w:sz w:val="20"/>
          <w:szCs w:val="20"/>
          <w:color w:val="auto"/>
        </w:rPr>
      </w:pPr>
    </w:p>
    <w:p>
      <w:pPr>
        <w:ind w:right="100" w:firstLine="324"/>
        <w:spacing w:after="0" w:line="239" w:lineRule="auto"/>
        <w:rPr>
          <w:sz w:val="20"/>
          <w:szCs w:val="20"/>
          <w:color w:val="auto"/>
        </w:rPr>
      </w:pPr>
      <w:r>
        <w:rPr>
          <w:rFonts w:ascii="Times New Roman" w:cs="Times New Roman" w:eastAsia="Times New Roman" w:hAnsi="Times New Roman"/>
          <w:sz w:val="18"/>
          <w:szCs w:val="18"/>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and $0.3 million was recognized during the three months ended June 30, 2025 and 2024, respectively, and $0.4 million and $0.7 million was recognized during the six months ended June 30, 2025 and 2024, respectively, as research and development expense in the consolidated statements of operations and comprehensive income (loss). Following the stockholder approval of the conversion of the Series A Preferred Stock into shares of common stock, the options exercisable for shares of Series A Preferred Stock became exercisable for shares of common stock.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April 2025, the Company entered into a separation agreement and release, or the Separation Agreement, with the Company’s former Chief Technology Officer, Metin Kurtoglu. Dr. Kurtoglu’s employment with the Company ended effective May 2025, and Dr. Kurtoglu will serve as a consultant to the Company from May 2025 through April 2026, or the Consulting Period. Pursuant to the Separation Agreement, certain of Dr. Kurtoglu’s stock options and restricted stock unit awards were modified to accelerate the vesting of a portion of the awards, continue the vesting of the remaining awards during the Consulting Period, and extend the post-termination exercise period of the modified stock options. The services performed during the Consulting Period do not qualify as substantive services under ASC 718 and therefore, the continued vesting of these awards represents a modification to the original award. The modification resulted in the recognition of $0.7 million of stock-compensation expense during the three and six months ended June 30, 2025 which is reflected in research and development expenses on the consolidated statements of operations and comprehensive income (loss).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was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w:t>
            </w: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5,787</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6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5"/>
        </w:trPr>
        <w:tc>
          <w:tcPr>
            <w:tcW w:w="5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5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88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95.09%</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20.14</w:t>
            </w:r>
          </w:p>
        </w:tc>
      </w:tr>
    </w:tbl>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7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June 30, 2025 and 2024 was $9.32 and $17.40, respectively, and $13.56 and $16.05 during the six months ended June 30, 2025 and 2024, respectively.</w:t>
      </w:r>
    </w:p>
    <w:p>
      <w:pPr>
        <w:spacing w:after="0" w:line="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unvested common stock options was $15.6 million, which is expected to be recognized over a weighted average period of 3.0 years.</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the 2018 Inducement Incentive Award Plan, and the Old Cartesian Plan for options for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1,706,035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12,025</w:t>
            </w: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1,049,959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(177,892)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2,496,722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5"/>
        </w:trPr>
        <w:tc>
          <w:tcPr>
            <w:tcW w:w="48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June 30,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r>
      <w:tr>
        <w:trPr>
          <w:trHeight w:val="188"/>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June 30,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2,208,574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256,790 restricted stock unit awards with a weighted-average fair value of $16.93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the restricted stock units was $6.6 million as of June 30, 2025, which is expected to be recognized over a weighted-average period of 2.8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the Old Cartesian Plan: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444,238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June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8740" w:firstLine="8"/>
        <w:spacing w:after="0" w:line="360"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Arrangements </w:t>
      </w:r>
      <w:r>
        <w:rPr>
          <w:rFonts w:ascii="Times New Roman" w:cs="Times New Roman" w:eastAsia="Times New Roman" w:hAnsi="Times New Roman"/>
          <w:sz w:val="18"/>
          <w:szCs w:val="18"/>
          <w:i w:val="1"/>
          <w:iCs w:val="1"/>
          <w:color w:val="auto"/>
        </w:rPr>
        <w:t>Collaboration and license revenue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Astellas Gene Therapies</w:t>
      </w:r>
    </w:p>
    <w:p>
      <w:pPr>
        <w:spacing w:after="0" w:line="11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2023, the Company entered into the License and Development Agreement, or the Astellas Agreement, with Audentes Therapeutics, Inc., or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was licensed pursuant to an Exclusive License Agreement, or the Genovis Agreement, with Genovis AB (publ.), or Genovis, as described in Note 15 to these unaudited consolidated financial statements.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2024.</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was notified by Astellas of its intention to terminate the Astellas Agreement, which occurred effective June 6, 2024.</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As of June 30, 2025, there were no unsatisfied performance obligations and no receivable related to the Astellas Agreement. As of December 31, 2024, the Company recorded a receivable of $0.1 million, representing billings for the Xork Development Services (as defined in the Astellas Agreement) that are subject to reimbursement by Astellas. No revenue related to the Astellas Agreement was recognized during the three and six months ended June 30, 2025.</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revenue of $0.5 million and $6.3 million, respectively, related to the Astellas Agreement was recognized, inclusive of $3.2 million of revenue recognized from performance obligations related to prior periods as a result of the change in transaction price during the six months ended June 30, 2024.</w:t>
      </w:r>
    </w:p>
    <w:p>
      <w:pPr>
        <w:spacing w:after="0" w:line="74" w:lineRule="exact"/>
        <w:rPr>
          <w:sz w:val="20"/>
          <w:szCs w:val="20"/>
          <w:color w:val="auto"/>
        </w:rPr>
      </w:pPr>
    </w:p>
    <w:p>
      <w:pPr>
        <w:jc w:val="right"/>
        <w:ind w:right="8260"/>
        <w:spacing w:after="0"/>
        <w:rPr>
          <w:sz w:val="20"/>
          <w:szCs w:val="20"/>
          <w:color w:val="auto"/>
        </w:rPr>
      </w:pPr>
      <w:r>
        <w:rPr>
          <w:rFonts w:ascii="Times New Roman" w:cs="Times New Roman" w:eastAsia="Times New Roman" w:hAnsi="Times New Roman"/>
          <w:sz w:val="18"/>
          <w:szCs w:val="18"/>
          <w:b w:val="1"/>
          <w:bCs w:val="1"/>
          <w:color w:val="auto"/>
        </w:rPr>
        <w:t>Swedish Orphan Biovitrum AB (publ.)</w:t>
      </w:r>
    </w:p>
    <w:p>
      <w:pPr>
        <w:spacing w:after="0" w:line="119" w:lineRule="exact"/>
        <w:rPr>
          <w:sz w:val="20"/>
          <w:szCs w:val="20"/>
          <w:color w:val="auto"/>
        </w:rPr>
      </w:pPr>
    </w:p>
    <w:p>
      <w:pPr>
        <w:jc w:val="right"/>
        <w:ind w:right="82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06" w:lineRule="exact"/>
        <w:rPr>
          <w:sz w:val="20"/>
          <w:szCs w:val="20"/>
          <w:color w:val="auto"/>
        </w:rPr>
      </w:pPr>
    </w:p>
    <w:p>
      <w:pPr>
        <w:ind w:right="60" w:firstLine="324"/>
        <w:spacing w:after="0" w:line="236"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which was subsequently amended in October 2023.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2024. Any proceeds received from milestone payments or royalties relating to the Sobi License would be required to be distributed to holders of CVRs, net of certain deductions.</w:t>
      </w:r>
    </w:p>
    <w:p>
      <w:pPr>
        <w:spacing w:after="0" w:line="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June 28, 2024, Sobi initiated a rolling biologics license application to the FDA for SEL-212 for the potential treatment of chronic refractory gout which resulted in the achievement of a development milestone and a $30.0 million payment obligation from Sobi to the Company. As a result, the development milestone was no longer constrained and $30.0 million was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recognized as revenue during the year ended December 31, 2024 as there were no remaining performance obligations under the Sobi License. The proceeds from the achievement of the development milestone were received from Sobi in July 2024 and were included, net of deductions as specified in the CVR Agreement, in the distribution to holders of the CVRs in March 2025.</w:t>
      </w:r>
    </w:p>
    <w:p>
      <w:pPr>
        <w:spacing w:after="0" w:line="6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each of June 30, 2025 and December 31, 2024, the Company recorded total outstanding receivables of $0.1 million, representing billings for the Phase 3 DISSOLVE program that are subject to reimbursement by Sobi. Additionally, as of June 30, 2025 and December 31, 2024, there was no unbilled receivable outstanding. No revenue was recognized during the three and six months ended June 30, 2025. Revenue of $32.8 million, inclusive of the $30.0 million development milestone, related to the Sobi License was recognized during each of the three and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780" w:firstLine="324"/>
        <w:spacing w:after="0" w:line="312"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or has been partially performed. As of June 30, 2025 and December 31, 2024, there were no unsatisfied performance obligations from contracts with customers.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 of Neurological Disorders and Stroke of the National Institutes of Health</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June 2024, the Company received funding approval from the National Institute of Neurological Disorders and Stroke of the National Institutes of Health, or NINDS, for an award of $1.5 million granted for the budget period, which ran from June 2024 through May 2025. In June 2025, the Company received funding approval from NINDS for an additional award of $1.5 million granted for the budget period that runs from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w:t>
      </w:r>
    </w:p>
    <w:p>
      <w:pPr>
        <w:spacing w:after="0" w:line="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 Company recorded a receivable of $0.1 million and $0.6 million, respectively, that is subject to reimbursement by NINDS. The Company recognized grant revenue of $0.2 million and $0.9 million during the three and six months ended June 30, 2025, respectively. The Company recognized grant revenue of $0.2 million during the three and six months ended June 30,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Securities Purchase Agreement</w:t>
      </w:r>
    </w:p>
    <w:p>
      <w:pPr>
        <w:spacing w:after="0" w:line="106" w:lineRule="exact"/>
        <w:rPr>
          <w:sz w:val="20"/>
          <w:szCs w:val="20"/>
          <w:color w:val="auto"/>
        </w:rPr>
      </w:pPr>
    </w:p>
    <w:p>
      <w:pPr>
        <w:ind w:right="140" w:firstLine="324"/>
        <w:spacing w:after="0" w:line="237" w:lineRule="auto"/>
        <w:rPr>
          <w:sz w:val="20"/>
          <w:szCs w:val="20"/>
          <w:color w:val="auto"/>
        </w:rPr>
      </w:pPr>
      <w:r>
        <w:rPr>
          <w:rFonts w:ascii="Times New Roman" w:cs="Times New Roman" w:eastAsia="Times New Roman" w:hAnsi="Times New Roman"/>
          <w:sz w:val="18"/>
          <w:szCs w:val="18"/>
          <w:color w:val="auto"/>
        </w:rPr>
        <w:t>On November 13, 2023, the Company entered into the 2023 Securities Purchase Agreement with (i) Dr. Timothy A. Springer, a member of the Company’s Board of Directors, (ii) TAS Partners LLC, an affiliate of Dr. Springer, and (iii) Seven One Eight Three Four Irrevocable Trust, a trust associated with Dr. Murat Kalayoglu, a member of the Company’s Board of Directors, in which the Company agreed to issue and sell an aggregate of 149,330.115 shares of Series A Preferred Stock for an aggregate purchase price of $60.25 million. See Note 11 to the consolidated financial statements included in the Company’s Annual Report on Form 10-K for the year ended December 31, 2024 for further discussion of the 2023 Private Placement. The 2023 Private Placement included a delayed settlement mechanism, and as a result, the below issuances and sales to related parties of the Company were made during the six months ended June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8"/>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5"/>
        </w:trPr>
        <w:tc>
          <w:tcPr>
            <w:tcW w:w="80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Amended 2019 Warrants</w:t>
      </w:r>
    </w:p>
    <w:p>
      <w:pPr>
        <w:spacing w:after="0" w:line="10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26, 2024, TAS Partners LLC exercised 65,681 Amended 2019 Warrants, paid the per-share exercise price of $43.80 in cash for an aggregate exercise price of $2.9 million, and received 65,681 shares of common stock and 1,970,443 CVRs.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six months ended June 30, 2025, there were no related party transactions.</w:t>
      </w:r>
    </w:p>
    <w:p>
      <w:pPr>
        <w:spacing w:after="0" w:line="113" w:lineRule="exact"/>
        <w:rPr>
          <w:sz w:val="20"/>
          <w:szCs w:val="20"/>
          <w:color w:val="auto"/>
        </w:rPr>
      </w:pPr>
    </w:p>
    <w:p>
      <w:pPr>
        <w:ind w:right="7980" w:firstLine="8"/>
        <w:spacing w:after="0" w:line="378"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 Biogen MA, Inc.</w:t>
      </w: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autoimmune diseases and disorders, excluding cancers, neoplastic disorders, and paraneoplastic disorders. The Company is not obligated to pay Biogen any expenses, fees, or royalties.</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7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9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8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54"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 15, 2033. There is also a pending patent application which, if issued, will expire on March 15, 2033, but could also be subject to patent term adjustment and to any potential future terminal disclaimers.</w:t>
      </w:r>
    </w:p>
    <w:p>
      <w:pPr>
        <w:spacing w:after="0" w:line="9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the Genovis Agreement with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was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was to expense costs related to the Genovis Agreement as incurred until regulatory approval was received in accordance with ASC 730. The Company would have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Genovis tiered royalties of low double digit percentages of worldwide annual net sales of collaboration products which would have been expensed as the commercial sales occurred.</w:t>
      </w:r>
    </w:p>
    <w:p>
      <w:pPr>
        <w:spacing w:after="0" w:line="8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54" w:lineRule="exact"/>
        <w:rPr>
          <w:sz w:val="20"/>
          <w:szCs w:val="20"/>
          <w:color w:val="auto"/>
        </w:rPr>
      </w:pPr>
    </w:p>
    <w:p>
      <w:pPr>
        <w:ind w:right="3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In March 2024, the Company notified Genovis of its intention to terminate the Genovis Agreement, which occurred effective September 13, 2024. </w:t>
      </w:r>
      <w:r>
        <w:rPr>
          <w:rFonts w:ascii="Times New Roman" w:cs="Times New Roman" w:eastAsia="Times New Roman" w:hAnsi="Times New Roman"/>
          <w:sz w:val="18"/>
          <w:szCs w:val="18"/>
          <w:b w:val="1"/>
          <w:bCs w:val="1"/>
          <w:color w:val="auto"/>
        </w:rPr>
        <w:t>Shenyang Sunshine Pharmaceutical Co., Ltd</w:t>
      </w:r>
    </w:p>
    <w:p>
      <w:pPr>
        <w:spacing w:after="0" w:line="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2025.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0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2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Company was not a party to any litigation that could have a material adverse effect on the Company’s business,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June 30, 2025,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7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April 2023, in light of then-current market conditions, the Board of Directors took steps to extend the Company’s cash runway by pausing further development of the Company’s product candidate, SEL-302, for the treatment of methylmalonic acidemia, and conducting a targeted headcount reduction. On August 17, 2023, the Company announced additional steps to extend cash runway and maximize value for stockholders by continuing to prioritize development of the Company’s product candidate, SEL-212, and support of its collaboration with Astellas for Xork, and pausing further development of all of the Company’s other clinical and preclinical product candidates that it was no longer actively advancing. As a result of these measures, the Company implemented a restructuring plan that resulted in an approximate 90% reduction of the Company’s headcount as of April 2023.</w:t>
      </w:r>
    </w:p>
    <w:p>
      <w:pPr>
        <w:spacing w:after="0" w:line="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Company’s accrued restructuring balance included in accrued expenses and other current liabilities on its consolidated balance sheets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24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39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240" w:type="dxa"/>
            <w:vAlign w:val="bottom"/>
          </w:tcPr>
          <w:p>
            <w:pPr>
              <w:spacing w:after="0"/>
              <w:rPr>
                <w:sz w:val="24"/>
                <w:szCs w:val="24"/>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restructuring expenses consisting of one-time cash severance payments and other employee-related costs. The Company recorded these restructuring charges based on each employee’s role to the respective research and development and general and administrative operating expense categories on its consolidated statements of operations and comprehensive income (loss). For the six months ended June 30, 2025, the Company recognized no restructuring charges. For the six months ended June 30, 2024, the Company recognized $0.2 million in research and development expenses and $0.6 million in general and administrative expenses. Payments for the restructuring plan were completed in the first quarter of 2025.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4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33,271</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33,445</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39,285</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Legacy Selecta programs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3,570</w:t>
            </w: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Descartes-08 for MG</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Early stage programs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2,184</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2,658</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7,027</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r>
      <w:tr>
        <w:trPr>
          <w:trHeight w:val="19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 (1)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45,098</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43,397</w:t>
            </w:r>
          </w:p>
        </w:tc>
      </w:tr>
      <w:tr>
        <w:trPr>
          <w:trHeight w:val="22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13,836</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332"/>
        <w:spacing w:after="0" w:line="282"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foreign currency transaction, net; change in fair value of warrant liabilities; change in fair value of contingent value right liability; change in fair value of forward contract liabilities; and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have occurred that require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2024, which we filed with the SEC on March 13, 2025. In addition, you should read the “Risk Factors” and “Information Regarding Forward-Looking Statements” sections of this Quarterly Report and our Annual Report on Form 10-K for the year ended December 31, 2024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40" w:firstLine="324"/>
        <w:spacing w:after="0" w:line="229"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pioneering cell therapy for the treatment of autoimmune diseases. Unlike DNA cell therapies, our cell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therapy method degrades naturally over time without integrating into the cell’s genetic material. Therefore, our cell therapy is distinguished by its capacity to be dosed repeatedly like conventional drugs, administered in an outpatient setting, and given without pre-treatment chemotherapy required with many conventional cell therapies. In our Phase 2b clinical trial in patients with myasthenia gravis, or MG, a chronic autoimmune disease that causes disabling muscle weakness and fatigue, we observed that our lead product candidate, Descartes-08, generated a deep and durable clinical benefit, with 83% of participants maintaining improvements in MG severity scales considered clinically meaningful by expert consensus at six months and sustained improvements in MG severity scales considered clinically meaningful by expert consensus at 12 months. Durability of response in MG is commonly measured over a period of 26 to 52 weeks, and maintenance of response over that period is considered durable</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08"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231F20"/>
        </w:rPr>
        <w:t xml:space="preserve">On November 13, 2023, the Company </w:t>
      </w:r>
      <w:r>
        <w:rPr>
          <w:rFonts w:ascii="Times New Roman" w:cs="Times New Roman" w:eastAsia="Times New Roman" w:hAnsi="Times New Roman"/>
          <w:sz w:val="18"/>
          <w:szCs w:val="18"/>
          <w:color w:val="000000"/>
        </w:rPr>
        <w:t>(formerly known as Selecta Biosciences, Inc., or Selecta)</w:t>
      </w:r>
      <w:r>
        <w:rPr>
          <w:rFonts w:ascii="Times New Roman" w:cs="Times New Roman" w:eastAsia="Times New Roman" w:hAnsi="Times New Roman"/>
          <w:sz w:val="18"/>
          <w:szCs w:val="18"/>
          <w:color w:val="231F20"/>
        </w:rPr>
        <w:t xml:space="preserve"> merged with the private Delaware corporation which, immediately prior to the Merger (as defined below), was known as Cartesian Therapeutics, Inc., or Old Cartesian, in accordance with the terms of an Agreement and Plan of Merger, or the Merger Agreement, by and among</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r>
        <w:rPr>
          <w:rFonts w:ascii="Times New Roman" w:cs="Times New Roman" w:eastAsia="Times New Roman" w:hAnsi="Times New Roman"/>
          <w:sz w:val="18"/>
          <w:szCs w:val="18"/>
          <w:color w:val="231F20"/>
        </w:rPr>
        <w: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connection with the Merger and pursuant to the Merger Agreement, the Company changed its corporate name to Cartesian Therapeutics, Inc. See Note 4 of the notes to the consolidated financial statements in </w:t>
      </w:r>
      <w:r>
        <w:rPr>
          <w:rFonts w:ascii="Times New Roman" w:cs="Times New Roman" w:eastAsia="Times New Roman" w:hAnsi="Times New Roman"/>
          <w:sz w:val="18"/>
          <w:szCs w:val="18"/>
          <w:color w:val="000000"/>
        </w:rPr>
        <w:t>our Annual Report on Form 10-K for the year ended December 31, 2024 for</w:t>
      </w:r>
      <w:r>
        <w:rPr>
          <w:rFonts w:ascii="Times New Roman" w:cs="Times New Roman" w:eastAsia="Times New Roman" w:hAnsi="Times New Roman"/>
          <w:sz w:val="18"/>
          <w:szCs w:val="18"/>
          <w:color w:val="231F20"/>
        </w:rPr>
        <w:t xml:space="preserve"> additional information regarding the Merger.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6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incurred a net loss of $1.8 million and $43.0 million for the six months ended June 30, 2025 and 2024, respectively. As of June 30, 2025, we had an accumulated deficit of $693.9 million. We expect to continue to incur significant expenses and operating losses for the foreseeable future as we:</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Descartes-08 for MG through Phase 3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research and development expenses for the three and six months ended June 30, 2025 and 2024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8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70"/>
        </w:trPr>
        <w:tc>
          <w:tcPr>
            <w:tcW w:w="39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Selecta programs</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96"/>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2,055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w:t>
            </w:r>
          </w:p>
        </w:tc>
      </w:tr>
      <w:tr>
        <w:trPr>
          <w:trHeight w:val="22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14,869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we entered into a securities purchase agreement, or the 2023 Securities Purchase Agreement, pursuant to which we agreed to issue 149,330.115 shares of Series A Non-Voting Convertible Preferred Stock, par value $0.0001 per share, or the Series A Preferred Stock, in exchange for aggregate gross proceeds of $60.25 million, or the 2023 Private Placement. We granted customary registration rights to investors in connection with the 2023 Private Placement.</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July 2, 2024, we entered into a securities purchase agreement, or the 2024 Securities Purchase Agreement, for a private investment in public equity financing, or the 2024 Private Placement, which provided for the issuance of 3,563,247 shares of common stock and 2,937,903 shares of Series B Non-Voting Convertible Preferred Stock, par value $0.0001 per share, or the Series B Preferred Stock, each at a purchase price of $20.00 per share. The 2024 Private Placement resulted in gross proceeds of approximately $130.0 million before deducting placement agent fees and other offering expenses. We granted customary registration rights to investors in connection with the 2024 Private Placement.</w:t>
      </w:r>
    </w:p>
    <w:p>
      <w:pPr>
        <w:spacing w:after="0" w:line="7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June 30, 2025 will enable us to fund our operating expenses and capital expenditure requirements into mid-2027. We have based this estimate on assumptions that may prove to be wrong, and we could use our capital resources sooner than we currently expect.</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Cartesian Therapeutics, Inc. and our wholly owned subsidiaries, Selecta (RUS) LLC, a Russian limited liability company, or Selecta (RUS), Selecta Biosciences Security Corporation, a Massachusetts securities corporation which was dissolved in December 2024, and Cartesian Bio, LLC, a Delaware limited liability company, which is a variable interest entity for which we are the primary beneficiary. All intercompany accounts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descriptions of the agreements underlying our collaboration and license revenue, see Note 13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108"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Additionally, we generate grant revenue which consists of funding received to perform specific research and development services under grant arrangements.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7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of long-lived assets consists of impairment charges on our long-lived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income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income, net consists of non-operating income and non-operating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with the change in fair value recognized as a component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value right liability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contingent value right liability is remeasured quarterly at fair value with the change in fair value recognized as a component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forward contract liabilities</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forward contract liabilities associated with the delayed issuance of the Series A Preferred Stock related to the Merger and 2023 Private Placement are remeasured quarterly and upon settlement at fair value with the change in fair value recognized as a component of earnings.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3"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70"/>
        </w:trPr>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3"/>
                <w:szCs w:val="23"/>
                <w:color w:val="auto"/>
              </w:rPr>
            </w:pPr>
          </w:p>
        </w:tc>
        <w:tc>
          <w:tcPr>
            <w:tcW w:w="17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60" w:type="dxa"/>
            <w:vAlign w:val="bottom"/>
          </w:tcPr>
          <w:p>
            <w:pPr>
              <w:spacing w:after="0"/>
              <w:rPr>
                <w:sz w:val="23"/>
                <w:szCs w:val="23"/>
                <w:color w:val="auto"/>
              </w:rPr>
            </w:pPr>
          </w:p>
        </w:tc>
      </w:tr>
      <w:tr>
        <w:trPr>
          <w:trHeight w:val="23"/>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60" w:type="dxa"/>
            <w:vAlign w:val="bottom"/>
          </w:tcPr>
          <w:p>
            <w:pPr>
              <w:spacing w:after="0"/>
              <w:rPr>
                <w:sz w:val="16"/>
                <w:szCs w:val="16"/>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5"/>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(33,271)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124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33,445</w:t>
            </w:r>
          </w:p>
        </w:tc>
        <w:tc>
          <w:tcPr>
            <w:tcW w:w="540" w:type="dxa"/>
            <w:vAlign w:val="bottom"/>
          </w:tcPr>
          <w:p>
            <w:pPr>
              <w:spacing w:after="0"/>
              <w:rPr>
                <w:sz w:val="16"/>
                <w:szCs w:val="16"/>
                <w:color w:val="auto"/>
              </w:rPr>
            </w:pPr>
          </w:p>
        </w:tc>
        <w:tc>
          <w:tcPr>
            <w:tcW w:w="172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(33,147)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95"/>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540" w:type="dxa"/>
            <w:vAlign w:val="bottom"/>
          </w:tcPr>
          <w:p>
            <w:pPr>
              <w:spacing w:after="0"/>
              <w:rPr>
                <w:sz w:val="16"/>
                <w:szCs w:val="16"/>
                <w:color w:val="auto"/>
              </w:rPr>
            </w:pPr>
          </w:p>
        </w:tc>
        <w:tc>
          <w:tcPr>
            <w:tcW w:w="17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2,208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213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19,688</w:t>
            </w:r>
          </w:p>
        </w:tc>
        <w:tc>
          <w:tcPr>
            <w:tcW w:w="54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jc w:val="right"/>
              <w:ind w:right="848"/>
              <w:spacing w:after="0"/>
              <w:rPr>
                <w:sz w:val="20"/>
                <w:szCs w:val="20"/>
                <w:color w:val="auto"/>
              </w:rPr>
            </w:pPr>
            <w:r>
              <w:rPr>
                <w:rFonts w:ascii="Times New Roman" w:cs="Times New Roman" w:eastAsia="Times New Roman" w:hAnsi="Times New Roman"/>
                <w:sz w:val="14"/>
                <w:szCs w:val="14"/>
                <w:color w:val="auto"/>
              </w:rPr>
              <w:t>2,421</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w:t>
            </w:r>
          </w:p>
        </w:tc>
        <w:tc>
          <w:tcPr>
            <w:tcW w:w="5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(35,568)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540" w:type="dxa"/>
            <w:vAlign w:val="bottom"/>
          </w:tcPr>
          <w:p>
            <w:pPr>
              <w:spacing w:after="0"/>
              <w:rPr>
                <w:sz w:val="16"/>
                <w:szCs w:val="16"/>
                <w:color w:val="auto"/>
              </w:rPr>
            </w:pPr>
          </w:p>
        </w:tc>
        <w:tc>
          <w:tcPr>
            <w:tcW w:w="17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553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4,562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540" w:type="dxa"/>
            <w:vAlign w:val="bottom"/>
          </w:tcPr>
          <w:p>
            <w:pPr>
              <w:spacing w:after="0"/>
              <w:rPr>
                <w:sz w:val="16"/>
                <w:szCs w:val="16"/>
                <w:color w:val="auto"/>
              </w:rPr>
            </w:pPr>
          </w:p>
        </w:tc>
        <w:tc>
          <w:tcPr>
            <w:tcW w:w="17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32,800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1,312 %</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5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(297)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2,050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Collaboration and license revenue</w:t>
      </w:r>
    </w:p>
    <w:p>
      <w:pPr>
        <w:spacing w:after="0" w:line="11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we recognized no collaboration and license revenue, compared to $33.3 million for the three months ended June 30, 2024, a decrease of $33.3 million. The decrease was primarily due to revenue recognized under the Sobi License resulting from the $30.0 million unconstrained development milestone recognized during the three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revenue</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we recognized $0.3 million of grant revenue, compared to $0.2 million for the three months ended June 30, 2024, an increase of $0.1 million. The increase was primarily due to increased expenses reimbursable under the grant from the National Institute of Neurological Disorders and Stroke of the National Institutes of Health, or NINDS, incurred during the three months ended June 30, 2025, for which we received funding approval during the three months ended June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June 30,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70"/>
        </w:trPr>
        <w:tc>
          <w:tcPr>
            <w:tcW w:w="5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40" w:type="dxa"/>
            <w:vAlign w:val="bottom"/>
          </w:tcPr>
          <w:p>
            <w:pPr>
              <w:spacing w:after="0"/>
              <w:rPr>
                <w:sz w:val="23"/>
                <w:szCs w:val="23"/>
                <w:color w:val="auto"/>
              </w:rPr>
            </w:pPr>
          </w:p>
        </w:tc>
      </w:tr>
      <w:tr>
        <w:trPr>
          <w:trHeight w:val="23"/>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Selecta programs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225 %</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133 %</w:t>
            </w: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2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For the three months ended June 30, 2025</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$14.9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$12.7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June 30, 2024, an increase of $2.2 million. The decrease in expenses for legacy Selecta programs was primarily related to decreased expenses for Xork as a result of the termination of the License and Development Agreement, or the Astellas Agreement, with Audentes Therapeutics, Inc., doing business as Astellas Gene Therapies,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Astellas in 2024. The increase in expenses for Descartes-08 for MG was primarily related to the expenses for the ongoing Phase 3 AURORA trial. The increase in our expenses for early stage programs was primarily related to increased discovery expenses and manufacturing operations expenses. The increases in our research and development employee expenses and stock-based compensation expense were primarily a result of headcount growth.</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w:t>
      </w:r>
      <w:r>
        <w:rPr>
          <w:rFonts w:ascii="Times New Roman" w:cs="Times New Roman" w:eastAsia="Times New Roman" w:hAnsi="Times New Roman"/>
          <w:sz w:val="18"/>
          <w:szCs w:val="18"/>
          <w:color w:val="auto"/>
        </w:rPr>
        <w:t xml:space="preserve"> $7.2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$7.0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June 30, 2024, an increase of $0.2 million. The increase in cost was primarily the result of increased facilities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June 30, 2025 was $1.7 million, compared to $1.2 million for the three months ended June 30, 2024, an increase of $0.5 million. The increase in interest income was due to increased cash and cash equivalents balance.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warrant liabilities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we recognized $0.7 million of income from the decrease in the fair value of warrant liabilities, compared to $3.9 million charge from the increase in the fair value of warrant liabilities for the three months ended June 30, 2024, an increase of $4.6 million. Fair value of warrant liabilities was determined utilizing the Black-Scholes valuation methodology. The decrease in warrant value was primarily driven by a decrease in the per-share price of our common stock and the expiration of the warrants we issued in 2019 during the year ended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contingent value right liability</w:t>
      </w:r>
    </w:p>
    <w:p>
      <w:pPr>
        <w:spacing w:after="0" w:line="11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we recognized $35.3 million of income from the decrease in the fair value of the CVR liability, compared to $2.5 million of income from the decrease in the fair value of the CVR liability for the three months ended June 30, 2024, an increase of $32.8 million. The fair value of the CVR liability was determined utilizing a Monte Carlo simulation model. The decrease in the fair value of the CVR liability was primarily due to changes in the timing of anticipated payments.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income, net</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we recognized less than $0.1 million other expense, net, compared to $0.3 million other income, net for the three months ended June 30, 2024. The decrease was primarily due to a decrease in sublease income. The terms of our subleases expired during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11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income for three months ended June 30, 2025 was $15.9 million as compared to net income of $13.8 million for the three months ended June 30, 2024, an increase of $2.1 million The change was primarily due to income associated with the change in the fair value of the CVR liability and the change in the fair value of the warrant liabilities, partially offset by the decrease in collaboration revenue during the three months ended June 30, 2025.</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09"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70"/>
        </w:trPr>
        <w:tc>
          <w:tcPr>
            <w:tcW w:w="3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3"/>
                <w:szCs w:val="23"/>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720" w:type="dxa"/>
            <w:vAlign w:val="bottom"/>
          </w:tcPr>
          <w:p>
            <w:pPr>
              <w:spacing w:after="0"/>
              <w:rPr>
                <w:sz w:val="23"/>
                <w:szCs w:val="23"/>
                <w:color w:val="auto"/>
              </w:rPr>
            </w:pPr>
          </w:p>
        </w:tc>
      </w:tr>
      <w:tr>
        <w:trPr>
          <w:trHeight w:val="23"/>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20" w:type="dxa"/>
            <w:vAlign w:val="bottom"/>
          </w:tcPr>
          <w:p>
            <w:pPr>
              <w:spacing w:after="0"/>
              <w:rPr>
                <w:sz w:val="16"/>
                <w:szCs w:val="16"/>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5"/>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c>
          <w:tcPr>
            <w:tcW w:w="5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(38,711)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824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474 %</w:t>
            </w: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39,285</w:t>
            </w:r>
          </w:p>
        </w:tc>
        <w:tc>
          <w:tcPr>
            <w:tcW w:w="540" w:type="dxa"/>
            <w:vAlign w:val="bottom"/>
          </w:tcPr>
          <w:p>
            <w:pPr>
              <w:spacing w:after="0"/>
              <w:rPr>
                <w:sz w:val="16"/>
                <w:szCs w:val="16"/>
                <w:color w:val="auto"/>
              </w:rPr>
            </w:pPr>
          </w:p>
        </w:tc>
        <w:tc>
          <w:tcPr>
            <w:tcW w:w="166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(37,887)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5"/>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540" w:type="dxa"/>
            <w:vAlign w:val="bottom"/>
          </w:tcPr>
          <w:p>
            <w:pPr>
              <w:spacing w:after="0"/>
              <w:rPr>
                <w:sz w:val="16"/>
                <w:szCs w:val="16"/>
                <w:color w:val="auto"/>
              </w:rPr>
            </w:pPr>
          </w:p>
        </w:tc>
        <w:tc>
          <w:tcPr>
            <w:tcW w:w="16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7,144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(922)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45,098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38,876</w:t>
            </w:r>
          </w:p>
        </w:tc>
        <w:tc>
          <w:tcPr>
            <w:tcW w:w="54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jc w:val="right"/>
              <w:ind w:right="788"/>
              <w:spacing w:after="0"/>
              <w:rPr>
                <w:sz w:val="20"/>
                <w:szCs w:val="20"/>
                <w:color w:val="auto"/>
              </w:rPr>
            </w:pPr>
            <w:r>
              <w:rPr>
                <w:rFonts w:ascii="Times New Roman" w:cs="Times New Roman" w:eastAsia="Times New Roman" w:hAnsi="Times New Roman"/>
                <w:sz w:val="14"/>
                <w:szCs w:val="14"/>
                <w:color w:val="auto"/>
              </w:rPr>
              <w:t>6,222</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5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(44,109)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(10,785)%</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540" w:type="dxa"/>
            <w:vAlign w:val="bottom"/>
          </w:tcPr>
          <w:p>
            <w:pPr>
              <w:spacing w:after="0"/>
              <w:rPr>
                <w:sz w:val="16"/>
                <w:szCs w:val="16"/>
                <w:color w:val="auto"/>
              </w:rPr>
            </w:pPr>
          </w:p>
        </w:tc>
        <w:tc>
          <w:tcPr>
            <w:tcW w:w="16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5,338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540" w:type="dxa"/>
            <w:vAlign w:val="bottom"/>
          </w:tcPr>
          <w:p>
            <w:pPr>
              <w:spacing w:after="0"/>
              <w:rPr>
                <w:sz w:val="16"/>
                <w:szCs w:val="16"/>
                <w:color w:val="auto"/>
              </w:rPr>
            </w:pPr>
          </w:p>
        </w:tc>
        <w:tc>
          <w:tcPr>
            <w:tcW w:w="16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72,446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5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6,890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54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jc w:val="right"/>
              <w:ind w:right="748"/>
              <w:spacing w:after="0"/>
              <w:rPr>
                <w:sz w:val="20"/>
                <w:szCs w:val="20"/>
                <w:color w:val="auto"/>
              </w:rPr>
            </w:pPr>
            <w:r>
              <w:rPr>
                <w:rFonts w:ascii="Times New Roman" w:cs="Times New Roman" w:eastAsia="Times New Roman" w:hAnsi="Times New Roman"/>
                <w:sz w:val="14"/>
                <w:szCs w:val="14"/>
                <w:color w:val="auto"/>
              </w:rPr>
              <w:t>(805)</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5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41,164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Collaboration and license revenue</w:t>
      </w:r>
    </w:p>
    <w:p>
      <w:pPr>
        <w:spacing w:after="0" w:line="11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we recognized $0.4 million of collaboration and license revenue, compared to $39.1 million for the six months ended June 30, 2024, a decrease of $38.7 million. The decrease was primarily due to a decrease in revenue recognized under the Sobi License resulting from the $30.0 million unconstrained development milestone recognized during the six months ended June 30, 2024 and a decrease for revenue recognized under the Astellas Agreement upon notice of termination during the six months ended June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revenue</w:t>
      </w:r>
    </w:p>
    <w:p>
      <w:pPr>
        <w:spacing w:after="0" w:line="11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recognized $1.0 million of grant revenue, compared to $0.2 million for the six months ended June 30, 2024, an increase of $0.8 million. The increase was primarily due to increased expenses reimbursable under the grant from NINDS incurred during the six months ended June 30, 2025, for which we received funding approval during the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six months ended June 30, 2025 and 2024 (in thousands, except percentages):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70"/>
        </w:trPr>
        <w:tc>
          <w:tcPr>
            <w:tcW w:w="5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640" w:type="dxa"/>
            <w:vAlign w:val="bottom"/>
          </w:tcPr>
          <w:p>
            <w:pPr>
              <w:spacing w:after="0"/>
              <w:rPr>
                <w:sz w:val="23"/>
                <w:szCs w:val="23"/>
                <w:color w:val="auto"/>
              </w:rPr>
            </w:pPr>
          </w:p>
        </w:tc>
      </w:tr>
      <w:tr>
        <w:trPr>
          <w:trHeight w:val="23"/>
        </w:trPr>
        <w:tc>
          <w:tcPr>
            <w:tcW w:w="56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Legacy Selecta programs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187 %</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stage programs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313 %</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employee expenses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stock-based compensation expense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Research and development facilities and other expenses</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29,543</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$29.5 million, compared to $22.4 million for the six months ended June 30, 2024, an increase of $7.1 million. The decrease in expenses for legacy Selecta programs was primarily related to decreased expenses for Xork as a result of the termination of the Astellas Agreement in 2024. The increase in expenses for Descartes-08 for MG was primarily related to the expenses for the ongoing Phase 3 AURORA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 The increase in our expenses for early stage programs was primarily related to increased discovery expenses and manufacturing operations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our research and development employee expenses and stock-based compensation expense were primarily a result of headcount growth.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w:t>
      </w:r>
      <w:r>
        <w:rPr>
          <w:rFonts w:ascii="Times New Roman" w:cs="Times New Roman" w:eastAsia="Times New Roman" w:hAnsi="Times New Roman"/>
          <w:sz w:val="18"/>
          <w:szCs w:val="18"/>
          <w:color w:val="auto"/>
        </w:rPr>
        <w:t xml:space="preserve"> $15.6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$16.5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six months ended June 30, 2024, a decrease of $0.9 million. The decrease in cost was primarily the result of expenses incurred for professional fees incurred in connection with the Merger.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Interest income for the six months ended June 30, 2025 was $3.8 million, compared to $2.4 million for the six months ended June 30, 2024. The increase in interest income was due to increased cash and cash equivalents balance.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warrant liabilities</w:t>
      </w:r>
    </w:p>
    <w:p>
      <w:pPr>
        <w:spacing w:after="0" w:line="117"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we recognized $2.5 million of income from the decrease in the fair value of warrant liabilities, compared to $2.9 million charge from the increase in the fair value of warrant liabilities for the six months ended June 30, 2024, an increase of $5.4 million. Fair value of warrant liabilities was determined utilizing the Black-Scholes valuation methodology. The decrease in warrant value was primarily driven by a decrease in the per-share price of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contingent value right liability</w:t>
      </w:r>
    </w:p>
    <w:p>
      <w:pPr>
        <w:spacing w:after="0" w:line="104" w:lineRule="exact"/>
        <w:rPr>
          <w:sz w:val="20"/>
          <w:szCs w:val="20"/>
          <w:color w:val="auto"/>
        </w:rPr>
      </w:pPr>
    </w:p>
    <w:p>
      <w:pPr>
        <w:jc w:val="both"/>
        <w:ind w:right="140" w:firstLine="324"/>
        <w:spacing w:after="0" w:line="236" w:lineRule="auto"/>
        <w:rPr>
          <w:sz w:val="20"/>
          <w:szCs w:val="20"/>
          <w:color w:val="auto"/>
        </w:rPr>
      </w:pPr>
      <w:r>
        <w:rPr>
          <w:rFonts w:ascii="Times New Roman" w:cs="Times New Roman" w:eastAsia="Times New Roman" w:hAnsi="Times New Roman"/>
          <w:sz w:val="18"/>
          <w:szCs w:val="18"/>
          <w:color w:val="auto"/>
        </w:rPr>
        <w:t>For the six months ended June 30, 2025, we recognized $35.6 million of income from the decrease in the fair value of the CVR liability, compared to $36.8 million charge from the increase in the fair value of the CVR liability for the six months ended June 30, 2024, an increase of $72.4 million. The fair value of the CVR liability was determined utilizing a Monte Carlo simulation model. The increase in the fair value of CVR liability was primarily due to changes in the timing of anticipated payments during the six months ended June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forward contract liabilities</w:t>
      </w:r>
    </w:p>
    <w:p>
      <w:pPr>
        <w:spacing w:after="0" w:line="104"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The remaining Series A Preferred Stock forward contract liability was settled during the six months ended June 30, 2024. As such, no change in the fair value of the Series A Preferred Stock forward contract liability is reflected in our unaudited consolidated financial statements for the six months ended June 30, 2025.</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income, net</w:t>
      </w:r>
    </w:p>
    <w:p>
      <w:pPr>
        <w:spacing w:after="0" w:line="11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recognized less than $0.1 million of other expense, net, compared to $0.8 million other income, net for the six months ended June 30, 2024, a decrease of $0.8 million, or 100%. The decrease was primarily due to a decrease in sublease income. The terms of our subleases expired during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w:t>
      </w:r>
    </w:p>
    <w:p>
      <w:pPr>
        <w:spacing w:after="0" w:line="117"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Net loss for the six months ended June 30, 2025 was $1.8 million as compared to net loss of $43.0 million for the six months ended June 30, 2024, a decrease of $41.2 million or 96%. The change was primarily due to income associated with the change in the fair value of the CVR liability and warrant liabilities during the six months ended June 30, 2025, partially offset by revenue recognized under the Sobi License during the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58" w:lineRule="exact"/>
        <w:rPr>
          <w:sz w:val="20"/>
          <w:szCs w:val="20"/>
          <w:color w:val="auto"/>
        </w:rPr>
      </w:pPr>
    </w:p>
    <w:p>
      <w:pPr>
        <w:ind w:right="440" w:firstLine="324"/>
        <w:spacing w:after="0" w:line="280" w:lineRule="auto"/>
        <w:rPr>
          <w:sz w:val="20"/>
          <w:szCs w:val="20"/>
          <w:color w:val="auto"/>
        </w:rPr>
      </w:pPr>
      <w:r>
        <w:rPr>
          <w:rFonts w:ascii="Times New Roman" w:cs="Times New Roman" w:eastAsia="Times New Roman" w:hAnsi="Times New Roman"/>
          <w:sz w:val="18"/>
          <w:szCs w:val="18"/>
          <w:color w:val="auto"/>
        </w:rPr>
        <w:t>Our cash, cash equivalents, and restricted cash were $162.1 million as of June 30, 2025, of which $1.7 million was restricted cash related to lease commitments</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case net of certain agreed deductions, will be distributed to holders of the CVRs. There is no contractual obligation for us to fund any amount related to the CVR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this Quarterly Report.</w:t>
      </w:r>
    </w:p>
    <w:p>
      <w:pPr>
        <w:spacing w:after="0" w:line="7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this Quarterly Report.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$10.0 million upfront payment and were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this Quarterly Report. Amounts paid and remaining obligations with regard to the Xork product candidate not reimbursed by Astellas through the Astellas Agreement were subject to potential reimbursement through deductions to CVR distributions as described in Note 7 to our unaudited consolidated financial statements included elsewhere in this Quarterly Report and were reimbursed in the March 2025 CVR distribution.</w:t>
      </w:r>
    </w:p>
    <w:p>
      <w:pPr>
        <w:spacing w:after="0" w:line="6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July 2024, we received $30.0 million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this Quarterly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December 13, 2024, we and Leerink Partners LLC entered into a Sales Agreement, or the Sales Agreement. Under the Sales Agreement, we may issue and sell shares of our common stock, from time to time, through Leerink Partners LLC or aggregate gross sales proceeds of up to $100.0 million. During the six months ended June 30, 2025, we sold no shares of our common stock pursuant to the Sales Agreement.</w:t>
      </w:r>
    </w:p>
    <w:p>
      <w:pPr>
        <w:spacing w:after="0" w:line="6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On November 13, 2023, we entered into the 2023 Securities Purchase Agreement with (i) Dr. Timothy A. Springer, a member of our Board of</w:t>
      </w:r>
    </w:p>
    <w:p>
      <w:pPr>
        <w:spacing w:after="0" w:line="27"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8"/>
          <w:szCs w:val="18"/>
          <w:color w:val="auto"/>
        </w:rPr>
        <w:t>Directors; (ii) TAS Partners LLC, an affiliate of Dr. Springer, and (iii) Seven One Eight Three Four Irrevocable Trust, a trust associated with Dr. Murat Kalayoglu, a co-founder and the former chief executive officer of Old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Cartesian, who joined our Board of Directors effective immediately after the effective time of the Merger, providing for the 2023 Private Placement. In the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three months ended March 31, 2024 for gross proceeds of $40.0 million.</w:t>
      </w:r>
    </w:p>
    <w:p>
      <w:pPr>
        <w:spacing w:after="0" w:line="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July 2, 2024, we entered into the 2024 Securities Purchase Agreement for the 2024 Private Placement with certain institutional and accredited investors, or the Purchasers. In the 2024 Private Placement, we issued and sold an aggregate of 3,563,247 shares of common stock and 2,937,903 shares of Series B Preferred Stock for which we generated gross proceeds of approximately $130.0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0"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we had an accumulated deficit of $693.9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June 30, 2025 will enable us to fund our operating expenses and capital expenditure requirements into mid-2027.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60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 due to Contractual Obligations and Other Commitments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under agreement to lease approximately 32,294 square feet of laboratory and office space in Watertown, Massachusetts through May 2028. Remaining lease payments from June 30, 2025 through the end of the lease term total approximately $8.3 million. Payments made and remaining obligations on this lease liability were subject to potential reimbursement through deductions to CVR distributions as described in Note 7 to our unaudited consolidated financial statements included elsewhere in this Quarterly Report and were reimbursed in the March 2025 CVR distribution.</w:t>
      </w:r>
    </w:p>
    <w:p>
      <w:pPr>
        <w:spacing w:after="0" w:line="7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November 2023, in connection with the Merger, we acquired two leases for office and laboratory space in Gaithersburg, Maryland, which expire in January 2027. Annualized rent is approximately $0.3 million and remaining lease payments from June 30, 2025 through the end of the lease term total approximately $0.5 million.</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an agreement to lease approximately 19,199 square feet of integrated manufacturing and office space in Frederick,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$1.2 million and is subject to annual increases in accordance with the terms of the lease agreement. The leases provide for a tenant improvement allowance of $0.8 million. Remaining lease payments total $9.4 million through the end of the lease term.</w:t>
      </w:r>
    </w:p>
    <w:p>
      <w:pPr>
        <w:spacing w:after="0" w:line="66"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June 30, 2025,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7 to our unaudited consolidated financial statements included elsewhere in this Quarterly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provided by:</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(30,363)</w:t>
            </w:r>
          </w:p>
        </w:tc>
        <w:tc>
          <w:tcPr>
            <w:tcW w:w="0" w:type="dxa"/>
            <w:vAlign w:val="bottom"/>
          </w:tcPr>
          <w:p>
            <w:pPr>
              <w:spacing w:after="0"/>
              <w:rPr>
                <w:sz w:val="1"/>
                <w:szCs w:val="1"/>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$40.6 million compared to $30.4 million for the six months ended June 30, 2024. The increase in cash used in operating activities of $10.2 million was primarily due to $32.0 million of net loss, adjusted for non-cash items, and $8.6 million of cash used in changes in operating assets and liabilities, in each case during the six months ended June 30, 2025 compared to $8.1 million of net loss, adjusted for non-cash items, and $38.5 million of cash used in changes in operating assets and liabilities during the six months ended June 30, 2024.</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$3.7 million compared to $2.2 million in the same period in 2024, a decrease of $1.5 million. The net cash used in investing activities for the six months ended June 30, 2025 and 2024 consisted primarily of purchases of property and equipment.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was $8.0 million compared to net cash provided by financing activities of $43.2 million for the six months ended June 30, 2024, a decrease of $51.2 million. The net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2025 was primarily the result of payments for the CVR distribution. The net cash provided by financing activities in the six months ended June 30, 2024 was primarily the result of proceeds of the 2023 Private Placement.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refer to Note 3 to our unaudited consolidated financial statements included elsewhere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we did not have any off-balance sheet arrangements as defined in the rules and regulations of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six months ended June 30, 2025, there were no material changes to our critical accounting policies from those described in our Annual Report on Form 10-K for the year ended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2025 and December 31, 2024, we had cash, cash equivalents, and restricted cash of $162.1 million and $214.3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2024. There have been no material changes from the risk factors previously disclosed in such filings.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On May 15, 2025, Milos Miljkovic, our Chief Medical Officer, adopted a trading plan intended to satisfy the conditions under Rule 10b5-1(c) of the Exchange Act. Dr. Miljkovic’s plan provides for the exercise of vested stock options and the potential associated sale of up to 30,528 shares of our common stock and the potential sale of up to an additional 2,689 shares of our common stock until and including March 31, 2026. The foregoing exercises or sales, if any, will be made in accordance with the prices and formulas set forth in the plan and such plan terminates on the earlier of the date all the shares under the plan are sold and March 31, 2026.</w:t>
      </w:r>
    </w:p>
    <w:p>
      <w:pPr>
        <w:spacing w:after="0" w:line="9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Other than as set forth above, during the fiscal quarter ended June 30, 2025, no officer or director, as defined in Rule 16a-1(f) of the Exchange Act, informed us of the adoption, modification or termination of any “Rule 10b5-1 trading arrangement” or a “non-Rule 10b5-1 trading arrangement,” as those terms are defined in Item 408 of Regulation S-K .</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20" w:type="dxa"/>
            <w:vAlign w:val="bottom"/>
            <w:gridSpan w:val="9"/>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560" w:type="dxa"/>
            <w:vAlign w:val="bottom"/>
            <w:gridSpan w:val="16"/>
            <w:vMerge w:val="restart"/>
          </w:tcPr>
          <w:p>
            <w:pPr>
              <w:ind w:left="2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14"/>
                <w:szCs w:val="14"/>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122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560" w:type="dxa"/>
            <w:vAlign w:val="bottom"/>
            <w:gridSpan w:val="16"/>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3"/>
        </w:trPr>
        <w:tc>
          <w:tcPr>
            <w:tcW w:w="760" w:type="dxa"/>
            <w:vAlign w:val="bottom"/>
            <w:tcBorders>
              <w:top w:val="single" w:sz="8" w:color="auto"/>
            </w:tcBorders>
            <w:gridSpan w:val="6"/>
          </w:tcPr>
          <w:p>
            <w:pPr>
              <w:jc w:val="center"/>
              <w:ind w:left="270"/>
              <w:spacing w:after="0" w:line="18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Borders>
              <w:top w:val="single" w:sz="8" w:color="auto"/>
            </w:tcBorders>
            <w:gridSpan w:val="16"/>
          </w:tcPr>
          <w:p>
            <w:pPr>
              <w:spacing w:after="0" w:line="18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5"/>
                <w:szCs w:val="15"/>
                <w:color w:val="auto"/>
              </w:rPr>
            </w:pPr>
          </w:p>
        </w:tc>
        <w:tc>
          <w:tcPr>
            <w:tcW w:w="78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Selecta Biosciences, Inc., Sakura Merger Sub I, Inc., Sakura Merger Sub</w:t>
              </w:r>
            </w:hyperlink>
          </w:p>
        </w:tc>
        <w:tc>
          <w:tcPr>
            <w:tcW w:w="260" w:type="dxa"/>
            <w:vAlign w:val="bottom"/>
            <w:gridSpan w:val="5"/>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II,</w:t>
              </w:r>
            </w:hyperlink>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LLC, and Cartesian Therapeutics, Inc.</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1(a)</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6/29/2016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FF"/>
            </w:tcBorders>
            <w:gridSpan w:val="3"/>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1(c)</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1(d)</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Certificate of Amendment to the Restated Certificate of Incorporation, as</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amended, of Cartesian Therapeutics, Inc., dated March 28, 2024.</w:t>
              </w:r>
            </w:hyperlink>
          </w:p>
        </w:tc>
        <w:tc>
          <w:tcPr>
            <w:tcW w:w="58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gridSpan w:val="5"/>
          </w:tcPr>
          <w:p>
            <w:pPr>
              <w:jc w:val="center"/>
              <w:ind w:left="350"/>
              <w:spacing w:after="0"/>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Amended and Restated By-laws of Cartesian Therapeutics, Inc.</w:t>
              </w:r>
            </w:hyperlink>
          </w:p>
        </w:tc>
        <w:tc>
          <w:tcPr>
            <w:tcW w:w="980" w:type="dxa"/>
            <w:vAlign w:val="bottom"/>
            <w:gridSpan w:val="9"/>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1(a)</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Certificate of Designation of Preferences, Rights and Limitations of Series</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A Non-Voting Convertible Preferred Stock</w:t>
              </w:r>
            </w:hyperlink>
          </w:p>
        </w:tc>
        <w:tc>
          <w:tcPr>
            <w:tcW w:w="2280" w:type="dxa"/>
            <w:vAlign w:val="bottom"/>
            <w:tcBorders>
              <w:top w:val="single" w:sz="8" w:color="0000FF"/>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1(b)</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to the Certificate of Designation of Series A Non-</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Voting Convertible Preferred Stock, dated March 26,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5"/>
          </w:tcPr>
          <w:p>
            <w:pPr>
              <w:jc w:val="center"/>
              <w:ind w:left="350"/>
              <w:spacing w:after="0"/>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Designation of Preferences, Rights and Limitations of Series B</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Non-Voting Convertible Preferred Stock</w:t>
              </w:r>
            </w:hyperlink>
          </w:p>
        </w:tc>
        <w:tc>
          <w:tcPr>
            <w:tcW w:w="26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220" w:right="20" w:hanging="829"/>
        <w:spacing w:after="0" w:line="23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8"/>
          <w:szCs w:val="18"/>
          <w:u w:val="single" w:color="auto"/>
          <w:color w:val="0000FF"/>
        </w:rPr>
        <w:t>Fourth Amendment to Lease Agreement by and between 7495 RP, LLC and Cartesian Therapeutics, Inc. dated June 26, 2025</w:t>
      </w:r>
    </w:p>
    <w:p>
      <w:pPr>
        <w:spacing w:after="0" w:line="10" w:lineRule="exact"/>
        <w:rPr>
          <w:sz w:val="20"/>
          <w:szCs w:val="20"/>
          <w:color w:val="auto"/>
        </w:rPr>
      </w:pPr>
    </w:p>
    <w:p>
      <w:pPr>
        <w:ind w:left="1220" w:hanging="829"/>
        <w:spacing w:after="0" w:line="222"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 13a-14(a) or Rule 15d-14(a) of the Securities Exchange Act of 1934, as adopted pursuant</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to Section 302 of the Sarbanes-Oxley Act of 2002</w:t>
      </w:r>
    </w:p>
    <w:p>
      <w:pPr>
        <w:spacing w:after="0" w:line="7" w:lineRule="exact"/>
        <w:rPr>
          <w:sz w:val="20"/>
          <w:szCs w:val="20"/>
          <w:color w:val="auto"/>
        </w:rPr>
      </w:pPr>
    </w:p>
    <w:p>
      <w:pPr>
        <w:ind w:left="1220" w:hanging="829"/>
        <w:spacing w:after="0" w:line="220"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 13a-14(a) or Rule 15d-14(a) of the Securities Exchange Act of 1934, as adopted pursuant</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to Section 302 of the Sarbanes-Oxley Act of 2002</w:t>
      </w:r>
    </w:p>
    <w:p>
      <w:pPr>
        <w:spacing w:after="0" w:line="7" w:lineRule="exact"/>
        <w:rPr>
          <w:sz w:val="20"/>
          <w:szCs w:val="20"/>
          <w:color w:val="auto"/>
        </w:rPr>
      </w:pPr>
    </w:p>
    <w:p>
      <w:pPr>
        <w:jc w:val="right"/>
        <w:ind w:left="400" w:right="100"/>
        <w:spacing w:after="0" w:line="220" w:lineRule="auto"/>
        <w:rPr>
          <w:sz w:val="20"/>
          <w:szCs w:val="20"/>
          <w:color w:val="auto"/>
        </w:rPr>
      </w:pPr>
      <w:r>
        <w:rPr>
          <w:rFonts w:ascii="Times New Roman" w:cs="Times New Roman" w:eastAsia="Times New Roman" w:hAnsi="Times New Roman"/>
          <w:sz w:val="18"/>
          <w:szCs w:val="18"/>
          <w:u w:val="single" w:color="auto"/>
          <w:color w:val="0000FF"/>
        </w:rPr>
        <w:t>32.1      Certification of Principal Executive Officer and Principal Financial Officer pursuant to 18 U.S.C. Section 1350, as adopted pursuant to Section 906 of</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2">
            <w:col w:w="6720" w:space="480"/>
            <w:col w:w="4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101.INS</w:t>
            </w:r>
          </w:p>
        </w:tc>
        <w:tc>
          <w:tcPr>
            <w:tcW w:w="5900" w:type="dxa"/>
            <w:vAlign w:val="bottom"/>
          </w:tcPr>
          <w:p>
            <w:pPr>
              <w:ind w:left="160"/>
              <w:spacing w:after="0" w:line="183"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820" w:type="dxa"/>
            <w:vAlign w:val="bottom"/>
          </w:tcPr>
          <w:p>
            <w:pPr>
              <w:jc w:val="right"/>
              <w:ind w:right="43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590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1060" w:type="dxa"/>
            <w:vAlign w:val="bottom"/>
          </w:tcPr>
          <w:p>
            <w:pPr>
              <w:spacing w:after="0"/>
              <w:rPr>
                <w:sz w:val="24"/>
                <w:szCs w:val="24"/>
                <w:color w:val="auto"/>
              </w:rPr>
            </w:pP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5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8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58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5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 Exhibit 101)</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584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2" w:lineRule="auto"/>
        <w:tabs>
          <w:tab w:leader="none" w:pos="1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1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Blaine Davis</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29"/>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 LEASE AGREEMENT</w:t>
      </w:r>
    </w:p>
    <w:p>
      <w:pPr>
        <w:spacing w:after="0" w:line="2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FOURTH AMENDMENT TO LEASE AGREEMENT (this “</w:t>
      </w:r>
      <w:r>
        <w:rPr>
          <w:rFonts w:ascii="Times New Roman" w:cs="Times New Roman" w:eastAsia="Times New Roman" w:hAnsi="Times New Roman"/>
          <w:sz w:val="22"/>
          <w:szCs w:val="22"/>
          <w:b w:val="1"/>
          <w:bCs w:val="1"/>
          <w:u w:val="single" w:color="auto"/>
          <w:color w:val="auto"/>
        </w:rPr>
        <w:t>Fourth Amendment</w:t>
      </w:r>
      <w:r>
        <w:rPr>
          <w:rFonts w:ascii="Times New Roman" w:cs="Times New Roman" w:eastAsia="Times New Roman" w:hAnsi="Times New Roman"/>
          <w:sz w:val="22"/>
          <w:szCs w:val="22"/>
          <w:color w:val="auto"/>
        </w:rPr>
        <w:t>”) is made and entered into this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2025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7495 RP, LLC,</w:t>
      </w:r>
      <w:r>
        <w:rPr>
          <w:rFonts w:ascii="Times New Roman" w:cs="Times New Roman" w:eastAsia="Times New Roman" w:hAnsi="Times New Roman"/>
          <w:sz w:val="22"/>
          <w:szCs w:val="22"/>
          <w:color w:val="auto"/>
        </w:rPr>
        <w:t xml:space="preserve"> a Maryland limited liability company, having an address at 5377 Jackson Mountain Road, Frederick, Maryland 21702 (“</w:t>
      </w: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CARTESIAN THERAPEUTICS,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w:t>
      </w:r>
      <w:r>
        <w:rPr>
          <w:rFonts w:ascii="Times New Roman" w:cs="Times New Roman" w:eastAsia="Times New Roman" w:hAnsi="Times New Roman"/>
          <w:sz w:val="22"/>
          <w:szCs w:val="22"/>
          <w:color w:val="auto"/>
        </w:rPr>
        <w:t>, a Delaware corporation, having a headquarters address at 704 Quince Orchard Road (Suite 140), Gaithersburg, Maryland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20878 (“</w:t>
      </w: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This Fourth Amendment is made and entered with respect to the following:</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R-1. Landlord and Tenant are the current parties to that certain Lease dated February 28, 2024, as amended by that First Amendment to Lease Agreement dated May 7, 2024, that Second Amendment to Lease Agreement dated August 30, 2024, and that Third Amendment to Lease Agreement dated March 12, 2024 (collectively, the “</w:t>
      </w:r>
      <w:r>
        <w:rPr>
          <w:rFonts w:ascii="Times New Roman" w:cs="Times New Roman" w:eastAsia="Times New Roman" w:hAnsi="Times New Roman"/>
          <w:sz w:val="22"/>
          <w:szCs w:val="22"/>
          <w:b w:val="1"/>
          <w:bCs w:val="1"/>
          <w:u w:val="single" w:color="auto"/>
          <w:color w:val="auto"/>
        </w:rPr>
        <w:t>Lease</w:t>
      </w:r>
      <w:r>
        <w:rPr>
          <w:rFonts w:ascii="Times New Roman" w:cs="Times New Roman" w:eastAsia="Times New Roman" w:hAnsi="Times New Roman"/>
          <w:sz w:val="22"/>
          <w:szCs w:val="22"/>
          <w:color w:val="auto"/>
        </w:rPr>
        <w:t>”), pursuant to which Landlord has leased to Tenant approximately 35,489 square feet of Rentable Area (the “</w:t>
      </w: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on the first and second floors of the building located at 7495 New Horizon Way, Frederick, Maryland 21702 (“</w:t>
      </w:r>
      <w:r>
        <w:rPr>
          <w:rFonts w:ascii="Times New Roman" w:cs="Times New Roman" w:eastAsia="Times New Roman" w:hAnsi="Times New Roman"/>
          <w:sz w:val="22"/>
          <w:szCs w:val="22"/>
          <w:b w:val="1"/>
          <w:bCs w:val="1"/>
          <w:u w:val="single" w:color="auto"/>
          <w:color w:val="auto"/>
        </w:rPr>
        <w:t>Building</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R-2. Landlord and Tenant desire to clarify certain dates in connection with the Lease, as set forth herein in this Fourth Amendment.</w:t>
      </w:r>
    </w:p>
    <w:p>
      <w:pPr>
        <w:spacing w:after="0" w:line="144"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sum of Ten Dollars ($10.00) and other good and valuable consideration, the receipt and sufficiency of which are acknowledged by Landlord and Tenant, Landlord and Tenant covenant and agree as follows:</w:t>
      </w:r>
    </w:p>
    <w:p>
      <w:pPr>
        <w:spacing w:after="0" w:line="131" w:lineRule="exact"/>
        <w:rPr>
          <w:sz w:val="20"/>
          <w:szCs w:val="20"/>
          <w:color w:val="auto"/>
        </w:rPr>
      </w:pPr>
    </w:p>
    <w:p>
      <w:pPr>
        <w:jc w:val="both"/>
        <w:ind w:firstLine="656"/>
        <w:spacing w:after="0" w:line="265"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 CAPITALIZED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above-mentioned Recitals are incorporated herein by this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though fully set forth at length. Capitalized terms used in this Fourth Amendment but not defined herein shall have the meanings ascribed to them in the Lease.</w:t>
      </w:r>
    </w:p>
    <w:p>
      <w:pPr>
        <w:spacing w:after="0" w:line="161" w:lineRule="exact"/>
        <w:rPr>
          <w:rFonts w:ascii="Times New Roman" w:cs="Times New Roman" w:eastAsia="Times New Roman" w:hAnsi="Times New Roman"/>
          <w:sz w:val="22"/>
          <w:szCs w:val="22"/>
          <w:color w:val="auto"/>
        </w:rPr>
      </w:pPr>
    </w:p>
    <w:p>
      <w:pPr>
        <w:ind w:firstLine="656"/>
        <w:spacing w:after="0" w:line="299" w:lineRule="auto"/>
        <w:tabs>
          <w:tab w:leader="none" w:pos="129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CONFIRMATION OF LEASE DATES</w:t>
      </w:r>
      <w:r>
        <w:rPr>
          <w:rFonts w:ascii="Times New Roman" w:cs="Times New Roman" w:eastAsia="Times New Roman" w:hAnsi="Times New Roman"/>
          <w:sz w:val="21"/>
          <w:szCs w:val="21"/>
          <w:color w:val="auto"/>
        </w:rPr>
        <w:t>. Notwithstanding anything herein contained in the Lease to the contrary,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but not limited to Exhibit “D” thereof, Landlord and Tenant hereby agree to the following with respect to the Lease:</w:t>
      </w:r>
    </w:p>
    <w:p>
      <w:pPr>
        <w:spacing w:after="0" w:line="131"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Date” of the Term is May 1, 2024</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is June 30, 2031 (subject to Tenant’s Renewal Option contained in the Lease).</w:t>
      </w:r>
    </w:p>
    <w:p>
      <w:pPr>
        <w:spacing w:after="0" w:line="23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“Rent Commencement Date”:</w:t>
      </w:r>
    </w:p>
    <w:p>
      <w:pPr>
        <w:spacing w:after="0" w:line="219" w:lineRule="exact"/>
        <w:rPr>
          <w:rFonts w:ascii="Times New Roman" w:cs="Times New Roman" w:eastAsia="Times New Roman" w:hAnsi="Times New Roman"/>
          <w:sz w:val="22"/>
          <w:szCs w:val="22"/>
          <w:color w:val="auto"/>
        </w:rPr>
      </w:pPr>
    </w:p>
    <w:p>
      <w:pPr>
        <w:ind w:left="2280" w:hanging="328"/>
        <w:spacing w:after="0"/>
        <w:tabs>
          <w:tab w:leader="none" w:pos="228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July 1, 2024 for Suites 130, 140 and 150 (the Original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46" w:name="page47"/>
    <w:bookmarkEnd w:id="46"/>
    <w:p>
      <w:pPr>
        <w:ind w:left="2340" w:hanging="388"/>
        <w:spacing w:after="0"/>
        <w:tabs>
          <w:tab w:leader="none" w:pos="23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September 7, 2024 for Suites 220 and 230 (the Expansion Premises).</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September 1, 2024 for Suite 210 (the Second Expansion Premises)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“Lease Year” commenced on May 1, 2024 and concluded on June 30, 2025</w:t>
      </w:r>
    </w:p>
    <w:p>
      <w:pPr>
        <w:spacing w:after="0" w:line="22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RENT FOR THIRD EXPANSION PREMISES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ind w:right="20" w:firstLine="1304"/>
        <w:spacing w:after="0" w:line="271" w:lineRule="auto"/>
        <w:tabs>
          <w:tab w:leader="none" w:pos="184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Expansion Premises Annual Rent</w:t>
      </w:r>
      <w:r>
        <w:rPr>
          <w:rFonts w:ascii="Times New Roman" w:cs="Times New Roman" w:eastAsia="Times New Roman" w:hAnsi="Times New Roman"/>
          <w:sz w:val="22"/>
          <w:szCs w:val="22"/>
          <w:color w:val="auto"/>
        </w:rPr>
        <w:t>. The table contained in Section 5(a) of the Third Amendment is hereby deleted in its entirety and replaced with the following:</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00" w:type="dxa"/>
            <w:vAlign w:val="bottom"/>
            <w:tcBorders>
              <w:top w:val="single" w:sz="8" w:color="auto"/>
              <w:left w:val="single" w:sz="8" w:color="auto"/>
            </w:tcBorders>
          </w:tcPr>
          <w:p>
            <w:pPr>
              <w:spacing w:after="0"/>
              <w:rPr>
                <w:sz w:val="22"/>
                <w:szCs w:val="22"/>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Lease Year</w:t>
            </w:r>
          </w:p>
        </w:tc>
        <w:tc>
          <w:tcPr>
            <w:tcW w:w="900" w:type="dxa"/>
            <w:vAlign w:val="bottom"/>
            <w:tcBorders>
              <w:top w:val="single" w:sz="8" w:color="auto"/>
              <w:right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Annual Rent</w:t>
            </w:r>
          </w:p>
        </w:tc>
        <w:tc>
          <w:tcPr>
            <w:tcW w:w="820" w:type="dxa"/>
            <w:vAlign w:val="bottom"/>
            <w:tcBorders>
              <w:top w:val="single" w:sz="8" w:color="auto"/>
              <w:righ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3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Monthly Base Rent</w:t>
            </w:r>
          </w:p>
        </w:tc>
        <w:tc>
          <w:tcPr>
            <w:tcW w:w="80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gridSpan w:val="4"/>
          </w:tcPr>
          <w:p>
            <w:pPr>
              <w:jc w:val="center"/>
              <w:ind w:right="820"/>
              <w:spacing w:after="0"/>
              <w:rPr>
                <w:sz w:val="20"/>
                <w:szCs w:val="20"/>
                <w:color w:val="auto"/>
              </w:rPr>
            </w:pPr>
            <w:r>
              <w:rPr>
                <w:rFonts w:ascii="Times New Roman" w:cs="Times New Roman" w:eastAsia="Times New Roman" w:hAnsi="Times New Roman"/>
                <w:sz w:val="22"/>
                <w:szCs w:val="22"/>
                <w:b w:val="1"/>
                <w:bCs w:val="1"/>
                <w:color w:val="auto"/>
                <w:w w:val="97"/>
              </w:rPr>
              <w:t>Rent Per</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237"/>
        </w:trPr>
        <w:tc>
          <w:tcPr>
            <w:tcW w:w="900" w:type="dxa"/>
            <w:vAlign w:val="bottom"/>
            <w:tcBorders>
              <w:lef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5"/>
          </w:tcPr>
          <w:p>
            <w:pPr>
              <w:jc w:val="center"/>
              <w:ind w:right="40"/>
              <w:spacing w:after="0" w:line="237" w:lineRule="exact"/>
              <w:rPr>
                <w:sz w:val="20"/>
                <w:szCs w:val="20"/>
                <w:color w:val="auto"/>
              </w:rPr>
            </w:pPr>
            <w:r>
              <w:rPr>
                <w:rFonts w:ascii="Times New Roman" w:cs="Times New Roman" w:eastAsia="Times New Roman" w:hAnsi="Times New Roman"/>
                <w:sz w:val="22"/>
                <w:szCs w:val="22"/>
                <w:b w:val="1"/>
                <w:bCs w:val="1"/>
                <w:color w:val="auto"/>
                <w:w w:val="96"/>
              </w:rPr>
              <w:t>Square Foot</w:t>
            </w: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8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r>
      <w:tr>
        <w:trPr>
          <w:trHeight w:val="263"/>
        </w:trPr>
        <w:tc>
          <w:tcPr>
            <w:tcW w:w="28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TEPLCD – end of Lease Year</w:t>
            </w:r>
          </w:p>
        </w:tc>
        <w:tc>
          <w:tcPr>
            <w:tcW w:w="200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$199,609.00</w:t>
            </w:r>
          </w:p>
        </w:tc>
        <w:tc>
          <w:tcPr>
            <w:tcW w:w="820" w:type="dxa"/>
            <w:vAlign w:val="bottom"/>
            <w:tcBorders>
              <w:right w:val="single" w:sz="8" w:color="auto"/>
            </w:tcBorders>
          </w:tcPr>
          <w:p>
            <w:pPr>
              <w:spacing w:after="0"/>
              <w:rPr>
                <w:sz w:val="22"/>
                <w:szCs w:val="22"/>
                <w:color w:val="auto"/>
              </w:rPr>
            </w:pPr>
          </w:p>
        </w:tc>
        <w:tc>
          <w:tcPr>
            <w:tcW w:w="2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7"/>
              </w:rPr>
              <w:t>$16,634.08**</w:t>
            </w:r>
          </w:p>
        </w:tc>
        <w:tc>
          <w:tcPr>
            <w:tcW w:w="560" w:type="dxa"/>
            <w:vAlign w:val="bottom"/>
            <w:tcBorders>
              <w:right w:val="single" w:sz="8" w:color="auto"/>
            </w:tcBorders>
          </w:tcPr>
          <w:p>
            <w:pPr>
              <w:spacing w:after="0"/>
              <w:rPr>
                <w:sz w:val="22"/>
                <w:szCs w:val="22"/>
                <w:color w:val="auto"/>
              </w:rPr>
            </w:pPr>
          </w:p>
        </w:tc>
        <w:tc>
          <w:tcPr>
            <w:tcW w:w="1780" w:type="dxa"/>
            <w:vAlign w:val="bottom"/>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$31.00</w:t>
            </w:r>
          </w:p>
        </w:tc>
        <w:tc>
          <w:tcPr>
            <w:tcW w:w="1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r>
      <w:tr>
        <w:trPr>
          <w:trHeight w:val="291"/>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9"/>
              </w:rPr>
              <w:t>2*</w:t>
            </w: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3</w:t>
            </w:r>
          </w:p>
        </w:tc>
        <w:tc>
          <w:tcPr>
            <w:tcW w:w="9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$205,597.27</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32"/>
              <w:spacing w:after="0"/>
              <w:rPr>
                <w:sz w:val="20"/>
                <w:szCs w:val="20"/>
                <w:color w:val="auto"/>
              </w:rPr>
            </w:pPr>
            <w:r>
              <w:rPr>
                <w:rFonts w:ascii="Times New Roman" w:cs="Times New Roman" w:eastAsia="Times New Roman" w:hAnsi="Times New Roman"/>
                <w:sz w:val="22"/>
                <w:szCs w:val="22"/>
                <w:color w:val="auto"/>
                <w:w w:val="96"/>
              </w:rPr>
              <w:t>$17,133.11</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$31.93</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4</w:t>
            </w:r>
          </w:p>
        </w:tc>
        <w:tc>
          <w:tcPr>
            <w:tcW w:w="9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$211,765.19</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$17,647.10</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$32.89</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5</w:t>
            </w:r>
          </w:p>
        </w:tc>
        <w:tc>
          <w:tcPr>
            <w:tcW w:w="9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$218,118.14</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$18,176.51</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$33.87</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6</w:t>
            </w:r>
          </w:p>
        </w:tc>
        <w:tc>
          <w:tcPr>
            <w:tcW w:w="9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$224,661.69</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$18,721.81</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$34.89</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r>
        <w:trPr>
          <w:trHeight w:val="304"/>
        </w:trPr>
        <w:tc>
          <w:tcPr>
            <w:tcW w:w="1920" w:type="dxa"/>
            <w:vAlign w:val="bottom"/>
            <w:tcBorders>
              <w:left w:val="single" w:sz="8" w:color="auto"/>
              <w:bottom w:val="single" w:sz="8" w:color="auto"/>
            </w:tcBorders>
            <w:gridSpan w:val="2"/>
          </w:tcPr>
          <w:p>
            <w:pPr>
              <w:jc w:val="center"/>
              <w:ind w:left="792"/>
              <w:spacing w:after="0"/>
              <w:rPr>
                <w:sz w:val="20"/>
                <w:szCs w:val="20"/>
                <w:color w:val="auto"/>
              </w:rPr>
            </w:pPr>
            <w:r>
              <w:rPr>
                <w:rFonts w:ascii="Times New Roman" w:cs="Times New Roman" w:eastAsia="Times New Roman" w:hAnsi="Times New Roman"/>
                <w:sz w:val="22"/>
                <w:szCs w:val="22"/>
                <w:color w:val="auto"/>
                <w:w w:val="90"/>
              </w:rPr>
              <w:t>7</w:t>
            </w:r>
          </w:p>
        </w:tc>
        <w:tc>
          <w:tcPr>
            <w:tcW w:w="90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22"/>
                <w:szCs w:val="22"/>
                <w:color w:val="auto"/>
                <w:w w:val="98"/>
              </w:rPr>
              <w:t>$231,401.54</w:t>
            </w:r>
          </w:p>
        </w:tc>
        <w:tc>
          <w:tcPr>
            <w:tcW w:w="8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22"/>
                <w:szCs w:val="22"/>
                <w:color w:val="auto"/>
                <w:w w:val="98"/>
              </w:rPr>
              <w:t>$19,283.46</w:t>
            </w:r>
          </w:p>
        </w:tc>
        <w:tc>
          <w:tcPr>
            <w:tcW w:w="56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Times New Roman" w:cs="Times New Roman" w:eastAsia="Times New Roman" w:hAnsi="Times New Roman"/>
                <w:sz w:val="22"/>
                <w:szCs w:val="22"/>
                <w:color w:val="auto"/>
                <w:w w:val="99"/>
              </w:rPr>
              <w:t>$35.94</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r>
    </w:tbl>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*This period may be less than twelve full calendar months</w:t>
      </w:r>
    </w:p>
    <w:p>
      <w:pPr>
        <w:spacing w:after="0" w:line="20" w:lineRule="exact"/>
        <w:rPr>
          <w:sz w:val="20"/>
          <w:szCs w:val="20"/>
          <w:color w:val="auto"/>
        </w:rPr>
      </w:pPr>
    </w:p>
    <w:p>
      <w:pPr>
        <w:ind w:left="80" w:right="180" w:firstLine="540"/>
        <w:spacing w:after="0" w:line="224" w:lineRule="auto"/>
        <w:rPr>
          <w:sz w:val="20"/>
          <w:szCs w:val="20"/>
          <w:color w:val="auto"/>
        </w:rPr>
      </w:pPr>
      <w:r>
        <w:rPr>
          <w:rFonts w:ascii="Times New Roman" w:cs="Times New Roman" w:eastAsia="Times New Roman" w:hAnsi="Times New Roman"/>
          <w:sz w:val="16"/>
          <w:szCs w:val="16"/>
          <w:color w:val="auto"/>
        </w:rPr>
        <w:t>**Provided Tenant is not in default under the Lease, Landlord agrees to abate the first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full monthly installment of Base Rent payable hereunder (i.e., to equal a total abatement of $16,634.08).</w:t>
      </w:r>
    </w:p>
    <w:p>
      <w:pPr>
        <w:spacing w:after="0" w:line="313"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right="20" w:firstLine="656"/>
        <w:spacing w:after="0" w:line="271" w:lineRule="auto"/>
        <w:tabs>
          <w:tab w:leader="none" w:pos="10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Landlord to enter into this Fourth Amendment, Tenant hereby represents and warrants to Landlord that as of the date of this Fourth Amendment:</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not assigned the Lease or sublet any portion of the Premises;</w:t>
      </w:r>
    </w:p>
    <w:p>
      <w:pPr>
        <w:spacing w:after="0" w:line="233" w:lineRule="exact"/>
        <w:rPr>
          <w:rFonts w:ascii="Times New Roman" w:cs="Times New Roman" w:eastAsia="Times New Roman" w:hAnsi="Times New Roman"/>
          <w:sz w:val="22"/>
          <w:szCs w:val="22"/>
          <w:color w:val="auto"/>
        </w:rPr>
      </w:pPr>
    </w:p>
    <w:p>
      <w:pPr>
        <w:ind w:right="20" w:firstLine="1304"/>
        <w:spacing w:after="0" w:line="271" w:lineRule="auto"/>
        <w:tabs>
          <w:tab w:leader="none" w:pos="179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Fourth Amendment) and is in full force and effect;</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85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claims against Landlord arising under or in connection with the Lease, and Tenant has no set off or defenses against the enforcement of any right or remedy of Landlord under the Lease; and</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95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is not in default of any of its obligations under the Lease and no event has occurred and no condition exists which, with the giving of notice or the lapse of time, or both, will constitute a default by Landlord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60"/>
          </w:cols>
          <w:pgMar w:left="320" w:top="1422" w:right="319" w:bottom="1440" w:gutter="0" w:footer="0" w:header="0"/>
        </w:sectPr>
      </w:pPr>
    </w:p>
    <w:bookmarkStart w:id="47" w:name="page48"/>
    <w:bookmarkEnd w:id="47"/>
    <w:p>
      <w:pPr>
        <w:ind w:left="1080" w:hanging="424"/>
        <w:spacing w:after="0"/>
        <w:tabs>
          <w:tab w:leader="none" w:pos="10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represents and warrants to Tenant as of the date of this Fourth Amendment: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5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Fourth Amendment) and is in full force and effect; and</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Landlord’s knowledge, Tenant is not in default of any of its obligations under the Lease and no event has occurred and no condition exists which, with the giving of notice or the lapse of time, or both, will constitute a default by Tenant under the Lease.</w:t>
      </w:r>
    </w:p>
    <w:p>
      <w:pPr>
        <w:spacing w:after="0" w:line="169" w:lineRule="exact"/>
        <w:rPr>
          <w:sz w:val="20"/>
          <w:szCs w:val="20"/>
          <w:color w:val="auto"/>
        </w:rPr>
      </w:pPr>
    </w:p>
    <w:p>
      <w:pPr>
        <w:jc w:val="both"/>
        <w:ind w:firstLine="656"/>
        <w:spacing w:after="0" w:line="254"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 Unless a term or condition of the Lease is expressly contradicted by the terms of this Fourth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or modified hereby, all terms and conditions of the Lease shall remain in full force and effect and continue to bind Landlord and Tenant. In the event that a term of this Fourth Amendment is fundamentally inconsistent with a term of the Lease, the terms of this Fourth Amendment shall control. The terms of the Lease, as modified hereby, are ratified and affirmed by the parties.</w:t>
      </w:r>
    </w:p>
    <w:p>
      <w:pPr>
        <w:spacing w:after="0" w:line="173"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Fourth Amendment constitutes the entire agreement of the parties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addressed herein. No terms, conditions, representations, warranties, promises, or understandings, of any nature whatsoever, express or implied, have been made or relied upon by any party hereto. This Fourth Amendment may not be modified, waived, discharged or terminated other than by a writing executed by the parties hereto.</w:t>
      </w:r>
    </w:p>
    <w:p>
      <w:pPr>
        <w:spacing w:after="0" w:line="167"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Tenant each represent and warrant to the other that it has not employed any broker,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finder with regard to this Fourth Amendment. Each party hereby indemnifies and holds harmless the other for any other claims relating to commissions or brokerage fees arising from a breach of the foregoing representation and warranty.</w:t>
      </w:r>
    </w:p>
    <w:p>
      <w:pPr>
        <w:spacing w:after="0" w:line="166"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MERGER</w:t>
      </w:r>
      <w:r>
        <w:rPr>
          <w:rFonts w:ascii="Times New Roman" w:cs="Times New Roman" w:eastAsia="Times New Roman" w:hAnsi="Times New Roman"/>
          <w:sz w:val="22"/>
          <w:szCs w:val="22"/>
          <w:color w:val="auto"/>
        </w:rPr>
        <w:t>. The terms and provisions of this Fourth Amendment shall be binding upon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the parties hereto and their respective successors and permitted assigns under the Lease. Notwithstanding anything herein to the contrary, in the event Landlord obtains a judgment against Tenant in connection with the Lease, the Lease shall not merge into the judgment.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color w:val="auto"/>
        </w:rPr>
        <w:t>. This Fourth Amendment may be executed in multiple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counterparts shall be deemed an original and all of which counterparts collectively shall constitute one and the same document. The parties agree that the signatures of the person executing this Fourth Amendment may be transmitted via electronic means and shall be sufficient evidence of the execution of this Fourth Amendment.</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Fourth Amendment shall be governed by and ·interpreted under the laws of the State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656"/>
        <w:spacing w:after="0" w:line="258" w:lineRule="auto"/>
        <w:tabs>
          <w:tab w:leader="none" w:pos="128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Each individual executing this Fourth Amendment hereby represents and warrants that she or 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capacity set forth on the signature pages hereof with full power and authority to bind the party on whose behalf she or he is executing this Fourth Amendment to the terms hereof. The parties have read and understood this Fourth Amendment and have had the opportunity to consult with legal counsel with respect hereto.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Amendment to Lease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7" w:lineRule="exact"/>
        <w:rPr>
          <w:sz w:val="20"/>
          <w:szCs w:val="20"/>
          <w:color w:val="auto"/>
        </w:rPr>
      </w:pPr>
    </w:p>
    <w:p>
      <w:pPr>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each party hereto has executed and ensealed this Fourth Amendment to Lease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caused it to be executed and ensealed on its behalf by its duly authorized representatives, the day and year first written above.</w:t>
      </w: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7495 RP, LLC</w:t>
      </w: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By:/s/ 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17773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 William C. Robertson</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By:/s/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14592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459230" cy="8890"/>
                    </a:xfrm>
                    <a:prstGeom prst="rect">
                      <a:avLst/>
                    </a:prstGeom>
                    <a:noFill/>
                  </pic:spPr>
                </pic:pic>
              </a:graphicData>
            </a:graphic>
          </wp:anchor>
        </w:drawing>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Name: Blaine Davis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Carsten Brunn, Ph.D., certify that:</w:t>
      </w:r>
    </w:p>
    <w:p>
      <w:pPr>
        <w:spacing w:after="0" w:line="225"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Cartesian Therapeutics,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401"/>
        <w:spacing w:after="0" w:line="266" w:lineRule="auto"/>
        <w:tabs>
          <w:tab w:leader="none" w:pos="12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401"/>
        <w:spacing w:after="0" w:line="312" w:lineRule="auto"/>
        <w:tabs>
          <w:tab w:leader="none" w:pos="127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20" w:hanging="401"/>
        <w:spacing w:after="0" w:line="266" w:lineRule="auto"/>
        <w:tabs>
          <w:tab w:leader="none" w:pos="128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401"/>
        <w:spacing w:after="0" w:line="282" w:lineRule="auto"/>
        <w:tabs>
          <w:tab w:leader="none" w:pos="12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August 7, 2025</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62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628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Blaine Davis, certify that:</w:t>
      </w:r>
    </w:p>
    <w:p>
      <w:pPr>
        <w:spacing w:after="0" w:line="225"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Cartesian Therapeutics,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401"/>
        <w:spacing w:after="0" w:line="266" w:lineRule="auto"/>
        <w:tabs>
          <w:tab w:leader="none" w:pos="1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401"/>
        <w:spacing w:after="0" w:line="312" w:lineRule="auto"/>
        <w:tabs>
          <w:tab w:leader="none" w:pos="127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20" w:hanging="401"/>
        <w:spacing w:after="0" w:line="266" w:lineRule="auto"/>
        <w:tabs>
          <w:tab w:leader="none" w:pos="12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401"/>
        <w:spacing w:after="0" w:line="282" w:lineRule="auto"/>
        <w:tabs>
          <w:tab w:leader="none" w:pos="1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2C2C2C"/>
              </w:rPr>
              <w:t>August 7, 2025</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r>
      <w:tr>
        <w:trPr>
          <w:trHeight w:val="216"/>
        </w:trPr>
        <w:tc>
          <w:tcPr>
            <w:tcW w:w="59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30"/>
        </w:trPr>
        <w:tc>
          <w:tcPr>
            <w:tcW w:w="592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76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Cartesian Therapeutics, Inc. (the “Company”) for the period ended June 30, 2025 as filed with the Securities and Exchange Commission on the date hereof (the “Report”), each of the undersigned officers of the Company hereby certifies, pursuant to 18 U.S.C. Section 1350, that to his knowledge:</w:t>
      </w:r>
    </w:p>
    <w:p>
      <w:pPr>
        <w:spacing w:after="0" w:line="68" w:lineRule="exact"/>
        <w:rPr>
          <w:sz w:val="20"/>
          <w:szCs w:val="20"/>
          <w:color w:val="auto"/>
        </w:rPr>
      </w:pPr>
    </w:p>
    <w:p>
      <w:pPr>
        <w:ind w:left="660" w:right="260" w:hanging="328"/>
        <w:spacing w:after="0" w:line="28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2025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August 7, 2025</w:t>
            </w:r>
          </w:p>
        </w:tc>
        <w:tc>
          <w:tcPr>
            <w:tcW w:w="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0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August 7, 2025</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Blaine Davis</w:t>
            </w: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20" w:type="dxa"/>
            <w:vAlign w:val="bottom"/>
          </w:tcPr>
          <w:p>
            <w:pPr>
              <w:spacing w:after="0"/>
              <w:rPr>
                <w:sz w:val="18"/>
                <w:szCs w:val="18"/>
                <w:color w:val="auto"/>
              </w:rPr>
            </w:pPr>
          </w:p>
        </w:tc>
      </w:tr>
      <w:tr>
        <w:trPr>
          <w:trHeight w:val="230"/>
        </w:trPr>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3"/>
    </w:lvl>
  </w:abstractNum>
  <w:abstractNum w:abstractNumId="7">
    <w:nsid w:val="4E6AFB66"/>
    <w:multiLevelType w:val="hybridMultilevel"/>
    <w:lvl w:ilvl="0">
      <w:lvlJc w:val="left"/>
      <w:lvlText w:val="%1."/>
      <w:numFmt w:val="decimal"/>
      <w:start w:val="15"/>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
    <w:nsid w:val="436C612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
    <w:nsid w:val="628C895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
    <w:nsid w:val="333AB105"/>
    <w:multiLevelType w:val="hybridMultilevel"/>
    <w:lvl w:ilvl="0">
      <w:lvlJc w:val="left"/>
      <w:lvlText w:val="%1."/>
      <w:numFmt w:val="decimal"/>
      <w:start w:val="4"/>
    </w:lvl>
  </w:abstractNum>
  <w:abstractNum w:abstractNumId="18">
    <w:nsid w:val="721DA317"/>
    <w:multiLevelType w:val="hybridMultilevel"/>
    <w:lvl w:ilvl="0">
      <w:lvlJc w:val="left"/>
      <w:lvlText w:val="%1."/>
      <w:numFmt w:val="upperLetter"/>
      <w:start w:val="1"/>
    </w:lvl>
    <w:lvl w:ilvl="1">
      <w:lvlJc w:val="left"/>
      <w:lvlText w:val="(%2)"/>
      <w:numFmt w:val="lowerRoman"/>
      <w:start w:val="1"/>
    </w:lvl>
  </w:abstractNum>
  <w:abstractNum w:abstractNumId="19">
    <w:nsid w:val="2443A858"/>
    <w:multiLevelType w:val="hybridMultilevel"/>
    <w:lvl w:ilvl="0">
      <w:lvlJc w:val="left"/>
      <w:lvlText w:val="%1."/>
      <w:numFmt w:val="upperLetter"/>
      <w:start w:val="2"/>
    </w:lvl>
    <w:lvl w:ilvl="1">
      <w:lvlJc w:val="left"/>
      <w:lvlText w:val="(%2)"/>
      <w:numFmt w:val="lowerRoman"/>
      <w:start w:val="1"/>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decimal"/>
      <w:start w:val="1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56" Type="http://schemas.openxmlformats.org/officeDocument/2006/relationships/hyperlink" Target="https://www.sec.gov/Archives/edgar/data/1453687/000119312523275461/d869185dex21.htm" TargetMode="External"/><Relationship Id="rId57" Type="http://schemas.openxmlformats.org/officeDocument/2006/relationships/hyperlink" Target="https://www.sec.gov/Archives/edgar/data/1453687/000110465916129891/a16-14002_1ex3d1.htm" TargetMode="External"/><Relationship Id="rId58" Type="http://schemas.openxmlformats.org/officeDocument/2006/relationships/hyperlink" Target="https://www.sec.gov/Archives/edgar/data/0001453687/000145368722000109/exhibit31_charteramendment.htm" TargetMode="External"/><Relationship Id="rId59" Type="http://schemas.openxmlformats.org/officeDocument/2006/relationships/hyperlink" Target="https://www.sec.gov/Archives/edgar/data/1453687/000119312523275461/d869185dex33.htm" TargetMode="External"/><Relationship Id="rId60" Type="http://schemas.openxmlformats.org/officeDocument/2006/relationships/hyperlink" Target="https://www.sec.gov/Archives/edgar/data/1453687/000145368724000048/exhibit32certificateofamen.htm" TargetMode="External"/><Relationship Id="rId61" Type="http://schemas.openxmlformats.org/officeDocument/2006/relationships/hyperlink" Target="https://www.sec.gov/Archives/edgar/data/1453687/000119312523276086/d549858dex32.htm" TargetMode="External"/><Relationship Id="rId62" Type="http://schemas.openxmlformats.org/officeDocument/2006/relationships/hyperlink" Target="https://www.sec.gov/Archives/edgar/data/1453687/000119312523275461/d869185dex34.htm" TargetMode="External"/><Relationship Id="rId63" Type="http://schemas.openxmlformats.org/officeDocument/2006/relationships/hyperlink" Target="https://www.sec.gov/Archives/edgar/data/1453687/000145368724000048/exhibit31certificateofamen.htm" TargetMode="External"/><Relationship Id="rId64" Type="http://schemas.openxmlformats.org/officeDocument/2006/relationships/hyperlink" Target="https://www.sec.gov/Archives/edgar/data/1453687/000114036124032080/ef2003196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2025-08-07T06:14:26Z</dcterms:created>
  <dcterms:modified xsi:type="dcterms:W3CDTF">2025-08-07T06:14:26Z</dcterms:modified>
</cp:coreProperties>
</file>