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K. Bradshaw, Jr.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11,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38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sent.</w:t>
      </w:r>
    </w:p>
    <w:p>
      <w:pPr>
        <w:spacing w:after="0" w:line="166" w:lineRule="exact"/>
        <w:rPr>
          <w:sz w:val="24"/>
          <w:szCs w:val="24"/>
          <w:color w:val="auto"/>
        </w:rPr>
      </w:pPr>
    </w:p>
    <w:p>
      <w:pPr>
        <w:ind w:left="480" w:right="240" w:hanging="468"/>
        <w:spacing w:after="0" w:line="308"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 w:name="page2"/>
    <w:bookmarkEnd w:id="1"/>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749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749165"/>
                    </a:xfrm>
                    <a:prstGeom prst="rect">
                      <a:avLst/>
                    </a:prstGeom>
                    <a:noFill/>
                  </pic:spPr>
                </pic:pic>
              </a:graphicData>
            </a:graphic>
          </wp:anchor>
        </w:drawing>
      </w:r>
    </w:p>
    <w:p>
      <w:pPr>
        <w:spacing w:after="0" w:line="290" w:lineRule="exact"/>
        <w:rPr>
          <w:sz w:val="20"/>
          <w:szCs w:val="20"/>
          <w:color w:val="auto"/>
        </w:rPr>
      </w:pPr>
    </w:p>
    <w:p>
      <w:pPr>
        <w:ind w:left="540" w:right="8600" w:hanging="417"/>
        <w:spacing w:after="0" w:line="342"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Timothy A. Springer</w:t>
      </w:r>
    </w:p>
    <w:p>
      <w:pPr>
        <w:spacing w:after="0" w:line="42" w:lineRule="exact"/>
        <w:rPr>
          <w:rFonts w:ascii="Arial" w:cs="Arial" w:eastAsia="Arial" w:hAnsi="Arial"/>
          <w:sz w:val="16"/>
          <w:szCs w:val="16"/>
          <w:color w:val="auto"/>
        </w:rPr>
      </w:pPr>
    </w:p>
    <w:p>
      <w:pPr>
        <w:ind w:left="540" w:hanging="417"/>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40" w:hanging="417"/>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40" w:right="8080" w:hanging="417"/>
        <w:spacing w:after="0" w:line="277"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89"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904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9"/>
        </w:trPr>
        <w:tc>
          <w:tcPr>
            <w:tcW w:w="1260" w:type="dxa"/>
            <w:vAlign w:val="bottom"/>
          </w:tcPr>
          <w:p>
            <w:pPr>
              <w:jc w:val="center"/>
              <w:ind w:right="290"/>
              <w:spacing w:after="0"/>
              <w:rPr>
                <w:sz w:val="20"/>
                <w:szCs w:val="20"/>
                <w:color w:val="auto"/>
              </w:rPr>
            </w:pPr>
            <w:r>
              <w:rPr>
                <w:rFonts w:ascii="Arial" w:cs="Arial" w:eastAsia="Arial" w:hAnsi="Arial"/>
                <w:sz w:val="18"/>
                <w:szCs w:val="18"/>
                <w:color w:val="auto"/>
                <w:w w:val="95"/>
              </w:rPr>
              <w:t>Number of</w:t>
            </w:r>
          </w:p>
        </w:tc>
        <w:tc>
          <w:tcPr>
            <w:tcW w:w="520" w:type="dxa"/>
            <w:vAlign w:val="bottom"/>
          </w:tcPr>
          <w:p>
            <w:pPr>
              <w:spacing w:after="0"/>
              <w:rPr>
                <w:sz w:val="20"/>
                <w:szCs w:val="20"/>
                <w:color w:val="auto"/>
              </w:rPr>
            </w:pPr>
          </w:p>
        </w:tc>
        <w:tc>
          <w:tcPr>
            <w:tcW w:w="9040" w:type="dxa"/>
            <w:vAlign w:val="bottom"/>
          </w:tcPr>
          <w:p>
            <w:pPr>
              <w:ind w:left="120"/>
              <w:spacing w:after="0" w:line="239" w:lineRule="exact"/>
              <w:rPr>
                <w:sz w:val="20"/>
                <w:szCs w:val="20"/>
                <w:color w:val="auto"/>
              </w:rPr>
            </w:pPr>
            <w:r>
              <w:rPr>
                <w:rFonts w:ascii="Arial" w:cs="Arial" w:eastAsia="Arial" w:hAnsi="Arial"/>
                <w:sz w:val="17"/>
                <w:szCs w:val="17"/>
                <w:color w:val="auto"/>
              </w:rPr>
              <w:t>44,356,586 shares</w:t>
            </w:r>
            <w:r>
              <w:rPr>
                <w:rFonts w:ascii="Arial" w:cs="Arial" w:eastAsia="Arial" w:hAnsi="Arial"/>
                <w:sz w:val="27"/>
                <w:szCs w:val="27"/>
                <w:color w:val="auto"/>
                <w:vertAlign w:val="superscript"/>
              </w:rPr>
              <w:t>(1)</w:t>
            </w:r>
          </w:p>
        </w:tc>
        <w:tc>
          <w:tcPr>
            <w:tcW w:w="0" w:type="dxa"/>
            <w:vAlign w:val="bottom"/>
          </w:tcPr>
          <w:p>
            <w:pPr>
              <w:spacing w:after="0"/>
              <w:rPr>
                <w:sz w:val="1"/>
                <w:szCs w:val="1"/>
                <w:color w:val="auto"/>
              </w:rPr>
            </w:pPr>
          </w:p>
        </w:tc>
      </w:tr>
      <w:tr>
        <w:trPr>
          <w:trHeight w:val="89"/>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9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26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8.</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3"/>
              </w:rPr>
              <w:t>Owned by</w:t>
            </w:r>
          </w:p>
        </w:tc>
        <w:tc>
          <w:tcPr>
            <w:tcW w:w="520" w:type="dxa"/>
            <w:vAlign w:val="bottom"/>
          </w:tcPr>
          <w:p>
            <w:pPr>
              <w:spacing w:after="0"/>
              <w:rPr>
                <w:sz w:val="14"/>
                <w:szCs w:val="14"/>
                <w:color w:val="auto"/>
              </w:rPr>
            </w:pPr>
          </w:p>
        </w:tc>
        <w:tc>
          <w:tcPr>
            <w:tcW w:w="9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2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9.</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71"/>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6"/>
                <w:szCs w:val="6"/>
                <w:color w:val="auto"/>
              </w:rPr>
            </w:pPr>
          </w:p>
        </w:tc>
        <w:tc>
          <w:tcPr>
            <w:tcW w:w="9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2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40" w:type="dxa"/>
            <w:vAlign w:val="bottom"/>
            <w:vMerge w:val="restart"/>
          </w:tcPr>
          <w:p>
            <w:pPr>
              <w:ind w:left="120"/>
              <w:spacing w:after="0" w:line="321" w:lineRule="exact"/>
              <w:rPr>
                <w:sz w:val="20"/>
                <w:szCs w:val="20"/>
                <w:color w:val="auto"/>
              </w:rPr>
            </w:pPr>
            <w:r>
              <w:rPr>
                <w:rFonts w:ascii="Arial" w:cs="Arial" w:eastAsia="Arial" w:hAnsi="Arial"/>
                <w:sz w:val="18"/>
                <w:szCs w:val="18"/>
                <w:color w:val="auto"/>
              </w:rPr>
              <w:t>44,356,586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76"/>
        </w:trPr>
        <w:tc>
          <w:tcPr>
            <w:tcW w:w="1260" w:type="dxa"/>
            <w:vAlign w:val="bottom"/>
            <w:vMerge w:val="restart"/>
          </w:tcPr>
          <w:p>
            <w:pPr>
              <w:jc w:val="center"/>
              <w:ind w:right="290"/>
              <w:spacing w:after="0" w:line="203" w:lineRule="exact"/>
              <w:rPr>
                <w:sz w:val="20"/>
                <w:szCs w:val="20"/>
                <w:color w:val="auto"/>
              </w:rPr>
            </w:pPr>
            <w:r>
              <w:rPr>
                <w:rFonts w:ascii="Arial" w:cs="Arial" w:eastAsia="Arial" w:hAnsi="Arial"/>
                <w:sz w:val="18"/>
                <w:szCs w:val="18"/>
                <w:color w:val="auto"/>
                <w:w w:val="84"/>
              </w:rPr>
              <w:t>Person</w:t>
            </w:r>
          </w:p>
        </w:tc>
        <w:tc>
          <w:tcPr>
            <w:tcW w:w="520" w:type="dxa"/>
            <w:vAlign w:val="bottom"/>
          </w:tcPr>
          <w:p>
            <w:pPr>
              <w:spacing w:after="0"/>
              <w:rPr>
                <w:sz w:val="15"/>
                <w:szCs w:val="15"/>
                <w:color w:val="auto"/>
              </w:rPr>
            </w:pPr>
          </w:p>
        </w:tc>
        <w:tc>
          <w:tcPr>
            <w:tcW w:w="9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60" w:type="dxa"/>
            <w:vAlign w:val="bottom"/>
            <w:vMerge w:val="continue"/>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ind w:right="290"/>
              <w:spacing w:after="0"/>
              <w:rPr>
                <w:sz w:val="20"/>
                <w:szCs w:val="20"/>
                <w:color w:val="auto"/>
              </w:rPr>
            </w:pPr>
            <w:r>
              <w:rPr>
                <w:rFonts w:ascii="Arial" w:cs="Arial" w:eastAsia="Arial" w:hAnsi="Arial"/>
                <w:sz w:val="18"/>
                <w:szCs w:val="18"/>
                <w:color w:val="auto"/>
                <w:w w:val="99"/>
              </w:rPr>
              <w:t>With</w:t>
            </w: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904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ind w:left="2460" w:hanging="144"/>
        <w:spacing w:after="0"/>
        <w:tabs>
          <w:tab w:leader="none" w:pos="24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shares</w:t>
      </w:r>
    </w:p>
    <w:p>
      <w:pPr>
        <w:spacing w:after="0" w:line="129" w:lineRule="exact"/>
        <w:rPr>
          <w:rFonts w:ascii="Arial" w:cs="Arial" w:eastAsia="Arial" w:hAnsi="Arial"/>
          <w:sz w:val="18"/>
          <w:szCs w:val="18"/>
          <w:color w:val="auto"/>
        </w:rPr>
      </w:pPr>
    </w:p>
    <w:p>
      <w:pPr>
        <w:ind w:left="540" w:right="5900" w:hanging="445"/>
        <w:spacing w:after="0" w:line="270" w:lineRule="auto"/>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44,356,586 shares</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540" w:hanging="449"/>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1" w:lineRule="exact"/>
        <w:rPr>
          <w:rFonts w:ascii="Arial" w:cs="Arial" w:eastAsia="Arial" w:hAnsi="Arial"/>
          <w:sz w:val="18"/>
          <w:szCs w:val="18"/>
          <w:color w:val="auto"/>
        </w:rPr>
      </w:pPr>
    </w:p>
    <w:p>
      <w:pPr>
        <w:ind w:left="540" w:hanging="449"/>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28.9%</w:t>
      </w:r>
      <w:r>
        <w:rPr>
          <w:rFonts w:ascii="Arial" w:cs="Arial" w:eastAsia="Arial" w:hAnsi="Arial"/>
          <w:sz w:val="29"/>
          <w:szCs w:val="29"/>
          <w:color w:val="auto"/>
          <w:vertAlign w:val="superscript"/>
        </w:rPr>
        <w:t>(2)</w:t>
      </w:r>
    </w:p>
    <w:p>
      <w:pPr>
        <w:spacing w:after="0" w:line="45" w:lineRule="exact"/>
        <w:rPr>
          <w:rFonts w:ascii="Arial" w:cs="Arial" w:eastAsia="Arial" w:hAnsi="Arial"/>
          <w:sz w:val="18"/>
          <w:szCs w:val="18"/>
          <w:color w:val="auto"/>
        </w:rPr>
      </w:pPr>
    </w:p>
    <w:p>
      <w:pPr>
        <w:ind w:left="540" w:right="7540" w:hanging="449"/>
        <w:spacing w:after="0" w:line="274" w:lineRule="auto"/>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reported as of September 20, 2023. As of April 11, 2022, such amount was 44,395,716 shares.</w:t>
      </w:r>
    </w:p>
    <w:p>
      <w:pPr>
        <w:spacing w:after="0" w:line="23" w:lineRule="exact"/>
        <w:rPr>
          <w:rFonts w:ascii="Arial" w:cs="Arial" w:eastAsia="Arial" w:hAnsi="Arial"/>
          <w:sz w:val="18"/>
          <w:szCs w:val="18"/>
          <w:color w:val="auto"/>
        </w:rPr>
      </w:pPr>
    </w:p>
    <w:p>
      <w:pPr>
        <w:ind w:left="340" w:right="400" w:hanging="332"/>
        <w:spacing w:after="0" w:line="30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reported as of September 20, 2023, based on 153,427,571 Shares issued and outstanding as of August 4, 2023, as reported on the Issuer’s Quarterly Report on Form 10-Q, dated August 17, 2023. As of April 11, 2022, such amount was 29.2%, based on 151,809,416 Shares issued and outstanding as of April 18, 2022, as reported on the Issuer’s definitive proxy statement on Schedule 14A, dated May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749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749165"/>
                    </a:xfrm>
                    <a:prstGeom prst="rect">
                      <a:avLst/>
                    </a:prstGeom>
                    <a:noFill/>
                  </pic:spPr>
                </pic:pic>
              </a:graphicData>
            </a:graphic>
          </wp:anchor>
        </w:drawing>
      </w:r>
    </w:p>
    <w:p>
      <w:pPr>
        <w:spacing w:after="0" w:line="290" w:lineRule="exact"/>
        <w:rPr>
          <w:sz w:val="20"/>
          <w:szCs w:val="20"/>
          <w:color w:val="auto"/>
        </w:rPr>
      </w:pPr>
    </w:p>
    <w:p>
      <w:pPr>
        <w:ind w:left="540" w:right="8600" w:hanging="417"/>
        <w:spacing w:after="0" w:line="308"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Names of Reporting Persons. TAS Partners LLC</w:t>
      </w:r>
    </w:p>
    <w:p>
      <w:pPr>
        <w:spacing w:after="0" w:line="65" w:lineRule="exact"/>
        <w:rPr>
          <w:rFonts w:ascii="Arial" w:cs="Arial" w:eastAsia="Arial" w:hAnsi="Arial"/>
          <w:sz w:val="17"/>
          <w:szCs w:val="17"/>
          <w:color w:val="auto"/>
        </w:rPr>
      </w:pPr>
    </w:p>
    <w:p>
      <w:pPr>
        <w:ind w:left="540" w:hanging="417"/>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40" w:hanging="417"/>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40" w:right="8080" w:hanging="417"/>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89"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904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9"/>
        </w:trPr>
        <w:tc>
          <w:tcPr>
            <w:tcW w:w="1260" w:type="dxa"/>
            <w:vAlign w:val="bottom"/>
          </w:tcPr>
          <w:p>
            <w:pPr>
              <w:jc w:val="center"/>
              <w:ind w:right="290"/>
              <w:spacing w:after="0"/>
              <w:rPr>
                <w:sz w:val="20"/>
                <w:szCs w:val="20"/>
                <w:color w:val="auto"/>
              </w:rPr>
            </w:pPr>
            <w:r>
              <w:rPr>
                <w:rFonts w:ascii="Arial" w:cs="Arial" w:eastAsia="Arial" w:hAnsi="Arial"/>
                <w:sz w:val="18"/>
                <w:szCs w:val="18"/>
                <w:color w:val="auto"/>
                <w:w w:val="95"/>
              </w:rPr>
              <w:t>Number of</w:t>
            </w:r>
          </w:p>
        </w:tc>
        <w:tc>
          <w:tcPr>
            <w:tcW w:w="520" w:type="dxa"/>
            <w:vAlign w:val="bottom"/>
          </w:tcPr>
          <w:p>
            <w:pPr>
              <w:spacing w:after="0"/>
              <w:rPr>
                <w:sz w:val="20"/>
                <w:szCs w:val="20"/>
                <w:color w:val="auto"/>
              </w:rPr>
            </w:pPr>
          </w:p>
        </w:tc>
        <w:tc>
          <w:tcPr>
            <w:tcW w:w="9040" w:type="dxa"/>
            <w:vAlign w:val="bottom"/>
          </w:tcPr>
          <w:p>
            <w:pPr>
              <w:ind w:left="120"/>
              <w:spacing w:after="0" w:line="239" w:lineRule="exact"/>
              <w:rPr>
                <w:sz w:val="20"/>
                <w:szCs w:val="20"/>
                <w:color w:val="auto"/>
              </w:rPr>
            </w:pPr>
            <w:r>
              <w:rPr>
                <w:rFonts w:ascii="Arial" w:cs="Arial" w:eastAsia="Arial" w:hAnsi="Arial"/>
                <w:sz w:val="17"/>
                <w:szCs w:val="17"/>
                <w:color w:val="auto"/>
              </w:rPr>
              <w:t>36,850,133 shares</w:t>
            </w:r>
            <w:r>
              <w:rPr>
                <w:rFonts w:ascii="Arial" w:cs="Arial" w:eastAsia="Arial" w:hAnsi="Arial"/>
                <w:sz w:val="27"/>
                <w:szCs w:val="27"/>
                <w:color w:val="auto"/>
                <w:vertAlign w:val="superscript"/>
              </w:rPr>
              <w:t>(1)</w:t>
            </w:r>
          </w:p>
        </w:tc>
        <w:tc>
          <w:tcPr>
            <w:tcW w:w="0" w:type="dxa"/>
            <w:vAlign w:val="bottom"/>
          </w:tcPr>
          <w:p>
            <w:pPr>
              <w:spacing w:after="0"/>
              <w:rPr>
                <w:sz w:val="1"/>
                <w:szCs w:val="1"/>
                <w:color w:val="auto"/>
              </w:rPr>
            </w:pPr>
          </w:p>
        </w:tc>
      </w:tr>
      <w:tr>
        <w:trPr>
          <w:trHeight w:val="89"/>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9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26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8.</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3"/>
              </w:rPr>
              <w:t>Owned by</w:t>
            </w:r>
          </w:p>
        </w:tc>
        <w:tc>
          <w:tcPr>
            <w:tcW w:w="520" w:type="dxa"/>
            <w:vAlign w:val="bottom"/>
          </w:tcPr>
          <w:p>
            <w:pPr>
              <w:spacing w:after="0"/>
              <w:rPr>
                <w:sz w:val="14"/>
                <w:szCs w:val="14"/>
                <w:color w:val="auto"/>
              </w:rPr>
            </w:pPr>
          </w:p>
        </w:tc>
        <w:tc>
          <w:tcPr>
            <w:tcW w:w="9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2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9.</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71"/>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6"/>
                <w:szCs w:val="6"/>
                <w:color w:val="auto"/>
              </w:rPr>
            </w:pPr>
          </w:p>
        </w:tc>
        <w:tc>
          <w:tcPr>
            <w:tcW w:w="9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2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40" w:type="dxa"/>
            <w:vAlign w:val="bottom"/>
            <w:vMerge w:val="restart"/>
          </w:tcPr>
          <w:p>
            <w:pPr>
              <w:ind w:left="120"/>
              <w:spacing w:after="0" w:line="321" w:lineRule="exact"/>
              <w:rPr>
                <w:sz w:val="20"/>
                <w:szCs w:val="20"/>
                <w:color w:val="auto"/>
              </w:rPr>
            </w:pPr>
            <w:r>
              <w:rPr>
                <w:rFonts w:ascii="Arial" w:cs="Arial" w:eastAsia="Arial" w:hAnsi="Arial"/>
                <w:sz w:val="18"/>
                <w:szCs w:val="18"/>
                <w:color w:val="auto"/>
              </w:rPr>
              <w:t>36,850,133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76"/>
        </w:trPr>
        <w:tc>
          <w:tcPr>
            <w:tcW w:w="1260" w:type="dxa"/>
            <w:vAlign w:val="bottom"/>
            <w:vMerge w:val="restart"/>
          </w:tcPr>
          <w:p>
            <w:pPr>
              <w:jc w:val="center"/>
              <w:ind w:right="290"/>
              <w:spacing w:after="0" w:line="203" w:lineRule="exact"/>
              <w:rPr>
                <w:sz w:val="20"/>
                <w:szCs w:val="20"/>
                <w:color w:val="auto"/>
              </w:rPr>
            </w:pPr>
            <w:r>
              <w:rPr>
                <w:rFonts w:ascii="Arial" w:cs="Arial" w:eastAsia="Arial" w:hAnsi="Arial"/>
                <w:sz w:val="18"/>
                <w:szCs w:val="18"/>
                <w:color w:val="auto"/>
                <w:w w:val="84"/>
              </w:rPr>
              <w:t>Person</w:t>
            </w:r>
          </w:p>
        </w:tc>
        <w:tc>
          <w:tcPr>
            <w:tcW w:w="520" w:type="dxa"/>
            <w:vAlign w:val="bottom"/>
          </w:tcPr>
          <w:p>
            <w:pPr>
              <w:spacing w:after="0"/>
              <w:rPr>
                <w:sz w:val="15"/>
                <w:szCs w:val="15"/>
                <w:color w:val="auto"/>
              </w:rPr>
            </w:pPr>
          </w:p>
        </w:tc>
        <w:tc>
          <w:tcPr>
            <w:tcW w:w="9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60" w:type="dxa"/>
            <w:vAlign w:val="bottom"/>
            <w:vMerge w:val="continue"/>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ind w:right="290"/>
              <w:spacing w:after="0"/>
              <w:rPr>
                <w:sz w:val="20"/>
                <w:szCs w:val="20"/>
                <w:color w:val="auto"/>
              </w:rPr>
            </w:pPr>
            <w:r>
              <w:rPr>
                <w:rFonts w:ascii="Arial" w:cs="Arial" w:eastAsia="Arial" w:hAnsi="Arial"/>
                <w:sz w:val="18"/>
                <w:szCs w:val="18"/>
                <w:color w:val="auto"/>
                <w:w w:val="99"/>
              </w:rPr>
              <w:t>With</w:t>
            </w: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904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ind w:left="2460" w:hanging="144"/>
        <w:spacing w:after="0"/>
        <w:tabs>
          <w:tab w:leader="none" w:pos="24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shares</w:t>
      </w:r>
    </w:p>
    <w:p>
      <w:pPr>
        <w:spacing w:after="0" w:line="129" w:lineRule="exact"/>
        <w:rPr>
          <w:rFonts w:ascii="Arial" w:cs="Arial" w:eastAsia="Arial" w:hAnsi="Arial"/>
          <w:sz w:val="18"/>
          <w:szCs w:val="18"/>
          <w:color w:val="auto"/>
        </w:rPr>
      </w:pPr>
    </w:p>
    <w:p>
      <w:pPr>
        <w:ind w:left="540" w:right="5900" w:hanging="445"/>
        <w:spacing w:after="0" w:line="270"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36,850,133 shares</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540" w:hanging="449"/>
        <w:spacing w:after="0"/>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1" w:lineRule="exact"/>
        <w:rPr>
          <w:rFonts w:ascii="Arial" w:cs="Arial" w:eastAsia="Arial" w:hAnsi="Arial"/>
          <w:sz w:val="18"/>
          <w:szCs w:val="18"/>
          <w:color w:val="auto"/>
        </w:rPr>
      </w:pPr>
    </w:p>
    <w:p>
      <w:pPr>
        <w:ind w:left="540" w:hanging="449"/>
        <w:spacing w:after="0"/>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24.0%</w:t>
      </w:r>
      <w:r>
        <w:rPr>
          <w:rFonts w:ascii="Arial" w:cs="Arial" w:eastAsia="Arial" w:hAnsi="Arial"/>
          <w:sz w:val="29"/>
          <w:szCs w:val="29"/>
          <w:color w:val="auto"/>
          <w:vertAlign w:val="superscript"/>
        </w:rPr>
        <w:t>(2)</w:t>
      </w:r>
    </w:p>
    <w:p>
      <w:pPr>
        <w:spacing w:after="0" w:line="45" w:lineRule="exact"/>
        <w:rPr>
          <w:rFonts w:ascii="Arial" w:cs="Arial" w:eastAsia="Arial" w:hAnsi="Arial"/>
          <w:sz w:val="18"/>
          <w:szCs w:val="18"/>
          <w:color w:val="auto"/>
        </w:rPr>
      </w:pPr>
    </w:p>
    <w:p>
      <w:pPr>
        <w:ind w:left="540" w:hanging="449"/>
        <w:spacing w:after="0"/>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91"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reported as of both September 20, 2023 and April 11, 2022.</w:t>
      </w:r>
    </w:p>
    <w:p>
      <w:pPr>
        <w:spacing w:after="0" w:line="23" w:lineRule="exact"/>
        <w:rPr>
          <w:rFonts w:ascii="Arial" w:cs="Arial" w:eastAsia="Arial" w:hAnsi="Arial"/>
          <w:sz w:val="18"/>
          <w:szCs w:val="18"/>
          <w:color w:val="auto"/>
        </w:rPr>
      </w:pPr>
    </w:p>
    <w:p>
      <w:pPr>
        <w:ind w:left="340" w:right="400" w:hanging="332"/>
        <w:spacing w:after="0" w:line="30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 reported as of September 20, 2023, based on 153,427,571 Shares issued and outstanding as of August 4, 2023, as reported on the Issuer’s Quarterly Report on Form 10-Q, dated August 17, 2023. As of April 11, 2022, such amount was 24.3%, based on 151,809,416 Shares issued and outstanding as of April 18, 2022, as reported on the Issuer’s definitive proxy statement on Schedule 14A, dated May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749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749165"/>
                    </a:xfrm>
                    <a:prstGeom prst="rect">
                      <a:avLst/>
                    </a:prstGeom>
                    <a:noFill/>
                  </pic:spPr>
                </pic:pic>
              </a:graphicData>
            </a:graphic>
          </wp:anchor>
        </w:drawing>
      </w:r>
    </w:p>
    <w:p>
      <w:pPr>
        <w:spacing w:after="0" w:line="290" w:lineRule="exact"/>
        <w:rPr>
          <w:sz w:val="20"/>
          <w:szCs w:val="20"/>
          <w:color w:val="auto"/>
        </w:rPr>
      </w:pPr>
    </w:p>
    <w:p>
      <w:pPr>
        <w:ind w:left="540" w:right="8600" w:hanging="417"/>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Chafen Lu</w:t>
      </w:r>
    </w:p>
    <w:p>
      <w:pPr>
        <w:spacing w:after="0" w:line="89" w:lineRule="exact"/>
        <w:rPr>
          <w:rFonts w:ascii="Arial" w:cs="Arial" w:eastAsia="Arial" w:hAnsi="Arial"/>
          <w:sz w:val="18"/>
          <w:szCs w:val="18"/>
          <w:color w:val="auto"/>
        </w:rPr>
      </w:pPr>
    </w:p>
    <w:p>
      <w:pPr>
        <w:ind w:left="540" w:hanging="417"/>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40" w:hanging="417"/>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540" w:hanging="417"/>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40" w:right="8080" w:hanging="417"/>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89"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904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9"/>
        </w:trPr>
        <w:tc>
          <w:tcPr>
            <w:tcW w:w="1260" w:type="dxa"/>
            <w:vAlign w:val="bottom"/>
          </w:tcPr>
          <w:p>
            <w:pPr>
              <w:jc w:val="center"/>
              <w:ind w:right="290"/>
              <w:spacing w:after="0"/>
              <w:rPr>
                <w:sz w:val="20"/>
                <w:szCs w:val="20"/>
                <w:color w:val="auto"/>
              </w:rPr>
            </w:pPr>
            <w:r>
              <w:rPr>
                <w:rFonts w:ascii="Arial" w:cs="Arial" w:eastAsia="Arial" w:hAnsi="Arial"/>
                <w:sz w:val="18"/>
                <w:szCs w:val="18"/>
                <w:color w:val="auto"/>
                <w:w w:val="95"/>
              </w:rPr>
              <w:t>Number of</w:t>
            </w:r>
          </w:p>
        </w:tc>
        <w:tc>
          <w:tcPr>
            <w:tcW w:w="520" w:type="dxa"/>
            <w:vAlign w:val="bottom"/>
          </w:tcPr>
          <w:p>
            <w:pPr>
              <w:spacing w:after="0"/>
              <w:rPr>
                <w:sz w:val="20"/>
                <w:szCs w:val="20"/>
                <w:color w:val="auto"/>
              </w:rPr>
            </w:pPr>
          </w:p>
        </w:tc>
        <w:tc>
          <w:tcPr>
            <w:tcW w:w="9040" w:type="dxa"/>
            <w:vAlign w:val="bottom"/>
          </w:tcPr>
          <w:p>
            <w:pPr>
              <w:ind w:left="120"/>
              <w:spacing w:after="0" w:line="239" w:lineRule="exact"/>
              <w:rPr>
                <w:sz w:val="20"/>
                <w:szCs w:val="20"/>
                <w:color w:val="auto"/>
              </w:rPr>
            </w:pPr>
            <w:r>
              <w:rPr>
                <w:rFonts w:ascii="Arial" w:cs="Arial" w:eastAsia="Arial" w:hAnsi="Arial"/>
                <w:sz w:val="17"/>
                <w:szCs w:val="17"/>
                <w:color w:val="auto"/>
              </w:rPr>
              <w:t>86,418 shares</w:t>
            </w:r>
            <w:r>
              <w:rPr>
                <w:rFonts w:ascii="Arial" w:cs="Arial" w:eastAsia="Arial" w:hAnsi="Arial"/>
                <w:sz w:val="27"/>
                <w:szCs w:val="27"/>
                <w:color w:val="auto"/>
                <w:vertAlign w:val="superscript"/>
              </w:rPr>
              <w:t>(1)</w:t>
            </w:r>
          </w:p>
        </w:tc>
        <w:tc>
          <w:tcPr>
            <w:tcW w:w="0" w:type="dxa"/>
            <w:vAlign w:val="bottom"/>
          </w:tcPr>
          <w:p>
            <w:pPr>
              <w:spacing w:after="0"/>
              <w:rPr>
                <w:sz w:val="1"/>
                <w:szCs w:val="1"/>
                <w:color w:val="auto"/>
              </w:rPr>
            </w:pPr>
          </w:p>
        </w:tc>
      </w:tr>
      <w:tr>
        <w:trPr>
          <w:trHeight w:val="89"/>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84"/>
              </w:rPr>
              <w:t>Shares</w:t>
            </w:r>
          </w:p>
        </w:tc>
        <w:tc>
          <w:tcPr>
            <w:tcW w:w="520" w:type="dxa"/>
            <w:vAlign w:val="bottom"/>
            <w:tcBorders>
              <w:bottom w:val="single" w:sz="8" w:color="auto"/>
            </w:tcBorders>
          </w:tcPr>
          <w:p>
            <w:pPr>
              <w:spacing w:after="0"/>
              <w:rPr>
                <w:sz w:val="7"/>
                <w:szCs w:val="7"/>
                <w:color w:val="auto"/>
              </w:rPr>
            </w:pPr>
          </w:p>
        </w:tc>
        <w:tc>
          <w:tcPr>
            <w:tcW w:w="9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260" w:type="dxa"/>
            <w:vAlign w:val="bottom"/>
            <w:vMerge w:val="continue"/>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8.</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6"/>
              </w:rPr>
              <w:t>Beneficially</w:t>
            </w:r>
          </w:p>
        </w:tc>
        <w:tc>
          <w:tcPr>
            <w:tcW w:w="520" w:type="dxa"/>
            <w:vAlign w:val="bottom"/>
            <w:vMerge w:val="continue"/>
          </w:tcPr>
          <w:p>
            <w:pPr>
              <w:spacing w:after="0"/>
              <w:rPr>
                <w:sz w:val="12"/>
                <w:szCs w:val="12"/>
                <w:color w:val="auto"/>
              </w:rPr>
            </w:pP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63"/>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3"/>
              </w:rPr>
              <w:t>Owned by</w:t>
            </w:r>
          </w:p>
        </w:tc>
        <w:tc>
          <w:tcPr>
            <w:tcW w:w="520" w:type="dxa"/>
            <w:vAlign w:val="bottom"/>
          </w:tcPr>
          <w:p>
            <w:pPr>
              <w:spacing w:after="0"/>
              <w:rPr>
                <w:sz w:val="14"/>
                <w:szCs w:val="14"/>
                <w:color w:val="auto"/>
              </w:rPr>
            </w:pPr>
          </w:p>
        </w:tc>
        <w:tc>
          <w:tcPr>
            <w:tcW w:w="9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260" w:type="dxa"/>
            <w:vAlign w:val="bottom"/>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2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87"/>
              </w:rPr>
              <w:t>Each</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92"/>
              </w:rPr>
              <w:t>9.</w:t>
            </w:r>
          </w:p>
        </w:tc>
        <w:tc>
          <w:tcPr>
            <w:tcW w:w="904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71"/>
        </w:trPr>
        <w:tc>
          <w:tcPr>
            <w:tcW w:w="126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Reporting</w:t>
            </w:r>
          </w:p>
        </w:tc>
        <w:tc>
          <w:tcPr>
            <w:tcW w:w="520" w:type="dxa"/>
            <w:vAlign w:val="bottom"/>
            <w:vMerge w:val="continue"/>
          </w:tcPr>
          <w:p>
            <w:pPr>
              <w:spacing w:after="0"/>
              <w:rPr>
                <w:sz w:val="6"/>
                <w:szCs w:val="6"/>
                <w:color w:val="auto"/>
              </w:rPr>
            </w:pPr>
          </w:p>
        </w:tc>
        <w:tc>
          <w:tcPr>
            <w:tcW w:w="9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2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40" w:type="dxa"/>
            <w:vAlign w:val="bottom"/>
            <w:vMerge w:val="restart"/>
          </w:tcPr>
          <w:p>
            <w:pPr>
              <w:ind w:left="120"/>
              <w:spacing w:after="0" w:line="321" w:lineRule="exact"/>
              <w:rPr>
                <w:sz w:val="20"/>
                <w:szCs w:val="20"/>
                <w:color w:val="auto"/>
              </w:rPr>
            </w:pPr>
            <w:r>
              <w:rPr>
                <w:rFonts w:ascii="Arial" w:cs="Arial" w:eastAsia="Arial" w:hAnsi="Arial"/>
                <w:sz w:val="18"/>
                <w:szCs w:val="18"/>
                <w:color w:val="auto"/>
              </w:rPr>
              <w:t>86,418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76"/>
        </w:trPr>
        <w:tc>
          <w:tcPr>
            <w:tcW w:w="1260" w:type="dxa"/>
            <w:vAlign w:val="bottom"/>
            <w:vMerge w:val="restart"/>
          </w:tcPr>
          <w:p>
            <w:pPr>
              <w:jc w:val="center"/>
              <w:ind w:right="290"/>
              <w:spacing w:after="0" w:line="203" w:lineRule="exact"/>
              <w:rPr>
                <w:sz w:val="20"/>
                <w:szCs w:val="20"/>
                <w:color w:val="auto"/>
              </w:rPr>
            </w:pPr>
            <w:r>
              <w:rPr>
                <w:rFonts w:ascii="Arial" w:cs="Arial" w:eastAsia="Arial" w:hAnsi="Arial"/>
                <w:sz w:val="18"/>
                <w:szCs w:val="18"/>
                <w:color w:val="auto"/>
                <w:w w:val="84"/>
              </w:rPr>
              <w:t>Person</w:t>
            </w:r>
          </w:p>
        </w:tc>
        <w:tc>
          <w:tcPr>
            <w:tcW w:w="520" w:type="dxa"/>
            <w:vAlign w:val="bottom"/>
          </w:tcPr>
          <w:p>
            <w:pPr>
              <w:spacing w:after="0"/>
              <w:rPr>
                <w:sz w:val="15"/>
                <w:szCs w:val="15"/>
                <w:color w:val="auto"/>
              </w:rPr>
            </w:pPr>
          </w:p>
        </w:tc>
        <w:tc>
          <w:tcPr>
            <w:tcW w:w="9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60" w:type="dxa"/>
            <w:vAlign w:val="bottom"/>
            <w:vMerge w:val="continue"/>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ind w:right="290"/>
              <w:spacing w:after="0"/>
              <w:rPr>
                <w:sz w:val="20"/>
                <w:szCs w:val="20"/>
                <w:color w:val="auto"/>
              </w:rPr>
            </w:pPr>
            <w:r>
              <w:rPr>
                <w:rFonts w:ascii="Arial" w:cs="Arial" w:eastAsia="Arial" w:hAnsi="Arial"/>
                <w:sz w:val="18"/>
                <w:szCs w:val="18"/>
                <w:color w:val="auto"/>
                <w:w w:val="99"/>
              </w:rPr>
              <w:t>With</w:t>
            </w: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904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ind w:left="2460" w:hanging="144"/>
        <w:spacing w:after="0"/>
        <w:tabs>
          <w:tab w:leader="none" w:pos="246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shares</w:t>
      </w:r>
    </w:p>
    <w:p>
      <w:pPr>
        <w:spacing w:after="0" w:line="129" w:lineRule="exact"/>
        <w:rPr>
          <w:rFonts w:ascii="Arial" w:cs="Arial" w:eastAsia="Arial" w:hAnsi="Arial"/>
          <w:sz w:val="18"/>
          <w:szCs w:val="18"/>
          <w:color w:val="auto"/>
        </w:rPr>
      </w:pPr>
    </w:p>
    <w:p>
      <w:pPr>
        <w:ind w:left="540" w:right="5900" w:hanging="445"/>
        <w:spacing w:after="0" w:line="270" w:lineRule="auto"/>
        <w:tabs>
          <w:tab w:leader="none" w:pos="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86,418 shares</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540" w:hanging="449"/>
        <w:spacing w:after="0"/>
        <w:tabs>
          <w:tab w:leader="none" w:pos="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41" w:lineRule="exact"/>
        <w:rPr>
          <w:rFonts w:ascii="Arial" w:cs="Arial" w:eastAsia="Arial" w:hAnsi="Arial"/>
          <w:sz w:val="18"/>
          <w:szCs w:val="18"/>
          <w:color w:val="auto"/>
        </w:rPr>
      </w:pPr>
    </w:p>
    <w:p>
      <w:pPr>
        <w:ind w:left="540" w:hanging="449"/>
        <w:spacing w:after="0"/>
        <w:tabs>
          <w:tab w:leader="none" w:pos="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0.1%</w:t>
      </w:r>
      <w:r>
        <w:rPr>
          <w:rFonts w:ascii="Arial" w:cs="Arial" w:eastAsia="Arial" w:hAnsi="Arial"/>
          <w:sz w:val="29"/>
          <w:szCs w:val="29"/>
          <w:color w:val="auto"/>
          <w:vertAlign w:val="superscript"/>
        </w:rPr>
        <w:t>(2)</w:t>
      </w:r>
    </w:p>
    <w:p>
      <w:pPr>
        <w:spacing w:after="0" w:line="45" w:lineRule="exact"/>
        <w:rPr>
          <w:rFonts w:ascii="Arial" w:cs="Arial" w:eastAsia="Arial" w:hAnsi="Arial"/>
          <w:sz w:val="18"/>
          <w:szCs w:val="18"/>
          <w:color w:val="auto"/>
        </w:rPr>
      </w:pPr>
    </w:p>
    <w:p>
      <w:pPr>
        <w:ind w:left="540" w:right="7540" w:hanging="449"/>
        <w:spacing w:after="0" w:line="274" w:lineRule="auto"/>
        <w:tabs>
          <w:tab w:leader="none" w:pos="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54"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reported as of both September 20, 2023 and April 11, 2022.</w:t>
      </w:r>
    </w:p>
    <w:p>
      <w:pPr>
        <w:spacing w:after="0" w:line="23"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Amount reported as of both September 20, 2023 and April 11, 2022, based on 153,427,571 Shares issued and outstanding as of August 4, 2023, as reported on the Issuer’s Quarterly Report on Form 10-Q, dated August 17, 2023, and 151,809,416 Shares issued and outstanding as of April 18, 2022, as reported on the Issuer’s definitive proxy statement on Schedule 14A, dated May 3,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5 of 7 Pages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Amendment No. 10 to the statement on Schedule 13D (this “Statement”) with respect to the shares of common stock, par value $0.0001 per share (the “Shares”), of Selecta Biosciences, Inc., a Delaware corporation (the “Issuer”), originally filed by Timothy A. Springer (“Dr. Springer”), TAS Partners LLC (“TAS”), Chafen Lu (“Dr. Lu” and, collectively with Dr. Springer and TAS, the “Reporting Persons”) and Leukon Investments, LP (“Leukon”) filed on March 27, 2019, as amended by Amendment No. 1 filed on August 23, 2019, Amendment No. 2 filed on September 16, 2019, Amendment No. 3 filed on December 17, 2019, Amendment No. 4 filed on January 2, 2020, Amendment No. 5 filed on October 15, 2020, Amendment No. 6 filed on October 23, 2020, Amendment No. 7 filed on May 27, 2021, Amendment No. 8 filed on December 15, 2021 and Amendment No. 9 filed on December 27, 2021 (such statement and amendments, as further amended herein, the “Schedule 13D”), amends the Schedule 13D as set forth below.</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capitalized terms contained herein but not otherwise defined shall have the meanings ascribed to such terms in the Schedule 13D. Except as specifically amended by this Amendment No. 10, items in the Schedule 13D are unchanged.</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to be supplemented by the following:</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On April 11, 2022, as part of an underwritten offering by the Issuer, TAS purchased 6,681,600 Shares and warrants to purchase 5,011,200 Shares (at an exercise price of $1.55 per share), for an aggregate purchase price of approximately $9.4 million. TAS drew from its investment capital for such acquisition.</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June 27, 2022, warrants held by Dr. Springer to purchase 79,130 Shares expired. Such warrants were originally issued to Dr. Springer pursuant the securities purchase agreement dated June 27, 2017.</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Dr. Springer is the owner of options to purchase 201,410 Shares, of which 6,410 were granted on June 16, 2017 with an exercise price of $17.47 per share, 10,000 were granted on June 15, 2018 with an exercise price of $12.75 per share, 10,000 were granted on June 14, 2019 with an exercise price of $2.10 per share, 20,000 were granted on June 19, 2020 with an exercise price of $3.00 per share, 40,000 were granted on March 30, 2021 with an exercise price of $4.01 per share, 40,000 were granted on January 3, 2022 with an exercise price of $3.31 per share and 75,000 were granted on January 2, 2023 with an exercise price of $1.13 per share (collectively, the “Options”), 126,410 of which were fully exercisable as of September 20, 2023. The Options were awarded as compensation for Dr. Springer’s service as a member of the board of directors for the Issuer and Dr. Springer paid no consideration for the Options. The Options each have a term of ten years from the respective date of grant. Dr. Springer has not exercised any portion of any of the Options as of the date hereof.</w:t>
      </w:r>
    </w:p>
    <w:p>
      <w:pPr>
        <w:spacing w:after="0" w:line="19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of Schedule 13D is hereby amended and restated in full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3 and the cover page of the Schedule 13D is incorporated herein by reference into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6 of 7 Pages</w:t>
      </w:r>
    </w:p>
    <w:p>
      <w:pPr>
        <w:spacing w:after="0" w:line="229" w:lineRule="exact"/>
        <w:rPr>
          <w:sz w:val="20"/>
          <w:szCs w:val="20"/>
          <w:color w:val="auto"/>
        </w:rPr>
      </w:pPr>
    </w:p>
    <w:p>
      <w:pPr>
        <w:ind w:right="60" w:firstLine="8"/>
        <w:spacing w:after="0" w:line="257"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percentages of beneficial ownership reported in this Item 5, and on each Reporting Person’s cover page to this Statement, are based on a total of either (i) 153,427,571 Shares issued and outstanding as of August 4, 2023, as reported on the Issuer’s Quarterly Report on Form 10-Q, dated August 17, 2023, or (ii) 151,809,416 Shares issued and outstanding as of April 18, 2022, as reported on the Issuer’s definitive proxy statement on Schedule 14A, dated May 3, 2022, as indicated. All of the Share numbers reported below, and on each Reporting Person’s cover page to this Statement, are as of September 20, 2023 or April 11, 2022, as indicated.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as of September 20,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in the aggregate, beneficially own 44,356,586 Shares, representing approximately 28.9% of such class of securities.</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Dr. Springer is the beneficial owner of a total of 44,356,586 Shares, representing approximately 28.9% of the outstanding Shares and consisting of (i) 7,293,625 Shares held directly, (ii) 126,410 Shares issuable upon exercise of outstanding options within 60 days of September 20, 2023 and held directly,</w:t>
      </w:r>
    </w:p>
    <w:p>
      <w:pPr>
        <w:ind w:right="300" w:firstLine="8"/>
        <w:spacing w:after="0" w:line="260"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29,868,490 Shares held by TAS, (iv) 6,981,643 Shares underlying warrants exercisable within 60 days of September 20, 2023 held by TAS, and (v) 86,418 Shares held by Dr. Lu.</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TAS is the beneficial owner of a total of 36,850,133 Shares, representing approximately 24.0% of the outstanding Shares and consisting of (i) 29,868,490 Shares and (ii) 6,981,643 Shares underlying warrants exercisable within 60 days of September 20, 2023. TAS holds all such Shares directly. Dr. Springer is the sole managing member of TAS.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Dr. Lu is the beneficial owner of a total of 86,418 Shares, representing approximately 0.1% of the outstanding Shares. Dr. Lu holds all such Shares directly.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Dr. Lu is the spouse of Dr. Springer.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as of April 11, 2022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Reporting Persons, in the aggregate, beneficially owned 44,395,716 Shares, representing approximately 29.2% of such class of securities.</w:t>
      </w:r>
    </w:p>
    <w:p>
      <w:pPr>
        <w:spacing w:after="0" w:line="23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Dr. Springer was the beneficial owner of a total of 44,395,716 Shares, representing approximately 29.2% of the outstanding Shares and consisting of (i) 7,293,625 Shares held directly, (ii) 79,130 Shares underlying warrants exercisable within 60 days of April 11, 2022 and held directly, (iii) 86,410 Shares issuable upon exercise of outstanding options within 60 days of April 11, 2022 and held directly, (iv) 29,868,490 Shares held by TAS, (v) 6,981,643 Shares underlying warrants exercisable within 60 days of April 11, 2022 held by TAS, and (vi) 86,418 Shares held by Dr. Lu.</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TAS was the beneficial owner of a total of 36,850,133 Shares, representing approximately 24.3% of the outstanding Shares and consisting of (i) 29,868,490 Shares and (ii) 6,981,643 Shares underlying warrants exercisable within 60 days of April 11, 2022. TAS holds all such Shares directly. Dr. Springer is the sole managing member of TAS.</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Dr. Lu was the beneficial owner of a total of 86,418 Shares, representing approximately 0.1% of the outstanding Shares. Dr. Lu holds all such Shares directly. Dr. Lu is the spouse of Dr. Springer.</w:t>
      </w:r>
    </w:p>
    <w:p>
      <w:pPr>
        <w:spacing w:after="0" w:line="170" w:lineRule="exact"/>
        <w:rPr>
          <w:sz w:val="20"/>
          <w:szCs w:val="20"/>
          <w:color w:val="auto"/>
        </w:rPr>
      </w:pPr>
    </w:p>
    <w:p>
      <w:pPr>
        <w:ind w:right="240" w:firstLine="8"/>
        <w:spacing w:after="0" w:line="263"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83" w:lineRule="exact"/>
        <w:rPr>
          <w:rFonts w:ascii="Arial" w:cs="Arial" w:eastAsia="Arial" w:hAnsi="Arial"/>
          <w:sz w:val="18"/>
          <w:szCs w:val="18"/>
          <w:color w:val="auto"/>
        </w:rPr>
      </w:pPr>
    </w:p>
    <w:p>
      <w:pPr>
        <w:ind w:right="560" w:firstLine="8"/>
        <w:spacing w:after="0" w:line="277"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Reporting Persons have not engaged in any transactions with respect to the Shares during the 60 days before the date of this filing, except as described herein and in Item 3 of Schedule 13D.</w:t>
      </w:r>
    </w:p>
    <w:p>
      <w:pPr>
        <w:spacing w:after="0" w:line="170" w:lineRule="exact"/>
        <w:rPr>
          <w:rFonts w:ascii="Arial" w:cs="Arial" w:eastAsia="Arial" w:hAnsi="Arial"/>
          <w:sz w:val="18"/>
          <w:szCs w:val="18"/>
          <w:color w:val="auto"/>
        </w:rPr>
      </w:pPr>
    </w:p>
    <w:p>
      <w:pPr>
        <w:ind w:right="24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7 of 7 Pages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25, 2023</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Chafen Lu</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ind w:left="67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 Springer</w:t>
            </w:r>
          </w:p>
        </w:tc>
      </w:tr>
      <w:tr>
        <w:trPr>
          <w:trHeight w:val="202"/>
        </w:trPr>
        <w:tc>
          <w:tcPr>
            <w:tcW w:w="7320" w:type="dxa"/>
            <w:vAlign w:val="bottom"/>
          </w:tcPr>
          <w:p>
            <w:pPr>
              <w:ind w:left="67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Timothy A. Springer</w:t>
            </w:r>
          </w:p>
        </w:tc>
      </w:tr>
      <w:tr>
        <w:trPr>
          <w:trHeight w:val="230"/>
        </w:trPr>
        <w:tc>
          <w:tcPr>
            <w:tcW w:w="7320" w:type="dxa"/>
            <w:vAlign w:val="bottom"/>
          </w:tcPr>
          <w:p>
            <w:pPr>
              <w:ind w:left="67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w:t>
            </w:r>
          </w:p>
        </w:tc>
      </w:tr>
      <w:tr>
        <w:trPr>
          <w:trHeight w:val="655"/>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lvl w:ilvl="1">
      <w:lvlJc w:val="left"/>
      <w:lvlText w:val="%2."/>
      <w:numFmt w:val="decimal"/>
      <w:start w:val="10"/>
    </w:lvl>
    <w:lvl w:ilvl="2">
      <w:lvlJc w:val="left"/>
      <w:lvlText w:val="0"/>
      <w:numFmt w:val="bullet"/>
      <w:start w:val="1"/>
    </w:lvl>
  </w:abstractNum>
  <w:abstractNum w:abstractNumId="3">
    <w:nsid w:val="515F007C"/>
    <w:multiLevelType w:val="hybridMultilevel"/>
    <w:lvl w:ilvl="0">
      <w:lvlJc w:val="left"/>
      <w:lvlText w:val="(%1)"/>
      <w:numFmt w:val="decimal"/>
      <w:start w:val="1"/>
    </w:lvl>
    <w:lvl w:ilvl="1">
      <w:lvlJc w:val="left"/>
      <w:lvlText w:val="%2"/>
      <w:numFmt w:val="decimal"/>
      <w:start w:val="1"/>
    </w:lvl>
    <w:lvl w:ilvl="2">
      <w:lvlJc w:val="left"/>
      <w:lvlText w:val="0"/>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lvl w:ilvl="1">
      <w:lvlJc w:val="left"/>
      <w:lvlText w:val="%2."/>
      <w:numFmt w:val="decimal"/>
      <w:start w:val="10"/>
    </w:lvl>
    <w:lvl w:ilvl="2">
      <w:lvlJc w:val="left"/>
      <w:lvlText w:val="0"/>
      <w:numFmt w:val="bullet"/>
      <w:start w:val="1"/>
    </w:lvl>
  </w:abstractNum>
  <w:abstractNum w:abstractNumId="6">
    <w:nsid w:val="4DB127F8"/>
    <w:multiLevelType w:val="hybridMultilevel"/>
    <w:lvl w:ilvl="0">
      <w:lvlJc w:val="left"/>
      <w:lvlText w:val="(%1)"/>
      <w:numFmt w:val="decimal"/>
      <w:start w:val="1"/>
    </w:lvl>
    <w:lvl w:ilvl="1">
      <w:lvlJc w:val="left"/>
      <w:lvlText w:val="%2"/>
      <w:numFmt w:val="decimal"/>
      <w:start w:val="1"/>
    </w:lvl>
    <w:lvl w:ilvl="2">
      <w:lvlJc w:val="left"/>
      <w:lvlText w:val="0"/>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lvl w:ilvl="1">
      <w:lvlJc w:val="left"/>
      <w:lvlText w:val="%2."/>
      <w:numFmt w:val="decimal"/>
      <w:start w:val="10"/>
    </w:lvl>
    <w:lvl w:ilvl="2">
      <w:lvlJc w:val="left"/>
      <w:lvlText w:val="0"/>
      <w:numFmt w:val="bullet"/>
      <w:start w:val="1"/>
    </w:lvl>
  </w:abstractNum>
  <w:abstractNum w:abstractNumId="9">
    <w:nsid w:val="1190CDE7"/>
    <w:multiLevelType w:val="hybridMultilevel"/>
    <w:lvl w:ilvl="0">
      <w:lvlJc w:val="left"/>
      <w:lvlText w:val="(%1)"/>
      <w:numFmt w:val="decimal"/>
      <w:start w:val="1"/>
    </w:lvl>
    <w:lvl w:ilvl="1">
      <w:lvlJc w:val="left"/>
      <w:lvlText w:val="%2"/>
      <w:numFmt w:val="decimal"/>
      <w:start w:val="1"/>
    </w:lvl>
    <w:lvl w:ilvl="2">
      <w:lvlJc w:val="left"/>
      <w:lvlText w:val="0"/>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2023-09-25T05:20:13Z</dcterms:created>
  <dcterms:modified xsi:type="dcterms:W3CDTF">2023-09-25T05:20:13Z</dcterms:modified>
</cp:coreProperties>
</file>