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On March 21, 2022, Selecta Biosciences, Inc. (the “Company”) entered into a Second Amendment to Loan and Security Agreement (the “Second Amendment”),which amended that certain Loan and Security Agreement, dated August 31, 2020, between the Company, Oxford Finance LLC, as collateral agent and as a lender, and Silicon Valley Bank, as a lender (as amended by that certain First Amendment to Loan and Security Agreement, dated September 7, 2021, and as further amended by the Second Amendment, the “Loan Agreement”).</w:t>
      </w:r>
    </w:p>
    <w:p>
      <w:pPr>
        <w:spacing w:after="0" w:line="6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Second Amendment, among other things, extends the date on which amortization payments in respect of the term loan borrowed under the Loan Agreement (the “Term Loan”) will commence by twelve months to April 1, 2023. Thereafter, amortization payments will be paid monthly in equal installments of principal and interest to fully amortize the outstanding principal over the remaining term of the Term Loan, subject to recalculation upon a change in the prime rate.</w:t>
      </w:r>
    </w:p>
    <w:p>
      <w:pPr>
        <w:spacing w:after="0" w:line="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foregoing description of the Second Amendment is a summary, and is qualified in its entirety by reference to the Second Amendment which is filed herewith as Exhibit 10.1, and is incorporated herein by reference.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regarding the Term Loan set forth under Item 1.01 of this Current Report on Form 8-K is incorporated by reference in this Item 2.03.</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believes that its current cash, cash equivalents, and restricted cash as of the date of this filing will enable it to fund its current planned operations into the fourth quarter of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420" w:type="dxa"/>
            <w:vAlign w:val="bottom"/>
            <w:gridSpan w:val="3"/>
            <w:vMerge w:val="restart"/>
          </w:tcPr>
          <w:p>
            <w:pPr>
              <w:ind w:left="410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20" w:type="dxa"/>
            <w:vAlign w:val="bottom"/>
            <w:tcBorders>
              <w:bottom w:val="single" w:sz="8" w:color="auto"/>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240" w:type="dxa"/>
            <w:vAlign w:val="bottom"/>
            <w:gridSpan w:val="3"/>
          </w:tcPr>
          <w:p>
            <w:pPr>
              <w:jc w:val="center"/>
              <w:ind w:right="440"/>
              <w:spacing w:after="0"/>
              <w:rPr>
                <w:rFonts w:ascii="Arial" w:cs="Arial" w:eastAsia="Arial" w:hAnsi="Arial"/>
                <w:sz w:val="18"/>
                <w:szCs w:val="18"/>
                <w:color w:val="0000FF"/>
              </w:rPr>
            </w:pPr>
            <w:hyperlink w:anchor="page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Second Amendment to Loan and Security Agreement, dated March 21, 2022, between Selecta Biosciences, Inc., Oxford Finance</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LLC, as Collateral Agent and as a lender, and Silicon Valley Bank, as a lender.</w:t>
              </w:r>
            </w:hyperlink>
          </w:p>
        </w:tc>
        <w:tc>
          <w:tcPr>
            <w:tcW w:w="3600" w:type="dxa"/>
            <w:vAlign w:val="bottom"/>
            <w:tcBorders>
              <w:top w:val="single" w:sz="8" w:color="0000FF"/>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SELECTA BIOSCIENCES, INC.</w:t>
            </w:r>
          </w:p>
        </w:tc>
      </w:tr>
      <w:tr>
        <w:trPr>
          <w:trHeight w:val="688"/>
        </w:trPr>
        <w:tc>
          <w:tcPr>
            <w:tcW w:w="3520" w:type="dxa"/>
            <w:vAlign w:val="bottom"/>
          </w:tcPr>
          <w:p>
            <w:pPr>
              <w:spacing w:after="0"/>
              <w:rPr>
                <w:sz w:val="20"/>
                <w:szCs w:val="20"/>
                <w:color w:val="auto"/>
              </w:rPr>
            </w:pPr>
            <w:r>
              <w:rPr>
                <w:rFonts w:ascii="Arial" w:cs="Arial" w:eastAsia="Arial" w:hAnsi="Arial"/>
                <w:sz w:val="18"/>
                <w:szCs w:val="18"/>
                <w:color w:val="auto"/>
              </w:rPr>
              <w:t>Date: March 22, 2022</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76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LOAN AND SECURITY AGREEMENT</w:t>
      </w:r>
    </w:p>
    <w:p>
      <w:pPr>
        <w:spacing w:after="0" w:line="18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THIS SECOND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March 21, 2022, by and among OXFORD FINANCE LLC, a Delaware limited liability company with an office located at 115 South Union Street, Suite 300, Alexandria, Virginia 22314 (“</w:t>
      </w:r>
      <w:r>
        <w:rPr>
          <w:rFonts w:ascii="Arial" w:cs="Arial" w:eastAsia="Arial" w:hAnsi="Arial"/>
          <w:sz w:val="17"/>
          <w:szCs w:val="17"/>
          <w:b w:val="1"/>
          <w:bCs w:val="1"/>
          <w:color w:val="auto"/>
        </w:rPr>
        <w:t>Oxford</w:t>
      </w:r>
      <w:r>
        <w:rPr>
          <w:rFonts w:ascii="Arial" w:cs="Arial" w:eastAsia="Arial" w:hAnsi="Arial"/>
          <w:sz w:val="17"/>
          <w:szCs w:val="17"/>
          <w:color w:val="auto"/>
        </w:rPr>
        <w:t>”), as collateral 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the Lenders listed on Schedule 1.1 to the Loan Agreement (as defined below) or otherwise a party thereto from time to time including Oxford in its capacity as a Lender and SILICON VALLEY BANK, a California corporation with an office located at 3003 Tasman Drive, Santa Clara, CA 95054 (“</w:t>
      </w:r>
      <w:r>
        <w:rPr>
          <w:rFonts w:ascii="Arial" w:cs="Arial" w:eastAsia="Arial" w:hAnsi="Arial"/>
          <w:sz w:val="17"/>
          <w:szCs w:val="17"/>
          <w:b w:val="1"/>
          <w:bCs w:val="1"/>
          <w:color w:val="auto"/>
        </w:rPr>
        <w:t>Bank</w:t>
      </w:r>
      <w:r>
        <w:rPr>
          <w:rFonts w:ascii="Arial" w:cs="Arial" w:eastAsia="Arial" w:hAnsi="Arial"/>
          <w:sz w:val="17"/>
          <w:szCs w:val="17"/>
          <w:color w:val="auto"/>
        </w:rPr>
        <w:t>” or “</w:t>
      </w:r>
      <w:r>
        <w:rPr>
          <w:rFonts w:ascii="Arial" w:cs="Arial" w:eastAsia="Arial" w:hAnsi="Arial"/>
          <w:sz w:val="17"/>
          <w:szCs w:val="17"/>
          <w:b w:val="1"/>
          <w:bCs w:val="1"/>
          <w:color w:val="auto"/>
        </w:rPr>
        <w:t>SVB</w:t>
      </w:r>
      <w:r>
        <w:rPr>
          <w:rFonts w:ascii="Arial" w:cs="Arial" w:eastAsia="Arial" w:hAnsi="Arial"/>
          <w:sz w:val="17"/>
          <w:szCs w:val="17"/>
          <w:color w:val="auto"/>
        </w:rPr>
        <w:t>”)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SELECTA BIOSCIENCES, INC., a Delaware corporation with offices located at 65 Grove Street, Suite 101, Watertown, MA 02472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64" w:lineRule="exact"/>
        <w:rPr>
          <w:sz w:val="20"/>
          <w:szCs w:val="20"/>
          <w:color w:val="auto"/>
        </w:rPr>
      </w:pPr>
    </w:p>
    <w:p>
      <w:pPr>
        <w:jc w:val="both"/>
        <w:ind w:firstLine="656"/>
        <w:spacing w:after="0" w:line="219" w:lineRule="auto"/>
        <w:tabs>
          <w:tab w:leader="none" w:pos="1063"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WHEREAS, Collateral Agent, Borrower and Lenders have entered into that certain Loan and Security Agreement dated as of August 31, 2020 (as amended by that certain First Amendment to Loan and Security Agreement dated as of September 7, 2021 and as further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 and</w:t>
      </w:r>
    </w:p>
    <w:p>
      <w:pPr>
        <w:spacing w:after="0" w:line="162" w:lineRule="exact"/>
        <w:rPr>
          <w:rFonts w:ascii="Arial" w:cs="Arial" w:eastAsia="Arial" w:hAnsi="Arial"/>
          <w:sz w:val="18"/>
          <w:szCs w:val="18"/>
          <w:color w:val="auto"/>
        </w:rPr>
      </w:pPr>
    </w:p>
    <w:p>
      <w:pPr>
        <w:ind w:firstLine="656"/>
        <w:spacing w:after="0" w:line="235" w:lineRule="auto"/>
        <w:tabs>
          <w:tab w:leader="none" w:pos="99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WHEREAS, Borrower has requested that Collateral Agent and Lenders (i) modify the Amortization Date and (ii) make certain other revisions to the Loan Agreement as more fully set forth herein; and</w:t>
      </w:r>
    </w:p>
    <w:p>
      <w:pPr>
        <w:spacing w:after="0" w:line="161" w:lineRule="exact"/>
        <w:rPr>
          <w:rFonts w:ascii="Arial" w:cs="Arial" w:eastAsia="Arial" w:hAnsi="Arial"/>
          <w:sz w:val="18"/>
          <w:szCs w:val="18"/>
          <w:color w:val="auto"/>
        </w:rPr>
      </w:pPr>
    </w:p>
    <w:p>
      <w:pPr>
        <w:ind w:firstLine="656"/>
        <w:spacing w:after="0" w:line="235" w:lineRule="auto"/>
        <w:tabs>
          <w:tab w:leader="none" w:pos="1082"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WHEREAS, Borrower, the Lenders party to this Amendment (constituting the Required Lenders) and Collateral Agent desire to amend certain provisions of the Loan Agreement as provided herein and subject to the terms and conditions set forth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89"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14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but not defined in this Amendment shall have the meanings given to them in the Loan Agreement.</w:t>
      </w:r>
    </w:p>
    <w:p>
      <w:pPr>
        <w:spacing w:after="0" w:line="184" w:lineRule="exact"/>
        <w:rPr>
          <w:rFonts w:ascii="Arial" w:cs="Arial" w:eastAsia="Arial" w:hAnsi="Arial"/>
          <w:sz w:val="18"/>
          <w:szCs w:val="18"/>
          <w:b w:val="1"/>
          <w:bCs w:val="1"/>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2.1 Section 2.2(b) (Repayment)</w:t>
      </w:r>
      <w:r>
        <w:rPr>
          <w:rFonts w:ascii="Arial" w:cs="Arial" w:eastAsia="Arial" w:hAnsi="Arial"/>
          <w:sz w:val="18"/>
          <w:szCs w:val="18"/>
          <w:color w:val="auto"/>
        </w:rPr>
        <w:t>. Section 2.2(b) of the Loan Agreement is hereby amended by replacing Section 2.2(b) in its entirety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commencing on the first (1st)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twenty-nine</w:t>
      </w:r>
    </w:p>
    <w:p>
      <w:pPr>
        <w:spacing w:after="0" w:line="5" w:lineRule="exact"/>
        <w:rPr>
          <w:sz w:val="20"/>
          <w:szCs w:val="20"/>
          <w:color w:val="auto"/>
        </w:rPr>
      </w:pPr>
    </w:p>
    <w:p>
      <w:pPr>
        <w:ind w:right="20" w:firstLine="8"/>
        <w:spacing w:after="0" w:line="228" w:lineRule="auto"/>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months commencing on the Amortization Date. All unpaid principal and accrued and unpaid interest with respect to each Term Loan is due and payable in full on the Maturity Date. Each Term Loan may only be prepaid in accordance with Sections 2.2(c) and 2.2(d).</w:t>
      </w:r>
      <w:r>
        <w:rPr>
          <w:rFonts w:ascii="Arial" w:cs="Arial" w:eastAsia="Arial" w:hAnsi="Arial"/>
          <w:sz w:val="21"/>
          <w:szCs w:val="21"/>
          <w:color w:val="auto"/>
        </w:rPr>
        <w:t>”</w:t>
      </w:r>
    </w:p>
    <w:p>
      <w:pPr>
        <w:spacing w:after="0" w:line="18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Section 2.5(f) (Fees)</w:t>
      </w:r>
      <w:r>
        <w:rPr>
          <w:rFonts w:ascii="Arial" w:cs="Arial" w:eastAsia="Arial" w:hAnsi="Arial"/>
          <w:sz w:val="16"/>
          <w:szCs w:val="16"/>
          <w:color w:val="auto"/>
        </w:rPr>
        <w:t>. Section 2.5 of the Loan Agreement is hereby amended by inserting the following new Section 2.5(f):</w:t>
      </w:r>
    </w:p>
    <w:p>
      <w:pPr>
        <w:spacing w:after="0" w:line="189"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Second Amendment Fee</w:t>
      </w:r>
      <w:r>
        <w:rPr>
          <w:rFonts w:ascii="Arial" w:cs="Arial" w:eastAsia="Arial" w:hAnsi="Arial"/>
          <w:sz w:val="17"/>
          <w:szCs w:val="17"/>
          <w:color w:val="auto"/>
        </w:rPr>
        <w:t>. A fully-earned, non-refundable amendment fee of One Hundred Ten Thousand Dollars ($110,000.00) to be shared between the Lenders pursuant to their Pro Rata Shares, which shall be due and payable on the Second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8" w:right="339" w:bottom="1440" w:gutter="0" w:footer="0" w:header="0"/>
        </w:sectPr>
      </w:pPr>
    </w:p>
    <w:bookmarkStart w:id="4" w:name="page5"/>
    <w:bookmarkEnd w:id="4"/>
    <w:p>
      <w:pPr>
        <w:jc w:val="both"/>
        <w:ind w:firstLine="648"/>
        <w:spacing w:after="0" w:line="237" w:lineRule="auto"/>
        <w:rPr>
          <w:sz w:val="20"/>
          <w:szCs w:val="20"/>
          <w:color w:val="auto"/>
        </w:rPr>
      </w:pPr>
      <w:r>
        <w:rPr>
          <w:rFonts w:ascii="Arial" w:cs="Arial" w:eastAsia="Arial" w:hAnsi="Arial"/>
          <w:sz w:val="18"/>
          <w:szCs w:val="18"/>
          <w:b w:val="1"/>
          <w:bCs w:val="1"/>
          <w:color w:val="auto"/>
        </w:rPr>
        <w:t>2.3 Section 13.1 (Definitions)</w:t>
      </w:r>
      <w:r>
        <w:rPr>
          <w:rFonts w:ascii="Arial" w:cs="Arial" w:eastAsia="Arial" w:hAnsi="Arial"/>
          <w:sz w:val="18"/>
          <w:szCs w:val="18"/>
          <w:color w:val="auto"/>
        </w:rPr>
        <w:t>. The following terms and their respective definitions hereby are added or amended and restated in their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to Section 13.1 of the Loan Agreement as follows: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April 1, 2023.</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means March 21, 2022.</w:t>
      </w:r>
    </w:p>
    <w:p>
      <w:pPr>
        <w:spacing w:after="0" w:line="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Limitation of Amendment.</w:t>
      </w:r>
    </w:p>
    <w:p>
      <w:pPr>
        <w:spacing w:after="0" w:line="18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above are effective for the purposes set forth herein and shall be limited precisely as written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color w:val="auto"/>
        </w:rPr>
        <w:t>This Amendment shall be construed in connection with and as part of the Loan Documents and all terms, conditions,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covenants and agreements set forth in the Loan Documents are hereby ratified and confirmed and shall remain in full force and effect.</w:t>
      </w:r>
    </w:p>
    <w:p>
      <w:pPr>
        <w:spacing w:after="0" w:line="139" w:lineRule="exact"/>
        <w:rPr>
          <w:sz w:val="20"/>
          <w:szCs w:val="20"/>
          <w:color w:val="auto"/>
        </w:rPr>
      </w:pPr>
    </w:p>
    <w:p>
      <w:pPr>
        <w:ind w:right="20" w:firstLine="8"/>
        <w:spacing w:after="0" w:line="237"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To induce Collateral Agent and Lenders to enter into this Amendment, Borrower hereby represents and warrants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Lenders as follows:</w:t>
      </w:r>
    </w:p>
    <w:p>
      <w:pPr>
        <w:spacing w:after="0" w:line="15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are true,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5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due authority to execute and deliver this Amendment and to perform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w:t>
      </w:r>
    </w:p>
    <w:p>
      <w:pPr>
        <w:spacing w:after="0" w:line="15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organizational documents of Borrower delivered to Collateral Agent on the Effective Date, and updated pursuant to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deliveries by or on behalf of the Borrower to the Collateral Agent, remain true, accurate and complete and have not been amended, supplemented or restated and are and continue to be in full force and effect;</w:t>
      </w:r>
    </w:p>
    <w:p>
      <w:pPr>
        <w:spacing w:after="0" w:line="15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do not contravene (i) any material law or regulation binding on or affecting Borrower, (ii) any material contractual restriction with a Person binding on Borrower, (iii) any material order, judgment or decree of any court or other governmental or public body or authority, or subdivision thereof, binding on Borrower, or (iv) the organizational documents of Borrower;</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The execution and delivery by Borrower of this Amendment and the performance by Borrower of its obligations under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spacing w:after="0" w:line="14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Release by Borrower</w:t>
      </w:r>
      <w:r>
        <w:rPr>
          <w:rFonts w:ascii="Arial" w:cs="Arial" w:eastAsia="Arial" w:hAnsi="Arial"/>
          <w:sz w:val="16"/>
          <w:szCs w:val="16"/>
          <w:color w:val="auto"/>
        </w:rPr>
        <w:t>.</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7"/>
          <w:szCs w:val="17"/>
          <w:b w:val="1"/>
          <w:bCs w:val="1"/>
          <w:color w:val="auto"/>
        </w:rPr>
        <w:t>5.1 FOR GOOD AND VALUABLE CONSIDERATION</w:t>
      </w:r>
      <w:r>
        <w:rPr>
          <w:rFonts w:ascii="Arial" w:cs="Arial" w:eastAsia="Arial" w:hAnsi="Arial"/>
          <w:sz w:val="17"/>
          <w:szCs w:val="17"/>
          <w:color w:val="auto"/>
        </w:rPr>
        <w:t>, Borrower hereby forever relieves, releases, and discharges Collateral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Arial" w:cs="Arial" w:eastAsia="Arial" w:hAnsi="Arial"/>
          <w:sz w:val="17"/>
          <w:szCs w:val="17"/>
          <w:b w:val="1"/>
          <w:bCs w:val="1"/>
          <w:color w:val="auto"/>
        </w:rPr>
        <w:t>Released Claims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23" w:right="339" w:bottom="1440" w:gutter="0" w:footer="0" w:header="0"/>
        </w:sectPr>
      </w:pPr>
    </w:p>
    <w:bookmarkStart w:id="5" w:name="page6"/>
    <w:bookmarkEnd w:id="5"/>
    <w:p>
      <w:pPr>
        <w:ind w:right="20" w:firstLine="648"/>
        <w:spacing w:after="0" w:line="237"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In furtherance of this release, Borrower expressly acknowledges and waives the provisions of California Civil Code Section 1542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provision under the laws of any state), which states:</w:t>
      </w:r>
    </w:p>
    <w:p>
      <w:pPr>
        <w:spacing w:after="0" w:line="162" w:lineRule="exact"/>
        <w:rPr>
          <w:sz w:val="20"/>
          <w:szCs w:val="20"/>
          <w:color w:val="auto"/>
        </w:rPr>
      </w:pPr>
    </w:p>
    <w:p>
      <w:pPr>
        <w:jc w:val="both"/>
        <w:ind w:left="660" w:right="660"/>
        <w:spacing w:after="0" w:line="219"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color w:val="auto"/>
        </w:rPr>
        <w:t>By entering into this release, Borrower recognizes that no facts or representations are ever absolutely certain and it may hereafter discover</w:t>
      </w:r>
      <w:r>
        <w:rPr>
          <w:rFonts w:ascii="Arial" w:cs="Arial" w:eastAsia="Arial" w:hAnsi="Arial"/>
          <w:sz w:val="16"/>
          <w:szCs w:val="16"/>
          <w:b w:val="1"/>
          <w:bCs w:val="1"/>
          <w:color w:val="auto"/>
        </w:rPr>
        <w:t xml:space="preserve"> </w:t>
      </w:r>
      <w:r>
        <w:rPr>
          <w:rFonts w:ascii="Arial" w:cs="Arial" w:eastAsia="Arial" w:hAnsi="Arial"/>
          <w:sz w:val="16"/>
          <w:szCs w:val="16"/>
          <w:color w:val="auto"/>
        </w:rPr>
        <w:t>facts in addition to or different from those which it presently knows or believes to be true, but that it is the intention of Borrower hereby to fully, finally and forever settle and release all matters, disputes and differences, known or unknown, suspected or unsuspected in relation to the Released Claims;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Bank with respect to the facts underlying this release or with regard to any of such party’s rights or asserted rights.</w:t>
      </w:r>
    </w:p>
    <w:p>
      <w:pPr>
        <w:spacing w:after="0" w:line="16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color w:val="auto"/>
        </w:rPr>
        <w:t>This release may be pleaded as a full and complete defense and/or as a cross-complaint or counterclaim against any action, suit,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that may be instituted, prosecuted or attempted in breach of this release. Borrower acknowledges that the release contained herein constitutes a material inducement to Collateral Agent and the Lenders to enter into this Amendment, and that Collateral Agent and the Lenders would not have done so but for Collateral Agent’s and the Lenders’ expectation that such release is valid and enforceable in all events.</w:t>
      </w:r>
    </w:p>
    <w:p>
      <w:pPr>
        <w:spacing w:after="0" w:line="159" w:lineRule="exact"/>
        <w:rPr>
          <w:sz w:val="20"/>
          <w:szCs w:val="20"/>
          <w:color w:val="auto"/>
        </w:rPr>
      </w:pPr>
    </w:p>
    <w:p>
      <w:pPr>
        <w:jc w:val="both"/>
        <w:ind w:firstLine="8"/>
        <w:spacing w:after="0" w:line="226" w:lineRule="auto"/>
        <w:tabs>
          <w:tab w:leader="none" w:pos="34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as of the date hereof upon (a) the due execution of this Amendment by the parties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(b) the receipt by the Lenders of an amendment fee in the amount of One Hundred Ten Thousand Dollars ($110,000.00) in accordance with Section 2.5(f) of the Loan Agreement, as amended by this Amendment.</w:t>
      </w:r>
    </w:p>
    <w:p>
      <w:pPr>
        <w:spacing w:after="0" w:line="157" w:lineRule="exact"/>
        <w:rPr>
          <w:rFonts w:ascii="Arial" w:cs="Arial" w:eastAsia="Arial" w:hAnsi="Arial"/>
          <w:sz w:val="18"/>
          <w:szCs w:val="18"/>
          <w:b w:val="1"/>
          <w:bCs w:val="1"/>
          <w:color w:val="auto"/>
        </w:rPr>
      </w:pPr>
    </w:p>
    <w:p>
      <w:pPr>
        <w:jc w:val="both"/>
        <w:ind w:firstLine="8"/>
        <w:spacing w:after="0" w:line="226" w:lineRule="auto"/>
        <w:tabs>
          <w:tab w:leader="none" w:pos="34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each of which shall be deemed an original, and all of which,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Delivery by electronic transmission (e.g. “.pdf”) of an executed counterpart of this Amendment shall be effective as a manually executed counterpart signature thereof.</w:t>
      </w:r>
    </w:p>
    <w:p>
      <w:pPr>
        <w:spacing w:after="0" w:line="157" w:lineRule="exact"/>
        <w:rPr>
          <w:rFonts w:ascii="Arial" w:cs="Arial" w:eastAsia="Arial" w:hAnsi="Arial"/>
          <w:sz w:val="18"/>
          <w:szCs w:val="18"/>
          <w:b w:val="1"/>
          <w:bCs w:val="1"/>
          <w:color w:val="auto"/>
        </w:rPr>
      </w:pPr>
    </w:p>
    <w:p>
      <w:pPr>
        <w:ind w:right="20" w:firstLine="8"/>
        <w:spacing w:after="0" w:line="237" w:lineRule="auto"/>
        <w:tabs>
          <w:tab w:leader="none" w:pos="3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and the rights and obligations of the parties hereto shall be governed by and construed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California.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080" w:right="339" w:bottom="1440" w:gutter="0" w:footer="0" w:header="0"/>
        </w:sectPr>
      </w:pPr>
    </w:p>
    <w:bookmarkStart w:id="6" w:name="page7"/>
    <w:bookmarkEnd w:id="6"/>
    <w:p>
      <w:pPr>
        <w:ind w:firstLine="648"/>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Second Amendment to Loan and Security Agreement to be executed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set forth above.</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BORROWER:</w:t>
            </w:r>
          </w:p>
        </w:tc>
        <w:tc>
          <w:tcPr>
            <w:tcW w:w="3400" w:type="dxa"/>
            <w:vAlign w:val="bottom"/>
          </w:tcPr>
          <w:p>
            <w:pPr>
              <w:spacing w:after="0"/>
              <w:rPr>
                <w:sz w:val="20"/>
                <w:szCs w:val="20"/>
                <w:color w:val="auto"/>
              </w:rPr>
            </w:pPr>
          </w:p>
        </w:tc>
      </w:tr>
      <w:tr>
        <w:trPr>
          <w:trHeight w:val="486"/>
        </w:trPr>
        <w:tc>
          <w:tcPr>
            <w:tcW w:w="2560" w:type="dxa"/>
            <w:vAlign w:val="bottom"/>
            <w:gridSpan w:val="2"/>
          </w:tcPr>
          <w:p>
            <w:pPr>
              <w:spacing w:after="0"/>
              <w:rPr>
                <w:sz w:val="20"/>
                <w:szCs w:val="20"/>
                <w:color w:val="auto"/>
              </w:rPr>
            </w:pPr>
            <w:r>
              <w:rPr>
                <w:rFonts w:ascii="Arial" w:cs="Arial" w:eastAsia="Arial" w:hAnsi="Arial"/>
                <w:sz w:val="18"/>
                <w:szCs w:val="18"/>
                <w:color w:val="auto"/>
                <w:w w:val="99"/>
              </w:rPr>
              <w:t>SELECTA BIOSCIENCES, INC.</w:t>
            </w:r>
          </w:p>
        </w:tc>
        <w:tc>
          <w:tcPr>
            <w:tcW w:w="3400" w:type="dxa"/>
            <w:vAlign w:val="bottom"/>
          </w:tcPr>
          <w:p>
            <w:pPr>
              <w:spacing w:after="0"/>
              <w:rPr>
                <w:sz w:val="24"/>
                <w:szCs w:val="24"/>
                <w:color w:val="auto"/>
              </w:rPr>
            </w:pPr>
          </w:p>
        </w:tc>
      </w:tr>
      <w:tr>
        <w:trPr>
          <w:trHeight w:val="486"/>
        </w:trPr>
        <w:tc>
          <w:tcPr>
            <w:tcW w:w="2560" w:type="dxa"/>
            <w:vAlign w:val="bottom"/>
            <w:gridSpan w:val="2"/>
          </w:tcPr>
          <w:p>
            <w:pPr>
              <w:spacing w:after="0"/>
              <w:rPr>
                <w:sz w:val="20"/>
                <w:szCs w:val="20"/>
                <w:color w:val="auto"/>
              </w:rPr>
            </w:pPr>
            <w:r>
              <w:rPr>
                <w:rFonts w:ascii="Arial" w:cs="Arial" w:eastAsia="Arial" w:hAnsi="Arial"/>
                <w:sz w:val="18"/>
                <w:szCs w:val="18"/>
                <w:color w:val="auto"/>
              </w:rPr>
              <w:t>By:</w:t>
            </w:r>
          </w:p>
        </w:tc>
        <w:tc>
          <w:tcPr>
            <w:tcW w:w="3400" w:type="dxa"/>
            <w:vAlign w:val="bottom"/>
          </w:tcPr>
          <w:p>
            <w:pPr>
              <w:jc w:val="center"/>
              <w:ind w:right="1410"/>
              <w:spacing w:after="0"/>
              <w:rPr>
                <w:sz w:val="20"/>
                <w:szCs w:val="20"/>
                <w:color w:val="auto"/>
              </w:rPr>
            </w:pPr>
            <w:r>
              <w:rPr>
                <w:rFonts w:ascii="Arial" w:cs="Arial" w:eastAsia="Arial" w:hAnsi="Arial"/>
                <w:sz w:val="18"/>
                <w:szCs w:val="18"/>
                <w:color w:val="auto"/>
                <w:w w:val="93"/>
              </w:rPr>
              <w:t>/s/ Kevin Tan</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150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tcPr>
          <w:p>
            <w:pPr>
              <w:jc w:val="center"/>
              <w:ind w:right="1410"/>
              <w:spacing w:after="0"/>
              <w:rPr>
                <w:sz w:val="20"/>
                <w:szCs w:val="20"/>
                <w:color w:val="auto"/>
              </w:rPr>
            </w:pPr>
            <w:r>
              <w:rPr>
                <w:rFonts w:ascii="Arial" w:cs="Arial" w:eastAsia="Arial" w:hAnsi="Arial"/>
                <w:sz w:val="18"/>
                <w:szCs w:val="18"/>
                <w:color w:val="auto"/>
                <w:w w:val="91"/>
              </w:rPr>
              <w:t>Kevin Tan</w:t>
            </w: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jc w:val="center"/>
              <w:ind w:right="1410"/>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COLLATERAL AGENT AND LENDER:</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OXFORD FINANCE LLC</w:t>
            </w:r>
          </w:p>
        </w:tc>
        <w:tc>
          <w:tcPr>
            <w:tcW w:w="3620" w:type="dxa"/>
            <w:vAlign w:val="bottom"/>
          </w:tcPr>
          <w:p>
            <w:pPr>
              <w:spacing w:after="0"/>
              <w:rPr>
                <w:sz w:val="20"/>
                <w:szCs w:val="20"/>
                <w:color w:val="auto"/>
              </w:rPr>
            </w:pPr>
          </w:p>
        </w:tc>
      </w:tr>
      <w:tr>
        <w:trPr>
          <w:trHeight w:val="486"/>
        </w:trPr>
        <w:tc>
          <w:tcPr>
            <w:tcW w:w="2340" w:type="dxa"/>
            <w:vAlign w:val="bottom"/>
            <w:gridSpan w:val="2"/>
          </w:tcPr>
          <w:p>
            <w:pPr>
              <w:spacing w:after="0"/>
              <w:rPr>
                <w:sz w:val="20"/>
                <w:szCs w:val="20"/>
                <w:color w:val="auto"/>
              </w:rPr>
            </w:pPr>
            <w:r>
              <w:rPr>
                <w:rFonts w:ascii="Arial" w:cs="Arial" w:eastAsia="Arial" w:hAnsi="Arial"/>
                <w:sz w:val="18"/>
                <w:szCs w:val="18"/>
                <w:color w:val="auto"/>
              </w:rPr>
              <w:t>By:</w:t>
            </w:r>
          </w:p>
        </w:tc>
        <w:tc>
          <w:tcPr>
            <w:tcW w:w="3620" w:type="dxa"/>
            <w:vAlign w:val="bottom"/>
          </w:tcPr>
          <w:p>
            <w:pPr>
              <w:jc w:val="center"/>
              <w:ind w:right="1170"/>
              <w:spacing w:after="0"/>
              <w:rPr>
                <w:sz w:val="20"/>
                <w:szCs w:val="20"/>
                <w:color w:val="auto"/>
              </w:rPr>
            </w:pPr>
            <w:r>
              <w:rPr>
                <w:rFonts w:ascii="Arial" w:cs="Arial" w:eastAsia="Arial" w:hAnsi="Arial"/>
                <w:sz w:val="18"/>
                <w:szCs w:val="18"/>
                <w:color w:val="auto"/>
                <w:w w:val="91"/>
              </w:rPr>
              <w:t>/s/ Colette H. Featherly</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128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91"/>
              </w:rPr>
              <w:t>Colette H. Featherly</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jc w:val="center"/>
              <w:ind w:right="1170"/>
              <w:spacing w:after="0"/>
              <w:rPr>
                <w:sz w:val="20"/>
                <w:szCs w:val="20"/>
                <w:color w:val="auto"/>
              </w:rPr>
            </w:pPr>
            <w:r>
              <w:rPr>
                <w:rFonts w:ascii="Arial" w:cs="Arial" w:eastAsia="Arial" w:hAnsi="Arial"/>
                <w:sz w:val="18"/>
                <w:szCs w:val="18"/>
                <w:color w:val="auto"/>
                <w:w w:val="90"/>
              </w:rPr>
              <w:t>Senior Vice President</w:t>
            </w:r>
          </w:p>
        </w:tc>
      </w:tr>
      <w:tr>
        <w:trPr>
          <w:trHeight w:val="770"/>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LENDER:</w:t>
            </w:r>
          </w:p>
        </w:tc>
        <w:tc>
          <w:tcPr>
            <w:tcW w:w="3620" w:type="dxa"/>
            <w:vAlign w:val="bottom"/>
          </w:tcPr>
          <w:p>
            <w:pPr>
              <w:spacing w:after="0"/>
              <w:rPr>
                <w:sz w:val="24"/>
                <w:szCs w:val="24"/>
                <w:color w:val="auto"/>
              </w:rPr>
            </w:pPr>
          </w:p>
        </w:tc>
      </w:tr>
      <w:tr>
        <w:trPr>
          <w:trHeight w:val="499"/>
        </w:trPr>
        <w:tc>
          <w:tcPr>
            <w:tcW w:w="234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3620" w:type="dxa"/>
            <w:vAlign w:val="bottom"/>
          </w:tcPr>
          <w:p>
            <w:pPr>
              <w:spacing w:after="0"/>
              <w:rPr>
                <w:sz w:val="24"/>
                <w:szCs w:val="24"/>
                <w:color w:val="auto"/>
              </w:rPr>
            </w:pPr>
          </w:p>
        </w:tc>
      </w:tr>
      <w:tr>
        <w:trPr>
          <w:trHeight w:val="499"/>
        </w:trPr>
        <w:tc>
          <w:tcPr>
            <w:tcW w:w="2340" w:type="dxa"/>
            <w:vAlign w:val="bottom"/>
            <w:gridSpan w:val="2"/>
          </w:tcPr>
          <w:p>
            <w:pPr>
              <w:spacing w:after="0"/>
              <w:rPr>
                <w:sz w:val="20"/>
                <w:szCs w:val="20"/>
                <w:color w:val="auto"/>
              </w:rPr>
            </w:pPr>
            <w:r>
              <w:rPr>
                <w:rFonts w:ascii="Arial" w:cs="Arial" w:eastAsia="Arial" w:hAnsi="Arial"/>
                <w:sz w:val="18"/>
                <w:szCs w:val="18"/>
                <w:color w:val="auto"/>
              </w:rPr>
              <w:t>By:</w:t>
            </w:r>
          </w:p>
        </w:tc>
        <w:tc>
          <w:tcPr>
            <w:tcW w:w="3620" w:type="dxa"/>
            <w:vAlign w:val="bottom"/>
          </w:tcPr>
          <w:p>
            <w:pPr>
              <w:jc w:val="center"/>
              <w:ind w:right="1190"/>
              <w:spacing w:after="0"/>
              <w:rPr>
                <w:sz w:val="20"/>
                <w:szCs w:val="20"/>
                <w:color w:val="auto"/>
              </w:rPr>
            </w:pPr>
            <w:r>
              <w:rPr>
                <w:rFonts w:ascii="Arial" w:cs="Arial" w:eastAsia="Arial" w:hAnsi="Arial"/>
                <w:sz w:val="18"/>
                <w:szCs w:val="18"/>
                <w:color w:val="auto"/>
                <w:w w:val="90"/>
              </w:rPr>
              <w:t>/s/ Lauren Cole</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128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91"/>
              </w:rPr>
              <w:t>Lauren Cole</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jc w:val="center"/>
              <w:ind w:right="1170"/>
              <w:spacing w:after="0"/>
              <w:rPr>
                <w:sz w:val="20"/>
                <w:szCs w:val="20"/>
                <w:color w:val="auto"/>
              </w:rPr>
            </w:pPr>
            <w:r>
              <w:rPr>
                <w:rFonts w:ascii="Arial" w:cs="Arial" w:eastAsia="Arial" w:hAnsi="Arial"/>
                <w:sz w:val="18"/>
                <w:szCs w:val="18"/>
                <w:color w:val="auto"/>
                <w:w w:val="95"/>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Second Amendment to Loan and Security Agreement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sectPr>
      <w:pgSz w:w="11900" w:h="16838" w:orient="portrait"/>
      <w:cols w:equalWidth="0" w:num="1">
        <w:col w:w="11240"/>
      </w:cols>
      <w:pgMar w:left="320" w:top="13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9"/>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2022-03-22T07:02:56Z</dcterms:created>
  <dcterms:modified xsi:type="dcterms:W3CDTF">2022-03-22T07:02:56Z</dcterms:modified>
</cp:coreProperties>
</file>