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Sallin Aymeric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David Siewers, attorney-in-  </w:t>
      </w:r>
      <w:r>
        <w:rPr>
          <w:rFonts w:ascii="Arial" w:cs="Arial" w:eastAsia="Arial" w:hAnsi="Arial"/>
          <w:sz w:val="35"/>
          <w:szCs w:val="35"/>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08"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220" w:firstLine="1"/>
        <w:spacing w:after="0" w:line="277" w:lineRule="auto"/>
        <w:tabs>
          <w:tab w:leader="none" w:pos="1308"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20" w:firstLine="1"/>
        <w:spacing w:after="0" w:line="264" w:lineRule="auto"/>
        <w:tabs>
          <w:tab w:leader="none" w:pos="1308"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Aymeric Sallin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Aymeric Sallin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677660"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2019-12-08T18:22:44Z</dcterms:created>
  <dcterms:modified xsi:type="dcterms:W3CDTF">2019-12-08T18:22:44Z</dcterms:modified>
</cp:coreProperties>
</file>