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line="297" w:lineRule="auto"/>
        <w:rPr>
          <w:sz w:val="20"/>
          <w:szCs w:val="20"/>
          <w:color w:val="auto"/>
        </w:rPr>
      </w:pPr>
      <w:r>
        <w:rPr>
          <w:rFonts w:ascii="Arial" w:cs="Arial" w:eastAsia="Arial" w:hAnsi="Arial"/>
          <w:sz w:val="18"/>
          <w:szCs w:val="18"/>
          <w:b w:val="1"/>
          <w:bCs w:val="1"/>
          <w:color w:val="auto"/>
        </w:rPr>
        <w:t xml:space="preserve">Common Stock, $0.0001 par value per share, including common shares obtainable upon exercise of Common Warrants </w:t>
      </w: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Mangrove Partners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8,375,907(1)(3)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8,375,907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5.37%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4,127,258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60"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4,127,258 Shares issuable upon exercise of the Common Warrants.</w:t>
      </w:r>
    </w:p>
    <w:p>
      <w:pPr>
        <w:spacing w:after="0" w:line="77"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value reflects an increase from the original filing of 375,000 common shares obtainable upon exercise of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Mangrove Partners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 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Cayman Islands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8,375,907(1)(3)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200" w:type="dxa"/>
            <w:vAlign w:val="bottom"/>
          </w:tcPr>
          <w:p>
            <w:pPr>
              <w:spacing w:after="0"/>
              <w:rPr>
                <w:sz w:val="17"/>
                <w:szCs w:val="17"/>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8,375,907</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5.37% (2)</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4,127,258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5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4,127,258 Shares issuable upon exercise of the Common Warrants.</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reflects an increase from the original filing of 375,000 common shares obtainable upon exercise of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3"/>
              </w:rPr>
              <w:t>Nathaniel August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8,375,907(1)(3)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8,375,907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8,375,907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5.37%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4,127,258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50"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4,127,258 Shares issuable upon exercise of the Common Warrants.</w:t>
      </w: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value reflects an increase from the original filing of 375,000 common shares obtainable upon exercise of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Selecta Biosciences,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 Grove Street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Watertown, MA 02472</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b, c) Names of Person Filing, Address of Principal Business Office, Citizenship:</w:t>
      </w:r>
    </w:p>
    <w:p>
      <w:pPr>
        <w:spacing w:after="0" w:line="121" w:lineRule="exact"/>
        <w:rPr>
          <w:sz w:val="20"/>
          <w:szCs w:val="20"/>
          <w:color w:val="auto"/>
        </w:rPr>
      </w:pPr>
    </w:p>
    <w:p>
      <w:pPr>
        <w:jc w:val="both"/>
        <w:ind w:left="800"/>
        <w:spacing w:after="0" w:line="258" w:lineRule="auto"/>
        <w:rPr>
          <w:sz w:val="20"/>
          <w:szCs w:val="20"/>
          <w:color w:val="auto"/>
        </w:rPr>
      </w:pPr>
      <w:r>
        <w:rPr>
          <w:rFonts w:ascii="Arial" w:cs="Arial" w:eastAsia="Arial" w:hAnsi="Arial"/>
          <w:sz w:val="18"/>
          <w:szCs w:val="18"/>
          <w:u w:val="single" w:color="auto"/>
          <w:color w:val="auto"/>
        </w:rPr>
        <w:t>Mangrove Partners,</w:t>
      </w:r>
      <w:r>
        <w:rPr>
          <w:rFonts w:ascii="Arial" w:cs="Arial" w:eastAsia="Arial" w:hAnsi="Arial"/>
          <w:sz w:val="18"/>
          <w:szCs w:val="18"/>
          <w:color w:val="auto"/>
        </w:rPr>
        <w:t xml:space="preserve"> a Cayman Islands limited liability company, is located at c/o Maples Corporate Services, Ltd., PO Box 309, Ugland House, South Church Street, George Town, Grand Cayman, Cayman Islands KY1-1104</w:t>
      </w:r>
    </w:p>
    <w:p>
      <w:pPr>
        <w:spacing w:after="0" w:line="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u w:val="single" w:color="auto"/>
          <w:color w:val="auto"/>
        </w:rPr>
        <w:t>Mangrove Partners Master Fund, Ltd.</w:t>
      </w:r>
      <w:r>
        <w:rPr>
          <w:rFonts w:ascii="Arial" w:cs="Arial" w:eastAsia="Arial" w:hAnsi="Arial"/>
          <w:sz w:val="18"/>
          <w:szCs w:val="18"/>
          <w:color w:val="auto"/>
        </w:rPr>
        <w:t>, a Cayman Islands limited liability company, is located at c/o Maples Corporate Services, Ltd., PO Box 309, Ugland House, South Church Street, George Town, Grand Cayman, Cayman Islands KY1-1104</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Nathaniel August</w:t>
      </w:r>
      <w:r>
        <w:rPr>
          <w:rFonts w:ascii="Arial" w:cs="Arial" w:eastAsia="Arial" w:hAnsi="Arial"/>
          <w:sz w:val="18"/>
          <w:szCs w:val="18"/>
          <w:color w:val="auto"/>
        </w:rPr>
        <w:t>, a United States citizen, is located at 645 Madison Avenue, 14th Floor, New York, New York 10022</w:t>
      </w:r>
    </w:p>
    <w:p>
      <w:pPr>
        <w:spacing w:after="0" w:line="9"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The shares of the Issuer which are the subject of this SCHEDULE 13G (the “Shares”) are held by the Master Fund. Beneficial ownership of the Shares is also claimed by (i) Mangrove Partners which serves as the investment manager of the Master Fund, and (ii) Nathaniel August who is the principal of Mangrove Partners.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$0.0001 par value per share, including common shares obtainable upon exercise of Common Warrants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816212104</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ind w:left="90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of the Units as of May 5, 2022, is incorporated by reference to items (5) - (9) and (11) of the cover page of the respective Reporting Person.</w:t>
      </w:r>
    </w:p>
    <w:p>
      <w:pPr>
        <w:spacing w:after="0" w:line="62"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The amount beneficially owned by each Reporting Person is determined based on the sum of (i) 151,809,416 Shares outstanding as of April 29, 2022, based on information provided by the Issuer and (ii) 4,127,258 Shares issuable upon exercise of the Common Warrants, as the Issuer reported in its Form 10-Q filed with the SEC on May 5, 2022.</w:t>
      </w:r>
    </w:p>
    <w:p>
      <w:pPr>
        <w:spacing w:after="0" w:line="76" w:lineRule="exact"/>
        <w:rPr>
          <w:sz w:val="20"/>
          <w:szCs w:val="20"/>
          <w:color w:val="auto"/>
        </w:rPr>
      </w:pPr>
    </w:p>
    <w:p>
      <w:pPr>
        <w:jc w:val="both"/>
        <w:ind w:left="800"/>
        <w:spacing w:after="0" w:line="286" w:lineRule="auto"/>
        <w:rPr>
          <w:sz w:val="20"/>
          <w:szCs w:val="20"/>
          <w:color w:val="auto"/>
        </w:rPr>
      </w:pPr>
      <w:r>
        <w:rPr>
          <w:rFonts w:ascii="Arial" w:cs="Arial" w:eastAsia="Arial" w:hAnsi="Arial"/>
          <w:sz w:val="17"/>
          <w:szCs w:val="17"/>
          <w:color w:val="auto"/>
        </w:rPr>
        <w:t>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ectPr>
          <w:pgSz w:w="11900" w:h="16838" w:orient="portrait"/>
          <w:cols w:equalWidth="0" w:num="1">
            <w:col w:w="11240"/>
          </w:cols>
          <w:pgMar w:left="320" w:top="663" w:right="339" w:bottom="0" w:gutter="0" w:footer="0" w:header="0"/>
        </w:sectPr>
      </w:pPr>
    </w:p>
    <w:bookmarkStart w:id="5" w:name="page6"/>
    <w:bookmarkEnd w:id="5"/>
    <w:p>
      <w:pPr>
        <w:ind w:left="400" w:firstLine="3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disclosures in Item 2 and Exhibit 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Nathaniel August</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Nathaniel August</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Nathaniel August</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Nathaniel August</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2022-07-27T16:34:04Z</dcterms:created>
  <dcterms:modified xsi:type="dcterms:W3CDTF">2022-07-27T16:34:04Z</dcterms:modified>
</cp:coreProperties>
</file>