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14a-101)</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30" w:lineRule="exact"/>
        <w:rPr>
          <w:sz w:val="24"/>
          <w:szCs w:val="24"/>
          <w:color w:val="auto"/>
        </w:rPr>
      </w:pPr>
    </w:p>
    <w:p>
      <w:pPr>
        <w:ind w:left="2840"/>
        <w:spacing w:after="0"/>
        <w:tabs>
          <w:tab w:leader="none" w:pos="8220" w:val="left"/>
        </w:tabs>
        <w:rPr>
          <w:sz w:val="20"/>
          <w:szCs w:val="20"/>
          <w:color w:val="auto"/>
        </w:rPr>
      </w:pPr>
      <w:r>
        <w:rPr>
          <w:rFonts w:ascii="Arial" w:cs="Arial" w:eastAsia="Arial" w:hAnsi="Arial"/>
          <w:sz w:val="22"/>
          <w:szCs w:val="22"/>
          <w:b w:val="1"/>
          <w:bCs w:val="1"/>
          <w:color w:val="auto"/>
        </w:rPr>
        <w:t>Securities Exchange Act of 1934 (Amendment No.</w:t>
        <w:tab/>
        <w:t>)</w:t>
      </w:r>
    </w:p>
    <w:p>
      <w:pPr>
        <w:spacing w:after="0" w:line="274" w:lineRule="exact"/>
        <w:rPr>
          <w:sz w:val="24"/>
          <w:szCs w:val="24"/>
          <w:color w:val="auto"/>
        </w:rPr>
      </w:pPr>
    </w:p>
    <w:p>
      <w:pPr>
        <w:ind w:left="40"/>
        <w:spacing w:after="0" w:line="207" w:lineRule="exact"/>
        <w:tabs>
          <w:tab w:leader="none" w:pos="2060" w:val="left"/>
          <w:tab w:leader="none" w:pos="4460" w:val="left"/>
          <w:tab w:leader="none" w:pos="77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16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4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114935</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160" w:hanging="1125"/>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160" w:hanging="1125"/>
        <w:spacing w:after="0"/>
        <w:tabs>
          <w:tab w:leader="none" w:pos="11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160" w:right="200" w:hanging="454"/>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1160" w:hanging="1125"/>
        <w:spacing w:after="0"/>
        <w:tabs>
          <w:tab w:leader="none" w:pos="11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160" w:hanging="1125"/>
        <w:spacing w:after="0" w:line="316" w:lineRule="auto"/>
        <w:tabs>
          <w:tab w:leader="none" w:pos="11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160" w:hanging="45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6"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7089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08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Selecta Biosciences, Inc.</w:t>
      </w:r>
    </w:p>
    <w:p>
      <w:pPr>
        <w:spacing w:after="0" w:line="319"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PROXY</w:t>
      </w:r>
    </w:p>
    <w:p>
      <w:pPr>
        <w:spacing w:after="0" w:line="77"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STATEMENT</w:t>
      </w:r>
    </w:p>
    <w:p>
      <w:pPr>
        <w:spacing w:after="0" w:line="295"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June 19, 2020</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462915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SELECTA BIOSCIENCES,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65 GROVE STREET</w:t>
      </w:r>
    </w:p>
    <w:p>
      <w:pPr>
        <w:spacing w:after="0"/>
        <w:rPr>
          <w:sz w:val="20"/>
          <w:szCs w:val="20"/>
          <w:color w:val="auto"/>
        </w:rPr>
      </w:pPr>
      <w:r>
        <w:rPr>
          <w:rFonts w:ascii="Arial" w:cs="Arial" w:eastAsia="Arial" w:hAnsi="Arial"/>
          <w:sz w:val="13"/>
          <w:szCs w:val="13"/>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88900</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You are cordially invited to attend the 2020 Annual Meeting of Stockholders of Selecta Biosciences, Inc. (the "Company") to be held on Friday , June 19, 2020 at 9:00 a.m., Eastern Time . We are very pleased that our Annual Meeting will be a completely virtual meeting of stockholders, which will be conducted via live webcast. You will be able to attend the Annual Meeting online and submit your questions during the meeting by visiting www.virtualshareholdermeeting.com/SELB2020. You will also be able to vote your shares electronically at the Annual Meeting.</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will be using the latest technology to increase access, to improve communication and to obtain cost savings for our stockholders and the Company. Use of a virtual meeting will enable increased stockholder attendance and participation as stockholders can participate from any location.</w:t>
      </w:r>
    </w:p>
    <w:p>
      <w:pPr>
        <w:spacing w:after="0" w:line="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2020 Annual Meeting ?” on page 3 of the Proxy Statement for more information.</w:t>
      </w:r>
    </w:p>
    <w:p>
      <w:pPr>
        <w:spacing w:after="0" w:line="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online Annual Meeting, you will be able to vote your shares electronically, even if you have previously submitted your proxy.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 thank you for your continued support and investment in 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Carsten Brunn, Ph.D.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6"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932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972"/>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Notice of Annual Meeting of Stockholders</w:t>
            </w:r>
          </w:p>
        </w:tc>
        <w:tc>
          <w:tcPr>
            <w:tcW w:w="1920" w:type="dxa"/>
            <w:vAlign w:val="bottom"/>
          </w:tcPr>
          <w:p>
            <w:pPr>
              <w:spacing w:after="0"/>
              <w:rPr>
                <w:sz w:val="24"/>
                <w:szCs w:val="24"/>
                <w:color w:val="auto"/>
              </w:rPr>
            </w:pPr>
          </w:p>
        </w:tc>
      </w:tr>
      <w:tr>
        <w:trPr>
          <w:trHeight w:val="904"/>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Proxy Statement</w:t>
            </w:r>
          </w:p>
        </w:tc>
        <w:tc>
          <w:tcPr>
            <w:tcW w:w="19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1</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Proposals</w:t>
            </w:r>
          </w:p>
        </w:tc>
        <w:tc>
          <w:tcPr>
            <w:tcW w:w="19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1</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Recommendations of the Board</w:t>
            </w:r>
          </w:p>
        </w:tc>
        <w:tc>
          <w:tcPr>
            <w:tcW w:w="19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2</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Information About This Proxy Statement</w:t>
            </w:r>
          </w:p>
        </w:tc>
        <w:tc>
          <w:tcPr>
            <w:tcW w:w="19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2</w:t>
            </w:r>
          </w:p>
        </w:tc>
      </w:tr>
      <w:tr>
        <w:trPr>
          <w:trHeight w:val="553"/>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Questions and Answers About the 2020 Annual Meeting of Stockholders</w:t>
            </w:r>
          </w:p>
        </w:tc>
        <w:tc>
          <w:tcPr>
            <w:tcW w:w="19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3</w:t>
            </w:r>
          </w:p>
        </w:tc>
      </w:tr>
      <w:tr>
        <w:trPr>
          <w:trHeight w:val="553"/>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Proposals to be Voted On</w:t>
            </w:r>
          </w:p>
        </w:tc>
        <w:tc>
          <w:tcPr>
            <w:tcW w:w="19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Proposal 1: Election of Directors</w:t>
            </w:r>
          </w:p>
        </w:tc>
        <w:tc>
          <w:tcPr>
            <w:tcW w:w="19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Proposal 2: Ratification of Appointment of Independent Registered Public Accounting Firm</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12</w:t>
            </w:r>
          </w:p>
        </w:tc>
      </w:tr>
      <w:tr>
        <w:trPr>
          <w:trHeight w:val="553"/>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13</w:t>
            </w:r>
          </w:p>
        </w:tc>
      </w:tr>
      <w:tr>
        <w:trPr>
          <w:trHeight w:val="553"/>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14</w:t>
            </w:r>
          </w:p>
        </w:tc>
      </w:tr>
      <w:tr>
        <w:trPr>
          <w:trHeight w:val="554"/>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15</w:t>
            </w:r>
          </w:p>
        </w:tc>
      </w:tr>
      <w:tr>
        <w:trPr>
          <w:trHeight w:val="553"/>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Corporate Governance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General</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Board Composition</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Director Independence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Director Candidates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Communications from Stockholders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18</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Board Leadership Structure and Role in Risk Oversight</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18</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Annual Board Evaluation</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19</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Code of Ethics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19</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Diversity Commitment</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19</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Anti-Hedging Policy</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20</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Attendance by Members of the Board of Directors at Meetings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20</w:t>
            </w:r>
          </w:p>
        </w:tc>
      </w:tr>
      <w:tr>
        <w:trPr>
          <w:trHeight w:val="553"/>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Committees of the Board</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21</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Audit Committee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21</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Compensation Committee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22</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Nominating and Corporate Governance Committee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23</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Science Committee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23</w:t>
            </w:r>
          </w:p>
        </w:tc>
      </w:tr>
      <w:tr>
        <w:trPr>
          <w:trHeight w:val="553"/>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Executive and Director Compensation</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24</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Executive Compensation</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24</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2019 Summary Compensation Table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24</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Narrative Disclosure to Compensation Table</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25</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Outstanding Equity Awards at 2019 Fiscal Year-End</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27</w:t>
            </w:r>
          </w:p>
        </w:tc>
      </w:tr>
      <w:tr>
        <w:trPr>
          <w:trHeight w:val="270"/>
        </w:trPr>
        <w:tc>
          <w:tcPr>
            <w:tcW w:w="9320" w:type="dxa"/>
            <w:vAlign w:val="bottom"/>
          </w:tcPr>
          <w:p>
            <w:pPr>
              <w:ind w:left="600"/>
              <w:spacing w:after="0"/>
              <w:rPr>
                <w:sz w:val="20"/>
                <w:szCs w:val="20"/>
                <w:color w:val="auto"/>
              </w:rPr>
            </w:pPr>
            <w:r>
              <w:rPr>
                <w:rFonts w:ascii="Arial" w:cs="Arial" w:eastAsia="Arial" w:hAnsi="Arial"/>
                <w:sz w:val="18"/>
                <w:szCs w:val="18"/>
                <w:color w:val="auto"/>
              </w:rPr>
              <w:t>Employment Agreements</w:t>
            </w:r>
          </w:p>
        </w:tc>
        <w:tc>
          <w:tcPr>
            <w:tcW w:w="1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27</w:t>
            </w:r>
          </w:p>
        </w:tc>
      </w:tr>
      <w:tr>
        <w:trPr>
          <w:trHeight w:val="331"/>
        </w:trPr>
        <w:tc>
          <w:tcPr>
            <w:tcW w:w="9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414655</wp:posOffset>
            </wp:positionV>
            <wp:extent cx="709803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970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8260" w:type="dxa"/>
            <w:vAlign w:val="bottom"/>
          </w:tcPr>
          <w:p>
            <w:pPr>
              <w:ind w:left="560"/>
              <w:spacing w:after="0"/>
              <w:rPr>
                <w:sz w:val="20"/>
                <w:szCs w:val="20"/>
                <w:color w:val="auto"/>
              </w:rPr>
            </w:pPr>
            <w:r>
              <w:rPr>
                <w:rFonts w:ascii="Arial" w:cs="Arial" w:eastAsia="Arial" w:hAnsi="Arial"/>
                <w:sz w:val="18"/>
                <w:szCs w:val="18"/>
                <w:color w:val="auto"/>
              </w:rPr>
              <w:t>Director Compensation</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0"/>
        </w:trPr>
        <w:tc>
          <w:tcPr>
            <w:tcW w:w="8260" w:type="dxa"/>
            <w:vAlign w:val="bottom"/>
          </w:tcPr>
          <w:p>
            <w:pPr>
              <w:ind w:left="560"/>
              <w:spacing w:after="0"/>
              <w:rPr>
                <w:sz w:val="20"/>
                <w:szCs w:val="20"/>
                <w:color w:val="auto"/>
              </w:rPr>
            </w:pPr>
            <w:r>
              <w:rPr>
                <w:rFonts w:ascii="Arial" w:cs="Arial" w:eastAsia="Arial" w:hAnsi="Arial"/>
                <w:sz w:val="18"/>
                <w:szCs w:val="18"/>
                <w:color w:val="auto"/>
              </w:rPr>
              <w:t>2019 Director Compensation Table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8260" w:type="dxa"/>
            <w:vAlign w:val="bottom"/>
          </w:tcPr>
          <w:p>
            <w:pPr>
              <w:ind w:left="560"/>
              <w:spacing w:after="0"/>
              <w:rPr>
                <w:sz w:val="20"/>
                <w:szCs w:val="20"/>
                <w:color w:val="auto"/>
              </w:rPr>
            </w:pPr>
            <w:r>
              <w:rPr>
                <w:rFonts w:ascii="Arial" w:cs="Arial" w:eastAsia="Arial" w:hAnsi="Arial"/>
                <w:sz w:val="18"/>
                <w:szCs w:val="18"/>
                <w:color w:val="auto"/>
              </w:rPr>
              <w:t>Equity Compensation Plan Information</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554"/>
        </w:trPr>
        <w:tc>
          <w:tcPr>
            <w:tcW w:w="826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553"/>
        </w:trPr>
        <w:tc>
          <w:tcPr>
            <w:tcW w:w="8260" w:type="dxa"/>
            <w:vAlign w:val="bottom"/>
          </w:tcPr>
          <w:p>
            <w:pPr>
              <w:spacing w:after="0"/>
              <w:rPr>
                <w:sz w:val="20"/>
                <w:szCs w:val="20"/>
                <w:color w:val="auto"/>
              </w:rPr>
            </w:pPr>
            <w:r>
              <w:rPr>
                <w:rFonts w:ascii="Arial" w:cs="Arial" w:eastAsia="Arial" w:hAnsi="Arial"/>
                <w:sz w:val="18"/>
                <w:szCs w:val="18"/>
                <w:b w:val="1"/>
                <w:bCs w:val="1"/>
                <w:color w:val="auto"/>
              </w:rPr>
              <w:t>Certain Relationships</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580"/>
        </w:trPr>
        <w:tc>
          <w:tcPr>
            <w:tcW w:w="8260" w:type="dxa"/>
            <w:vAlign w:val="bottom"/>
          </w:tcPr>
          <w:p>
            <w:pPr>
              <w:spacing w:after="0"/>
              <w:rPr>
                <w:sz w:val="20"/>
                <w:szCs w:val="20"/>
                <w:color w:val="auto"/>
              </w:rPr>
            </w:pPr>
            <w:r>
              <w:rPr>
                <w:rFonts w:ascii="Arial" w:cs="Arial" w:eastAsia="Arial" w:hAnsi="Arial"/>
                <w:sz w:val="18"/>
                <w:szCs w:val="18"/>
                <w:b w:val="1"/>
                <w:bCs w:val="1"/>
                <w:color w:val="auto"/>
              </w:rPr>
              <w:t>Stockholders' Proposals</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581"/>
        </w:trPr>
        <w:tc>
          <w:tcPr>
            <w:tcW w:w="826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580"/>
        </w:trPr>
        <w:tc>
          <w:tcPr>
            <w:tcW w:w="8260" w:type="dxa"/>
            <w:vAlign w:val="bottom"/>
          </w:tcPr>
          <w:p>
            <w:pPr>
              <w:spacing w:after="0"/>
              <w:rPr>
                <w:sz w:val="20"/>
                <w:szCs w:val="20"/>
                <w:color w:val="auto"/>
              </w:rPr>
            </w:pPr>
            <w:r>
              <w:rPr>
                <w:rFonts w:ascii="Arial" w:cs="Arial" w:eastAsia="Arial" w:hAnsi="Arial"/>
                <w:sz w:val="18"/>
                <w:szCs w:val="18"/>
                <w:b w:val="1"/>
                <w:bCs w:val="1"/>
                <w:color w:val="auto"/>
              </w:rPr>
              <w:t>Solicitation of Proxies</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581"/>
        </w:trPr>
        <w:tc>
          <w:tcPr>
            <w:tcW w:w="8260" w:type="dxa"/>
            <w:vAlign w:val="bottom"/>
          </w:tcPr>
          <w:p>
            <w:pPr>
              <w:spacing w:after="0"/>
              <w:rPr>
                <w:sz w:val="20"/>
                <w:szCs w:val="20"/>
                <w:color w:val="auto"/>
              </w:rPr>
            </w:pPr>
            <w:r>
              <w:rPr>
                <w:rFonts w:ascii="Arial" w:cs="Arial" w:eastAsia="Arial" w:hAnsi="Arial"/>
                <w:sz w:val="18"/>
                <w:szCs w:val="18"/>
                <w:b w:val="1"/>
                <w:bCs w:val="1"/>
                <w:color w:val="auto"/>
              </w:rPr>
              <w:t>Selecta Biosciences, Inc.'s Annual Report on Form 10-K</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5452110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60" w:top="1048"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Notice of Annual Meeting of Stockholders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Friday , 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98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SELECTA BIOSCIENCES,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65 GROVE STREET</w:t>
      </w:r>
    </w:p>
    <w:p>
      <w:pPr>
        <w:spacing w:after="0"/>
        <w:rPr>
          <w:sz w:val="20"/>
          <w:szCs w:val="20"/>
          <w:color w:val="auto"/>
        </w:rPr>
      </w:pPr>
      <w:r>
        <w:rPr>
          <w:rFonts w:ascii="Arial" w:cs="Arial" w:eastAsia="Arial" w:hAnsi="Arial"/>
          <w:sz w:val="13"/>
          <w:szCs w:val="13"/>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098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Annual Meeting of Stockholders (the “Annual Meeting”) of Selecta Biosciences, Inc., a Delaware corporation (the “Company”), will be held at 9:00 a.m., Eastern Time , on Friday , June 19, 2020 , by virtual meeting online at www.virtualshareholdermeeting.com/SELB2020, for the following purposes:</w:t>
      </w:r>
    </w:p>
    <w:p>
      <w:pPr>
        <w:spacing w:after="0" w:line="148" w:lineRule="exact"/>
        <w:rPr>
          <w:sz w:val="20"/>
          <w:szCs w:val="20"/>
          <w:color w:val="auto"/>
        </w:rPr>
      </w:pPr>
    </w:p>
    <w:p>
      <w:pPr>
        <w:ind w:left="600" w:right="40"/>
        <w:spacing w:after="0" w:line="246" w:lineRule="auto"/>
        <w:rPr>
          <w:sz w:val="20"/>
          <w:szCs w:val="20"/>
          <w:color w:val="auto"/>
        </w:rPr>
      </w:pPr>
      <w:r>
        <w:rPr>
          <w:rFonts w:ascii="Arial" w:cs="Arial" w:eastAsia="Arial" w:hAnsi="Arial"/>
          <w:sz w:val="18"/>
          <w:szCs w:val="18"/>
          <w:color w:val="auto"/>
        </w:rPr>
        <w:t>To elect Scott D. Myers, Timothy A. Springer, Ph.D., and Patrick Zenner as Class I Directors to serve until the 2023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-216535</wp:posOffset>
            </wp:positionV>
            <wp:extent cx="14605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 cy="145415"/>
                    </a:xfrm>
                    <a:prstGeom prst="rect">
                      <a:avLst/>
                    </a:prstGeom>
                    <a:noFill/>
                  </pic:spPr>
                </pic:pic>
              </a:graphicData>
            </a:graphic>
          </wp:anchor>
        </w:drawing>
      </w:r>
    </w:p>
    <w:p>
      <w:pPr>
        <w:spacing w:after="0" w:line="150" w:lineRule="exact"/>
        <w:rPr>
          <w:sz w:val="20"/>
          <w:szCs w:val="20"/>
          <w:color w:val="auto"/>
        </w:rPr>
      </w:pPr>
    </w:p>
    <w:p>
      <w:pPr>
        <w:ind w:left="600" w:right="20"/>
        <w:spacing w:after="0" w:line="246" w:lineRule="auto"/>
        <w:rPr>
          <w:sz w:val="20"/>
          <w:szCs w:val="20"/>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-199390</wp:posOffset>
            </wp:positionV>
            <wp:extent cx="14605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ind w:left="600" w:right="4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-199390</wp:posOffset>
            </wp:positionV>
            <wp:extent cx="14605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Holders of record of our Common Stock as of the close of business on April 23, 2020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ShareholderRequests@selectabio.com, stating the purpose of the request and providing proof of ownership of Company stock. The list of these stockholders will also be available on the bottom panel of your screen during the meeting at www.virtualshareholdermeeting.com/SELB2020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Note that, in light of possible disruptions in mail service related to the novel coronavirus outbreak, we encourage stockholders to submit their proxy via telephone or over the Internet. Submitting your proxy now will not prevent you from voting your shares electronically at the Annual Meeting if you desire to do so, as your proxy is revocable at your option.</w:t>
      </w: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Elona Kogan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405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Elona Kogan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Counsel and Secretary of Selecta Biosciences, Inc.</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Watertown, Massachusetts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448945</wp:posOffset>
            </wp:positionV>
            <wp:extent cx="709803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SELECTA BIOSCIENCES,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65 GROVE STREET</w:t>
      </w:r>
    </w:p>
    <w:p>
      <w:pPr>
        <w:spacing w:after="0"/>
        <w:rPr>
          <w:sz w:val="20"/>
          <w:szCs w:val="20"/>
          <w:color w:val="auto"/>
        </w:rPr>
      </w:pPr>
      <w:r>
        <w:rPr>
          <w:rFonts w:ascii="Arial" w:cs="Arial" w:eastAsia="Arial" w:hAnsi="Arial"/>
          <w:sz w:val="13"/>
          <w:szCs w:val="13"/>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098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(the "Board of Directors") of Selecta Biosciences, Inc. of proxies to be voted at our Annual Meeting of Stockholders to be held on Friday , June 19, 2020 (the “Annual Meeting”) at 9:00 a.m., Eastern Time ,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8"/>
          <w:szCs w:val="18"/>
          <w:i w:val="1"/>
          <w:iCs w:val="1"/>
          <w:color w:val="auto"/>
        </w:rPr>
        <w:t>www.virtualshareholdermeeting.com/SELB2020</w:t>
      </w:r>
      <w:r>
        <w:rPr>
          <w:rFonts w:ascii="Arial" w:cs="Arial" w:eastAsia="Arial" w:hAnsi="Arial"/>
          <w:sz w:val="18"/>
          <w:szCs w:val="18"/>
          <w:color w:val="auto"/>
        </w:rPr>
        <w:t xml:space="preserve"> and entering your 16-digit control number included on your Notice of Internet Availability of Proxy Materials (the "Internet Notice"), on your proxy card or on the instructions that accompanied your proxy materials. Holders of record of shares of Common Stock, $0.0001 par value (“Common Stock”), as of the close of business on April 23, 2020 (the “Record Date”), will be entitled to notice of and to vote at the Annual Meeting and any continuation, postponement, or adjournment of the Annual Meeting. As of the Record Date, there were 87,489,681 shares of Common Stock outstanding and entitled to vote at the Annual Meeting. Each share of Common Stock is entitled to one vote on any matter presented to stockholders at the Annual Meeting.</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This proxy statement and the Company’s Annual Report on Form 10-K for the year ended December 31, 2019 (the “ 2019 Annual Report”) will be released on or about April 28, 2020 to our stockholders on the Record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“Selecta”, “Company”, “we”, “us”, and “our” refer to Selecta Biosciences,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STOCKHOLDER MEETING TO BE HELD ON FRIDAY, JUNE 19,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2019 Annual Report are available at http://www.proxyvote.com</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171" w:lineRule="exact"/>
        <w:rPr>
          <w:sz w:val="20"/>
          <w:szCs w:val="20"/>
          <w:color w:val="auto"/>
        </w:rPr>
      </w:pPr>
    </w:p>
    <w:p>
      <w:pPr>
        <w:ind w:left="600" w:right="40"/>
        <w:spacing w:after="0" w:line="246" w:lineRule="auto"/>
        <w:rPr>
          <w:sz w:val="20"/>
          <w:szCs w:val="20"/>
          <w:color w:val="auto"/>
        </w:rPr>
      </w:pPr>
      <w:r>
        <w:rPr>
          <w:rFonts w:ascii="Arial" w:cs="Arial" w:eastAsia="Arial" w:hAnsi="Arial"/>
          <w:sz w:val="18"/>
          <w:szCs w:val="18"/>
          <w:color w:val="auto"/>
        </w:rPr>
        <w:t>To elect Scott D. Myers, Timothy A. Springer, Ph.D. and Patrick Zenner as Class I Directors to serve until the 2023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-216535</wp:posOffset>
            </wp:positionV>
            <wp:extent cx="14605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050" cy="145415"/>
                    </a:xfrm>
                    <a:prstGeom prst="rect">
                      <a:avLst/>
                    </a:prstGeom>
                    <a:noFill/>
                  </pic:spPr>
                </pic:pic>
              </a:graphicData>
            </a:graphic>
          </wp:anchor>
        </w:drawing>
      </w:r>
    </w:p>
    <w:p>
      <w:pPr>
        <w:spacing w:after="0" w:line="150" w:lineRule="exact"/>
        <w:rPr>
          <w:sz w:val="20"/>
          <w:szCs w:val="20"/>
          <w:color w:val="auto"/>
        </w:rPr>
      </w:pPr>
    </w:p>
    <w:p>
      <w:pPr>
        <w:ind w:left="600" w:right="20"/>
        <w:spacing w:after="0" w:line="246" w:lineRule="auto"/>
        <w:rPr>
          <w:sz w:val="20"/>
          <w:szCs w:val="20"/>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-199390</wp:posOffset>
            </wp:positionV>
            <wp:extent cx="14605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ind w:left="600" w:right="4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-199390</wp:posOffset>
            </wp:positionV>
            <wp:extent cx="14605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w:t>
      </w:r>
    </w:p>
    <w:p>
      <w:pPr>
        <w:spacing w:after="0" w:line="3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card, or vote your shares by telephone or Internet, your shares of Common Stock will be voted on your behalf as you direct. If not otherwise specified, the shares of Common Stock represented by the proxies will be voted in accordance with the recommendations of the Board of Directors. The Board of Directors recommends that you vote: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election of Scott D. Myers, Timothy A. Springer, Ph.D. and Patrick Zenner as Class I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-130175</wp:posOffset>
            </wp:positionV>
            <wp:extent cx="14605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192" w:lineRule="exact"/>
        <w:rPr>
          <w:sz w:val="20"/>
          <w:szCs w:val="20"/>
          <w:color w:val="auto"/>
        </w:rPr>
      </w:pPr>
    </w:p>
    <w:p>
      <w:pPr>
        <w:ind w:left="600" w:right="20"/>
        <w:spacing w:after="0" w:line="246" w:lineRule="auto"/>
        <w:rPr>
          <w:sz w:val="20"/>
          <w:szCs w:val="20"/>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-199390</wp:posOffset>
            </wp:positionV>
            <wp:extent cx="14605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120015"/>
                    </a:xfrm>
                    <a:prstGeom prst="rect">
                      <a:avLst/>
                    </a:prstGeom>
                    <a:noFill/>
                  </pic:spPr>
                </pic:pic>
              </a:graphicData>
            </a:graphic>
          </wp:anchor>
        </w:drawing>
      </w:r>
    </w:p>
    <w:p>
      <w:pPr>
        <w:spacing w:after="0" w:line="1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 You are viewing or have received these proxy materials because Selecta’s Board of Directors is</w:t>
      </w:r>
      <w:r>
        <w:rPr>
          <w:rFonts w:ascii="Arial" w:cs="Arial" w:eastAsia="Arial" w:hAnsi="Arial"/>
          <w:sz w:val="18"/>
          <w:szCs w:val="18"/>
          <w:b w:val="1"/>
          <w:bCs w:val="1"/>
          <w:color w:val="auto"/>
        </w:rPr>
        <w:t xml:space="preserve"> </w:t>
      </w:r>
      <w:r>
        <w:rPr>
          <w:rFonts w:ascii="Arial" w:cs="Arial" w:eastAsia="Arial" w:hAnsi="Arial"/>
          <w:sz w:val="18"/>
          <w:szCs w:val="18"/>
          <w:color w:val="auto"/>
        </w:rPr>
        <w:t>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 As permitted by SEC rules, Selecta is making this proxy statement and its 2019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its stockholders electronically via the Internet. On or about April 28, 2020 , we mailed to our stockholders an Internet Notice containing instructions on how to access this proxy statement and our 2019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2019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 The SEC’s rules permit us to deliver a single set of proxy materials to one address shared by two or more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20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Questions and Answers about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Record Date for the Annual Meeting is April 23, 2020 .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87,489,681 shares of Common Stock outstanding and entitled to vote at the Annual Meeting.</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Who can attend the </w:t>
      </w:r>
      <w:r>
        <w:rPr>
          <w:rFonts w:ascii="Arial" w:cs="Arial" w:eastAsia="Arial" w:hAnsi="Arial"/>
          <w:sz w:val="12"/>
          <w:szCs w:val="12"/>
          <w:b w:val="1"/>
          <w:bCs w:val="1"/>
          <w:color w:val="auto"/>
        </w:rPr>
        <w:t>2020 Annual Meeting</w:t>
      </w:r>
      <w:r>
        <w:rPr>
          <w:rFonts w:ascii="Arial" w:cs="Arial" w:eastAsia="Arial" w:hAnsi="Arial"/>
          <w:sz w:val="13"/>
          <w:szCs w:val="13"/>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You may attend the online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Arial" w:cs="Arial" w:eastAsia="Arial" w:hAnsi="Arial"/>
          <w:sz w:val="18"/>
          <w:szCs w:val="18"/>
          <w:i w:val="1"/>
          <w:iCs w:val="1"/>
          <w:color w:val="auto"/>
        </w:rPr>
        <w:t>www.virtualshareholdermeeting.com/SELB2020</w:t>
      </w:r>
      <w:r>
        <w:rPr>
          <w:rFonts w:ascii="Arial" w:cs="Arial" w:eastAsia="Arial" w:hAnsi="Arial"/>
          <w:sz w:val="18"/>
          <w:szCs w:val="18"/>
          <w:color w:val="auto"/>
        </w:rPr>
        <w:t xml:space="preserve"> . You also will be able to vote your shares electronically at the Annual Meeting.</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9:00 a.m., Eastern Time . We encourage you to access the meeting prior to the start time. Online check-in will begin at 8:55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WHY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are excited to embrace the latest technology to provide expanded access, improved communication and cost savings for our stockholders and the Company while providing stockholders with the same rights and opportunities to participate as they would have at an in-person meeting. Hosting a virtual meeting will enable increased stockholder attendance and participation since stockholders can participate from any location around the world. Furthermore, as part of our effort to maintain a safe and healthy environment for our directors, members of management and stockholders who wish to attend the Annual Meeting, in light of the novel coronavirus disease, COVID-19, we believe that hosting a virtual meeting is in the best interest of the Company and its stockholders. You will be able to attend the Annual Meeting online and submit your questions by visiting </w:t>
      </w:r>
      <w:r>
        <w:rPr>
          <w:rFonts w:ascii="Arial" w:cs="Arial" w:eastAsia="Arial" w:hAnsi="Arial"/>
          <w:sz w:val="18"/>
          <w:szCs w:val="18"/>
          <w:i w:val="1"/>
          <w:iCs w:val="1"/>
          <w:color w:val="auto"/>
        </w:rPr>
        <w:t>www.virtualshareholdermeeting.com/SELB2020</w:t>
      </w:r>
      <w:r>
        <w:rPr>
          <w:rFonts w:ascii="Arial" w:cs="Arial" w:eastAsia="Arial" w:hAnsi="Arial"/>
          <w:sz w:val="18"/>
          <w:szCs w:val="18"/>
          <w:color w:val="auto"/>
        </w:rPr>
        <w:t xml:space="preserve"> . You also will be able to vote your shares electronically at the Annual Meeting.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32" w:lineRule="exact"/>
        <w:rPr>
          <w:sz w:val="20"/>
          <w:szCs w:val="20"/>
          <w:color w:val="auto"/>
        </w:rPr>
      </w:pPr>
    </w:p>
    <w:p>
      <w:pPr>
        <w:ind w:right="500"/>
        <w:spacing w:after="0" w:line="308" w:lineRule="auto"/>
        <w:rPr>
          <w:sz w:val="20"/>
          <w:szCs w:val="20"/>
          <w:color w:val="auto"/>
        </w:rPr>
      </w:pPr>
      <w:r>
        <w:rPr>
          <w:rFonts w:ascii="Arial" w:cs="Arial" w:eastAsia="Arial" w:hAnsi="Arial"/>
          <w:sz w:val="18"/>
          <w:szCs w:val="18"/>
          <w:color w:val="auto"/>
        </w:rPr>
        <w:t>If a quorum is not present at the scheduled time of the Annual Meeting, the Chairperson of the Annual Meeting may adjourn the Annual Meeting until a quorum is present or represented.</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104140</wp:posOffset>
            </wp:positionV>
            <wp:extent cx="7098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60"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We recommend that stockholders vote by proxy even if they plan to participate in the online Annual Meeting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vote electronically during the meeting. If you are a stockholder of record, you may vote:</w:t>
      </w:r>
    </w:p>
    <w:p>
      <w:pPr>
        <w:spacing w:after="0" w:line="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Telephone - You can vote by telephone by calling 1-800-690-6903 and following the instructions on the proxy card;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Internet - You can vote over the Internet at www.proxyvote.com by following the instructions on the proxy card or Internet Notice;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Mail - You can vote by mail by signing, dating and mailing the proxy card, which you may have received by mail; or</w:t>
      </w:r>
    </w:p>
    <w:p>
      <w:pPr>
        <w:spacing w:after="0" w:line="9" w:lineRule="exact"/>
        <w:rPr>
          <w:rFonts w:ascii="Arial" w:cs="Arial" w:eastAsia="Arial" w:hAnsi="Arial"/>
          <w:sz w:val="18"/>
          <w:szCs w:val="18"/>
          <w:color w:val="auto"/>
        </w:rPr>
      </w:pPr>
    </w:p>
    <w:p>
      <w:pPr>
        <w:ind w:left="660" w:right="24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Electronically at the Meeting - You may vote at the Annual Meeting by visiting </w:t>
      </w:r>
      <w:r>
        <w:rPr>
          <w:rFonts w:ascii="Arial" w:cs="Arial" w:eastAsia="Arial" w:hAnsi="Arial"/>
          <w:sz w:val="18"/>
          <w:szCs w:val="18"/>
          <w:i w:val="1"/>
          <w:iCs w:val="1"/>
          <w:color w:val="auto"/>
        </w:rPr>
        <w:t>www.virtualshareholdermeeting.com/SELB2020</w:t>
      </w:r>
      <w:r>
        <w:rPr>
          <w:rFonts w:ascii="Arial" w:cs="Arial" w:eastAsia="Arial" w:hAnsi="Arial"/>
          <w:sz w:val="18"/>
          <w:szCs w:val="18"/>
          <w:color w:val="auto"/>
        </w:rPr>
        <w:t xml:space="preserve"> and entering the 16-digit control number included on your Internet Notice, on your proxy card or on the instructions that accompanied your proxy materials. The meeting webcast will begin promptly at 9:00 am, Eastern Time, on June 19, 2020.</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18, 2020. To participate in the Annual Meeting, including to vote via the Internet or telephone, you will need the 16-digit control number included on your Internet Notice, on your proxy card or on the instructions that accompanied your proxy materials.</w:t>
      </w:r>
    </w:p>
    <w:p>
      <w:pPr>
        <w:spacing w:after="0" w:line="20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10" w:name="page11"/>
    <w:bookmarkEnd w:id="10"/>
    <w:p>
      <w:pPr>
        <w:ind w:right="80"/>
        <w:spacing w:after="0" w:line="261" w:lineRule="auto"/>
        <w:rPr>
          <w:sz w:val="20"/>
          <w:szCs w:val="20"/>
          <w:color w:val="auto"/>
        </w:rPr>
      </w:pPr>
      <w:r>
        <w:rPr>
          <w:rFonts w:ascii="Arial" w:cs="Arial" w:eastAsia="Arial" w:hAnsi="Arial"/>
          <w:sz w:val="18"/>
          <w:szCs w:val="18"/>
          <w:color w:val="auto"/>
        </w:rPr>
        <w:t>proxy, you may still decide to attend the Annual Meeting and vote your shares electronically. Note that, in light of possible disruptions in mail service related to the COVID-19 pandemic, we encourage stockholders to submit their proxy via the Internet or telephone.</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your shares are held in "street name" through a bank or broker, you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instructions on 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Arial" w:cs="Arial" w:eastAsia="Arial" w:hAnsi="Arial"/>
          <w:sz w:val="18"/>
          <w:szCs w:val="18"/>
          <w:i w:val="1"/>
          <w:iCs w:val="1"/>
          <w:color w:val="auto"/>
        </w:rPr>
        <w:t>www.virtualshareholdermeeting.com/SELB2020</w:t>
      </w:r>
      <w:r>
        <w:rPr>
          <w:rFonts w:ascii="Arial" w:cs="Arial" w:eastAsia="Arial" w:hAnsi="Arial"/>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the Company prior to the Annual Meeting;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voting electronically at the online Annual Meeting.</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Your most recent proxy card or telephone or Internet proxy is the one that is counted. Your participation in the online Annual Meeting by itself will not revoke your proxy unless you give written notice of revocation to the Secretary before your proxy is voted or you vote electronically at the online Annual Meeting.</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electronically at the online Annual Meeting by following the instructions above.</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w:t>
      </w:r>
    </w:p>
    <w:p>
      <w:pPr>
        <w:spacing w:after="0" w:line="3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recommendations of the Board of Directors. The Board of Directors’ recommendations are indicated on page 2 of this Proxy Statement, as well as with the description of each proposal in this Proxy Statement.</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w:t>
      </w:r>
    </w:p>
    <w:p>
      <w:pPr>
        <w:spacing w:after="0" w:line="3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1" w:name="page12"/>
    <w:bookmarkEnd w:id="11"/>
    <w:p>
      <w:pPr>
        <w:ind w:left="20"/>
        <w:spacing w:after="0"/>
        <w:rPr>
          <w:sz w:val="20"/>
          <w:szCs w:val="20"/>
          <w:color w:val="auto"/>
        </w:rPr>
      </w:pPr>
      <w:r>
        <w:rPr>
          <w:rFonts w:ascii="Arial" w:cs="Arial" w:eastAsia="Arial" w:hAnsi="Arial"/>
          <w:sz w:val="13"/>
          <w:szCs w:val="13"/>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98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shd w:val="clear" w:color="auto" w:fill="CECECE"/>
          </w:tcPr>
          <w:p>
            <w:pPr>
              <w:spacing w:after="0"/>
              <w:rPr>
                <w:sz w:val="17"/>
                <w:szCs w:val="17"/>
                <w:color w:val="auto"/>
              </w:rPr>
            </w:pPr>
          </w:p>
        </w:tc>
        <w:tc>
          <w:tcPr>
            <w:tcW w:w="4380" w:type="dxa"/>
            <w:vAlign w:val="bottom"/>
            <w:shd w:val="clear" w:color="auto" w:fill="CECECE"/>
          </w:tcPr>
          <w:p>
            <w:pPr>
              <w:spacing w:after="0"/>
              <w:rPr>
                <w:sz w:val="17"/>
                <w:szCs w:val="17"/>
                <w:color w:val="auto"/>
              </w:rPr>
            </w:pPr>
          </w:p>
        </w:tc>
        <w:tc>
          <w:tcPr>
            <w:tcW w:w="4520" w:type="dxa"/>
            <w:vAlign w:val="bottom"/>
            <w:shd w:val="clear" w:color="auto" w:fill="CECECE"/>
          </w:tcPr>
          <w:p>
            <w:pPr>
              <w:ind w:left="1640"/>
              <w:spacing w:after="0"/>
              <w:rPr>
                <w:sz w:val="20"/>
                <w:szCs w:val="20"/>
                <w:color w:val="auto"/>
              </w:rPr>
            </w:pPr>
            <w:r>
              <w:rPr>
                <w:rFonts w:ascii="Arial" w:cs="Arial" w:eastAsia="Arial" w:hAnsi="Arial"/>
                <w:sz w:val="18"/>
                <w:szCs w:val="18"/>
                <w:b w:val="1"/>
                <w:bCs w:val="1"/>
                <w:color w:val="auto"/>
              </w:rPr>
              <w:t>Effect of Votes</w:t>
            </w:r>
          </w:p>
        </w:tc>
      </w:tr>
      <w:tr>
        <w:trPr>
          <w:trHeight w:val="203"/>
        </w:trPr>
        <w:tc>
          <w:tcPr>
            <w:tcW w:w="2340" w:type="dxa"/>
            <w:vAlign w:val="bottom"/>
            <w:shd w:val="clear" w:color="auto" w:fill="CECECE"/>
          </w:tcPr>
          <w:p>
            <w:pPr>
              <w:spacing w:after="0"/>
              <w:rPr>
                <w:sz w:val="17"/>
                <w:szCs w:val="17"/>
                <w:color w:val="auto"/>
              </w:rPr>
            </w:pPr>
          </w:p>
        </w:tc>
        <w:tc>
          <w:tcPr>
            <w:tcW w:w="4380" w:type="dxa"/>
            <w:vAlign w:val="bottom"/>
            <w:shd w:val="clear" w:color="auto" w:fill="CECECE"/>
          </w:tcPr>
          <w:p>
            <w:pPr>
              <w:spacing w:after="0"/>
              <w:rPr>
                <w:sz w:val="17"/>
                <w:szCs w:val="17"/>
                <w:color w:val="auto"/>
              </w:rPr>
            </w:pPr>
          </w:p>
        </w:tc>
        <w:tc>
          <w:tcPr>
            <w:tcW w:w="4520" w:type="dxa"/>
            <w:vAlign w:val="bottom"/>
            <w:shd w:val="clear" w:color="auto" w:fill="CECECE"/>
          </w:tcPr>
          <w:p>
            <w:pPr>
              <w:ind w:left="1640"/>
              <w:spacing w:after="0" w:line="202" w:lineRule="exact"/>
              <w:rPr>
                <w:sz w:val="20"/>
                <w:szCs w:val="20"/>
                <w:color w:val="auto"/>
              </w:rPr>
            </w:pPr>
            <w:r>
              <w:rPr>
                <w:rFonts w:ascii="Arial" w:cs="Arial" w:eastAsia="Arial" w:hAnsi="Arial"/>
                <w:sz w:val="18"/>
                <w:szCs w:val="18"/>
                <w:b w:val="1"/>
                <w:bCs w:val="1"/>
                <w:color w:val="auto"/>
              </w:rPr>
              <w:t>Withheld/Abstentions and Broker</w:t>
            </w:r>
          </w:p>
        </w:tc>
      </w:tr>
      <w:tr>
        <w:trPr>
          <w:trHeight w:val="246"/>
        </w:trPr>
        <w:tc>
          <w:tcPr>
            <w:tcW w:w="2340" w:type="dxa"/>
            <w:vAlign w:val="bottom"/>
            <w:tcBorders>
              <w:bottom w:val="single" w:sz="8" w:color="auto"/>
            </w:tcBorders>
            <w:shd w:val="clear" w:color="auto" w:fill="CECECE"/>
          </w:tcPr>
          <w:p>
            <w:pPr>
              <w:ind w:left="40"/>
              <w:spacing w:after="0"/>
              <w:rPr>
                <w:sz w:val="20"/>
                <w:szCs w:val="20"/>
                <w:color w:val="auto"/>
              </w:rPr>
            </w:pPr>
            <w:r>
              <w:rPr>
                <w:rFonts w:ascii="Arial" w:cs="Arial" w:eastAsia="Arial" w:hAnsi="Arial"/>
                <w:sz w:val="18"/>
                <w:szCs w:val="18"/>
                <w:b w:val="1"/>
                <w:bCs w:val="1"/>
                <w:color w:val="auto"/>
              </w:rPr>
              <w:t>Proposal</w:t>
            </w:r>
          </w:p>
        </w:tc>
        <w:tc>
          <w:tcPr>
            <w:tcW w:w="4380" w:type="dxa"/>
            <w:vAlign w:val="bottom"/>
            <w:tcBorders>
              <w:bottom w:val="single" w:sz="8" w:color="auto"/>
            </w:tcBorders>
            <w:shd w:val="clear" w:color="auto" w:fill="CECECE"/>
          </w:tcPr>
          <w:p>
            <w:pPr>
              <w:ind w:left="1520"/>
              <w:spacing w:after="0"/>
              <w:rPr>
                <w:sz w:val="20"/>
                <w:szCs w:val="20"/>
                <w:color w:val="auto"/>
              </w:rPr>
            </w:pPr>
            <w:r>
              <w:rPr>
                <w:rFonts w:ascii="Arial" w:cs="Arial" w:eastAsia="Arial" w:hAnsi="Arial"/>
                <w:sz w:val="18"/>
                <w:szCs w:val="18"/>
                <w:b w:val="1"/>
                <w:bCs w:val="1"/>
                <w:color w:val="auto"/>
              </w:rPr>
              <w:t>Votes required</w:t>
            </w:r>
          </w:p>
        </w:tc>
        <w:tc>
          <w:tcPr>
            <w:tcW w:w="4520" w:type="dxa"/>
            <w:vAlign w:val="bottom"/>
            <w:tcBorders>
              <w:bottom w:val="single" w:sz="8" w:color="auto"/>
            </w:tcBorders>
            <w:shd w:val="clear" w:color="auto" w:fill="CECECE"/>
          </w:tcPr>
          <w:p>
            <w:pPr>
              <w:ind w:left="1640"/>
              <w:spacing w:after="0"/>
              <w:rPr>
                <w:sz w:val="20"/>
                <w:szCs w:val="20"/>
                <w:color w:val="auto"/>
              </w:rPr>
            </w:pPr>
            <w:r>
              <w:rPr>
                <w:rFonts w:ascii="Arial" w:cs="Arial" w:eastAsia="Arial" w:hAnsi="Arial"/>
                <w:sz w:val="18"/>
                <w:szCs w:val="18"/>
                <w:b w:val="1"/>
                <w:bCs w:val="1"/>
                <w:color w:val="auto"/>
              </w:rPr>
              <w:t>Non-Votes</w:t>
            </w:r>
          </w:p>
        </w:tc>
      </w:tr>
    </w:tbl>
    <w:p>
      <w:pPr>
        <w:spacing w:after="0" w:line="25" w:lineRule="exact"/>
        <w:rPr>
          <w:sz w:val="20"/>
          <w:szCs w:val="20"/>
          <w:color w:val="auto"/>
        </w:rPr>
      </w:pPr>
    </w:p>
    <w:p>
      <w:pPr>
        <w:sectPr>
          <w:pgSz w:w="11900" w:h="16838" w:orient="portrait"/>
          <w:cols w:equalWidth="0" w:num="1">
            <w:col w:w="11240"/>
          </w:cols>
          <w:pgMar w:left="320" w:top="717" w:right="339" w:bottom="1440" w:gutter="0" w:footer="0" w:header="0"/>
        </w:sectPr>
      </w:pPr>
    </w:p>
    <w:p>
      <w:pPr>
        <w:ind w:left="40"/>
        <w:spacing w:after="0"/>
        <w:tabs>
          <w:tab w:leader="none" w:pos="3840" w:val="left"/>
        </w:tabs>
        <w:rPr>
          <w:sz w:val="20"/>
          <w:szCs w:val="20"/>
          <w:color w:val="auto"/>
        </w:rPr>
      </w:pPr>
      <w:r>
        <w:rPr>
          <w:rFonts w:ascii="Arial" w:cs="Arial" w:eastAsia="Arial" w:hAnsi="Arial"/>
          <w:sz w:val="13"/>
          <w:szCs w:val="13"/>
          <w:color w:val="auto"/>
        </w:rPr>
        <w:t>Proposal 1: Election of Directors</w:t>
      </w:r>
      <w:r>
        <w:rPr>
          <w:sz w:val="20"/>
          <w:szCs w:val="20"/>
          <w:color w:val="auto"/>
        </w:rPr>
        <w:tab/>
      </w:r>
      <w:r>
        <w:rPr>
          <w:rFonts w:ascii="Arial" w:cs="Arial" w:eastAsia="Arial" w:hAnsi="Arial"/>
          <w:sz w:val="13"/>
          <w:szCs w:val="13"/>
          <w:color w:val="auto"/>
        </w:rPr>
        <w:t>The plurality of the votes cast. This means that the three nominees</w:t>
      </w:r>
    </w:p>
    <w:p>
      <w:pPr>
        <w:ind w:left="3860"/>
        <w:spacing w:after="0" w:line="258" w:lineRule="auto"/>
        <w:rPr>
          <w:sz w:val="20"/>
          <w:szCs w:val="20"/>
          <w:color w:val="auto"/>
        </w:rPr>
      </w:pPr>
      <w:r>
        <w:rPr>
          <w:rFonts w:ascii="Arial" w:cs="Arial" w:eastAsia="Arial" w:hAnsi="Arial"/>
          <w:sz w:val="13"/>
          <w:szCs w:val="13"/>
          <w:color w:val="auto"/>
        </w:rPr>
        <w:t>receiving the highest number of affirmative “FOR” votes will be elected as Class I Directors.</w:t>
      </w:r>
    </w:p>
    <w:p>
      <w:pPr>
        <w:spacing w:after="0" w:line="20" w:lineRule="exact"/>
        <w:rPr>
          <w:sz w:val="20"/>
          <w:szCs w:val="20"/>
          <w:color w:val="auto"/>
        </w:rPr>
      </w:pPr>
      <w:r>
        <w:rPr>
          <w:sz w:val="20"/>
          <w:szCs w:val="20"/>
          <w:color w:val="auto"/>
        </w:rPr>
        <w:br w:type="column"/>
      </w:r>
    </w:p>
    <w:p>
      <w:pPr>
        <w:ind w:right="160"/>
        <w:spacing w:after="0" w:line="258" w:lineRule="auto"/>
        <w:rPr>
          <w:sz w:val="20"/>
          <w:szCs w:val="20"/>
          <w:color w:val="auto"/>
        </w:rPr>
      </w:pPr>
      <w:r>
        <w:rPr>
          <w:rFonts w:ascii="Arial" w:cs="Arial" w:eastAsia="Arial" w:hAnsi="Arial"/>
          <w:sz w:val="13"/>
          <w:szCs w:val="13"/>
          <w:color w:val="auto"/>
        </w:rPr>
        <w:t>Votes withheld and broker non-votes will have no effect.</w:t>
      </w:r>
    </w:p>
    <w:p>
      <w:pPr>
        <w:spacing w:after="0" w:line="300" w:lineRule="exact"/>
        <w:rPr>
          <w:sz w:val="20"/>
          <w:szCs w:val="20"/>
          <w:color w:val="auto"/>
        </w:rPr>
      </w:pPr>
    </w:p>
    <w:p>
      <w:pPr>
        <w:sectPr>
          <w:pgSz w:w="11900" w:h="16838" w:orient="portrait"/>
          <w:cols w:equalWidth="0" w:num="2">
            <w:col w:w="8240" w:space="120"/>
            <w:col w:w="2880"/>
          </w:cols>
          <w:pgMar w:left="320" w:top="717"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3580" w:type="dxa"/>
            <w:vAlign w:val="bottom"/>
            <w:shd w:val="clear" w:color="auto" w:fill="CECECE"/>
          </w:tcPr>
          <w:p>
            <w:pPr>
              <w:ind w:left="40"/>
              <w:spacing w:after="0"/>
              <w:rPr>
                <w:sz w:val="20"/>
                <w:szCs w:val="20"/>
                <w:color w:val="auto"/>
              </w:rPr>
            </w:pPr>
            <w:r>
              <w:rPr>
                <w:rFonts w:ascii="Arial" w:cs="Arial" w:eastAsia="Arial" w:hAnsi="Arial"/>
                <w:sz w:val="13"/>
                <w:szCs w:val="13"/>
                <w:color w:val="auto"/>
              </w:rPr>
              <w:t>Proposal 2: Ratification of Appointment of Independent</w:t>
            </w:r>
          </w:p>
        </w:tc>
        <w:tc>
          <w:tcPr>
            <w:tcW w:w="4580" w:type="dxa"/>
            <w:vAlign w:val="bottom"/>
            <w:shd w:val="clear" w:color="auto" w:fill="CECECE"/>
          </w:tcPr>
          <w:p>
            <w:pPr>
              <w:ind w:left="280"/>
              <w:spacing w:after="0"/>
              <w:rPr>
                <w:sz w:val="20"/>
                <w:szCs w:val="20"/>
                <w:color w:val="auto"/>
              </w:rPr>
            </w:pPr>
            <w:r>
              <w:rPr>
                <w:rFonts w:ascii="Arial" w:cs="Arial" w:eastAsia="Arial" w:hAnsi="Arial"/>
                <w:sz w:val="13"/>
                <w:szCs w:val="13"/>
                <w:color w:val="auto"/>
              </w:rPr>
              <w:t>The affirmative vote of the holders of a majority in voting power of the</w:t>
            </w:r>
          </w:p>
        </w:tc>
        <w:tc>
          <w:tcPr>
            <w:tcW w:w="3080" w:type="dxa"/>
            <w:vAlign w:val="bottom"/>
            <w:shd w:val="clear" w:color="auto" w:fill="CECECE"/>
          </w:tcPr>
          <w:p>
            <w:pPr>
              <w:ind w:left="200"/>
              <w:spacing w:after="0"/>
              <w:rPr>
                <w:sz w:val="20"/>
                <w:szCs w:val="20"/>
                <w:color w:val="auto"/>
              </w:rPr>
            </w:pPr>
            <w:r>
              <w:rPr>
                <w:rFonts w:ascii="Arial" w:cs="Arial" w:eastAsia="Arial" w:hAnsi="Arial"/>
                <w:sz w:val="13"/>
                <w:szCs w:val="13"/>
                <w:color w:val="auto"/>
              </w:rPr>
              <w:t>Abstentions will have no effect. We do not</w:t>
            </w:r>
          </w:p>
        </w:tc>
      </w:tr>
      <w:tr>
        <w:trPr>
          <w:trHeight w:val="162"/>
        </w:trPr>
        <w:tc>
          <w:tcPr>
            <w:tcW w:w="3580" w:type="dxa"/>
            <w:vAlign w:val="bottom"/>
            <w:shd w:val="clear" w:color="auto" w:fill="CECECE"/>
          </w:tcPr>
          <w:p>
            <w:pPr>
              <w:ind w:left="40"/>
              <w:spacing w:after="0"/>
              <w:rPr>
                <w:sz w:val="20"/>
                <w:szCs w:val="20"/>
                <w:color w:val="auto"/>
              </w:rPr>
            </w:pPr>
            <w:r>
              <w:rPr>
                <w:rFonts w:ascii="Arial" w:cs="Arial" w:eastAsia="Arial" w:hAnsi="Arial"/>
                <w:sz w:val="13"/>
                <w:szCs w:val="13"/>
                <w:color w:val="auto"/>
              </w:rPr>
              <w:t>Registered Public Accounting Firm</w:t>
            </w:r>
          </w:p>
        </w:tc>
        <w:tc>
          <w:tcPr>
            <w:tcW w:w="4580" w:type="dxa"/>
            <w:vAlign w:val="bottom"/>
            <w:shd w:val="clear" w:color="auto" w:fill="CECECE"/>
          </w:tcPr>
          <w:p>
            <w:pPr>
              <w:ind w:left="280"/>
              <w:spacing w:after="0"/>
              <w:rPr>
                <w:sz w:val="20"/>
                <w:szCs w:val="20"/>
                <w:color w:val="auto"/>
              </w:rPr>
            </w:pPr>
            <w:r>
              <w:rPr>
                <w:rFonts w:ascii="Arial" w:cs="Arial" w:eastAsia="Arial" w:hAnsi="Arial"/>
                <w:sz w:val="13"/>
                <w:szCs w:val="13"/>
                <w:color w:val="auto"/>
              </w:rPr>
              <w:t>votes cast affirmatively or negatively.</w:t>
            </w:r>
          </w:p>
        </w:tc>
        <w:tc>
          <w:tcPr>
            <w:tcW w:w="3080" w:type="dxa"/>
            <w:vAlign w:val="bottom"/>
            <w:shd w:val="clear" w:color="auto" w:fill="CECECE"/>
          </w:tcPr>
          <w:p>
            <w:pPr>
              <w:ind w:left="200"/>
              <w:spacing w:after="0"/>
              <w:rPr>
                <w:sz w:val="20"/>
                <w:szCs w:val="20"/>
                <w:color w:val="auto"/>
              </w:rPr>
            </w:pPr>
            <w:r>
              <w:rPr>
                <w:rFonts w:ascii="Arial" w:cs="Arial" w:eastAsia="Arial" w:hAnsi="Arial"/>
                <w:sz w:val="13"/>
                <w:szCs w:val="13"/>
                <w:color w:val="auto"/>
              </w:rPr>
              <w:t>expect any broker non-votes on this proposal.</w:t>
            </w:r>
          </w:p>
        </w:tc>
      </w:tr>
      <w:tr>
        <w:trPr>
          <w:trHeight w:val="163"/>
        </w:trPr>
        <w:tc>
          <w:tcPr>
            <w:tcW w:w="3580" w:type="dxa"/>
            <w:vAlign w:val="bottom"/>
            <w:shd w:val="clear" w:color="auto" w:fill="CECECE"/>
          </w:tcPr>
          <w:p>
            <w:pPr>
              <w:spacing w:after="0"/>
              <w:rPr>
                <w:sz w:val="14"/>
                <w:szCs w:val="14"/>
                <w:color w:val="auto"/>
              </w:rPr>
            </w:pPr>
          </w:p>
        </w:tc>
        <w:tc>
          <w:tcPr>
            <w:tcW w:w="4580" w:type="dxa"/>
            <w:vAlign w:val="bottom"/>
            <w:shd w:val="clear" w:color="auto" w:fill="CECECE"/>
          </w:tcPr>
          <w:p>
            <w:pPr>
              <w:spacing w:after="0"/>
              <w:rPr>
                <w:sz w:val="14"/>
                <w:szCs w:val="14"/>
                <w:color w:val="auto"/>
              </w:rPr>
            </w:pPr>
          </w:p>
        </w:tc>
        <w:tc>
          <w:tcPr>
            <w:tcW w:w="3080" w:type="dxa"/>
            <w:vAlign w:val="bottom"/>
            <w:shd w:val="clear" w:color="auto" w:fill="CECECE"/>
          </w:tcPr>
          <w:p>
            <w:pPr>
              <w:spacing w:after="0"/>
              <w:rPr>
                <w:sz w:val="14"/>
                <w:szCs w:val="14"/>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Ernst &amp; Young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Ernst &amp; Young LLP.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Where can I find the voting results of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PROPOSALS TO BE VOTED ON - PROPOSAL 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098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At the Annual Meeting, three (3) Class I Directors are to be elected to hold office until the Annual Meeting of Stockholders to be held in 2023 and until such director’s successor is elected and qualified or until such director’s earlier death, resignation or removal.</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currently have eight (8) directors on our Board, including three (3) Class I Directors. Our current Class I Directors are Scott D. Myers, who was appointed to serve on our Board of Directors in June 2019, Timothy A. Springer, Ph.D., who has served on our Board of Directors since June 2016, and Patrick Zenner, who has served on our Board of Directors since June 2017. All three members have been nominated for election as a Class I Director at the Annual Meeting.</w:t>
      </w:r>
    </w:p>
    <w:p>
      <w:pPr>
        <w:spacing w:after="0" w:line="204"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Annual Meeting and whose subsequent term will expire at the 2023 Annual Meeting of Stockholders; Class II, whose term will expire at the 2021 Annual Meeting of Stockholders and whose subsequent term will expire at the 2024 Annual Meeting of Stockholders; and Class III, whose term will expire at the 2022 Annual Meeting of Stockholders and whose subsequent term will expire at the 2025 Annual Meeting of Stockholders. The current Class I Directors are Scott D. Myers, Timothy Springer, Ph.D. and Patrick Zenner; the current Class II Directors are Göran Ando, M.D., Carrie S. Cox, and Aymeric Sallin; and the current Class III Directors are Timothy C. Barabe and Carsten Brunn, Ph.D.</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of Directors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86"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1" w:lineRule="exact"/>
        <w:rPr>
          <w:sz w:val="20"/>
          <w:szCs w:val="20"/>
          <w:color w:val="auto"/>
        </w:rPr>
      </w:pPr>
    </w:p>
    <w:p>
      <w:pPr>
        <w:ind w:left="720" w:hanging="557"/>
        <w:spacing w:after="0"/>
        <w:tabs>
          <w:tab w:leader="none" w:pos="720" w:val="left"/>
        </w:tabs>
        <w:numPr>
          <w:ilvl w:val="0"/>
          <w:numId w:val="6"/>
        </w:numPr>
        <w:rPr>
          <w:rFonts w:ascii="Arial" w:cs="Arial" w:eastAsia="Arial" w:hAnsi="Arial"/>
          <w:sz w:val="50"/>
          <w:szCs w:val="50"/>
          <w:color w:val="auto"/>
        </w:rPr>
      </w:pPr>
      <w:r>
        <w:rPr>
          <w:rFonts w:ascii="Arial" w:cs="Arial" w:eastAsia="Arial" w:hAnsi="Arial"/>
          <w:sz w:val="18"/>
          <w:szCs w:val="18"/>
          <w:color w:val="auto"/>
        </w:rPr>
        <w:t>The Board of Directors unanimously recommends a vote FOR the election of the below Class I Director nominees.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NOMINEES FOR CLASS I DIRECTORS (TERMS TO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election to the Board of Directors as Class I Directors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0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96"/>
              </w:rPr>
              <w:t>Served as a Director Since</w:t>
            </w:r>
          </w:p>
        </w:tc>
        <w:tc>
          <w:tcPr>
            <w:tcW w:w="40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Position(s) with Selecta</w:t>
            </w:r>
          </w:p>
        </w:tc>
      </w:tr>
      <w:tr>
        <w:trPr>
          <w:trHeight w:val="25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Scott D. Myers</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54</w:t>
            </w:r>
          </w:p>
        </w:tc>
        <w:tc>
          <w:tcPr>
            <w:tcW w:w="100" w:type="dxa"/>
            <w:vAlign w:val="bottom"/>
            <w:shd w:val="clear" w:color="auto" w:fill="CCEEFF"/>
          </w:tcPr>
          <w:p>
            <w:pPr>
              <w:spacing w:after="0"/>
              <w:rPr>
                <w:sz w:val="22"/>
                <w:szCs w:val="22"/>
                <w:color w:val="auto"/>
              </w:rPr>
            </w:pPr>
          </w:p>
        </w:tc>
        <w:tc>
          <w:tcPr>
            <w:tcW w:w="276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6"/>
              </w:rPr>
              <w:t>2019</w:t>
            </w:r>
          </w:p>
        </w:tc>
        <w:tc>
          <w:tcPr>
            <w:tcW w:w="4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Director</w:t>
            </w:r>
          </w:p>
        </w:tc>
      </w:tr>
      <w:tr>
        <w:trPr>
          <w:trHeight w:val="262"/>
        </w:trPr>
        <w:tc>
          <w:tcPr>
            <w:tcW w:w="3400" w:type="dxa"/>
            <w:vAlign w:val="bottom"/>
            <w:gridSpan w:val="2"/>
          </w:tcPr>
          <w:p>
            <w:pPr>
              <w:ind w:left="40"/>
              <w:spacing w:after="0"/>
              <w:rPr>
                <w:sz w:val="20"/>
                <w:szCs w:val="20"/>
                <w:color w:val="auto"/>
              </w:rPr>
            </w:pPr>
            <w:r>
              <w:rPr>
                <w:rFonts w:ascii="Arial" w:cs="Arial" w:eastAsia="Arial" w:hAnsi="Arial"/>
                <w:sz w:val="13"/>
                <w:szCs w:val="13"/>
                <w:color w:val="auto"/>
              </w:rPr>
              <w:t>Timothy A. Springer, Ph.D.</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72</w:t>
            </w:r>
          </w:p>
        </w:tc>
        <w:tc>
          <w:tcPr>
            <w:tcW w:w="100" w:type="dxa"/>
            <w:vAlign w:val="bottom"/>
          </w:tcPr>
          <w:p>
            <w:pPr>
              <w:spacing w:after="0"/>
              <w:rPr>
                <w:sz w:val="22"/>
                <w:szCs w:val="22"/>
                <w:color w:val="auto"/>
              </w:rPr>
            </w:pPr>
          </w:p>
        </w:tc>
        <w:tc>
          <w:tcPr>
            <w:tcW w:w="2760" w:type="dxa"/>
            <w:vAlign w:val="bottom"/>
          </w:tcPr>
          <w:p>
            <w:pPr>
              <w:jc w:val="center"/>
              <w:ind w:left="337"/>
              <w:spacing w:after="0"/>
              <w:rPr>
                <w:sz w:val="20"/>
                <w:szCs w:val="20"/>
                <w:color w:val="auto"/>
              </w:rPr>
            </w:pPr>
            <w:r>
              <w:rPr>
                <w:rFonts w:ascii="Arial" w:cs="Arial" w:eastAsia="Arial" w:hAnsi="Arial"/>
                <w:sz w:val="13"/>
                <w:szCs w:val="13"/>
                <w:color w:val="auto"/>
                <w:w w:val="96"/>
              </w:rPr>
              <w:t>2016</w:t>
            </w:r>
          </w:p>
        </w:tc>
        <w:tc>
          <w:tcPr>
            <w:tcW w:w="4080" w:type="dxa"/>
            <w:vAlign w:val="bottom"/>
          </w:tcPr>
          <w:p>
            <w:pPr>
              <w:ind w:left="400"/>
              <w:spacing w:after="0"/>
              <w:rPr>
                <w:sz w:val="20"/>
                <w:szCs w:val="20"/>
                <w:color w:val="auto"/>
              </w:rPr>
            </w:pPr>
            <w:r>
              <w:rPr>
                <w:rFonts w:ascii="Arial" w:cs="Arial" w:eastAsia="Arial" w:hAnsi="Arial"/>
                <w:sz w:val="13"/>
                <w:szCs w:val="13"/>
                <w:color w:val="auto"/>
              </w:rPr>
              <w:t>Director</w:t>
            </w:r>
          </w:p>
        </w:tc>
      </w:tr>
      <w:tr>
        <w:trPr>
          <w:trHeight w:val="278"/>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Patrick Zenner</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73</w:t>
            </w:r>
          </w:p>
        </w:tc>
        <w:tc>
          <w:tcPr>
            <w:tcW w:w="100" w:type="dxa"/>
            <w:vAlign w:val="bottom"/>
            <w:shd w:val="clear" w:color="auto" w:fill="CCEEFF"/>
          </w:tcPr>
          <w:p>
            <w:pPr>
              <w:spacing w:after="0"/>
              <w:rPr>
                <w:sz w:val="24"/>
                <w:szCs w:val="24"/>
                <w:color w:val="auto"/>
              </w:rPr>
            </w:pPr>
          </w:p>
        </w:tc>
        <w:tc>
          <w:tcPr>
            <w:tcW w:w="276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6"/>
              </w:rPr>
              <w:t>2017</w:t>
            </w:r>
          </w:p>
        </w:tc>
        <w:tc>
          <w:tcPr>
            <w:tcW w:w="4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Director</w:t>
            </w:r>
          </w:p>
        </w:tc>
      </w:tr>
    </w:tbl>
    <w:p>
      <w:pPr>
        <w:spacing w:after="0" w:line="21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351" w:lineRule="exact"/>
        <w:rPr>
          <w:sz w:val="20"/>
          <w:szCs w:val="20"/>
          <w:color w:val="auto"/>
        </w:rPr>
      </w:pPr>
    </w:p>
    <w:p>
      <w:pPr>
        <w:ind w:left="500"/>
        <w:spacing w:after="0"/>
        <w:tabs>
          <w:tab w:leader="none" w:pos="10620" w:val="left"/>
        </w:tabs>
        <w:rPr>
          <w:sz w:val="20"/>
          <w:szCs w:val="20"/>
          <w:color w:val="auto"/>
        </w:rPr>
      </w:pPr>
      <w:r>
        <w:rPr>
          <w:rFonts w:ascii="Arial" w:cs="Arial" w:eastAsia="Arial" w:hAnsi="Arial"/>
          <w:sz w:val="13"/>
          <w:szCs w:val="13"/>
          <w:b w:val="1"/>
          <w:bCs w:val="1"/>
          <w:color w:val="auto"/>
        </w:rPr>
        <w:t>SCOTT D. MYERS</w:t>
      </w:r>
      <w:r>
        <w:rPr>
          <w:sz w:val="20"/>
          <w:szCs w:val="20"/>
          <w:color w:val="auto"/>
        </w:rPr>
        <w:tab/>
      </w:r>
      <w:r>
        <w:rPr>
          <w:rFonts w:ascii="Arial" w:cs="Arial" w:eastAsia="Arial" w:hAnsi="Arial"/>
          <w:sz w:val="13"/>
          <w:szCs w:val="13"/>
          <w:i w:val="1"/>
          <w:iCs w:val="1"/>
          <w:color w:val="auto"/>
        </w:rPr>
        <w:t>Age 54</w:t>
      </w:r>
    </w:p>
    <w:p>
      <w:pPr>
        <w:spacing w:after="0" w:line="2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Scott D. Myers has served as a member of our Board of Directors since June 2019. Mr. Myers most recently served as Chief Executive Officer, President, and Chairman of the Board of Rainier Therapeutics, a clinical-stage biotechnology company focused on metastatic bladder cancer, from June 2018 to January 2020. Prior to Rainier Therapeutics, Mr. Myers served as Chief Executive Officer and as a member of the board of directors of Cascadian Therapeutics, an oncology company, from April 2016 until it was acquired by Seattle Genetics in March 2018. Prior to Cascadian, Mr. Myers served as Chief Executive Officer of Aerocrine AB, a medical device company, from 2011 through its acquisition by Circassia Pharmaceuticals plc in July 2015. Mr. Myers held senior commercial operations, general management, and information management positions for UCB SA, a Belgium-based biopharmaceutical company, and Johnson &amp; Johnson. He currently serves on the board of directors of Harpoon Therapeutics. Mr. Myers earned his B.A. in biology from Northwestern University and his M.B.A. from the University of Chicago Booth School of Business. Mr. Myers’ experience as a senior executive of life sciences companies and knowledge of the pharmaceutical and biotech industries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057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00"/>
        <w:spacing w:after="0"/>
        <w:tabs>
          <w:tab w:leader="none" w:pos="10620" w:val="left"/>
        </w:tabs>
        <w:rPr>
          <w:sz w:val="20"/>
          <w:szCs w:val="20"/>
          <w:color w:val="auto"/>
        </w:rPr>
      </w:pPr>
      <w:r>
        <w:rPr>
          <w:rFonts w:ascii="Arial" w:cs="Arial" w:eastAsia="Arial" w:hAnsi="Arial"/>
          <w:sz w:val="13"/>
          <w:szCs w:val="13"/>
          <w:b w:val="1"/>
          <w:bCs w:val="1"/>
          <w:color w:val="auto"/>
        </w:rPr>
        <w:t>TIMOTHY A. SPRINGER, PH.D.</w:t>
      </w:r>
      <w:r>
        <w:rPr>
          <w:sz w:val="20"/>
          <w:szCs w:val="20"/>
          <w:color w:val="auto"/>
        </w:rPr>
        <w:tab/>
      </w:r>
      <w:r>
        <w:rPr>
          <w:rFonts w:ascii="Arial" w:cs="Arial" w:eastAsia="Arial" w:hAnsi="Arial"/>
          <w:sz w:val="13"/>
          <w:szCs w:val="13"/>
          <w:i w:val="1"/>
          <w:iCs w:val="1"/>
          <w:color w:val="auto"/>
        </w:rPr>
        <w:t>Age 72</w:t>
      </w:r>
    </w:p>
    <w:p>
      <w:pPr>
        <w:spacing w:after="0" w:line="2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Timothy A. Springer, Ph.D. has served as a member of our Board of Directors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4" w:name="page15"/>
    <w:bookmarkEnd w:id="14"/>
    <w:p>
      <w:pPr>
        <w:ind w:right="320"/>
        <w:spacing w:after="0" w:line="256" w:lineRule="auto"/>
        <w:rPr>
          <w:sz w:val="20"/>
          <w:szCs w:val="20"/>
          <w:color w:val="auto"/>
        </w:rPr>
      </w:pPr>
      <w:r>
        <w:rPr>
          <w:rFonts w:ascii="Arial" w:cs="Arial" w:eastAsia="Arial" w:hAnsi="Arial"/>
          <w:sz w:val="18"/>
          <w:szCs w:val="18"/>
          <w:color w:val="auto"/>
        </w:rPr>
        <w:t>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4057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00"/>
        <w:spacing w:after="0"/>
        <w:tabs>
          <w:tab w:leader="none" w:pos="10620" w:val="left"/>
        </w:tabs>
        <w:rPr>
          <w:sz w:val="20"/>
          <w:szCs w:val="20"/>
          <w:color w:val="auto"/>
        </w:rPr>
      </w:pPr>
      <w:r>
        <w:rPr>
          <w:rFonts w:ascii="Arial" w:cs="Arial" w:eastAsia="Arial" w:hAnsi="Arial"/>
          <w:sz w:val="13"/>
          <w:szCs w:val="13"/>
          <w:b w:val="1"/>
          <w:bCs w:val="1"/>
          <w:color w:val="auto"/>
        </w:rPr>
        <w:t>PATRICK ZENNER</w:t>
      </w:r>
      <w:r>
        <w:rPr>
          <w:sz w:val="20"/>
          <w:szCs w:val="20"/>
          <w:color w:val="auto"/>
        </w:rPr>
        <w:tab/>
      </w:r>
      <w:r>
        <w:rPr>
          <w:rFonts w:ascii="Arial" w:cs="Arial" w:eastAsia="Arial" w:hAnsi="Arial"/>
          <w:sz w:val="13"/>
          <w:szCs w:val="13"/>
          <w:i w:val="1"/>
          <w:iCs w:val="1"/>
          <w:color w:val="auto"/>
        </w:rPr>
        <w:t>Age 73</w:t>
      </w:r>
    </w:p>
    <w:p>
      <w:pPr>
        <w:spacing w:after="0" w:line="27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Patrick Zenner has served as a member of our Board of Directors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CONTINUING MEMBERS OF THE BOARD OF DIRECTORS:</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CLASS II DIRECTORS (TERMS TO EXPIRE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 Directors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FF0FC"/>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Age</w:t>
            </w:r>
          </w:p>
        </w:tc>
        <w:tc>
          <w:tcPr>
            <w:tcW w:w="120" w:type="dxa"/>
            <w:vAlign w:val="bottom"/>
            <w:tcBorders>
              <w:bottom w:val="single" w:sz="8" w:color="CFF0FC"/>
            </w:tcBorders>
          </w:tcPr>
          <w:p>
            <w:pPr>
              <w:spacing w:after="0"/>
              <w:rPr>
                <w:sz w:val="16"/>
                <w:szCs w:val="16"/>
                <w:color w:val="auto"/>
              </w:rPr>
            </w:pPr>
          </w:p>
        </w:tc>
        <w:tc>
          <w:tcPr>
            <w:tcW w:w="212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rPr>
              <w:t>Served as a Director Since</w:t>
            </w:r>
          </w:p>
        </w:tc>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Position(s) with Selecta</w:t>
            </w:r>
          </w:p>
        </w:tc>
      </w:tr>
      <w:tr>
        <w:trPr>
          <w:trHeight w:val="188"/>
        </w:trPr>
        <w:tc>
          <w:tcPr>
            <w:tcW w:w="418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Göran Ando, M.D.</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71</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jc w:val="center"/>
              <w:ind w:left="33"/>
              <w:spacing w:after="0"/>
              <w:rPr>
                <w:sz w:val="20"/>
                <w:szCs w:val="20"/>
                <w:color w:val="auto"/>
              </w:rPr>
            </w:pPr>
            <w:r>
              <w:rPr>
                <w:rFonts w:ascii="Arial" w:cs="Arial" w:eastAsia="Arial" w:hAnsi="Arial"/>
                <w:sz w:val="13"/>
                <w:szCs w:val="13"/>
                <w:color w:val="auto"/>
              </w:rPr>
              <w:t>2020</w:t>
            </w:r>
          </w:p>
        </w:tc>
        <w:tc>
          <w:tcPr>
            <w:tcW w:w="3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Director</w:t>
            </w:r>
          </w:p>
        </w:tc>
      </w:tr>
      <w:tr>
        <w:trPr>
          <w:trHeight w:val="68"/>
        </w:trPr>
        <w:tc>
          <w:tcPr>
            <w:tcW w:w="4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120" w:type="dxa"/>
            <w:vAlign w:val="bottom"/>
            <w:shd w:val="clear" w:color="auto" w:fill="CFF0FC"/>
          </w:tcPr>
          <w:p>
            <w:pPr>
              <w:spacing w:after="0"/>
              <w:rPr>
                <w:sz w:val="5"/>
                <w:szCs w:val="5"/>
                <w:color w:val="auto"/>
              </w:rPr>
            </w:pPr>
          </w:p>
        </w:tc>
        <w:tc>
          <w:tcPr>
            <w:tcW w:w="3920" w:type="dxa"/>
            <w:vAlign w:val="bottom"/>
            <w:shd w:val="clear" w:color="auto" w:fill="CFF0FC"/>
          </w:tcPr>
          <w:p>
            <w:pPr>
              <w:spacing w:after="0"/>
              <w:rPr>
                <w:sz w:val="5"/>
                <w:szCs w:val="5"/>
                <w:color w:val="auto"/>
              </w:rPr>
            </w:pPr>
          </w:p>
        </w:tc>
      </w:tr>
      <w:tr>
        <w:trPr>
          <w:trHeight w:val="189"/>
        </w:trPr>
        <w:tc>
          <w:tcPr>
            <w:tcW w:w="4180" w:type="dxa"/>
            <w:vAlign w:val="bottom"/>
            <w:gridSpan w:val="2"/>
          </w:tcPr>
          <w:p>
            <w:pPr>
              <w:ind w:left="40"/>
              <w:spacing w:after="0"/>
              <w:rPr>
                <w:sz w:val="20"/>
                <w:szCs w:val="20"/>
                <w:color w:val="auto"/>
              </w:rPr>
            </w:pPr>
            <w:r>
              <w:rPr>
                <w:rFonts w:ascii="Arial" w:cs="Arial" w:eastAsia="Arial" w:hAnsi="Arial"/>
                <w:sz w:val="13"/>
                <w:szCs w:val="13"/>
                <w:color w:val="auto"/>
              </w:rPr>
              <w:t>Carrie S. Cox</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63</w:t>
            </w:r>
          </w:p>
        </w:tc>
        <w:tc>
          <w:tcPr>
            <w:tcW w:w="120" w:type="dxa"/>
            <w:vAlign w:val="bottom"/>
          </w:tcPr>
          <w:p>
            <w:pPr>
              <w:spacing w:after="0"/>
              <w:rPr>
                <w:sz w:val="16"/>
                <w:szCs w:val="16"/>
                <w:color w:val="auto"/>
              </w:rPr>
            </w:pPr>
          </w:p>
        </w:tc>
        <w:tc>
          <w:tcPr>
            <w:tcW w:w="2120" w:type="dxa"/>
            <w:vAlign w:val="bottom"/>
          </w:tcPr>
          <w:p>
            <w:pPr>
              <w:jc w:val="center"/>
              <w:ind w:left="33"/>
              <w:spacing w:after="0"/>
              <w:rPr>
                <w:sz w:val="20"/>
                <w:szCs w:val="20"/>
                <w:color w:val="auto"/>
              </w:rPr>
            </w:pPr>
            <w:r>
              <w:rPr>
                <w:rFonts w:ascii="Arial" w:cs="Arial" w:eastAsia="Arial" w:hAnsi="Arial"/>
                <w:sz w:val="13"/>
                <w:szCs w:val="13"/>
                <w:color w:val="auto"/>
              </w:rPr>
              <w:t>2019</w:t>
            </w:r>
          </w:p>
        </w:tc>
        <w:tc>
          <w:tcPr>
            <w:tcW w:w="3920" w:type="dxa"/>
            <w:vAlign w:val="bottom"/>
          </w:tcPr>
          <w:p>
            <w:pPr>
              <w:ind w:left="140"/>
              <w:spacing w:after="0"/>
              <w:rPr>
                <w:sz w:val="20"/>
                <w:szCs w:val="20"/>
                <w:color w:val="auto"/>
              </w:rPr>
            </w:pPr>
            <w:r>
              <w:rPr>
                <w:rFonts w:ascii="Arial" w:cs="Arial" w:eastAsia="Arial" w:hAnsi="Arial"/>
                <w:sz w:val="13"/>
                <w:szCs w:val="13"/>
                <w:color w:val="auto"/>
              </w:rPr>
              <w:t>Chairman of the Board</w:t>
            </w:r>
          </w:p>
        </w:tc>
      </w:tr>
      <w:tr>
        <w:trPr>
          <w:trHeight w:val="81"/>
        </w:trPr>
        <w:tc>
          <w:tcPr>
            <w:tcW w:w="4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3920" w:type="dxa"/>
            <w:vAlign w:val="bottom"/>
          </w:tcPr>
          <w:p>
            <w:pPr>
              <w:spacing w:after="0"/>
              <w:rPr>
                <w:sz w:val="7"/>
                <w:szCs w:val="7"/>
                <w:color w:val="auto"/>
              </w:rPr>
            </w:pPr>
          </w:p>
        </w:tc>
      </w:tr>
      <w:tr>
        <w:trPr>
          <w:trHeight w:val="189"/>
        </w:trPr>
        <w:tc>
          <w:tcPr>
            <w:tcW w:w="418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Aymeric Sallin</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46</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jc w:val="center"/>
              <w:ind w:left="33"/>
              <w:spacing w:after="0"/>
              <w:rPr>
                <w:sz w:val="20"/>
                <w:szCs w:val="20"/>
                <w:color w:val="auto"/>
              </w:rPr>
            </w:pPr>
            <w:r>
              <w:rPr>
                <w:rFonts w:ascii="Arial" w:cs="Arial" w:eastAsia="Arial" w:hAnsi="Arial"/>
                <w:sz w:val="13"/>
                <w:szCs w:val="13"/>
                <w:color w:val="auto"/>
              </w:rPr>
              <w:t>2008</w:t>
            </w:r>
          </w:p>
        </w:tc>
        <w:tc>
          <w:tcPr>
            <w:tcW w:w="3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Director</w:t>
            </w:r>
          </w:p>
        </w:tc>
      </w:tr>
      <w:tr>
        <w:trPr>
          <w:trHeight w:val="81"/>
        </w:trPr>
        <w:tc>
          <w:tcPr>
            <w:tcW w:w="40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120" w:type="dxa"/>
            <w:vAlign w:val="bottom"/>
            <w:shd w:val="clear" w:color="auto" w:fill="CFF0FC"/>
          </w:tcPr>
          <w:p>
            <w:pPr>
              <w:spacing w:after="0"/>
              <w:rPr>
                <w:sz w:val="7"/>
                <w:szCs w:val="7"/>
                <w:color w:val="auto"/>
              </w:rPr>
            </w:pPr>
          </w:p>
        </w:tc>
        <w:tc>
          <w:tcPr>
            <w:tcW w:w="3920" w:type="dxa"/>
            <w:vAlign w:val="bottom"/>
            <w:shd w:val="clear" w:color="auto" w:fill="CFF0FC"/>
          </w:tcPr>
          <w:p>
            <w:pPr>
              <w:spacing w:after="0"/>
              <w:rPr>
                <w:sz w:val="7"/>
                <w:szCs w:val="7"/>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229235</wp:posOffset>
            </wp:positionV>
            <wp:extent cx="710628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20"/>
        <w:spacing w:after="0"/>
        <w:tabs>
          <w:tab w:leader="none" w:pos="10600" w:val="left"/>
        </w:tabs>
        <w:rPr>
          <w:sz w:val="20"/>
          <w:szCs w:val="20"/>
          <w:color w:val="auto"/>
        </w:rPr>
      </w:pPr>
      <w:r>
        <w:rPr>
          <w:rFonts w:ascii="Arial" w:cs="Arial" w:eastAsia="Arial" w:hAnsi="Arial"/>
          <w:sz w:val="13"/>
          <w:szCs w:val="13"/>
          <w:b w:val="1"/>
          <w:bCs w:val="1"/>
          <w:color w:val="auto"/>
        </w:rPr>
        <w:t>GÖRAN ANDO, M.D.</w:t>
      </w:r>
      <w:r>
        <w:rPr>
          <w:sz w:val="20"/>
          <w:szCs w:val="20"/>
          <w:color w:val="auto"/>
        </w:rPr>
        <w:tab/>
      </w:r>
      <w:r>
        <w:rPr>
          <w:rFonts w:ascii="Arial" w:cs="Arial" w:eastAsia="Arial" w:hAnsi="Arial"/>
          <w:sz w:val="13"/>
          <w:szCs w:val="13"/>
          <w:i w:val="1"/>
          <w:iCs w:val="1"/>
          <w:color w:val="auto"/>
        </w:rPr>
        <w:t>Age 71</w:t>
      </w:r>
    </w:p>
    <w:p>
      <w:pPr>
        <w:spacing w:after="0" w:line="27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Göran Ando, M.D. has served as Chairman of the board of directors of EyePoint Pharmaceuticals, Inc., a public pharmaceutical company, since September 2018, as Vice-Chairman of the board of directors of Molecular Partners AG, a clinical-stage biopharmaceutical company, since April 2011, and on the board of directors of Molecular Partners AG since April 2011.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the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ind w:left="500"/>
        <w:spacing w:after="0"/>
        <w:tabs>
          <w:tab w:leader="none" w:pos="1062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4057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188595"/>
                    </a:xfrm>
                    <a:prstGeom prst="rect">
                      <a:avLst/>
                    </a:prstGeom>
                    <a:noFill/>
                  </pic:spPr>
                </pic:pic>
              </a:graphicData>
            </a:graphic>
          </wp:anchor>
        </w:drawing>
        <w:t>CARRIE S. COX</w:t>
      </w:r>
      <w:r>
        <w:rPr>
          <w:sz w:val="20"/>
          <w:szCs w:val="20"/>
          <w:color w:val="auto"/>
        </w:rPr>
        <w:tab/>
      </w:r>
      <w:r>
        <w:rPr>
          <w:rFonts w:ascii="Arial" w:cs="Arial" w:eastAsia="Arial" w:hAnsi="Arial"/>
          <w:sz w:val="13"/>
          <w:szCs w:val="13"/>
          <w:i w:val="1"/>
          <w:iCs w:val="1"/>
          <w:color w:val="auto"/>
        </w:rPr>
        <w:t>Age 63</w:t>
      </w:r>
    </w:p>
    <w:p>
      <w:pPr>
        <w:spacing w:after="0" w:line="27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Carrie S. Cox has served as a member of our Board of Directors and as chairman of the Board of Directors since November 2019. Ms. Cox most recently served as the Chief Executive Officer of Humacyte, Inc., a regenerative medicine company based in Durham, North Carolina, from 2010 to June 2018, and has served as a member of its board of directors since 2010, serving as chairman from 2011 to June 2019. Ms. Cox has served on the boards of directors of Texas Instruments Incorporated since 2004 and Cardinal Health, Inc. since 2009, and as the chairman of the board of directors of electroCore, Inc. since July 2018. Ms. Cox previously served on the board of directors of Celgene Corporation from 2009 to November 2019 and as chairman of the board of directors of Array BioPharma, Inc. from August 2018 to July 2019. Ms. Cox received a B.S. from the Massachusetts College of Pharmacy, and was a registered pharmacist. Ms. Cox’s vast experience as a pharmaceutical executive and member of multiple boards of directors in the biotechnology industry as well as her knowledge of corporate strategy contributed to our Board of Directors' conclusion that she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4057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00"/>
        <w:spacing w:after="0"/>
        <w:tabs>
          <w:tab w:leader="none" w:pos="10620" w:val="left"/>
        </w:tabs>
        <w:rPr>
          <w:sz w:val="20"/>
          <w:szCs w:val="20"/>
          <w:color w:val="auto"/>
        </w:rPr>
      </w:pPr>
      <w:r>
        <w:rPr>
          <w:rFonts w:ascii="Arial" w:cs="Arial" w:eastAsia="Arial" w:hAnsi="Arial"/>
          <w:sz w:val="13"/>
          <w:szCs w:val="13"/>
          <w:b w:val="1"/>
          <w:bCs w:val="1"/>
          <w:color w:val="auto"/>
        </w:rPr>
        <w:t>AYMERIC SALLIN</w:t>
      </w:r>
      <w:r>
        <w:rPr>
          <w:sz w:val="20"/>
          <w:szCs w:val="20"/>
          <w:color w:val="auto"/>
        </w:rPr>
        <w:tab/>
      </w:r>
      <w:r>
        <w:rPr>
          <w:rFonts w:ascii="Arial" w:cs="Arial" w:eastAsia="Arial" w:hAnsi="Arial"/>
          <w:sz w:val="13"/>
          <w:szCs w:val="13"/>
          <w:i w:val="1"/>
          <w:iCs w:val="1"/>
          <w:color w:val="auto"/>
        </w:rPr>
        <w:t>Age 46</w:t>
      </w:r>
    </w:p>
    <w:p>
      <w:pPr>
        <w:spacing w:after="0" w:line="20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Aymeric Sallin, M.S. has served as a member of our Board of Directors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View, Inc., CROCUS Technology and Tarveda Therapeutics. Mr. Sallin is also a member of the Swiss Academy of Engineering Science. Mr. Sallin received his Master's in Physical Engineering from EPFL in Lausanne, Switzerland. Mr. Sallin's extensive</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knowledge of our business and the nanomedicine field contributed to our Board of Directors’ conclusion that he should serve as a director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CLASS III DIRECTORS (TERMS TO EXPIRE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III Directors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FF0FC"/>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Age</w:t>
            </w:r>
          </w:p>
        </w:tc>
        <w:tc>
          <w:tcPr>
            <w:tcW w:w="120" w:type="dxa"/>
            <w:vAlign w:val="bottom"/>
            <w:tcBorders>
              <w:bottom w:val="single" w:sz="8" w:color="CFF0FC"/>
            </w:tcBorders>
          </w:tcPr>
          <w:p>
            <w:pPr>
              <w:spacing w:after="0"/>
              <w:rPr>
                <w:sz w:val="16"/>
                <w:szCs w:val="16"/>
                <w:color w:val="auto"/>
              </w:rPr>
            </w:pPr>
          </w:p>
        </w:tc>
        <w:tc>
          <w:tcPr>
            <w:tcW w:w="278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b w:val="1"/>
                <w:bCs w:val="1"/>
                <w:color w:val="auto"/>
              </w:rPr>
              <w:t>Served as a Director Since</w:t>
            </w:r>
          </w:p>
        </w:tc>
        <w:tc>
          <w:tcPr>
            <w:tcW w:w="41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Position(s) with Selecta</w:t>
            </w:r>
          </w:p>
        </w:tc>
      </w:tr>
      <w:tr>
        <w:trPr>
          <w:trHeight w:val="188"/>
        </w:trPr>
        <w:tc>
          <w:tcPr>
            <w:tcW w:w="328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Timothy C. Barabe</w:t>
            </w: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67</w:t>
            </w:r>
          </w:p>
        </w:tc>
        <w:tc>
          <w:tcPr>
            <w:tcW w:w="120" w:type="dxa"/>
            <w:vAlign w:val="bottom"/>
            <w:shd w:val="clear" w:color="auto" w:fill="CFF0FC"/>
          </w:tcPr>
          <w:p>
            <w:pPr>
              <w:spacing w:after="0"/>
              <w:rPr>
                <w:sz w:val="16"/>
                <w:szCs w:val="16"/>
                <w:color w:val="auto"/>
              </w:rPr>
            </w:pPr>
          </w:p>
        </w:tc>
        <w:tc>
          <w:tcPr>
            <w:tcW w:w="2780" w:type="dxa"/>
            <w:vAlign w:val="bottom"/>
            <w:shd w:val="clear" w:color="auto" w:fill="CFF0FC"/>
          </w:tcPr>
          <w:p>
            <w:pPr>
              <w:jc w:val="center"/>
              <w:ind w:left="293"/>
              <w:spacing w:after="0"/>
              <w:rPr>
                <w:sz w:val="20"/>
                <w:szCs w:val="20"/>
                <w:color w:val="auto"/>
              </w:rPr>
            </w:pPr>
            <w:r>
              <w:rPr>
                <w:rFonts w:ascii="Arial" w:cs="Arial" w:eastAsia="Arial" w:hAnsi="Arial"/>
                <w:sz w:val="13"/>
                <w:szCs w:val="13"/>
                <w:color w:val="auto"/>
              </w:rPr>
              <w:t>2016</w:t>
            </w:r>
          </w:p>
        </w:tc>
        <w:tc>
          <w:tcPr>
            <w:tcW w:w="41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Director</w:t>
            </w:r>
          </w:p>
        </w:tc>
      </w:tr>
      <w:tr>
        <w:trPr>
          <w:trHeight w:val="68"/>
        </w:trPr>
        <w:tc>
          <w:tcPr>
            <w:tcW w:w="3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780" w:type="dxa"/>
            <w:vAlign w:val="bottom"/>
            <w:shd w:val="clear" w:color="auto" w:fill="CFF0FC"/>
          </w:tcPr>
          <w:p>
            <w:pPr>
              <w:spacing w:after="0"/>
              <w:rPr>
                <w:sz w:val="5"/>
                <w:szCs w:val="5"/>
                <w:color w:val="auto"/>
              </w:rPr>
            </w:pPr>
          </w:p>
        </w:tc>
        <w:tc>
          <w:tcPr>
            <w:tcW w:w="4160" w:type="dxa"/>
            <w:vAlign w:val="bottom"/>
            <w:shd w:val="clear" w:color="auto" w:fill="CFF0FC"/>
          </w:tcPr>
          <w:p>
            <w:pPr>
              <w:spacing w:after="0"/>
              <w:rPr>
                <w:sz w:val="5"/>
                <w:szCs w:val="5"/>
                <w:color w:val="auto"/>
              </w:rPr>
            </w:pPr>
          </w:p>
        </w:tc>
      </w:tr>
      <w:tr>
        <w:trPr>
          <w:trHeight w:val="189"/>
        </w:trPr>
        <w:tc>
          <w:tcPr>
            <w:tcW w:w="3280" w:type="dxa"/>
            <w:vAlign w:val="bottom"/>
            <w:gridSpan w:val="2"/>
          </w:tcPr>
          <w:p>
            <w:pPr>
              <w:ind w:left="40"/>
              <w:spacing w:after="0"/>
              <w:rPr>
                <w:sz w:val="20"/>
                <w:szCs w:val="20"/>
                <w:color w:val="auto"/>
              </w:rPr>
            </w:pPr>
            <w:r>
              <w:rPr>
                <w:rFonts w:ascii="Arial" w:cs="Arial" w:eastAsia="Arial" w:hAnsi="Arial"/>
                <w:sz w:val="13"/>
                <w:szCs w:val="13"/>
                <w:color w:val="auto"/>
              </w:rPr>
              <w:t>Carsten Brunn, Ph.D.</w:t>
            </w: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49</w:t>
            </w:r>
          </w:p>
        </w:tc>
        <w:tc>
          <w:tcPr>
            <w:tcW w:w="120" w:type="dxa"/>
            <w:vAlign w:val="bottom"/>
          </w:tcPr>
          <w:p>
            <w:pPr>
              <w:spacing w:after="0"/>
              <w:rPr>
                <w:sz w:val="16"/>
                <w:szCs w:val="16"/>
                <w:color w:val="auto"/>
              </w:rPr>
            </w:pPr>
          </w:p>
        </w:tc>
        <w:tc>
          <w:tcPr>
            <w:tcW w:w="2780" w:type="dxa"/>
            <w:vAlign w:val="bottom"/>
          </w:tcPr>
          <w:p>
            <w:pPr>
              <w:jc w:val="center"/>
              <w:ind w:left="293"/>
              <w:spacing w:after="0"/>
              <w:rPr>
                <w:sz w:val="20"/>
                <w:szCs w:val="20"/>
                <w:color w:val="auto"/>
              </w:rPr>
            </w:pPr>
            <w:r>
              <w:rPr>
                <w:rFonts w:ascii="Arial" w:cs="Arial" w:eastAsia="Arial" w:hAnsi="Arial"/>
                <w:sz w:val="13"/>
                <w:szCs w:val="13"/>
                <w:color w:val="auto"/>
              </w:rPr>
              <w:t>2018</w:t>
            </w:r>
          </w:p>
        </w:tc>
        <w:tc>
          <w:tcPr>
            <w:tcW w:w="4160" w:type="dxa"/>
            <w:vAlign w:val="bottom"/>
          </w:tcPr>
          <w:p>
            <w:pPr>
              <w:ind w:left="380"/>
              <w:spacing w:after="0"/>
              <w:rPr>
                <w:sz w:val="20"/>
                <w:szCs w:val="20"/>
                <w:color w:val="auto"/>
              </w:rPr>
            </w:pPr>
            <w:r>
              <w:rPr>
                <w:rFonts w:ascii="Arial" w:cs="Arial" w:eastAsia="Arial" w:hAnsi="Arial"/>
                <w:sz w:val="13"/>
                <w:szCs w:val="13"/>
                <w:color w:val="auto"/>
              </w:rPr>
              <w:t>President and Chief Executive Officer</w:t>
            </w:r>
          </w:p>
        </w:tc>
      </w:tr>
      <w:tr>
        <w:trPr>
          <w:trHeight w:val="81"/>
        </w:trPr>
        <w:tc>
          <w:tcPr>
            <w:tcW w:w="3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4160" w:type="dxa"/>
            <w:vAlign w:val="bottom"/>
          </w:tcPr>
          <w:p>
            <w:pPr>
              <w:spacing w:after="0"/>
              <w:rPr>
                <w:sz w:val="7"/>
                <w:szCs w:val="7"/>
                <w:color w:val="auto"/>
              </w:rPr>
            </w:pPr>
          </w:p>
        </w:tc>
      </w:tr>
      <w:tr>
        <w:trPr>
          <w:trHeight w:val="297"/>
        </w:trPr>
        <w:tc>
          <w:tcPr>
            <w:tcW w:w="3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057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pacing w:after="0" w:line="378" w:lineRule="exact"/>
        <w:rPr>
          <w:sz w:val="20"/>
          <w:szCs w:val="20"/>
          <w:color w:val="auto"/>
        </w:rPr>
      </w:pPr>
    </w:p>
    <w:p>
      <w:pPr>
        <w:ind w:left="500"/>
        <w:spacing w:after="0"/>
        <w:tabs>
          <w:tab w:leader="none" w:pos="10620" w:val="left"/>
        </w:tabs>
        <w:rPr>
          <w:sz w:val="20"/>
          <w:szCs w:val="20"/>
          <w:color w:val="auto"/>
        </w:rPr>
      </w:pPr>
      <w:r>
        <w:rPr>
          <w:rFonts w:ascii="Arial" w:cs="Arial" w:eastAsia="Arial" w:hAnsi="Arial"/>
          <w:sz w:val="13"/>
          <w:szCs w:val="13"/>
          <w:b w:val="1"/>
          <w:bCs w:val="1"/>
          <w:color w:val="auto"/>
        </w:rPr>
        <w:t>TIMOTHY C. BARABE</w:t>
      </w:r>
      <w:r>
        <w:rPr>
          <w:sz w:val="20"/>
          <w:szCs w:val="20"/>
          <w:color w:val="auto"/>
        </w:rPr>
        <w:tab/>
      </w:r>
      <w:r>
        <w:rPr>
          <w:rFonts w:ascii="Arial" w:cs="Arial" w:eastAsia="Arial" w:hAnsi="Arial"/>
          <w:sz w:val="13"/>
          <w:szCs w:val="13"/>
          <w:i w:val="1"/>
          <w:iCs w:val="1"/>
          <w:color w:val="auto"/>
        </w:rPr>
        <w:t>Age 67</w:t>
      </w:r>
    </w:p>
    <w:p>
      <w:pPr>
        <w:spacing w:after="0" w:line="27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Timothy C. Barabe has served as a member of our Board of Directors since July 2016. Mr. Barabe also serves on the boards of Veeva Systems Inc. and Vigilant Biosciences, Inc., a private company. From 2001 to January 2020, Mr. Barabe served on the board of directors of ArQule, Inc., and from 2014 to 2017, Mr. Barabe served on the board of directors of Opexa Therapeutics, Inc. Mr. Barabe retired in June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16" w:name="page17"/>
    <w:bookmarkEnd w:id="16"/>
    <w:p>
      <w:pPr>
        <w:ind w:left="500"/>
        <w:spacing w:after="0"/>
        <w:tabs>
          <w:tab w:leader="none" w:pos="1062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4057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188595"/>
                    </a:xfrm>
                    <a:prstGeom prst="rect">
                      <a:avLst/>
                    </a:prstGeom>
                    <a:noFill/>
                  </pic:spPr>
                </pic:pic>
              </a:graphicData>
            </a:graphic>
          </wp:anchor>
        </w:drawing>
        <w:t>CARSTEN BRUNN, PH.D.</w:t>
      </w:r>
      <w:r>
        <w:rPr>
          <w:sz w:val="20"/>
          <w:szCs w:val="20"/>
          <w:color w:val="auto"/>
        </w:rPr>
        <w:tab/>
      </w:r>
      <w:r>
        <w:rPr>
          <w:rFonts w:ascii="Arial" w:cs="Arial" w:eastAsia="Arial" w:hAnsi="Arial"/>
          <w:sz w:val="13"/>
          <w:szCs w:val="13"/>
          <w:i w:val="1"/>
          <w:iCs w:val="1"/>
          <w:color w:val="auto"/>
        </w:rPr>
        <w:t>Age 49</w:t>
      </w:r>
    </w:p>
    <w:p>
      <w:pPr>
        <w:sectPr>
          <w:pgSz w:w="11900" w:h="16838" w:orient="portrait"/>
          <w:cols w:equalWidth="0" w:num="1">
            <w:col w:w="11200"/>
          </w:cols>
          <w:pgMar w:left="320" w:top="906" w:right="379" w:bottom="1440" w:gutter="0" w:footer="0" w:header="0"/>
        </w:sectPr>
      </w:pPr>
    </w:p>
    <w:p>
      <w:pPr>
        <w:spacing w:after="0" w:line="27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Carsten Brunn, Ph.D. has served as our President, Chief Executive Officer and member of our Board of Directors since December 2018.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the Company.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6"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PROPOSAL 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0980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2020 .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Ernst &amp; Young LLP also served as our independent registered public accounting firm for the fiscal year ended December 31, 2019 . Neither the accounting firm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that the appointment of Ernst &amp; Young LLP is not ratified by the stockholders, the Audit Committee will consider this fact when it appoints the independent auditors for the fiscal year ending December 31, 2021. Even if the appointment of Ernst &amp; Young LLP is ratified, the Audit Committee retains the discretion to appoint a different independent auditor at any time if it determines that such a change is in the interest of the Company.</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60" w:right="580" w:firstLine="547"/>
        <w:spacing w:after="0" w:line="187" w:lineRule="auto"/>
        <w:rPr>
          <w:sz w:val="20"/>
          <w:szCs w:val="20"/>
          <w:color w:val="auto"/>
        </w:rPr>
      </w:pPr>
      <w:r>
        <w:rPr>
          <w:rFonts w:ascii="Arial" w:cs="Arial" w:eastAsia="Arial" w:hAnsi="Arial"/>
          <w:sz w:val="18"/>
          <w:szCs w:val="18"/>
          <w:color w:val="auto"/>
        </w:rPr>
        <w:t xml:space="preserve">The Board of Directors unanimously recommends a vote FOR the ratification of the appointment of Ernst &amp; Young LLP as our </w:t>
      </w:r>
      <w:r>
        <w:rPr>
          <w:rFonts w:ascii="Arial" w:cs="Arial" w:eastAsia="Arial" w:hAnsi="Arial"/>
          <w:sz w:val="50"/>
          <w:szCs w:val="50"/>
          <w:color w:val="auto"/>
        </w:rPr>
        <w:t xml:space="preserve">Ü </w:t>
      </w:r>
      <w:r>
        <w:rPr>
          <w:rFonts w:ascii="Arial" w:cs="Arial" w:eastAsia="Arial" w:hAnsi="Arial"/>
          <w:sz w:val="17"/>
          <w:szCs w:val="17"/>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2019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Company’s independent registered public accounting firm also provided the Audit Committee with a formal written statement required by PCAOB Rule 3526 (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xml:space="preserve"> )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2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2019 .</w:t>
      </w: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AUDIT COMMITTEE OF THE BOARD OF DIRECTORS OF SELECTA BIOSCIENCES, INC.</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Timothy C. Barabe (Chair)</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Carrie S. Cox</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Zenner</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9"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the Company for each of the last two fiscal years for audit services and for other services: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Fee Category</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b w:val="1"/>
                <w:bCs w:val="1"/>
                <w:color w:val="auto"/>
              </w:rPr>
              <w:t>2018</w:t>
            </w:r>
          </w:p>
        </w:tc>
      </w:tr>
      <w:tr>
        <w:trPr>
          <w:trHeight w:val="257"/>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Audit Fees</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824,313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613,077</w:t>
            </w:r>
          </w:p>
        </w:tc>
      </w:tr>
      <w:tr>
        <w:trPr>
          <w:trHeight w:val="263"/>
        </w:trPr>
        <w:tc>
          <w:tcPr>
            <w:tcW w:w="6880" w:type="dxa"/>
            <w:vAlign w:val="bottom"/>
            <w:gridSpan w:val="2"/>
          </w:tcPr>
          <w:p>
            <w:pPr>
              <w:ind w:left="40"/>
              <w:spacing w:after="0"/>
              <w:rPr>
                <w:sz w:val="20"/>
                <w:szCs w:val="20"/>
                <w:color w:val="auto"/>
              </w:rPr>
            </w:pPr>
            <w:r>
              <w:rPr>
                <w:rFonts w:ascii="Arial" w:cs="Arial" w:eastAsia="Arial" w:hAnsi="Arial"/>
                <w:sz w:val="13"/>
                <w:szCs w:val="13"/>
                <w:color w:val="auto"/>
              </w:rPr>
              <w:t>Tax Fees</w:t>
            </w:r>
          </w:p>
        </w:tc>
        <w:tc>
          <w:tcPr>
            <w:tcW w:w="500" w:type="dxa"/>
            <w:vAlign w:val="bottom"/>
          </w:tcPr>
          <w:p>
            <w:pPr>
              <w:spacing w:after="0"/>
              <w:rPr>
                <w:sz w:val="22"/>
                <w:szCs w:val="22"/>
                <w:color w:val="auto"/>
              </w:rPr>
            </w:pPr>
          </w:p>
        </w:tc>
        <w:tc>
          <w:tcPr>
            <w:tcW w:w="1640" w:type="dxa"/>
            <w:vAlign w:val="bottom"/>
          </w:tcPr>
          <w:p>
            <w:pPr>
              <w:jc w:val="right"/>
              <w:ind w:right="53"/>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jc w:val="right"/>
              <w:ind w:right="33"/>
              <w:spacing w:after="0"/>
              <w:rPr>
                <w:sz w:val="20"/>
                <w:szCs w:val="20"/>
                <w:color w:val="auto"/>
              </w:rPr>
            </w:pPr>
            <w:r>
              <w:rPr>
                <w:rFonts w:ascii="Arial" w:cs="Arial" w:eastAsia="Arial" w:hAnsi="Arial"/>
                <w:sz w:val="13"/>
                <w:szCs w:val="13"/>
                <w:color w:val="auto"/>
              </w:rPr>
              <w:t>20,000</w:t>
            </w:r>
          </w:p>
        </w:tc>
      </w:tr>
      <w:tr>
        <w:trPr>
          <w:trHeight w:val="270"/>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All Other Fees</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4,255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3,530</w:t>
            </w:r>
          </w:p>
        </w:tc>
      </w:tr>
      <w:tr>
        <w:trPr>
          <w:trHeight w:val="237"/>
        </w:trPr>
        <w:tc>
          <w:tcPr>
            <w:tcW w:w="6880" w:type="dxa"/>
            <w:vAlign w:val="bottom"/>
            <w:gridSpan w:val="2"/>
          </w:tcPr>
          <w:p>
            <w:pPr>
              <w:ind w:left="40"/>
              <w:spacing w:after="0"/>
              <w:rPr>
                <w:sz w:val="20"/>
                <w:szCs w:val="20"/>
                <w:color w:val="auto"/>
              </w:rPr>
            </w:pPr>
            <w:r>
              <w:rPr>
                <w:rFonts w:ascii="Arial" w:cs="Arial" w:eastAsia="Arial" w:hAnsi="Arial"/>
                <w:sz w:val="13"/>
                <w:szCs w:val="13"/>
                <w:color w:val="auto"/>
              </w:rPr>
              <w:t>Total Fees</w:t>
            </w:r>
          </w:p>
        </w:tc>
        <w:tc>
          <w:tcPr>
            <w:tcW w:w="50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53"/>
              <w:spacing w:after="0"/>
              <w:rPr>
                <w:sz w:val="20"/>
                <w:szCs w:val="20"/>
                <w:color w:val="auto"/>
              </w:rPr>
            </w:pPr>
            <w:r>
              <w:rPr>
                <w:rFonts w:ascii="Arial" w:cs="Arial" w:eastAsia="Arial" w:hAnsi="Arial"/>
                <w:sz w:val="13"/>
                <w:szCs w:val="13"/>
                <w:color w:val="auto"/>
              </w:rPr>
              <w:t>848,568</w:t>
            </w:r>
          </w:p>
        </w:tc>
        <w:tc>
          <w:tcPr>
            <w:tcW w:w="100" w:type="dxa"/>
            <w:vAlign w:val="bottom"/>
          </w:tcPr>
          <w:p>
            <w:pPr>
              <w:spacing w:after="0"/>
              <w:rPr>
                <w:sz w:val="20"/>
                <w:szCs w:val="20"/>
                <w:color w:val="auto"/>
              </w:rPr>
            </w:pPr>
          </w:p>
        </w:tc>
        <w:tc>
          <w:tcPr>
            <w:tcW w:w="50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1620" w:type="dxa"/>
            <w:vAlign w:val="bottom"/>
          </w:tcPr>
          <w:p>
            <w:pPr>
              <w:jc w:val="right"/>
              <w:ind w:right="33"/>
              <w:spacing w:after="0"/>
              <w:rPr>
                <w:sz w:val="20"/>
                <w:szCs w:val="20"/>
                <w:color w:val="auto"/>
              </w:rPr>
            </w:pPr>
            <w:r>
              <w:rPr>
                <w:rFonts w:ascii="Arial" w:cs="Arial" w:eastAsia="Arial" w:hAnsi="Arial"/>
                <w:sz w:val="13"/>
                <w:szCs w:val="13"/>
                <w:color w:val="auto"/>
              </w:rPr>
              <w:t>636,607</w:t>
            </w:r>
          </w:p>
        </w:tc>
      </w:tr>
      <w:tr>
        <w:trPr>
          <w:trHeight w:val="20"/>
        </w:trPr>
        <w:tc>
          <w:tcPr>
            <w:tcW w:w="6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0980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For 2019, audit fees also include services related to three equity-based capital raises.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Tax fees consist of fees for professional services, including tax consulting and compliance performed by Ernst &amp; Young LLP.</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All other fees are those associated with services not captured in the other categories, including the utilization of a research tool provided by Ernst &amp; Young LLP.</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980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1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2019 and 2018 were pre-approved.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FF0FC"/>
            </w:tcBorders>
          </w:tcPr>
          <w:p>
            <w:pPr>
              <w:spacing w:after="0"/>
              <w:rPr>
                <w:sz w:val="17"/>
                <w:szCs w:val="17"/>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w:t>
            </w:r>
          </w:p>
        </w:tc>
      </w:tr>
      <w:tr>
        <w:trPr>
          <w:trHeight w:val="256"/>
        </w:trPr>
        <w:tc>
          <w:tcPr>
            <w:tcW w:w="34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17"/>
                <w:szCs w:val="17"/>
                <w:color w:val="auto"/>
                <w:vertAlign w:val="superscript"/>
              </w:rPr>
              <w:t>1</w:t>
            </w: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FF0FC"/>
          </w:tcPr>
          <w:p>
            <w:pPr>
              <w:spacing w:after="0"/>
              <w:rPr>
                <w:sz w:val="22"/>
                <w:szCs w:val="22"/>
                <w:color w:val="auto"/>
              </w:rPr>
            </w:pPr>
          </w:p>
        </w:tc>
        <w:tc>
          <w:tcPr>
            <w:tcW w:w="6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63"/>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 xml:space="preserve">Bradford D. Dahms </w:t>
            </w:r>
            <w:r>
              <w:rPr>
                <w:rFonts w:ascii="Arial" w:cs="Arial" w:eastAsia="Arial" w:hAnsi="Arial"/>
                <w:sz w:val="17"/>
                <w:szCs w:val="17"/>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77"/>
        </w:trPr>
        <w:tc>
          <w:tcPr>
            <w:tcW w:w="34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 xml:space="preserve">Lloyd Johnston, Ph.D. </w:t>
            </w:r>
            <w:r>
              <w:rPr>
                <w:rFonts w:ascii="Arial" w:cs="Arial" w:eastAsia="Arial" w:hAnsi="Arial"/>
                <w:sz w:val="17"/>
                <w:szCs w:val="17"/>
                <w:color w:val="auto"/>
                <w:vertAlign w:val="superscript"/>
              </w:rPr>
              <w:t>3</w:t>
            </w: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FF0FC"/>
          </w:tcPr>
          <w:p>
            <w:pPr>
              <w:spacing w:after="0"/>
              <w:rPr>
                <w:sz w:val="24"/>
                <w:szCs w:val="24"/>
                <w:color w:val="auto"/>
              </w:rPr>
            </w:pPr>
          </w:p>
        </w:tc>
        <w:tc>
          <w:tcPr>
            <w:tcW w:w="6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Chief Operating Officer and Senior Vice President, Research and Development</w:t>
            </w:r>
          </w:p>
        </w:tc>
      </w:tr>
      <w:tr>
        <w:trPr>
          <w:trHeight w:val="263"/>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 xml:space="preserve">Takashi Kei Kishimoto, Ph.D. </w:t>
            </w:r>
            <w:r>
              <w:rPr>
                <w:rFonts w:ascii="Arial" w:cs="Arial" w:eastAsia="Arial" w:hAnsi="Arial"/>
                <w:sz w:val="17"/>
                <w:szCs w:val="17"/>
                <w:color w:val="auto"/>
                <w:vertAlign w:val="superscript"/>
              </w:rPr>
              <w:t>4</w:t>
            </w:r>
          </w:p>
        </w:tc>
        <w:tc>
          <w:tcPr>
            <w:tcW w:w="880" w:type="dxa"/>
            <w:vAlign w:val="bottom"/>
          </w:tcPr>
          <w:p>
            <w:pPr>
              <w:jc w:val="center"/>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4"/>
                <w:szCs w:val="14"/>
                <w:color w:val="auto"/>
              </w:rPr>
              <w:t>Chief Scientific Officer</w:t>
            </w:r>
          </w:p>
        </w:tc>
      </w:tr>
      <w:tr>
        <w:trPr>
          <w:trHeight w:val="277"/>
        </w:trPr>
        <w:tc>
          <w:tcPr>
            <w:tcW w:w="34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 xml:space="preserve">Elona Kogan, J.D. </w:t>
            </w:r>
            <w:r>
              <w:rPr>
                <w:rFonts w:ascii="Arial" w:cs="Arial" w:eastAsia="Arial" w:hAnsi="Arial"/>
                <w:sz w:val="17"/>
                <w:szCs w:val="17"/>
                <w:color w:val="auto"/>
                <w:vertAlign w:val="superscript"/>
              </w:rPr>
              <w:t>5</w:t>
            </w: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FF0FC"/>
          </w:tcPr>
          <w:p>
            <w:pPr>
              <w:spacing w:after="0"/>
              <w:rPr>
                <w:sz w:val="24"/>
                <w:szCs w:val="24"/>
                <w:color w:val="auto"/>
              </w:rPr>
            </w:pPr>
          </w:p>
        </w:tc>
        <w:tc>
          <w:tcPr>
            <w:tcW w:w="6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Counsel and Secretary</w:t>
            </w:r>
          </w:p>
        </w:tc>
      </w:tr>
      <w:tr>
        <w:trPr>
          <w:trHeight w:val="256"/>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 xml:space="preserve">Stephen Smolinski </w:t>
            </w:r>
            <w:r>
              <w:rPr>
                <w:rFonts w:ascii="Arial" w:cs="Arial" w:eastAsia="Arial" w:hAnsi="Arial"/>
                <w:sz w:val="17"/>
                <w:szCs w:val="17"/>
                <w:color w:val="auto"/>
                <w:vertAlign w:val="superscript"/>
              </w:rPr>
              <w:t>6</w:t>
            </w:r>
          </w:p>
        </w:tc>
        <w:tc>
          <w:tcPr>
            <w:tcW w:w="880" w:type="dxa"/>
            <w:vAlign w:val="bottom"/>
          </w:tcPr>
          <w:p>
            <w:pPr>
              <w:jc w:val="center"/>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4"/>
                <w:szCs w:val="14"/>
                <w:color w:val="auto"/>
              </w:rPr>
              <w:t>Chief Commercial Officer</w:t>
            </w:r>
          </w:p>
        </w:tc>
      </w:tr>
    </w:tbl>
    <w:p>
      <w:pPr>
        <w:spacing w:after="0" w:line="19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See biography on page 11 of this proxy statement.</w:t>
      </w:r>
    </w:p>
    <w:p>
      <w:pPr>
        <w:spacing w:after="0" w:line="215" w:lineRule="exact"/>
        <w:rPr>
          <w:sz w:val="20"/>
          <w:szCs w:val="20"/>
          <w:color w:val="auto"/>
        </w:rPr>
      </w:pPr>
    </w:p>
    <w:p>
      <w:pPr>
        <w:ind w:right="140" w:firstLine="8"/>
        <w:spacing w:after="0" w:line="237" w:lineRule="auto"/>
        <w:tabs>
          <w:tab w:leader="none" w:pos="14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Bradford D. Dahms has served as our Chief Financial Officer since September 2019. Prior to joining Selecta, Mr. Dahms served as Senior Vice President - Healthcare Investment Banking at Cantor Fitzgerald &amp; Co., an investment bank, from April 2014 to August 2019. He also served as an analyst at RBC Capital Markets from 2012 to 2014, and at JPMorgan Chase &amp; Co. from 2010 to 2012. Mr. Dahms holds a Bachelor of Science degree in economics from The Ohio State University.</w:t>
      </w:r>
    </w:p>
    <w:p>
      <w:pPr>
        <w:spacing w:after="0" w:line="217" w:lineRule="exact"/>
        <w:rPr>
          <w:sz w:val="20"/>
          <w:szCs w:val="20"/>
          <w:color w:val="auto"/>
        </w:rPr>
      </w:pPr>
    </w:p>
    <w:p>
      <w:pPr>
        <w:ind w:right="20" w:firstLine="8"/>
        <w:spacing w:after="0" w:line="246" w:lineRule="auto"/>
        <w:tabs>
          <w:tab w:leader="none" w:pos="14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Lloyd Johnston, Ph.D. has served as our Chief Operating Officer and Senior Vice President, Research and Development since January 2014. 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211" w:lineRule="exact"/>
        <w:rPr>
          <w:sz w:val="20"/>
          <w:szCs w:val="20"/>
          <w:color w:val="auto"/>
        </w:rPr>
      </w:pPr>
    </w:p>
    <w:p>
      <w:pPr>
        <w:ind w:right="120" w:firstLine="8"/>
        <w:spacing w:after="0" w:line="244" w:lineRule="auto"/>
        <w:tabs>
          <w:tab w:leader="none" w:pos="9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214" w:lineRule="exact"/>
        <w:rPr>
          <w:sz w:val="20"/>
          <w:szCs w:val="20"/>
          <w:color w:val="auto"/>
        </w:rPr>
      </w:pPr>
    </w:p>
    <w:p>
      <w:pPr>
        <w:ind w:right="160" w:firstLine="8"/>
        <w:spacing w:after="0" w:line="244" w:lineRule="auto"/>
        <w:tabs>
          <w:tab w:leader="none" w:pos="14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Elona Kogan, J.D. has served as our General Counsel and Secretary since March 2019. Ms. Kogan joined Selecta after most recently serving as General Counsel and Head of Government Relations at ARIAD Pharmaceuticals, Inc., a rare disease oncology company, from July 2016 to April 2017, where she was a key executive through the acquisition of the company by Takeda Pharmaceuticals Company Limited. Prior to joining ARIAD, May 2011 to August 2015, Ms. Kogan led the legal and government affairs functions of Avanir Pharmaceuticals, Inc. a publicly traded pharmaceutical company, dedicated to developing treatments for central nervous system disorders, where she played a central role in the strategic acquisition of the company by Otsuka Pharmaceutical Co. Ltd. Prior roles included positions of increasing responsibility at King Pharmaceuticals, Inc., Bristol-Myers Squibb, and Bergen Brunswig Corporation. Ms. Kogan is also a member of the board of directors of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1" w:name="page22"/>
    <w:bookmarkEnd w:id="21"/>
    <w:p>
      <w:pPr>
        <w:jc w:val="both"/>
        <w:ind w:right="100"/>
        <w:spacing w:after="0" w:line="256" w:lineRule="auto"/>
        <w:rPr>
          <w:sz w:val="20"/>
          <w:szCs w:val="20"/>
          <w:color w:val="auto"/>
        </w:rPr>
      </w:pPr>
      <w:r>
        <w:rPr>
          <w:rFonts w:ascii="Arial" w:cs="Arial" w:eastAsia="Arial" w:hAnsi="Arial"/>
          <w:sz w:val="18"/>
          <w:szCs w:val="18"/>
          <w:color w:val="auto"/>
        </w:rPr>
        <w:t>biotechnology company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202" w:lineRule="exact"/>
        <w:rPr>
          <w:sz w:val="20"/>
          <w:szCs w:val="20"/>
          <w:color w:val="auto"/>
        </w:rPr>
      </w:pPr>
    </w:p>
    <w:p>
      <w:pPr>
        <w:jc w:val="both"/>
        <w:ind w:firstLine="8"/>
        <w:spacing w:after="0" w:line="250" w:lineRule="auto"/>
        <w:tabs>
          <w:tab w:leader="none" w:pos="140" w:val="left"/>
        </w:tabs>
        <w:numPr>
          <w:ilvl w:val="0"/>
          <w:numId w:val="12"/>
        </w:numPr>
        <w:rPr>
          <w:rFonts w:ascii="Arial" w:cs="Arial" w:eastAsia="Arial" w:hAnsi="Arial"/>
          <w:sz w:val="21"/>
          <w:szCs w:val="21"/>
          <w:color w:val="auto"/>
          <w:vertAlign w:val="superscript"/>
        </w:rPr>
      </w:pPr>
      <w:r>
        <w:rPr>
          <w:rFonts w:ascii="Arial" w:cs="Arial" w:eastAsia="Arial" w:hAnsi="Arial"/>
          <w:sz w:val="17"/>
          <w:szCs w:val="17"/>
          <w:color w:val="auto"/>
        </w:rPr>
        <w:t>Stephen Smolinski has served as our Chief Commercial Officer since October 2017. Mr. Smolinski previously served as the Vice President and Head of the North American Rheumatology Business Unit at Sanofi Genzyme, a pharmaceutical corporation, from 2015 to 2017. Prior to this, he served as Group Vice President of Immunology &amp; Inflammation, Global Strategic Unit at Sanofi from 2013 to 2015. Mr. Smolinski also previously held senior commercial roles at Roche-Genentech, Bristol-Myers Squibb, Johnson &amp; Johnson and Savient Pharmaceuticals. Mr.</w:t>
      </w:r>
    </w:p>
    <w:p>
      <w:pPr>
        <w:spacing w:after="0" w:line="1"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color w:val="auto"/>
        </w:rPr>
        <w:t>Smolinski received a B.S. in health care administration from Oregon State University.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is related to any other executive officer or to any of our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w:t>
      </w:r>
    </w:p>
    <w:p>
      <w:pPr>
        <w:spacing w:after="0" w:line="1" w:lineRule="exact"/>
        <w:rPr>
          <w:sz w:val="20"/>
          <w:szCs w:val="20"/>
          <w:color w:val="auto"/>
        </w:rPr>
      </w:pPr>
    </w:p>
    <w:p>
      <w:pPr>
        <w:ind w:right="360" w:firstLine="8"/>
        <w:spacing w:after="0" w:line="261" w:lineRule="auto"/>
        <w:tabs>
          <w:tab w:leader="none" w:pos="1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Media” page of our website located at www.selectabio.com, or by writing to our Secretary at our offices at 65 Grove Street, Watertown, Massachusetts 02472.</w:t>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Board of Directors currently consists of eight members: Göran Ando, M.D., Timothy C. Barabe, Carsten Brunn, Ph.D., Carrie S. Cox, Scott D. Myers, Aymeric Sallin, Timothy Springer, Ph.D. and Patrick Zenner. As set forth in our Restated Certificate of Incorporation, the Board of Directors is currently divided into three classes with staggered, three -year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All of our directors and Class I director nominees, other than Carsten Brunn, Ph.D., qualify as “independent” in accordance with the listing requirements of The Nasdaq Global Select Market (“Nasdaq”), and Amir Nashat, Ph.D. qualified as "independent" while he served on our Board of Directors.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each of Dr. Springer and Mr. Sallin are affiliated with certain of our significant stockholders. Dr. Brunn is not independent because he is the President and Chief Executive Officer of Selecta. There are no family relationships among any of our directors or executive officers.</w:t>
      </w: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23" w:name="page24"/>
    <w:bookmarkEnd w:id="23"/>
    <w:p>
      <w:pPr>
        <w:ind w:right="540"/>
        <w:spacing w:after="0" w:line="261" w:lineRule="auto"/>
        <w:rPr>
          <w:sz w:val="20"/>
          <w:szCs w:val="20"/>
          <w:color w:val="auto"/>
        </w:rPr>
      </w:pPr>
      <w:r>
        <w:rPr>
          <w:rFonts w:ascii="Arial" w:cs="Arial" w:eastAsia="Arial" w:hAnsi="Arial"/>
          <w:sz w:val="18"/>
          <w:szCs w:val="18"/>
          <w:color w:val="auto"/>
        </w:rPr>
        <w:t>independence from the Company and potential conflicts of interest and determines if candidates meet the qualifications desired by the Nominating and Corporate Governance Committee of candidates for election as a director.</w:t>
      </w:r>
    </w:p>
    <w:p>
      <w:pPr>
        <w:spacing w:after="0" w:line="19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Scott D. Myers, one of our Class I Director nominees, was identified as a potential candidate to serve on our Board of Directors by Carsten Brunn, Ph.D., our President and Chief Executive Officer, and was recommended by the Nominating and Corporate Governance Committee.</w:t>
      </w:r>
    </w:p>
    <w:p>
      <w:pPr>
        <w:spacing w:after="0" w:line="20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Selecta Biosciences, Inc., 65 Grove Street, Watertown, Massachusetts 02472.</w:t>
      </w: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4" w:name="page25"/>
    <w:bookmarkEnd w:id="24"/>
    <w:p>
      <w:pPr>
        <w:ind w:right="20"/>
        <w:spacing w:after="0" w:line="251" w:lineRule="auto"/>
        <w:rPr>
          <w:sz w:val="20"/>
          <w:szCs w:val="20"/>
          <w:color w:val="auto"/>
        </w:rPr>
      </w:pPr>
      <w:r>
        <w:rPr>
          <w:rFonts w:ascii="Arial" w:cs="Arial" w:eastAsia="Arial" w:hAnsi="Arial"/>
          <w:sz w:val="18"/>
          <w:szCs w:val="18"/>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Corporate Governance Guidelines require the Nominating and Corporate Governance Committee to periodically oversee an assessment of the Board and its committees.</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DIVERSITY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Board diversity and inclusion is critical to the success of Selecta. Our Board of Directors is committed to ensuring its membership has sufficient diversity of expertise, experience, background and perspective to support the long-term success of the Company. As presently constituted, the Board of Directors represents a deliberate mix of members who have a deep understanding of our business as well as members who have different skill sets and points of view on substantive matters pertaining to the Company’s business. Our nomination process and our Board of Directors' approach to assessment and evaluation of our nominees support our commitment to diversity and inclusion.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25" w:name="page26"/>
    <w:bookmarkEnd w:id="25"/>
    <w:p>
      <w:pPr>
        <w:ind w:right="160"/>
        <w:spacing w:after="0" w:line="252" w:lineRule="auto"/>
        <w:rPr>
          <w:sz w:val="20"/>
          <w:szCs w:val="20"/>
          <w:color w:val="auto"/>
        </w:rPr>
      </w:pPr>
      <w:r>
        <w:rPr>
          <w:rFonts w:ascii="Arial" w:cs="Arial" w:eastAsia="Arial" w:hAnsi="Arial"/>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of Directors. The Board of Directors continually assesses the size and the mix of experiences and backgrounds of its members, including gender, ethnic, and racial composition. Selecta evaluates the effectiveness of this policy through annual self-evaluations completed by the Board of Directors and each of its committees.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Board of Directors firmly believes that it plays a key role in the oversight of Selecta’s culture and in holding management accountable for the creation and stewardship of that culture. One of the ways the Board of Directors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of Directors, and acting as a role model and conducting business with high integrity. These objectives are meant, in part, to drive and maintain a positive corporate culture to attract, engage, and retain key talent for the Company. Additionally, the Board of Directors believes an engaged and empowered workforce contributes significantly to the creation of shareholder value.</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evaluating the suitability of individual candidates for internal positions and to serve on our Board of Directors, Selecta is proud to consider many factors, including diversity of expertise and experience in substantive matters pertaining to our company’s business, as well as diversity of background and perspective, including, but not limited to, with respect to age, gender, race, orientation, religion, and relevant experience.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Board of Directors has adopted an Insider Trading Compliance Policy, which applies to all of our directors, officers and employees. The policy prohibits our directors, officers and employees and any entities they control from engaging in all hedging or monetization transactions, such as zero-cost collars and forward sale contracts.</w:t>
      </w: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were nine meetings of the Board of Directors during the fiscal year ended December 31, 2019 . Our independent directors also had regularly scheduled executive sessions. During the fiscal year ended December 31, 2019 , each director attended at least 75% of the aggregate of (i) all meetings of the Board of Directors and (ii) all meetings of the committees on which the director served during the period in which he served as a director.</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our Corporate Governance Guidelines, which are available on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seven then-incumbent directors attended the 2019 Annual Meeting of Stockholders.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98030" cy="180340"/>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Board has established four standing committees--Audit, Compensation, Nominating and Corporate Governance, and Science--each of which operates under a written charter that has been approved by our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Nominating and</w:t>
            </w:r>
          </w:p>
        </w:tc>
        <w:tc>
          <w:tcPr>
            <w:tcW w:w="1460" w:type="dxa"/>
            <w:vAlign w:val="bottom"/>
          </w:tcPr>
          <w:p>
            <w:pPr>
              <w:spacing w:after="0"/>
              <w:rPr>
                <w:sz w:val="13"/>
                <w:szCs w:val="13"/>
                <w:color w:val="auto"/>
              </w:rPr>
            </w:pPr>
          </w:p>
        </w:tc>
      </w:tr>
      <w:tr>
        <w:trPr>
          <w:trHeight w:val="148"/>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Corporate</w:t>
            </w:r>
          </w:p>
        </w:tc>
        <w:tc>
          <w:tcPr>
            <w:tcW w:w="1460" w:type="dxa"/>
            <w:vAlign w:val="bottom"/>
          </w:tcPr>
          <w:p>
            <w:pPr>
              <w:spacing w:after="0"/>
              <w:rPr>
                <w:sz w:val="12"/>
                <w:szCs w:val="12"/>
                <w:color w:val="auto"/>
              </w:rPr>
            </w:pPr>
          </w:p>
        </w:tc>
      </w:tr>
      <w:tr>
        <w:trPr>
          <w:trHeight w:val="186"/>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Audit</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Governance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Science</w:t>
            </w:r>
          </w:p>
        </w:tc>
      </w:tr>
      <w:tr>
        <w:trPr>
          <w:trHeight w:val="256"/>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Göran Ando, M.D.</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X</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263"/>
        </w:trPr>
        <w:tc>
          <w:tcPr>
            <w:tcW w:w="5420" w:type="dxa"/>
            <w:vAlign w:val="bottom"/>
            <w:gridSpan w:val="2"/>
          </w:tcPr>
          <w:p>
            <w:pPr>
              <w:ind w:left="40"/>
              <w:spacing w:after="0"/>
              <w:rPr>
                <w:sz w:val="20"/>
                <w:szCs w:val="20"/>
                <w:color w:val="auto"/>
              </w:rPr>
            </w:pPr>
            <w:r>
              <w:rPr>
                <w:rFonts w:ascii="Arial" w:cs="Arial" w:eastAsia="Arial" w:hAnsi="Arial"/>
                <w:sz w:val="13"/>
                <w:szCs w:val="13"/>
                <w:color w:val="auto"/>
              </w:rPr>
              <w:t>Timothy C. Barabe</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rPr>
              <w:t>Chair</w:t>
            </w:r>
          </w:p>
        </w:tc>
        <w:tc>
          <w:tcPr>
            <w:tcW w:w="13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77"/>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Carrie S. Cox</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X</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X</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263"/>
        </w:trPr>
        <w:tc>
          <w:tcPr>
            <w:tcW w:w="5420" w:type="dxa"/>
            <w:vAlign w:val="bottom"/>
            <w:gridSpan w:val="2"/>
          </w:tcPr>
          <w:p>
            <w:pPr>
              <w:ind w:left="40"/>
              <w:spacing w:after="0"/>
              <w:rPr>
                <w:sz w:val="20"/>
                <w:szCs w:val="20"/>
                <w:color w:val="auto"/>
              </w:rPr>
            </w:pPr>
            <w:r>
              <w:rPr>
                <w:rFonts w:ascii="Arial" w:cs="Arial" w:eastAsia="Arial" w:hAnsi="Arial"/>
                <w:sz w:val="13"/>
                <w:szCs w:val="13"/>
                <w:color w:val="auto"/>
              </w:rPr>
              <w:t>Scott D. Myers</w:t>
            </w:r>
          </w:p>
        </w:tc>
        <w:tc>
          <w:tcPr>
            <w:tcW w:w="1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2"/>
                <w:szCs w:val="22"/>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color w:val="auto"/>
              </w:rPr>
              <w:t>Chair</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color w:val="auto"/>
              </w:rPr>
              <w:t>X</w:t>
            </w:r>
          </w:p>
        </w:tc>
        <w:tc>
          <w:tcPr>
            <w:tcW w:w="14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77"/>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Aymeric Sallin</w:t>
            </w:r>
          </w:p>
        </w:tc>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X</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263"/>
        </w:trPr>
        <w:tc>
          <w:tcPr>
            <w:tcW w:w="5420" w:type="dxa"/>
            <w:vAlign w:val="bottom"/>
            <w:gridSpan w:val="2"/>
          </w:tcPr>
          <w:p>
            <w:pPr>
              <w:ind w:left="40"/>
              <w:spacing w:after="0"/>
              <w:rPr>
                <w:sz w:val="20"/>
                <w:szCs w:val="20"/>
                <w:color w:val="auto"/>
              </w:rPr>
            </w:pPr>
            <w:r>
              <w:rPr>
                <w:rFonts w:ascii="Arial" w:cs="Arial" w:eastAsia="Arial" w:hAnsi="Arial"/>
                <w:sz w:val="13"/>
                <w:szCs w:val="13"/>
                <w:color w:val="auto"/>
              </w:rPr>
              <w:t>Timothy A. Springer, Ph.D.</w:t>
            </w:r>
          </w:p>
        </w:tc>
        <w:tc>
          <w:tcPr>
            <w:tcW w:w="1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22"/>
                <w:szCs w:val="2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color w:val="auto"/>
              </w:rPr>
              <w:t>X</w:t>
            </w:r>
          </w:p>
        </w:tc>
        <w:tc>
          <w:tcPr>
            <w:tcW w:w="1460" w:type="dxa"/>
            <w:vAlign w:val="bottom"/>
          </w:tcPr>
          <w:p>
            <w:pPr>
              <w:jc w:val="center"/>
              <w:spacing w:after="0"/>
              <w:rPr>
                <w:sz w:val="20"/>
                <w:szCs w:val="20"/>
                <w:color w:val="auto"/>
              </w:rPr>
            </w:pPr>
            <w:r>
              <w:rPr>
                <w:rFonts w:ascii="Arial" w:cs="Arial" w:eastAsia="Arial" w:hAnsi="Arial"/>
                <w:sz w:val="13"/>
                <w:szCs w:val="13"/>
                <w:color w:val="auto"/>
              </w:rPr>
              <w:t>Chair</w:t>
            </w:r>
          </w:p>
        </w:tc>
      </w:tr>
      <w:tr>
        <w:trPr>
          <w:trHeight w:val="277"/>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Patrick Zenner</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X</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Chair</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513"/>
        </w:trPr>
        <w:tc>
          <w:tcPr>
            <w:tcW w:w="5420" w:type="dxa"/>
            <w:vAlign w:val="bottom"/>
            <w:gridSpan w:val="2"/>
          </w:tcPr>
          <w:p>
            <w:pPr>
              <w:spacing w:after="0"/>
              <w:rPr>
                <w:sz w:val="20"/>
                <w:szCs w:val="20"/>
                <w:color w:val="auto"/>
              </w:rPr>
            </w:pPr>
            <w:r>
              <w:rPr>
                <w:rFonts w:ascii="Arial" w:cs="Arial" w:eastAsia="Arial" w:hAnsi="Arial"/>
                <w:sz w:val="13"/>
                <w:szCs w:val="13"/>
                <w:b w:val="1"/>
                <w:bCs w:val="1"/>
                <w:color w:val="auto"/>
              </w:rPr>
              <w:t>AUDIT COMMITTEE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0980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Committee’s responsibilities include:</w:t>
      </w:r>
    </w:p>
    <w:p>
      <w:pPr>
        <w:spacing w:after="0" w:line="225"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3"/>
          <w:szCs w:val="13"/>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20" w:lineRule="exact"/>
        <w:rPr>
          <w:rFonts w:ascii="Arial" w:cs="Arial" w:eastAsia="Arial" w:hAnsi="Arial"/>
          <w:sz w:val="13"/>
          <w:szCs w:val="13"/>
          <w:color w:val="auto"/>
        </w:rPr>
      </w:pPr>
    </w:p>
    <w:p>
      <w:pPr>
        <w:ind w:left="880" w:right="540" w:hanging="332"/>
        <w:spacing w:after="0" w:line="250" w:lineRule="auto"/>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ind w:left="880" w:right="560" w:hanging="332"/>
        <w:spacing w:after="0" w:line="250" w:lineRule="auto"/>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ind w:left="880" w:right="440" w:hanging="332"/>
        <w:spacing w:after="0" w:line="250" w:lineRule="auto"/>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ind w:left="880" w:hanging="332"/>
        <w:spacing w:after="0"/>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discussing our risk management policies;</w:t>
      </w:r>
    </w:p>
    <w:p>
      <w:pPr>
        <w:spacing w:after="0" w:line="9" w:lineRule="exact"/>
        <w:rPr>
          <w:rFonts w:ascii="Arial" w:cs="Arial" w:eastAsia="Arial" w:hAnsi="Arial"/>
          <w:sz w:val="13"/>
          <w:szCs w:val="13"/>
          <w:color w:val="auto"/>
        </w:rPr>
      </w:pPr>
    </w:p>
    <w:p>
      <w:pPr>
        <w:ind w:left="880" w:right="300" w:hanging="332"/>
        <w:spacing w:after="0" w:line="250" w:lineRule="auto"/>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ind w:left="880" w:hanging="332"/>
        <w:spacing w:after="0"/>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9" w:lineRule="exact"/>
        <w:rPr>
          <w:rFonts w:ascii="Arial" w:cs="Arial" w:eastAsia="Arial" w:hAnsi="Arial"/>
          <w:sz w:val="13"/>
          <w:szCs w:val="13"/>
          <w:color w:val="auto"/>
        </w:rPr>
      </w:pPr>
    </w:p>
    <w:p>
      <w:pPr>
        <w:ind w:left="880" w:hanging="332"/>
        <w:spacing w:after="0"/>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reviewing and approving or ratifying any related person transactions; and</w:t>
      </w:r>
    </w:p>
    <w:p>
      <w:pPr>
        <w:spacing w:after="0" w:line="9" w:lineRule="exact"/>
        <w:rPr>
          <w:rFonts w:ascii="Arial" w:cs="Arial" w:eastAsia="Arial" w:hAnsi="Arial"/>
          <w:sz w:val="13"/>
          <w:szCs w:val="13"/>
          <w:color w:val="auto"/>
        </w:rPr>
      </w:pPr>
    </w:p>
    <w:p>
      <w:pPr>
        <w:ind w:left="880" w:hanging="332"/>
        <w:spacing w:after="0"/>
        <w:tabs>
          <w:tab w:leader="none" w:pos="880" w:val="left"/>
        </w:tabs>
        <w:numPr>
          <w:ilvl w:val="0"/>
          <w:numId w:val="14"/>
        </w:numPr>
        <w:rPr>
          <w:rFonts w:ascii="Arial" w:cs="Arial" w:eastAsia="Arial" w:hAnsi="Arial"/>
          <w:sz w:val="13"/>
          <w:szCs w:val="13"/>
          <w:color w:val="auto"/>
        </w:rPr>
      </w:pPr>
      <w:r>
        <w:rPr>
          <w:rFonts w:ascii="Arial" w:cs="Arial" w:eastAsia="Arial" w:hAnsi="Arial"/>
          <w:sz w:val="18"/>
          <w:szCs w:val="18"/>
          <w:color w:val="auto"/>
        </w:rPr>
        <w:t>preparing the audit committee report required by the SEC rules (which is included on page 13 of this Proxy Statement).</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Audit Committee charter is available on our website at www.selectabio.com. The members of the Audit Committee are Timothy C. Barabe, Carrie S. Cox and Patrick Zenner. Mr. Barabe serves as the Chairperson of the committee. Our Board has affirmatively determined that each of Mr. Barabe, Ms. Cox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2019 , the Audit Committee met seven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14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8"/>
          <w:szCs w:val="18"/>
          <w:color w:val="auto"/>
        </w:rPr>
        <w:t>annually reviewing and approving corporate goals and objectives relevant to CEO compensation;</w:t>
      </w:r>
    </w:p>
    <w:p>
      <w:pPr>
        <w:spacing w:after="0" w:line="9" w:lineRule="exact"/>
        <w:rPr>
          <w:rFonts w:ascii="Arial" w:cs="Arial" w:eastAsia="Arial" w:hAnsi="Arial"/>
          <w:sz w:val="13"/>
          <w:szCs w:val="13"/>
          <w:color w:val="auto"/>
        </w:rPr>
      </w:pPr>
    </w:p>
    <w:p>
      <w:pPr>
        <w:ind w:left="660" w:right="720" w:hanging="328"/>
        <w:spacing w:after="0" w:line="250"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8"/>
          <w:szCs w:val="18"/>
          <w:color w:val="auto"/>
        </w:rPr>
        <w:t>reviewing and approving, or making recommendations to our Board with respect to, the compensation of our CEO and other executive officers;</w:t>
      </w: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8"/>
          <w:szCs w:val="18"/>
          <w:color w:val="auto"/>
        </w:rPr>
        <w:t>overseeing an evaluation of our senior executives;</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8"/>
          <w:szCs w:val="18"/>
          <w:color w:val="auto"/>
        </w:rPr>
        <w:t>administering our cash and equity incentive plans;</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8"/>
          <w:szCs w:val="18"/>
          <w:color w:val="auto"/>
        </w:rPr>
        <w:t>reviewing and making recommendations to our Board of Directors with respect to director compensation;</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8"/>
          <w:szCs w:val="18"/>
          <w:color w:val="auto"/>
        </w:rPr>
        <w:t>preparing the annual compensation committee report, if required by SEC rules.</w:t>
      </w:r>
    </w:p>
    <w:p>
      <w:pPr>
        <w:spacing w:after="0" w:line="17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it in carrying out its responsibilities.</w:t>
      </w:r>
    </w:p>
    <w:p>
      <w:pPr>
        <w:spacing w:after="0" w:line="19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our website at www.selectabio.com. The Compensation Committee may also delegate to an officer the authority to grant equity awards to certain employees, as further described in its charter and subject to the terms of our equity plans.</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2019 ,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2019 raised a conflict of interest.</w:t>
      </w:r>
    </w:p>
    <w:p>
      <w:pPr>
        <w:spacing w:after="0" w:line="20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Compensation Committee uses competitive compensation data from an annual total compensation study of peer companies performed by Radford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153"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The Compensation Committee charter is available on our website at www.selectabio.com. The members of our Compensation Committee are Scott D. Myers, Göran Ando, M.D., Carrie S. Cox and Aymeric Sallin. Scott D. Myers serves as Chairperson of the committee. Our Board of Directors has determined that each of Mr. Myers, Dr. Ando, Ms. Cox and Mr.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as defined in Rule 16b</w:t>
      </w:r>
      <w:r>
        <w:rPr>
          <w:rFonts w:ascii="MS PGothic" w:cs="MS PGothic" w:eastAsia="MS PGothic" w:hAnsi="MS PGothic"/>
          <w:sz w:val="18"/>
          <w:szCs w:val="18"/>
          <w:color w:val="auto"/>
        </w:rPr>
        <w:t>‑</w:t>
      </w:r>
      <w:r>
        <w:rPr>
          <w:rFonts w:ascii="Arial" w:cs="Arial" w:eastAsia="Arial" w:hAnsi="Arial"/>
          <w:sz w:val="18"/>
          <w:szCs w:val="18"/>
          <w:color w:val="auto"/>
        </w:rPr>
        <w:t>3 promulgated under the Exchange 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2019 , the Compensation Committee met five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28" w:right="35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8"/>
          <w:szCs w:val="18"/>
          <w:color w:val="auto"/>
        </w:rPr>
        <w:t>identifying individuals qualified to become board members;</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8"/>
          <w:szCs w:val="18"/>
          <w:color w:val="auto"/>
        </w:rPr>
        <w:t>recommending to our Board of Directors the persons to be nominated for election as directors and to each board committee;</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8"/>
          <w:szCs w:val="18"/>
          <w:color w:val="auto"/>
        </w:rPr>
        <w:t>developing and recommending to our Board of Directors corporate governance principles; and</w:t>
      </w:r>
    </w:p>
    <w:p>
      <w:pPr>
        <w:spacing w:after="0" w:line="9" w:lineRule="exact"/>
        <w:rPr>
          <w:rFonts w:ascii="Arial" w:cs="Arial" w:eastAsia="Arial" w:hAnsi="Arial"/>
          <w:sz w:val="13"/>
          <w:szCs w:val="13"/>
          <w:color w:val="auto"/>
        </w:rPr>
      </w:pPr>
    </w:p>
    <w:p>
      <w:pPr>
        <w:ind w:left="660" w:hanging="328"/>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8"/>
          <w:szCs w:val="18"/>
          <w:color w:val="auto"/>
        </w:rPr>
        <w:t>overseeing a periodic assessment of our Board of Directors.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Nominating and Corporate Governance Committee charter is available on our website at www.selectabio.com. The members of our Nominating and Corporate Governance Committee are Patrick Zenner, Scott D. Myers and Timothy A. Springer, Ph.D. Mr. Zenner serves as the Chairperson of the committee. Our Board of Directors has determined that Mr. Myers, Dr. Springer and Mr. Zenner are independent under the applicable Nasdaq rules.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2019 , the Nominating and Corporate Governance Committee met four times.</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SCIENCE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Science Committee’s responsibilities include:</w:t>
      </w:r>
    </w:p>
    <w:p>
      <w:pPr>
        <w:spacing w:after="0" w:line="225" w:lineRule="exact"/>
        <w:rPr>
          <w:sz w:val="20"/>
          <w:szCs w:val="20"/>
          <w:color w:val="auto"/>
        </w:rPr>
      </w:pPr>
    </w:p>
    <w:p>
      <w:pPr>
        <w:ind w:left="660" w:right="460" w:hanging="328"/>
        <w:spacing w:after="0" w:line="250"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8"/>
          <w:szCs w:val="18"/>
          <w:color w:val="auto"/>
        </w:rPr>
        <w:t>advising our Board of Directors on the overall strategy, direction and effectiveness of the Company's research and development programs</w:t>
      </w:r>
    </w:p>
    <w:p>
      <w:pPr>
        <w:ind w:left="660" w:right="6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monitoring trends in research and development, and reporting to our Board of Directors and management regarding emerging technologies for building the Company's technological strength;</w:t>
      </w:r>
    </w:p>
    <w:p>
      <w:pPr>
        <w:ind w:left="660" w:right="1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advising on the soundness, opportunities and risks associated with the products, programs and technologies in which the Company is, or is considering, investing its research and development efforts;</w:t>
      </w:r>
    </w:p>
    <w:p>
      <w:pPr>
        <w:ind w:left="660" w:right="9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advising our Board of Directors on the Company's current and potential internal and external programs and investments in science and technology; and</w:t>
      </w:r>
    </w:p>
    <w:p>
      <w:pPr>
        <w:ind w:left="660" w:right="34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and management with respect to the Company's research and development pipeline.</w:t>
      </w:r>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Timothy A. Springer, Ph.D. is the sole member of our Science Committee and also serves as the Chairperson of the committee. Our Board of Directors has determined that Dr. Springer is independent under the applicable Nasdaq rules.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280"/>
        <w:spacing w:after="0" w:line="217"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identified below. For 2019 , our named executive officers and their positions as of December 31, 2019 were:</w:t>
      </w:r>
    </w:p>
    <w:p>
      <w:pPr>
        <w:ind w:left="1480" w:hanging="824"/>
        <w:spacing w:after="0" w:line="226" w:lineRule="auto"/>
        <w:tabs>
          <w:tab w:leader="none" w:pos="1480" w:val="left"/>
        </w:tabs>
        <w:numPr>
          <w:ilvl w:val="0"/>
          <w:numId w:val="18"/>
        </w:numPr>
        <w:rPr>
          <w:rFonts w:ascii="Arial" w:cs="Arial" w:eastAsia="Arial" w:hAnsi="Arial"/>
          <w:sz w:val="29"/>
          <w:szCs w:val="29"/>
          <w:color w:val="auto"/>
        </w:rPr>
      </w:pPr>
      <w:r>
        <w:rPr>
          <w:rFonts w:ascii="Arial" w:cs="Arial" w:eastAsia="Arial" w:hAnsi="Arial"/>
          <w:sz w:val="18"/>
          <w:szCs w:val="18"/>
          <w:color w:val="auto"/>
        </w:rPr>
        <w:t>Carsten Brunn, Ph.D., President and Chief Executive Officer;</w:t>
      </w:r>
    </w:p>
    <w:p>
      <w:pPr>
        <w:spacing w:after="0" w:line="33" w:lineRule="exact"/>
        <w:rPr>
          <w:rFonts w:ascii="Arial" w:cs="Arial" w:eastAsia="Arial" w:hAnsi="Arial"/>
          <w:sz w:val="29"/>
          <w:szCs w:val="29"/>
          <w:color w:val="auto"/>
        </w:rPr>
      </w:pPr>
    </w:p>
    <w:p>
      <w:pPr>
        <w:ind w:left="1480" w:hanging="824"/>
        <w:spacing w:after="0" w:line="180" w:lineRule="auto"/>
        <w:tabs>
          <w:tab w:leader="none" w:pos="1480" w:val="left"/>
        </w:tabs>
        <w:numPr>
          <w:ilvl w:val="0"/>
          <w:numId w:val="18"/>
        </w:numPr>
        <w:rPr>
          <w:rFonts w:ascii="Arial" w:cs="Arial" w:eastAsia="Arial" w:hAnsi="Arial"/>
          <w:sz w:val="26"/>
          <w:szCs w:val="26"/>
          <w:color w:val="auto"/>
        </w:rPr>
      </w:pPr>
      <w:r>
        <w:rPr>
          <w:rFonts w:ascii="Arial" w:cs="Arial" w:eastAsia="Arial" w:hAnsi="Arial"/>
          <w:sz w:val="16"/>
          <w:szCs w:val="16"/>
          <w:color w:val="auto"/>
        </w:rPr>
        <w:t>Elona Kogan, J.D., General Counsel and Secretary; and</w:t>
      </w:r>
    </w:p>
    <w:p>
      <w:pPr>
        <w:spacing w:after="0" w:line="32" w:lineRule="exact"/>
        <w:rPr>
          <w:rFonts w:ascii="Arial" w:cs="Arial" w:eastAsia="Arial" w:hAnsi="Arial"/>
          <w:sz w:val="26"/>
          <w:szCs w:val="26"/>
          <w:color w:val="auto"/>
        </w:rPr>
      </w:pPr>
    </w:p>
    <w:p>
      <w:pPr>
        <w:ind w:left="1480" w:hanging="824"/>
        <w:spacing w:after="0" w:line="180" w:lineRule="auto"/>
        <w:tabs>
          <w:tab w:leader="none" w:pos="1480" w:val="left"/>
        </w:tabs>
        <w:numPr>
          <w:ilvl w:val="0"/>
          <w:numId w:val="18"/>
        </w:numPr>
        <w:rPr>
          <w:rFonts w:ascii="Arial" w:cs="Arial" w:eastAsia="Arial" w:hAnsi="Arial"/>
          <w:sz w:val="26"/>
          <w:szCs w:val="26"/>
          <w:color w:val="auto"/>
        </w:rPr>
      </w:pPr>
      <w:r>
        <w:rPr>
          <w:rFonts w:ascii="Arial" w:cs="Arial" w:eastAsia="Arial" w:hAnsi="Arial"/>
          <w:sz w:val="16"/>
          <w:szCs w:val="16"/>
          <w:color w:val="auto"/>
        </w:rPr>
        <w:t>Stephen Smolinski, Chief Commercial Officer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Ms. Kogan commenced employment as our General Counsel and Secretary effective March 20, 2019.</w:t>
      </w:r>
    </w:p>
    <w:p>
      <w:pPr>
        <w:spacing w:after="0" w:line="171"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8"/>
        </w:trPr>
        <w:tc>
          <w:tcPr>
            <w:tcW w:w="2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incentive plan</w:t>
            </w:r>
          </w:p>
        </w:tc>
        <w:tc>
          <w:tcPr>
            <w:tcW w:w="1500" w:type="dxa"/>
            <w:vAlign w:val="bottom"/>
          </w:tcPr>
          <w:p>
            <w:pPr>
              <w:jc w:val="center"/>
              <w:ind w:right="93"/>
              <w:spacing w:after="0"/>
              <w:rPr>
                <w:sz w:val="20"/>
                <w:szCs w:val="20"/>
                <w:color w:val="auto"/>
              </w:rPr>
            </w:pPr>
            <w:r>
              <w:rPr>
                <w:rFonts w:ascii="Arial" w:cs="Arial" w:eastAsia="Arial" w:hAnsi="Arial"/>
                <w:sz w:val="13"/>
                <w:szCs w:val="13"/>
                <w:b w:val="1"/>
                <w:bCs w:val="1"/>
                <w:color w:val="auto"/>
              </w:rPr>
              <w:t>All other</w:t>
            </w:r>
          </w:p>
        </w:tc>
        <w:tc>
          <w:tcPr>
            <w:tcW w:w="114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jc w:val="right"/>
              <w:ind w:right="153"/>
              <w:spacing w:after="0"/>
              <w:rPr>
                <w:sz w:val="20"/>
                <w:szCs w:val="20"/>
                <w:color w:val="auto"/>
              </w:rPr>
            </w:pPr>
            <w:r>
              <w:rPr>
                <w:rFonts w:ascii="Arial" w:cs="Arial" w:eastAsia="Arial" w:hAnsi="Arial"/>
                <w:sz w:val="13"/>
                <w:szCs w:val="13"/>
                <w:b w:val="1"/>
                <w:bCs w:val="1"/>
                <w:color w:val="auto"/>
              </w:rPr>
              <w:t>Salary ($)</w:t>
            </w:r>
          </w:p>
        </w:tc>
        <w:tc>
          <w:tcPr>
            <w:tcW w:w="1080" w:type="dxa"/>
            <w:vAlign w:val="bottom"/>
          </w:tcPr>
          <w:p>
            <w:pPr>
              <w:spacing w:after="0"/>
              <w:rPr>
                <w:sz w:val="12"/>
                <w:szCs w:val="12"/>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Stock awards</w:t>
            </w:r>
          </w:p>
        </w:tc>
        <w:tc>
          <w:tcPr>
            <w:tcW w:w="1040" w:type="dxa"/>
            <w:vAlign w:val="bottom"/>
          </w:tcPr>
          <w:p>
            <w:pPr>
              <w:jc w:val="right"/>
              <w:ind w:right="233"/>
              <w:spacing w:after="0"/>
              <w:rPr>
                <w:sz w:val="20"/>
                <w:szCs w:val="20"/>
                <w:color w:val="auto"/>
              </w:rPr>
            </w:pPr>
            <w:r>
              <w:rPr>
                <w:rFonts w:ascii="Arial" w:cs="Arial" w:eastAsia="Arial" w:hAnsi="Arial"/>
                <w:sz w:val="13"/>
                <w:szCs w:val="13"/>
                <w:b w:val="1"/>
                <w:bCs w:val="1"/>
                <w:color w:val="auto"/>
              </w:rPr>
              <w:t>Option</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compensation ($)</w:t>
            </w:r>
          </w:p>
        </w:tc>
        <w:tc>
          <w:tcPr>
            <w:tcW w:w="1500" w:type="dxa"/>
            <w:vAlign w:val="bottom"/>
          </w:tcPr>
          <w:p>
            <w:pPr>
              <w:jc w:val="center"/>
              <w:ind w:right="93"/>
              <w:spacing w:after="0"/>
              <w:rPr>
                <w:sz w:val="20"/>
                <w:szCs w:val="20"/>
                <w:color w:val="auto"/>
              </w:rPr>
            </w:pPr>
            <w:r>
              <w:rPr>
                <w:rFonts w:ascii="Arial" w:cs="Arial" w:eastAsia="Arial" w:hAnsi="Arial"/>
                <w:sz w:val="13"/>
                <w:szCs w:val="13"/>
                <w:b w:val="1"/>
                <w:bCs w:val="1"/>
                <w:color w:val="auto"/>
              </w:rPr>
              <w:t>compensation ($)</w:t>
            </w:r>
          </w:p>
        </w:tc>
        <w:tc>
          <w:tcPr>
            <w:tcW w:w="1140" w:type="dxa"/>
            <w:vAlign w:val="bottom"/>
          </w:tcPr>
          <w:p>
            <w:pPr>
              <w:spacing w:after="0"/>
              <w:rPr>
                <w:sz w:val="12"/>
                <w:szCs w:val="12"/>
                <w:color w:val="auto"/>
              </w:rPr>
            </w:pPr>
          </w:p>
        </w:tc>
      </w:tr>
      <w:tr>
        <w:trPr>
          <w:trHeight w:val="185"/>
        </w:trPr>
        <w:tc>
          <w:tcPr>
            <w:tcW w:w="2580" w:type="dxa"/>
            <w:vAlign w:val="bottom"/>
          </w:tcPr>
          <w:p>
            <w:pPr>
              <w:ind w:left="400"/>
              <w:spacing w:after="0"/>
              <w:rPr>
                <w:sz w:val="20"/>
                <w:szCs w:val="20"/>
                <w:color w:val="auto"/>
              </w:rPr>
            </w:pPr>
            <w:r>
              <w:rPr>
                <w:rFonts w:ascii="Arial" w:cs="Arial" w:eastAsia="Arial" w:hAnsi="Arial"/>
                <w:sz w:val="13"/>
                <w:szCs w:val="13"/>
                <w:b w:val="1"/>
                <w:bCs w:val="1"/>
                <w:color w:val="auto"/>
              </w:rPr>
              <w:t>Name and principal position</w:t>
            </w:r>
          </w:p>
        </w:tc>
        <w:tc>
          <w:tcPr>
            <w:tcW w:w="520" w:type="dxa"/>
            <w:vAlign w:val="bottom"/>
          </w:tcPr>
          <w:p>
            <w:pPr>
              <w:ind w:left="80"/>
              <w:spacing w:after="0"/>
              <w:rPr>
                <w:sz w:val="20"/>
                <w:szCs w:val="20"/>
                <w:color w:val="auto"/>
              </w:rPr>
            </w:pPr>
            <w:r>
              <w:rPr>
                <w:rFonts w:ascii="Arial" w:cs="Arial" w:eastAsia="Arial" w:hAnsi="Arial"/>
                <w:sz w:val="13"/>
                <w:szCs w:val="13"/>
                <w:b w:val="1"/>
                <w:bCs w:val="1"/>
                <w:color w:val="auto"/>
              </w:rPr>
              <w:t>Year</w:t>
            </w:r>
          </w:p>
        </w:tc>
        <w:tc>
          <w:tcPr>
            <w:tcW w:w="940" w:type="dxa"/>
            <w:vAlign w:val="bottom"/>
          </w:tcPr>
          <w:p>
            <w:pPr>
              <w:jc w:val="right"/>
              <w:ind w:right="373"/>
              <w:spacing w:after="0"/>
              <w:rPr>
                <w:sz w:val="20"/>
                <w:szCs w:val="20"/>
                <w:color w:val="auto"/>
              </w:rPr>
            </w:pPr>
            <w:r>
              <w:rPr>
                <w:rFonts w:ascii="Arial" w:cs="Arial" w:eastAsia="Arial" w:hAnsi="Arial"/>
                <w:sz w:val="13"/>
                <w:szCs w:val="13"/>
                <w:b w:val="1"/>
                <w:bCs w:val="1"/>
                <w:color w:val="auto"/>
              </w:rPr>
              <w:t>(1)</w:t>
            </w:r>
          </w:p>
        </w:tc>
        <w:tc>
          <w:tcPr>
            <w:tcW w:w="1080" w:type="dxa"/>
            <w:vAlign w:val="bottom"/>
          </w:tcPr>
          <w:p>
            <w:pPr>
              <w:jc w:val="right"/>
              <w:ind w:right="193"/>
              <w:spacing w:after="0"/>
              <w:rPr>
                <w:sz w:val="20"/>
                <w:szCs w:val="20"/>
                <w:color w:val="auto"/>
              </w:rPr>
            </w:pPr>
            <w:r>
              <w:rPr>
                <w:rFonts w:ascii="Arial" w:cs="Arial" w:eastAsia="Arial" w:hAnsi="Arial"/>
                <w:sz w:val="13"/>
                <w:szCs w:val="13"/>
                <w:b w:val="1"/>
                <w:bCs w:val="1"/>
                <w:color w:val="auto"/>
              </w:rPr>
              <w:t>Bonus ($)</w:t>
            </w:r>
          </w:p>
        </w:tc>
        <w:tc>
          <w:tcPr>
            <w:tcW w:w="1100" w:type="dxa"/>
            <w:vAlign w:val="bottom"/>
          </w:tcPr>
          <w:p>
            <w:pPr>
              <w:jc w:val="right"/>
              <w:ind w:right="273"/>
              <w:spacing w:after="0"/>
              <w:rPr>
                <w:sz w:val="20"/>
                <w:szCs w:val="20"/>
                <w:color w:val="auto"/>
              </w:rPr>
            </w:pPr>
            <w:r>
              <w:rPr>
                <w:rFonts w:ascii="Arial" w:cs="Arial" w:eastAsia="Arial" w:hAnsi="Arial"/>
                <w:sz w:val="13"/>
                <w:szCs w:val="13"/>
                <w:b w:val="1"/>
                <w:bCs w:val="1"/>
                <w:color w:val="auto"/>
              </w:rPr>
              <w:t>($) (2)</w:t>
            </w:r>
          </w:p>
        </w:tc>
        <w:tc>
          <w:tcPr>
            <w:tcW w:w="1040" w:type="dxa"/>
            <w:vAlign w:val="bottom"/>
          </w:tcPr>
          <w:p>
            <w:pPr>
              <w:jc w:val="right"/>
              <w:ind w:right="33"/>
              <w:spacing w:after="0"/>
              <w:rPr>
                <w:sz w:val="20"/>
                <w:szCs w:val="20"/>
                <w:color w:val="auto"/>
              </w:rPr>
            </w:pPr>
            <w:r>
              <w:rPr>
                <w:rFonts w:ascii="Arial" w:cs="Arial" w:eastAsia="Arial" w:hAnsi="Arial"/>
                <w:sz w:val="13"/>
                <w:szCs w:val="13"/>
                <w:b w:val="1"/>
                <w:bCs w:val="1"/>
                <w:color w:val="auto"/>
              </w:rPr>
              <w:t>awards ($)(2)</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1500" w:type="dxa"/>
            <w:vAlign w:val="bottom"/>
          </w:tcPr>
          <w:p>
            <w:pPr>
              <w:jc w:val="center"/>
              <w:ind w:right="93"/>
              <w:spacing w:after="0"/>
              <w:rPr>
                <w:sz w:val="20"/>
                <w:szCs w:val="20"/>
                <w:color w:val="auto"/>
              </w:rPr>
            </w:pPr>
            <w:r>
              <w:rPr>
                <w:rFonts w:ascii="Arial" w:cs="Arial" w:eastAsia="Arial" w:hAnsi="Arial"/>
                <w:sz w:val="13"/>
                <w:szCs w:val="13"/>
                <w:b w:val="1"/>
                <w:bCs w:val="1"/>
                <w:color w:val="auto"/>
              </w:rPr>
              <w:t>(4)</w:t>
            </w:r>
          </w:p>
        </w:tc>
        <w:tc>
          <w:tcPr>
            <w:tcW w:w="1140" w:type="dxa"/>
            <w:vAlign w:val="bottom"/>
          </w:tcPr>
          <w:p>
            <w:pPr>
              <w:jc w:val="right"/>
              <w:ind w:right="293"/>
              <w:spacing w:after="0"/>
              <w:rPr>
                <w:sz w:val="20"/>
                <w:szCs w:val="20"/>
                <w:color w:val="auto"/>
              </w:rPr>
            </w:pPr>
            <w:r>
              <w:rPr>
                <w:rFonts w:ascii="Arial" w:cs="Arial" w:eastAsia="Arial" w:hAnsi="Arial"/>
                <w:sz w:val="13"/>
                <w:szCs w:val="13"/>
                <w:b w:val="1"/>
                <w:bCs w:val="1"/>
                <w:color w:val="auto"/>
              </w:rPr>
              <w:t>Total ($)</w:t>
            </w:r>
          </w:p>
        </w:tc>
      </w:tr>
      <w:tr>
        <w:trPr>
          <w:trHeight w:val="277"/>
        </w:trPr>
        <w:tc>
          <w:tcPr>
            <w:tcW w:w="2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Carsten Brunn, Ph.D.</w:t>
            </w:r>
          </w:p>
        </w:tc>
        <w:tc>
          <w:tcPr>
            <w:tcW w:w="52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2019</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550,000</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1,043,972</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275,000</w:t>
            </w:r>
          </w:p>
        </w:tc>
        <w:tc>
          <w:tcPr>
            <w:tcW w:w="15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117,523</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1,986,495</w:t>
            </w:r>
          </w:p>
        </w:tc>
      </w:tr>
      <w:tr>
        <w:trPr>
          <w:trHeight w:val="263"/>
        </w:trPr>
        <w:tc>
          <w:tcPr>
            <w:tcW w:w="2580" w:type="dxa"/>
            <w:vAlign w:val="bottom"/>
            <w:tcBorders>
              <w:bottom w:val="single" w:sz="8" w:color="auto"/>
            </w:tcBorders>
          </w:tcPr>
          <w:p>
            <w:pPr>
              <w:ind w:left="260"/>
              <w:spacing w:after="0"/>
              <w:rPr>
                <w:sz w:val="20"/>
                <w:szCs w:val="20"/>
                <w:color w:val="auto"/>
              </w:rPr>
            </w:pPr>
            <w:r>
              <w:rPr>
                <w:rFonts w:ascii="Arial" w:cs="Arial" w:eastAsia="Arial" w:hAnsi="Arial"/>
                <w:sz w:val="13"/>
                <w:szCs w:val="13"/>
                <w:i w:val="1"/>
                <w:iCs w:val="1"/>
                <w:color w:val="auto"/>
              </w:rPr>
              <w:t>President and Chief Executive Officer</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2018</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42,308</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97,917</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1,055,250</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4,403,673</w:t>
            </w: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6,000</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5,605,148</w:t>
            </w:r>
          </w:p>
        </w:tc>
      </w:tr>
      <w:tr>
        <w:trPr>
          <w:trHeight w:val="270"/>
        </w:trPr>
        <w:tc>
          <w:tcPr>
            <w:tcW w:w="2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Elona Kogan, J.D. (5)</w:t>
            </w:r>
          </w:p>
        </w:tc>
        <w:tc>
          <w:tcPr>
            <w:tcW w:w="52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2019</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296,692</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169,934(6)</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197,000</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681,711</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10,066(7)</w:t>
            </w:r>
          </w:p>
        </w:tc>
        <w:tc>
          <w:tcPr>
            <w:tcW w:w="15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4,083</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1,359,486</w:t>
            </w:r>
          </w:p>
        </w:tc>
      </w:tr>
      <w:tr>
        <w:trPr>
          <w:trHeight w:val="161"/>
        </w:trPr>
        <w:tc>
          <w:tcPr>
            <w:tcW w:w="2580" w:type="dxa"/>
            <w:vAlign w:val="bottom"/>
          </w:tcPr>
          <w:p>
            <w:pPr>
              <w:ind w:left="500"/>
              <w:spacing w:after="0"/>
              <w:rPr>
                <w:sz w:val="20"/>
                <w:szCs w:val="20"/>
                <w:color w:val="auto"/>
              </w:rPr>
            </w:pPr>
            <w:r>
              <w:rPr>
                <w:rFonts w:ascii="Arial" w:cs="Arial" w:eastAsia="Arial" w:hAnsi="Arial"/>
                <w:sz w:val="13"/>
                <w:szCs w:val="13"/>
                <w:i w:val="1"/>
                <w:iCs w:val="1"/>
                <w:color w:val="auto"/>
              </w:rPr>
              <w:t>General Counsel and Corporate</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4"/>
        </w:trPr>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Secretary</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70"/>
        </w:trPr>
        <w:tc>
          <w:tcPr>
            <w:tcW w:w="2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Stephen Smolinski</w:t>
            </w:r>
          </w:p>
        </w:tc>
        <w:tc>
          <w:tcPr>
            <w:tcW w:w="52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2019</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332,092</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415,249</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132,837</w:t>
            </w:r>
          </w:p>
        </w:tc>
        <w:tc>
          <w:tcPr>
            <w:tcW w:w="15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84,457</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964,635</w:t>
            </w:r>
          </w:p>
        </w:tc>
      </w:tr>
      <w:tr>
        <w:trPr>
          <w:trHeight w:val="263"/>
        </w:trPr>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3"/>
                <w:szCs w:val="13"/>
                <w:i w:val="1"/>
                <w:iCs w:val="1"/>
                <w:color w:val="auto"/>
              </w:rPr>
              <w:t>Chief Commercial Officer</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2018</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320,000</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745,431</w:t>
            </w: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109,275</w:t>
            </w: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62,244</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1,236,950</w:t>
            </w:r>
          </w:p>
        </w:tc>
      </w:tr>
    </w:tbl>
    <w:p>
      <w:pPr>
        <w:spacing w:after="0" w:line="16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These amounts represent actual earnings for the calendar year, which may be impacted by, among other things, hire date and the timing of any salary increases made during the year.</w:t>
      </w:r>
    </w:p>
    <w:p>
      <w:pPr>
        <w:spacing w:after="0" w:line="336" w:lineRule="exact"/>
        <w:rPr>
          <w:rFonts w:ascii="Arial" w:cs="Arial" w:eastAsia="Arial" w:hAnsi="Arial"/>
          <w:sz w:val="13"/>
          <w:szCs w:val="13"/>
          <w:color w:val="auto"/>
        </w:rPr>
      </w:pPr>
    </w:p>
    <w:p>
      <w:pPr>
        <w:ind w:left="340" w:right="160" w:hanging="332"/>
        <w:spacing w:after="0" w:line="266"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stock and option awards computed in accordance with ASC Topic 718, excluding the effect of estimated forfeitures. The grant date fair value for Ms. Kogan's performance-based restricted stock units is based on the closing price of the Company's common stock as of the applicable date of grant assuming maximum achievement of the performance conditions, which the Company determined also to be the probable outcome of the performance conditions as of the applicable date of grant. For a description of the assumptions used in valuing these awards, see Note 11 to our consolidated audited financial statements included in our 2019 Annual Report.</w:t>
      </w:r>
    </w:p>
    <w:p>
      <w:pPr>
        <w:spacing w:after="0" w:line="309" w:lineRule="exact"/>
        <w:rPr>
          <w:rFonts w:ascii="Arial" w:cs="Arial" w:eastAsia="Arial" w:hAnsi="Arial"/>
          <w:sz w:val="13"/>
          <w:szCs w:val="13"/>
          <w:color w:val="auto"/>
        </w:rPr>
      </w:pPr>
    </w:p>
    <w:p>
      <w:pPr>
        <w:ind w:left="340" w:right="260" w:hanging="332"/>
        <w:spacing w:after="0" w:line="280"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Non-equity incentive plan compensation represents amounts earned under our annual performance based bonus program. For additional information, see “Performance Bonuses” below.</w:t>
      </w:r>
    </w:p>
    <w:p>
      <w:pPr>
        <w:spacing w:after="0" w:line="299" w:lineRule="exact"/>
        <w:rPr>
          <w:rFonts w:ascii="Arial" w:cs="Arial" w:eastAsia="Arial" w:hAnsi="Arial"/>
          <w:sz w:val="13"/>
          <w:szCs w:val="13"/>
          <w:color w:val="auto"/>
        </w:rPr>
      </w:pPr>
    </w:p>
    <w:p>
      <w:pPr>
        <w:ind w:left="340" w:right="100" w:hanging="332"/>
        <w:spacing w:after="0" w:line="265"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Dr. Brunn, the amount for 2019 includes $116,623 representing payment or reimbursement of travel and relocation expenses and a tax gross-up relating to such payments or reimbursements and $900 representing payments on Dr. Brunn's term life insurance policy. For Ms. Kogan, the amount includes $3,400 representing the Company's 401(k) matching contribution and $683 representing payments on Ms. Kogan's term life insurance policy. For Mr. Smolinski, the amount includes $83,002 representing payment or reimbursements for expenses incurred for travel between his primary residence in New Jersey and our offices in Massachusetts and a tax gross-up relating to such reimbursements and $1,455 representing payments on Mr. Smolinski's term life insurance policy.</w:t>
      </w:r>
    </w:p>
    <w:p>
      <w:pPr>
        <w:spacing w:after="0" w:line="308" w:lineRule="exact"/>
        <w:rPr>
          <w:rFonts w:ascii="Arial" w:cs="Arial" w:eastAsia="Arial" w:hAnsi="Arial"/>
          <w:sz w:val="13"/>
          <w:szCs w:val="13"/>
          <w:color w:val="auto"/>
        </w:rPr>
      </w:pPr>
    </w:p>
    <w:p>
      <w:pPr>
        <w:ind w:left="340" w:hanging="332"/>
        <w:spacing w:after="0"/>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Ms. Kogan commenced employment effective March 20, 2019.</w:t>
      </w:r>
    </w:p>
    <w:p>
      <w:pPr>
        <w:spacing w:after="0" w:line="336" w:lineRule="exact"/>
        <w:rPr>
          <w:rFonts w:ascii="Arial" w:cs="Arial" w:eastAsia="Arial" w:hAnsi="Arial"/>
          <w:sz w:val="13"/>
          <w:szCs w:val="13"/>
          <w:color w:val="auto"/>
        </w:rPr>
      </w:pPr>
    </w:p>
    <w:p>
      <w:pPr>
        <w:ind w:left="340" w:right="160" w:hanging="332"/>
        <w:spacing w:after="0" w:line="280"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(i) $50,000 in the amount of the signing bonus paid to Ms. Kogan pursuant to the terms of her employment agreement and (ii) $119,934 in the guaranteed portion of Ms. Kogan's 2019 annual bonus.</w:t>
      </w:r>
    </w:p>
    <w:p>
      <w:pPr>
        <w:spacing w:after="0" w:line="299" w:lineRule="exact"/>
        <w:rPr>
          <w:rFonts w:ascii="Arial" w:cs="Arial" w:eastAsia="Arial" w:hAnsi="Arial"/>
          <w:sz w:val="13"/>
          <w:szCs w:val="13"/>
          <w:color w:val="auto"/>
        </w:rPr>
      </w:pPr>
    </w:p>
    <w:p>
      <w:pPr>
        <w:ind w:left="340" w:right="400" w:hanging="332"/>
        <w:spacing w:after="0" w:line="280" w:lineRule="auto"/>
        <w:tabs>
          <w:tab w:leader="none" w:pos="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portion of Ms. Kogan's 2019 annual bonus earned under our annual performance-based bonus program that exceeds the guaranteed portion of her 2019 annual bonus.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20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Dr. Brunn did not receive a base salary increase for 2019. Ms. Kogan joined the Company in March 2019 with an annual base salary of $380,000. At the end of 2018, the Compensation Committee recommended to the Board of Directors, and the Board of Directors approved an increase in Mr. Smolinski's annual base salary from $320,000 to $332,092 for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2019 target bonus amount for Dr. Brunn was 50% of his base salary, for Ms. Kogan was 40% of her base salary and for Mr. Smolinski was 40% of his base salary. Pursuant to Ms. Kogan's employment agreement, her 2019 bonus was guaranteed to be at least $119,934.</w:t>
      </w:r>
    </w:p>
    <w:p>
      <w:pPr>
        <w:spacing w:after="0" w:line="20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2019, bonuses were entirely determined based on Company performance in meeting clinical, business development and financial goals.</w:t>
      </w:r>
    </w:p>
    <w:p>
      <w:pPr>
        <w:spacing w:after="0" w:line="20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actual cash bonuses earned by Dr. Brunn, Ms. Kogan and Mr. Smolinski for 2019 are reported under the “Non-equity incentive plan compensation” column.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of Directors determined appropriate to recruit, retain or reward particular named executive officers.</w:t>
      </w:r>
    </w:p>
    <w:p>
      <w:pPr>
        <w:spacing w:after="0" w:line="204"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the Company to obtain and retain the services of these individuals, which we believe are essential to our long-term success.</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also maintain the 2018 Employment Inducement Incentive Award Plan (as amended, the "2018 Plan"), which was adopted by the Board on September 25, 2018 without stockholder approval pursuant to Rule 5635(c)(4) of the Nasdaq Stock Market LLC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28" w:right="399" w:bottom="1440" w:gutter="0" w:footer="0" w:header="0"/>
        </w:sectPr>
      </w:pPr>
    </w:p>
    <w:bookmarkStart w:id="31" w:name="page32"/>
    <w:bookmarkEnd w:id="31"/>
    <w:p>
      <w:pPr>
        <w:ind w:right="380"/>
        <w:spacing w:after="0" w:line="261" w:lineRule="auto"/>
        <w:rPr>
          <w:sz w:val="20"/>
          <w:szCs w:val="20"/>
          <w:color w:val="auto"/>
        </w:rPr>
      </w:pPr>
      <w:r>
        <w:rPr>
          <w:rFonts w:ascii="Arial" w:cs="Arial" w:eastAsia="Arial" w:hAnsi="Arial"/>
          <w:sz w:val="18"/>
          <w:szCs w:val="18"/>
          <w:color w:val="auto"/>
        </w:rPr>
        <w:t>being rehired following a bona fide period of non-employment by the Company, as a material inducement to the employee’s entering into employment with the Company.</w:t>
      </w:r>
    </w:p>
    <w:p>
      <w:pPr>
        <w:spacing w:after="0" w:line="19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w:t>
      </w:r>
    </w:p>
    <w:p>
      <w:pPr>
        <w:ind w:right="180"/>
        <w:spacing w:after="0" w:line="254" w:lineRule="auto"/>
        <w:rPr>
          <w:sz w:val="20"/>
          <w:szCs w:val="20"/>
          <w:color w:val="auto"/>
        </w:rPr>
      </w:pPr>
      <w:r>
        <w:rPr>
          <w:rFonts w:ascii="Arial" w:cs="Arial" w:eastAsia="Arial" w:hAnsi="Arial"/>
          <w:sz w:val="18"/>
          <w:szCs w:val="18"/>
          <w:color w:val="auto"/>
        </w:rPr>
        <w:t>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 awards may be intended to qualify as incentive stock options under the Code.</w:t>
      </w:r>
    </w:p>
    <w:p>
      <w:pPr>
        <w:spacing w:after="0" w:line="2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early 2019, we granted to Mr. Smolinski and Dr. Brunn options to purchase 100,000 and 330,000 shares of our common stock, respectively, under the 2016 Plan. Such options vest as to 25% of the total shares underlying the option on the first anniversary of the grant date and in equal monthly installments over the ensuing 36 months, subject to the executive’s continued service with us through the applicable vesting date.</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March 2019, pursuant to Ms. Kogan’s employment agreement, we granted to Ms. Kogan a new hire equity award consisting of an option to purchase 400,000 shares of common stock and 100,000 performance-based restricted stock units under the 2018 Plan. The option vests over a four-year period, with 25% of the underlying shares vesting on the first anniversary of Ms. Kogan’s employment commencement date and the remaining 75% of the underlying shares vesting in 36 equal monthly installments thereafter, subject to Ms. Kogan's continued service with us through the applicable vesting date. The restricted stock units are subject to two performance vesting conditions related to the development of SEL-212 and the Company's business development efforts, and vest, subject to Ms. Kogan's continued service with us through the applicable vesting date, as to 50% of award on the date the Board or Compensation Committee determines an applicable performance condition is achieved, which determination must occur on or prior to December 31, 2020. Pursuant to ASC Topic 718, 50% of the restricted stock units were deemed granted on March 25, 2019, and the remaining 50% of the restricted stock units were deemed not to have defined performance criteria until August 6, 2019, when they were deemed both granted and vested.</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October 2019, we granted to Mr. Smolinski and Dr. Brunn options to purchase 180,000 and 400,000 shares of our common stock, respectively, under the 2016 Plan. The grants were made as part of a series of grants made to key employees of the Company in an effort to retain critical talent. Such options vest as to 50% of the total shares underlying the option on the first anniversary of the grant date and the remaining 50% of the total shares on the second anniversary of the grant date, subject to the executive’s continued service with us through the applicable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30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2019, we also provided certain travel and relocation benefits to Dr. Brunn and Mr. Smolinski pursuant to their employment agreements. Dr. Brunn was entitled to receive a stipend of $6,000 per month through June 2019 to offset the costs of travel and commuting expenses incurred in performing his duties for the Company and direct payment of, or reimbursement for, up to $ 75,000 in moving expenses incurred in connection with his relocation to the greater Boston, Massachusetts area. Pursuant to his employment agreement, Mr. Smolinski was entitled to reimbursement of expenses incurred for travel between his primary residence in New Jersey and our offices in Massachusetts, up to a maximum amount of $6,100 monthly. We also provided Dr. Brunn and Mr. Smolinski with a tax gross-up to offset the tax liability incurred for such travel and relocation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color w:val="auto"/>
        </w:rPr>
        <w:t>OUTSTANDING EQUITY AWARDS AT 2019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ind w:left="520"/>
              <w:spacing w:after="0"/>
              <w:rPr>
                <w:sz w:val="20"/>
                <w:szCs w:val="20"/>
                <w:color w:val="auto"/>
              </w:rPr>
            </w:pPr>
            <w:r>
              <w:rPr>
                <w:rFonts w:ascii="Arial" w:cs="Arial" w:eastAsia="Arial" w:hAnsi="Arial"/>
                <w:sz w:val="12"/>
                <w:szCs w:val="12"/>
                <w:b w:val="1"/>
                <w:bCs w:val="1"/>
                <w:color w:val="auto"/>
              </w:rPr>
              <w:t>Option Awards</w:t>
            </w: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2"/>
                <w:szCs w:val="12"/>
                <w:b w:val="1"/>
                <w:bCs w:val="1"/>
                <w:color w:val="auto"/>
                <w:w w:val="95"/>
              </w:rPr>
              <w:t>Stock Awards</w:t>
            </w:r>
          </w:p>
        </w:tc>
        <w:tc>
          <w:tcPr>
            <w:tcW w:w="10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0"/>
        </w:trPr>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940" w:type="dxa"/>
            <w:vAlign w:val="bottom"/>
          </w:tcPr>
          <w:p>
            <w:pPr>
              <w:jc w:val="center"/>
              <w:ind w:left="2"/>
              <w:spacing w:after="0"/>
              <w:rPr>
                <w:sz w:val="20"/>
                <w:szCs w:val="20"/>
                <w:color w:val="auto"/>
              </w:rPr>
            </w:pPr>
            <w:r>
              <w:rPr>
                <w:rFonts w:ascii="Arial" w:cs="Arial" w:eastAsia="Arial" w:hAnsi="Arial"/>
                <w:sz w:val="12"/>
                <w:szCs w:val="12"/>
                <w:b w:val="1"/>
                <w:bCs w:val="1"/>
                <w:color w:val="auto"/>
                <w:w w:val="98"/>
              </w:rPr>
              <w:t>Equity</w:t>
            </w:r>
          </w:p>
        </w:tc>
      </w:tr>
      <w:tr>
        <w:trPr>
          <w:trHeight w:val="135"/>
        </w:trPr>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Market</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Incentive plan</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Incentive plan</w:t>
            </w:r>
          </w:p>
        </w:tc>
      </w:tr>
      <w:tr>
        <w:trPr>
          <w:trHeight w:val="135"/>
        </w:trPr>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value of</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6"/>
              </w:rPr>
              <w:t>awards:</w:t>
            </w:r>
          </w:p>
        </w:tc>
      </w:tr>
      <w:tr>
        <w:trPr>
          <w:trHeight w:val="135"/>
        </w:trPr>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Number of</w:t>
            </w:r>
          </w:p>
        </w:tc>
        <w:tc>
          <w:tcPr>
            <w:tcW w:w="126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Number of</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jc w:val="center"/>
              <w:ind w:left="42"/>
              <w:spacing w:after="0" w:line="135" w:lineRule="exact"/>
              <w:rPr>
                <w:sz w:val="20"/>
                <w:szCs w:val="20"/>
                <w:color w:val="auto"/>
              </w:rPr>
            </w:pPr>
            <w:r>
              <w:rPr>
                <w:rFonts w:ascii="Arial" w:cs="Arial" w:eastAsia="Arial" w:hAnsi="Arial"/>
                <w:sz w:val="12"/>
                <w:szCs w:val="12"/>
                <w:b w:val="1"/>
                <w:bCs w:val="1"/>
                <w:color w:val="auto"/>
                <w:w w:val="96"/>
              </w:rPr>
              <w:t>Number of</w:t>
            </w: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shares</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number of</w:t>
            </w:r>
          </w:p>
        </w:tc>
        <w:tc>
          <w:tcPr>
            <w:tcW w:w="94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8"/>
              </w:rPr>
              <w:t>market value</w:t>
            </w:r>
          </w:p>
        </w:tc>
      </w:tr>
      <w:tr>
        <w:trPr>
          <w:trHeight w:val="135"/>
        </w:trPr>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securities</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securities</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jc w:val="center"/>
              <w:ind w:left="42"/>
              <w:spacing w:after="0" w:line="135" w:lineRule="exact"/>
              <w:rPr>
                <w:sz w:val="20"/>
                <w:szCs w:val="20"/>
                <w:color w:val="auto"/>
              </w:rPr>
            </w:pPr>
            <w:r>
              <w:rPr>
                <w:rFonts w:ascii="Arial" w:cs="Arial" w:eastAsia="Arial" w:hAnsi="Arial"/>
                <w:sz w:val="12"/>
                <w:szCs w:val="12"/>
                <w:b w:val="1"/>
                <w:bCs w:val="1"/>
                <w:color w:val="auto"/>
                <w:w w:val="98"/>
              </w:rPr>
              <w:t>shares</w:t>
            </w: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or units of</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unearned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of unearned</w:t>
            </w:r>
          </w:p>
        </w:tc>
      </w:tr>
      <w:tr>
        <w:trPr>
          <w:trHeight w:val="135"/>
        </w:trPr>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underlying</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underlying</w:t>
            </w: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jc w:val="center"/>
              <w:ind w:left="42"/>
              <w:spacing w:after="0" w:line="135" w:lineRule="exact"/>
              <w:rPr>
                <w:sz w:val="20"/>
                <w:szCs w:val="20"/>
                <w:color w:val="auto"/>
              </w:rPr>
            </w:pPr>
            <w:r>
              <w:rPr>
                <w:rFonts w:ascii="Arial" w:cs="Arial" w:eastAsia="Arial" w:hAnsi="Arial"/>
                <w:sz w:val="12"/>
                <w:szCs w:val="12"/>
                <w:b w:val="1"/>
                <w:bCs w:val="1"/>
                <w:color w:val="auto"/>
                <w:w w:val="98"/>
              </w:rPr>
              <w:t>or units of</w:t>
            </w: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stock that</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shares, units</w:t>
            </w:r>
          </w:p>
        </w:tc>
        <w:tc>
          <w:tcPr>
            <w:tcW w:w="94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7"/>
              </w:rPr>
              <w:t>shares, units</w:t>
            </w:r>
          </w:p>
        </w:tc>
      </w:tr>
      <w:tr>
        <w:trPr>
          <w:trHeight w:val="135"/>
        </w:trPr>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Vesting</w:t>
            </w: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unexercised</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unexercised</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Option</w:t>
            </w:r>
          </w:p>
        </w:tc>
        <w:tc>
          <w:tcPr>
            <w:tcW w:w="9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Option</w:t>
            </w:r>
          </w:p>
        </w:tc>
        <w:tc>
          <w:tcPr>
            <w:tcW w:w="80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auto"/>
                <w:w w:val="98"/>
              </w:rPr>
              <w:t>stock that</w:t>
            </w: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have not</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or other rights</w:t>
            </w:r>
          </w:p>
        </w:tc>
        <w:tc>
          <w:tcPr>
            <w:tcW w:w="94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7"/>
              </w:rPr>
              <w:t>or other rights</w:t>
            </w:r>
          </w:p>
        </w:tc>
      </w:tr>
      <w:tr>
        <w:trPr>
          <w:trHeight w:val="135"/>
        </w:trPr>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Commencement</w:t>
            </w: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options (#)</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options (#)</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exercise</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auto"/>
                <w:w w:val="97"/>
              </w:rPr>
              <w:t>have not</w:t>
            </w: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vested ($)</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that have not</w:t>
            </w:r>
          </w:p>
        </w:tc>
        <w:tc>
          <w:tcPr>
            <w:tcW w:w="94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6"/>
              </w:rPr>
              <w:t>that have not</w:t>
            </w:r>
          </w:p>
        </w:tc>
      </w:tr>
      <w:tr>
        <w:trPr>
          <w:trHeight w:val="167"/>
        </w:trPr>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Name</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Grant date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Date(1)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exercisable (2)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unexercisable (2)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price ($)</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date</w:t>
            </w:r>
          </w:p>
        </w:tc>
        <w:tc>
          <w:tcPr>
            <w:tcW w:w="80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b w:val="1"/>
                <w:bCs w:val="1"/>
                <w:color w:val="auto"/>
                <w:w w:val="96"/>
              </w:rPr>
              <w:t>vested (#)</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vested (#)</w:t>
            </w:r>
          </w:p>
        </w:tc>
        <w:tc>
          <w:tcPr>
            <w:tcW w:w="94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7"/>
              </w:rPr>
              <w:t>vested ($) (3)</w:t>
            </w:r>
          </w:p>
        </w:tc>
      </w:tr>
      <w:tr>
        <w:trPr>
          <w:trHeight w:val="164"/>
        </w:trPr>
        <w:tc>
          <w:tcPr>
            <w:tcW w:w="1020" w:type="dxa"/>
            <w:vAlign w:val="bottom"/>
            <w:shd w:val="clear" w:color="auto" w:fill="CCEEFF"/>
          </w:tcPr>
          <w:p>
            <w:pPr>
              <w:ind w:left="40"/>
              <w:spacing w:after="0"/>
              <w:rPr>
                <w:sz w:val="20"/>
                <w:szCs w:val="20"/>
                <w:color w:val="auto"/>
              </w:rPr>
            </w:pPr>
            <w:r>
              <w:rPr>
                <w:rFonts w:ascii="Arial" w:cs="Arial" w:eastAsia="Arial" w:hAnsi="Arial"/>
                <w:sz w:val="12"/>
                <w:szCs w:val="12"/>
                <w:color w:val="auto"/>
              </w:rPr>
              <w:t>Carsten Brunn,</w:t>
            </w: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4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Ph.D.</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10/7/2019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10/7/2019</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6"/>
              </w:rPr>
              <w:t>400,000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1.75</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10/6/2029</w:t>
            </w:r>
          </w:p>
        </w:tc>
        <w:tc>
          <w:tcPr>
            <w:tcW w:w="8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r>
      <w:tr>
        <w:trPr>
          <w:trHeight w:val="250"/>
        </w:trPr>
        <w:tc>
          <w:tcPr>
            <w:tcW w:w="10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w w:val="97"/>
              </w:rPr>
              <w:t>2/25/2019</w:t>
            </w:r>
          </w:p>
        </w:tc>
        <w:tc>
          <w:tcPr>
            <w:tcW w:w="1340" w:type="dxa"/>
            <w:vAlign w:val="bottom"/>
          </w:tcPr>
          <w:p>
            <w:pPr>
              <w:jc w:val="center"/>
              <w:spacing w:after="0"/>
              <w:rPr>
                <w:sz w:val="20"/>
                <w:szCs w:val="20"/>
                <w:color w:val="auto"/>
              </w:rPr>
            </w:pPr>
            <w:r>
              <w:rPr>
                <w:rFonts w:ascii="Arial" w:cs="Arial" w:eastAsia="Arial" w:hAnsi="Arial"/>
                <w:sz w:val="12"/>
                <w:szCs w:val="12"/>
                <w:color w:val="auto"/>
                <w:w w:val="97"/>
              </w:rPr>
              <w:t>2/25/2019</w:t>
            </w:r>
          </w:p>
        </w:tc>
        <w:tc>
          <w:tcPr>
            <w:tcW w:w="11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260" w:type="dxa"/>
            <w:vAlign w:val="bottom"/>
          </w:tcPr>
          <w:p>
            <w:pPr>
              <w:jc w:val="center"/>
              <w:spacing w:after="0"/>
              <w:rPr>
                <w:sz w:val="20"/>
                <w:szCs w:val="20"/>
                <w:color w:val="auto"/>
              </w:rPr>
            </w:pPr>
            <w:r>
              <w:rPr>
                <w:rFonts w:ascii="Arial" w:cs="Arial" w:eastAsia="Arial" w:hAnsi="Arial"/>
                <w:sz w:val="12"/>
                <w:szCs w:val="12"/>
                <w:color w:val="auto"/>
                <w:w w:val="96"/>
              </w:rPr>
              <w:t>330,000</w:t>
            </w:r>
          </w:p>
        </w:tc>
        <w:tc>
          <w:tcPr>
            <w:tcW w:w="820" w:type="dxa"/>
            <w:vAlign w:val="bottom"/>
          </w:tcPr>
          <w:p>
            <w:pPr>
              <w:jc w:val="center"/>
              <w:spacing w:after="0"/>
              <w:rPr>
                <w:sz w:val="20"/>
                <w:szCs w:val="20"/>
                <w:color w:val="auto"/>
              </w:rPr>
            </w:pPr>
            <w:r>
              <w:rPr>
                <w:rFonts w:ascii="Arial" w:cs="Arial" w:eastAsia="Arial" w:hAnsi="Arial"/>
                <w:sz w:val="12"/>
                <w:szCs w:val="12"/>
                <w:color w:val="auto"/>
              </w:rPr>
              <w:t>2.20</w:t>
            </w:r>
          </w:p>
        </w:tc>
        <w:tc>
          <w:tcPr>
            <w:tcW w:w="920" w:type="dxa"/>
            <w:vAlign w:val="bottom"/>
          </w:tcPr>
          <w:p>
            <w:pPr>
              <w:jc w:val="center"/>
              <w:spacing w:after="0"/>
              <w:rPr>
                <w:sz w:val="20"/>
                <w:szCs w:val="20"/>
                <w:color w:val="auto"/>
              </w:rPr>
            </w:pPr>
            <w:r>
              <w:rPr>
                <w:rFonts w:ascii="Arial" w:cs="Arial" w:eastAsia="Arial" w:hAnsi="Arial"/>
                <w:sz w:val="12"/>
                <w:szCs w:val="12"/>
                <w:color w:val="auto"/>
                <w:w w:val="97"/>
              </w:rPr>
              <w:t>2/24/2029</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12/1/2018</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12/1/2018</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6"/>
              </w:rPr>
              <w:t>250,000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6"/>
              </w:rPr>
              <w:t>750,000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6.03</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rPr>
              <w:t>11/30/2028</w:t>
            </w: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3"/>
        </w:trPr>
        <w:tc>
          <w:tcPr>
            <w:tcW w:w="10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12/1/2018</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12/1/2018</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2"/>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color w:val="auto"/>
                <w:w w:val="96"/>
              </w:rPr>
              <w:t>131,250</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w:t>
            </w: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color w:val="auto"/>
              </w:rPr>
              <w:t>312,375</w:t>
            </w:r>
          </w:p>
        </w:tc>
        <w:tc>
          <w:tcPr>
            <w:tcW w:w="10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99"/>
              </w:rPr>
              <w:t>Elona Kogan, J.D.</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3/25/2019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3/25/2019</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6"/>
              </w:rPr>
              <w:t>400,000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2.29</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3/24/2029</w:t>
            </w: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3"/>
        </w:trPr>
        <w:tc>
          <w:tcPr>
            <w:tcW w:w="10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3/25/2019</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N/A</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1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50,000(5)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119,000</w:t>
            </w:r>
          </w:p>
        </w:tc>
      </w:tr>
      <w:tr>
        <w:trPr>
          <w:trHeight w:val="164"/>
        </w:trPr>
        <w:tc>
          <w:tcPr>
            <w:tcW w:w="1020" w:type="dxa"/>
            <w:vAlign w:val="bottom"/>
            <w:shd w:val="clear" w:color="auto" w:fill="CCEEFF"/>
          </w:tcPr>
          <w:p>
            <w:pPr>
              <w:ind w:left="40"/>
              <w:spacing w:after="0"/>
              <w:rPr>
                <w:sz w:val="20"/>
                <w:szCs w:val="20"/>
                <w:color w:val="auto"/>
              </w:rPr>
            </w:pPr>
            <w:r>
              <w:rPr>
                <w:rFonts w:ascii="Arial" w:cs="Arial" w:eastAsia="Arial" w:hAnsi="Arial"/>
                <w:sz w:val="12"/>
                <w:szCs w:val="12"/>
                <w:color w:val="auto"/>
              </w:rPr>
              <w:t>Stephen</w:t>
            </w: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4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Smolinski</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10/7/2019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10/7/2019</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6"/>
              </w:rPr>
              <w:t>180,000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1.75</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10/6/2029</w:t>
            </w:r>
          </w:p>
        </w:tc>
        <w:tc>
          <w:tcPr>
            <w:tcW w:w="8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r>
      <w:tr>
        <w:trPr>
          <w:trHeight w:val="250"/>
        </w:trPr>
        <w:tc>
          <w:tcPr>
            <w:tcW w:w="1020" w:type="dxa"/>
            <w:vAlign w:val="bottom"/>
          </w:tcPr>
          <w:p>
            <w:pPr>
              <w:spacing w:after="0"/>
              <w:rPr>
                <w:sz w:val="21"/>
                <w:szCs w:val="21"/>
                <w:color w:val="auto"/>
              </w:rPr>
            </w:pPr>
          </w:p>
        </w:tc>
        <w:tc>
          <w:tcPr>
            <w:tcW w:w="960" w:type="dxa"/>
            <w:vAlign w:val="bottom"/>
          </w:tcPr>
          <w:p>
            <w:pPr>
              <w:jc w:val="center"/>
              <w:ind w:right="2"/>
              <w:spacing w:after="0"/>
              <w:rPr>
                <w:sz w:val="20"/>
                <w:szCs w:val="20"/>
                <w:color w:val="auto"/>
              </w:rPr>
            </w:pPr>
            <w:r>
              <w:rPr>
                <w:rFonts w:ascii="Arial" w:cs="Arial" w:eastAsia="Arial" w:hAnsi="Arial"/>
                <w:sz w:val="12"/>
                <w:szCs w:val="12"/>
                <w:color w:val="auto"/>
                <w:w w:val="98"/>
              </w:rPr>
              <w:t>1/7/2019</w:t>
            </w:r>
          </w:p>
        </w:tc>
        <w:tc>
          <w:tcPr>
            <w:tcW w:w="1340" w:type="dxa"/>
            <w:vAlign w:val="bottom"/>
          </w:tcPr>
          <w:p>
            <w:pPr>
              <w:jc w:val="center"/>
              <w:spacing w:after="0"/>
              <w:rPr>
                <w:sz w:val="20"/>
                <w:szCs w:val="20"/>
                <w:color w:val="auto"/>
              </w:rPr>
            </w:pPr>
            <w:r>
              <w:rPr>
                <w:rFonts w:ascii="Arial" w:cs="Arial" w:eastAsia="Arial" w:hAnsi="Arial"/>
                <w:sz w:val="12"/>
                <w:szCs w:val="12"/>
                <w:color w:val="auto"/>
                <w:w w:val="98"/>
              </w:rPr>
              <w:t>1/7/2019</w:t>
            </w:r>
          </w:p>
        </w:tc>
        <w:tc>
          <w:tcPr>
            <w:tcW w:w="116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260" w:type="dxa"/>
            <w:vAlign w:val="bottom"/>
          </w:tcPr>
          <w:p>
            <w:pPr>
              <w:jc w:val="center"/>
              <w:spacing w:after="0"/>
              <w:rPr>
                <w:sz w:val="20"/>
                <w:szCs w:val="20"/>
                <w:color w:val="auto"/>
              </w:rPr>
            </w:pPr>
            <w:r>
              <w:rPr>
                <w:rFonts w:ascii="Arial" w:cs="Arial" w:eastAsia="Arial" w:hAnsi="Arial"/>
                <w:sz w:val="12"/>
                <w:szCs w:val="12"/>
                <w:color w:val="auto"/>
                <w:w w:val="96"/>
              </w:rPr>
              <w:t>100,000</w:t>
            </w:r>
          </w:p>
        </w:tc>
        <w:tc>
          <w:tcPr>
            <w:tcW w:w="820" w:type="dxa"/>
            <w:vAlign w:val="bottom"/>
          </w:tcPr>
          <w:p>
            <w:pPr>
              <w:jc w:val="center"/>
              <w:spacing w:after="0"/>
              <w:rPr>
                <w:sz w:val="20"/>
                <w:szCs w:val="20"/>
                <w:color w:val="auto"/>
              </w:rPr>
            </w:pPr>
            <w:r>
              <w:rPr>
                <w:rFonts w:ascii="Arial" w:cs="Arial" w:eastAsia="Arial" w:hAnsi="Arial"/>
                <w:sz w:val="12"/>
                <w:szCs w:val="12"/>
                <w:color w:val="auto"/>
              </w:rPr>
              <w:t>2.60</w:t>
            </w:r>
          </w:p>
        </w:tc>
        <w:tc>
          <w:tcPr>
            <w:tcW w:w="920" w:type="dxa"/>
            <w:vAlign w:val="bottom"/>
          </w:tcPr>
          <w:p>
            <w:pPr>
              <w:jc w:val="center"/>
              <w:spacing w:after="0"/>
              <w:rPr>
                <w:sz w:val="20"/>
                <w:szCs w:val="20"/>
                <w:color w:val="auto"/>
              </w:rPr>
            </w:pPr>
            <w:r>
              <w:rPr>
                <w:rFonts w:ascii="Arial" w:cs="Arial" w:eastAsia="Arial" w:hAnsi="Arial"/>
                <w:sz w:val="12"/>
                <w:szCs w:val="12"/>
                <w:color w:val="auto"/>
                <w:w w:val="94"/>
              </w:rPr>
              <w:t>1/6/2029</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6/15/2018</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6/15/2018</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30,000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2"/>
              </w:rPr>
              <w:t>50,000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12.75</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7"/>
              </w:rPr>
              <w:t>6/14/2028</w:t>
            </w: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0"/>
        </w:trPr>
        <w:tc>
          <w:tcPr>
            <w:tcW w:w="1020" w:type="dxa"/>
            <w:vAlign w:val="bottom"/>
          </w:tcPr>
          <w:p>
            <w:pPr>
              <w:spacing w:after="0"/>
              <w:rPr>
                <w:sz w:val="21"/>
                <w:szCs w:val="21"/>
                <w:color w:val="auto"/>
              </w:rPr>
            </w:pPr>
          </w:p>
        </w:tc>
        <w:tc>
          <w:tcPr>
            <w:tcW w:w="960" w:type="dxa"/>
            <w:vAlign w:val="bottom"/>
          </w:tcPr>
          <w:p>
            <w:pPr>
              <w:jc w:val="center"/>
              <w:ind w:right="2"/>
              <w:spacing w:after="0"/>
              <w:rPr>
                <w:sz w:val="20"/>
                <w:szCs w:val="20"/>
                <w:color w:val="auto"/>
              </w:rPr>
            </w:pPr>
            <w:r>
              <w:rPr>
                <w:rFonts w:ascii="Arial" w:cs="Arial" w:eastAsia="Arial" w:hAnsi="Arial"/>
                <w:sz w:val="12"/>
                <w:szCs w:val="12"/>
                <w:color w:val="auto"/>
                <w:w w:val="96"/>
              </w:rPr>
              <w:t>11/17/2017</w:t>
            </w:r>
          </w:p>
        </w:tc>
        <w:tc>
          <w:tcPr>
            <w:tcW w:w="1340" w:type="dxa"/>
            <w:vAlign w:val="bottom"/>
          </w:tcPr>
          <w:p>
            <w:pPr>
              <w:jc w:val="center"/>
              <w:spacing w:after="0"/>
              <w:rPr>
                <w:sz w:val="20"/>
                <w:szCs w:val="20"/>
                <w:color w:val="auto"/>
              </w:rPr>
            </w:pPr>
            <w:r>
              <w:rPr>
                <w:rFonts w:ascii="Arial" w:cs="Arial" w:eastAsia="Arial" w:hAnsi="Arial"/>
                <w:sz w:val="12"/>
                <w:szCs w:val="12"/>
                <w:color w:val="auto"/>
                <w:w w:val="96"/>
              </w:rPr>
              <w:t>11/17/2017</w:t>
            </w:r>
          </w:p>
        </w:tc>
        <w:tc>
          <w:tcPr>
            <w:tcW w:w="1160" w:type="dxa"/>
            <w:vAlign w:val="bottom"/>
          </w:tcPr>
          <w:p>
            <w:pPr>
              <w:jc w:val="center"/>
              <w:spacing w:after="0"/>
              <w:rPr>
                <w:sz w:val="20"/>
                <w:szCs w:val="20"/>
                <w:color w:val="auto"/>
              </w:rPr>
            </w:pPr>
            <w:r>
              <w:rPr>
                <w:rFonts w:ascii="Arial" w:cs="Arial" w:eastAsia="Arial" w:hAnsi="Arial"/>
                <w:sz w:val="12"/>
                <w:szCs w:val="12"/>
                <w:color w:val="auto"/>
                <w:w w:val="97"/>
              </w:rPr>
              <w:t>43,334</w:t>
            </w:r>
          </w:p>
        </w:tc>
        <w:tc>
          <w:tcPr>
            <w:tcW w:w="1260" w:type="dxa"/>
            <w:vAlign w:val="bottom"/>
          </w:tcPr>
          <w:p>
            <w:pPr>
              <w:jc w:val="center"/>
              <w:spacing w:after="0"/>
              <w:rPr>
                <w:sz w:val="20"/>
                <w:szCs w:val="20"/>
                <w:color w:val="auto"/>
              </w:rPr>
            </w:pPr>
            <w:r>
              <w:rPr>
                <w:rFonts w:ascii="Arial" w:cs="Arial" w:eastAsia="Arial" w:hAnsi="Arial"/>
                <w:sz w:val="12"/>
                <w:szCs w:val="12"/>
                <w:color w:val="auto"/>
                <w:w w:val="92"/>
              </w:rPr>
              <w:t>36,666</w:t>
            </w:r>
          </w:p>
        </w:tc>
        <w:tc>
          <w:tcPr>
            <w:tcW w:w="820" w:type="dxa"/>
            <w:vAlign w:val="bottom"/>
          </w:tcPr>
          <w:p>
            <w:pPr>
              <w:jc w:val="center"/>
              <w:spacing w:after="0"/>
              <w:rPr>
                <w:sz w:val="20"/>
                <w:szCs w:val="20"/>
                <w:color w:val="auto"/>
              </w:rPr>
            </w:pPr>
            <w:r>
              <w:rPr>
                <w:rFonts w:ascii="Arial" w:cs="Arial" w:eastAsia="Arial" w:hAnsi="Arial"/>
                <w:sz w:val="12"/>
                <w:szCs w:val="12"/>
                <w:color w:val="auto"/>
                <w:w w:val="93"/>
              </w:rPr>
              <w:t>10.23</w:t>
            </w:r>
          </w:p>
        </w:tc>
        <w:tc>
          <w:tcPr>
            <w:tcW w:w="920" w:type="dxa"/>
            <w:vAlign w:val="bottom"/>
          </w:tcPr>
          <w:p>
            <w:pPr>
              <w:jc w:val="center"/>
              <w:spacing w:after="0"/>
              <w:rPr>
                <w:sz w:val="20"/>
                <w:szCs w:val="20"/>
                <w:color w:val="auto"/>
              </w:rPr>
            </w:pPr>
            <w:r>
              <w:rPr>
                <w:rFonts w:ascii="Arial" w:cs="Arial" w:eastAsia="Arial" w:hAnsi="Arial"/>
                <w:sz w:val="12"/>
                <w:szCs w:val="12"/>
                <w:color w:val="auto"/>
                <w:w w:val="99"/>
              </w:rPr>
              <w:t>11/17/2027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81" w:lineRule="exact"/>
        <w:rPr>
          <w:sz w:val="20"/>
          <w:szCs w:val="20"/>
          <w:color w:val="auto"/>
        </w:rPr>
      </w:pPr>
    </w:p>
    <w:p>
      <w:pPr>
        <w:ind w:left="340" w:right="80" w:hanging="332"/>
        <w:spacing w:after="0" w:line="280"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137" w:lineRule="exact"/>
        <w:rPr>
          <w:rFonts w:ascii="Arial" w:cs="Arial" w:eastAsia="Arial" w:hAnsi="Arial"/>
          <w:sz w:val="13"/>
          <w:szCs w:val="13"/>
          <w:color w:val="auto"/>
        </w:rPr>
      </w:pPr>
    </w:p>
    <w:p>
      <w:pPr>
        <w:ind w:left="340" w:right="40" w:hanging="332"/>
        <w:spacing w:after="0" w:line="266"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147" w:lineRule="exact"/>
        <w:rPr>
          <w:rFonts w:ascii="Arial" w:cs="Arial" w:eastAsia="Arial" w:hAnsi="Arial"/>
          <w:sz w:val="13"/>
          <w:szCs w:val="13"/>
          <w:color w:val="auto"/>
        </w:rPr>
      </w:pPr>
    </w:p>
    <w:p>
      <w:pPr>
        <w:ind w:left="340" w:hanging="332"/>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on the Company's closing stock price of $2.38 on December 31, 2019.</w:t>
      </w:r>
    </w:p>
    <w:p>
      <w:pPr>
        <w:spacing w:after="0" w:line="174" w:lineRule="exact"/>
        <w:rPr>
          <w:rFonts w:ascii="Arial" w:cs="Arial" w:eastAsia="Arial" w:hAnsi="Arial"/>
          <w:sz w:val="13"/>
          <w:szCs w:val="13"/>
          <w:color w:val="auto"/>
        </w:rPr>
      </w:pPr>
    </w:p>
    <w:p>
      <w:pPr>
        <w:ind w:left="340" w:right="20" w:hanging="332"/>
        <w:spacing w:after="0" w:line="280"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Dr. Brunn's restricted stock units vest in twelve substantially equal quarterly installments following December 1, 2019, subject to Dr. Brunn's continued employment with us through the applicable vesting date.</w:t>
      </w:r>
    </w:p>
    <w:p>
      <w:pPr>
        <w:spacing w:after="0" w:line="137" w:lineRule="exact"/>
        <w:rPr>
          <w:rFonts w:ascii="Arial" w:cs="Arial" w:eastAsia="Arial" w:hAnsi="Arial"/>
          <w:sz w:val="13"/>
          <w:szCs w:val="13"/>
          <w:color w:val="auto"/>
        </w:rPr>
      </w:pPr>
    </w:p>
    <w:p>
      <w:pPr>
        <w:ind w:left="340" w:right="140" w:hanging="332"/>
        <w:spacing w:after="0" w:line="260"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Ms. Kogan's restricted stock units vest on the date the Board or Compensation Committee determines the applicable performance condition is achieved, on or prior to December 31, 2020.</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entitle our named executives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202"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3" w:name="page34"/>
    <w:bookmarkEnd w:id="33"/>
    <w:p>
      <w:pPr>
        <w:spacing w:after="0" w:line="261" w:lineRule="auto"/>
        <w:rPr>
          <w:sz w:val="20"/>
          <w:szCs w:val="20"/>
          <w:color w:val="auto"/>
        </w:rPr>
      </w:pPr>
      <w:r>
        <w:rPr>
          <w:rFonts w:ascii="Arial" w:cs="Arial" w:eastAsia="Arial" w:hAnsi="Arial"/>
          <w:sz w:val="18"/>
          <w:szCs w:val="18"/>
          <w:color w:val="auto"/>
        </w:rPr>
        <w:t>named executive officer 30 days' notice, or pay in lieu of notice, in the event we terminate such named executive officer for any reason other than "cause."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employment agreements, "cause" generally means, subject to applicable cure rights, the named executive officer's</w:t>
      </w:r>
    </w:p>
    <w:p>
      <w:pPr>
        <w:spacing w:after="0" w:line="9" w:lineRule="exact"/>
        <w:rPr>
          <w:sz w:val="20"/>
          <w:szCs w:val="20"/>
          <w:color w:val="auto"/>
        </w:rPr>
      </w:pPr>
    </w:p>
    <w:p>
      <w:pPr>
        <w:ind w:right="20" w:firstLine="8"/>
        <w:spacing w:after="0" w:line="251" w:lineRule="auto"/>
        <w:tabs>
          <w:tab w:leader="none" w:pos="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(v) breach of any material provision of the employment agreement or any other written agreement with the Company; or (vi) for Ms. Kogan and Mr. Smolinski, a material or substantial failure to perform, or material or substantial negligence of, the executive's duties and responsibilities to the Company. "Good reason" generally means, subject to the Company's cure rights, the occurrence of any of the following, without the named executive officer's written consent (i) a material reduction in his or her base salary or bonus opportunity; (ii) a material diminution in his or her authority, title, duties or areas of responsibility; (iii) the requirement that he or she report to someone other than the Board of Directors with respect to our Chief Executive Officer or the Chief Executive Officer with respect to our other named executive officers; (iv) the relocation of his or her primary office to a location more than 40 miles from the Boston metropolitan area; or (v) a material breach by the Company of the employment agreement or any other written agreement with the named executive officer.</w:t>
      </w:r>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also entered into non-disclosure, non-competition and assignment of intellectual property agreements with the named executive officers pursuant to which each of Dr. Brunn, Ms. Kogan and Mr. Smolinski agree to refrain from engaging in direct competition with us or soliciting our employees, in each case, while employed and following his or her termination of employment for a period of 12 months , as more fully set forth in the applicable agreement(s). For Dr. Brunn and Ms. Kogan, during the period following the named executive officer's employment that he or she is subject to the non-competition covenants, and subject to limited exceptions, the Company has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maintain a compensation program for our non-employee directors, which was last amended effective March 25, 2020. Under our non-employee director compensation program as in effect during 2019, each non-employee director received the following amounts for their services on our Board of Directors:</w:t>
      </w:r>
    </w:p>
    <w:p>
      <w:pPr>
        <w:spacing w:after="0" w:line="18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 xml:space="preserve">Initial Equity Award </w:t>
      </w:r>
      <w:r>
        <w:rPr>
          <w:rFonts w:ascii="Arial" w:cs="Arial" w:eastAsia="Arial" w:hAnsi="Arial"/>
          <w:sz w:val="18"/>
          <w:szCs w:val="18"/>
          <w:color w:val="auto"/>
        </w:rPr>
        <w:t>. Upon a director’s initial election or appointment to our Board of Directors, the director received an option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20,000 shares of our common stock, which award vests in substantially equal monthly installments over three years following the date of grant, subject to accelerated vesting upon a change in control.</w:t>
      </w:r>
    </w:p>
    <w:p>
      <w:pPr>
        <w:spacing w:after="0" w:line="12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i w:val="1"/>
          <w:iCs w:val="1"/>
          <w:color w:val="auto"/>
        </w:rPr>
        <w:t xml:space="preserve">Annual Equity Award </w:t>
      </w:r>
      <w:r>
        <w:rPr>
          <w:rFonts w:ascii="Arial" w:cs="Arial" w:eastAsia="Arial" w:hAnsi="Arial"/>
          <w:sz w:val="18"/>
          <w:szCs w:val="18"/>
          <w:color w:val="auto"/>
        </w:rPr>
        <w:t>. If a director has served on our Board of Directors for at least six months as of the date of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the director received an option to purchase 10,000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served as the Chairperson of the Board as of immediately following the date of such annual meeting, that non-employee director received an option to purchase 15,404 shares of our common stock on the date of such annual meeting, subject to the same vesting terms.</w:t>
      </w:r>
    </w:p>
    <w:p>
      <w:pPr>
        <w:spacing w:after="0" w:line="18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i w:val="1"/>
          <w:iCs w:val="1"/>
          <w:color w:val="auto"/>
        </w:rPr>
        <w:t xml:space="preserve">Annual Retainer Fees </w:t>
      </w:r>
      <w:r>
        <w:rPr>
          <w:rFonts w:ascii="Arial" w:cs="Arial" w:eastAsia="Arial" w:hAnsi="Arial"/>
          <w:sz w:val="18"/>
          <w:szCs w:val="18"/>
          <w:color w:val="auto"/>
        </w:rPr>
        <w:t>. In addition to option grants, each director received an annual retainer for service on our Board of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fees for service on a committee of our Board of Directors as follows:</w:t>
      </w:r>
    </w:p>
    <w:p>
      <w:pPr>
        <w:spacing w:after="0" w:line="2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director fee of $40,000,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chairperson of the board, $30,000 and lead independent director, $20,000,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chairperson of the audit committee, $15,000,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committee member other than the chairperson, $7,500,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chairperson of the compensation committee, $12,000,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chairperson, $6,000,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7" w:right="439" w:bottom="1440" w:gutter="0" w:footer="0" w:header="0"/>
        </w:sectPr>
      </w:pPr>
    </w:p>
    <w:bookmarkStart w:id="34" w:name="page35"/>
    <w:bookmarkEnd w:id="34"/>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$8,000,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chairperson, $4,000,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chairperson of the science committee, $8,000,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science committee member other than the chairperson, $4,000.</w:t>
      </w:r>
    </w:p>
    <w:p>
      <w:pPr>
        <w:spacing w:after="0" w:line="3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4"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Following review of a competitive assessment performed by Radford, effective March 25, 2020, the Board approved the following amendments to our non-employee director compensation program, which were intended to align our program with the median of market:</w:t>
      </w:r>
    </w:p>
    <w:p>
      <w:pPr>
        <w:spacing w:after="0" w:line="9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the initial equity award from 20,000 options to 40,000 options, and</w:t>
      </w:r>
    </w:p>
    <w:p>
      <w:pPr>
        <w:spacing w:after="0" w:line="144"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the annual equity awards from 15,404 options to 30,000 options for the Chairperson of the Board and from 10,000 options to 20,000 options for each other non-employee director.</w:t>
      </w:r>
    </w:p>
    <w:p>
      <w:pPr>
        <w:spacing w:after="0" w:line="33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Dr. Brunn, our President and Chief Executive Officer, also serves on our Board of Directors but receives no additional compensation for this service.</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the compensation earned to our non-employee directors for their service on our Board of Directors during 2019 .</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ind w:left="100"/>
              <w:spacing w:after="0"/>
              <w:rPr>
                <w:sz w:val="20"/>
                <w:szCs w:val="20"/>
                <w:color w:val="auto"/>
              </w:rPr>
            </w:pPr>
            <w:r>
              <w:rPr>
                <w:rFonts w:ascii="Arial" w:cs="Arial" w:eastAsia="Arial" w:hAnsi="Arial"/>
                <w:sz w:val="13"/>
                <w:szCs w:val="13"/>
                <w:b w:val="1"/>
                <w:bCs w:val="1"/>
                <w:color w:val="auto"/>
              </w:rPr>
              <w:t>Fees earned or paid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ind w:left="460"/>
              <w:spacing w:after="0"/>
              <w:rPr>
                <w:sz w:val="20"/>
                <w:szCs w:val="20"/>
                <w:color w:val="auto"/>
              </w:rPr>
            </w:pPr>
            <w:r>
              <w:rPr>
                <w:rFonts w:ascii="Arial" w:cs="Arial" w:eastAsia="Arial" w:hAnsi="Arial"/>
                <w:sz w:val="13"/>
                <w:szCs w:val="13"/>
                <w:b w:val="1"/>
                <w:bCs w:val="1"/>
                <w:color w:val="auto"/>
              </w:rPr>
              <w:t>All other</w:t>
            </w:r>
          </w:p>
        </w:tc>
        <w:tc>
          <w:tcPr>
            <w:tcW w:w="1440" w:type="dxa"/>
            <w:vAlign w:val="bottom"/>
          </w:tcPr>
          <w:p>
            <w:pPr>
              <w:spacing w:after="0"/>
              <w:rPr>
                <w:sz w:val="12"/>
                <w:szCs w:val="12"/>
                <w:color w:val="auto"/>
              </w:rPr>
            </w:pPr>
          </w:p>
        </w:tc>
      </w:tr>
      <w:tr>
        <w:trPr>
          <w:trHeight w:val="186"/>
        </w:trPr>
        <w:tc>
          <w:tcPr>
            <w:tcW w:w="4960" w:type="dxa"/>
            <w:vAlign w:val="bottom"/>
            <w:tcBorders>
              <w:bottom w:val="single" w:sz="8" w:color="auto"/>
            </w:tcBorders>
          </w:tcPr>
          <w:p>
            <w:pPr>
              <w:ind w:left="230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in cash ($)(1)</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Option awards ($)(2)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compensation ($)(3)</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Total ($)</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Timothy C. Barabe</w:t>
            </w: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55,000</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15,033</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70,033</w:t>
            </w:r>
          </w:p>
        </w:tc>
      </w:tr>
      <w:tr>
        <w:trPr>
          <w:trHeight w:val="263"/>
        </w:trPr>
        <w:tc>
          <w:tcPr>
            <w:tcW w:w="5080" w:type="dxa"/>
            <w:vAlign w:val="bottom"/>
            <w:gridSpan w:val="2"/>
          </w:tcPr>
          <w:p>
            <w:pPr>
              <w:ind w:left="40"/>
              <w:spacing w:after="0"/>
              <w:rPr>
                <w:sz w:val="20"/>
                <w:szCs w:val="20"/>
                <w:color w:val="auto"/>
              </w:rPr>
            </w:pPr>
            <w:r>
              <w:rPr>
                <w:rFonts w:ascii="Arial" w:cs="Arial" w:eastAsia="Arial" w:hAnsi="Arial"/>
                <w:sz w:val="13"/>
                <w:szCs w:val="13"/>
                <w:color w:val="auto"/>
              </w:rPr>
              <w:t>Carrie S. Cox (4)</w:t>
            </w:r>
          </w:p>
        </w:tc>
        <w:tc>
          <w:tcPr>
            <w:tcW w:w="1480" w:type="dxa"/>
            <w:vAlign w:val="bottom"/>
          </w:tcPr>
          <w:p>
            <w:pPr>
              <w:jc w:val="right"/>
              <w:ind w:right="53"/>
              <w:spacing w:after="0"/>
              <w:rPr>
                <w:sz w:val="20"/>
                <w:szCs w:val="20"/>
                <w:color w:val="auto"/>
              </w:rPr>
            </w:pPr>
            <w:r>
              <w:rPr>
                <w:rFonts w:ascii="Arial" w:cs="Arial" w:eastAsia="Arial" w:hAnsi="Arial"/>
                <w:sz w:val="13"/>
                <w:szCs w:val="13"/>
                <w:color w:val="auto"/>
              </w:rPr>
              <w:t>9,510</w:t>
            </w:r>
          </w:p>
        </w:tc>
        <w:tc>
          <w:tcPr>
            <w:tcW w:w="12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18,993</w:t>
            </w:r>
          </w:p>
        </w:tc>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28,503</w:t>
            </w:r>
          </w:p>
        </w:tc>
      </w:tr>
      <w:tr>
        <w:trPr>
          <w:trHeight w:val="27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Omid Farokhzad, M.D. (5)</w:t>
            </w: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75,572</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117,891(6)</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160,000</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353,463</w:t>
            </w:r>
          </w:p>
        </w:tc>
      </w:tr>
      <w:tr>
        <w:trPr>
          <w:trHeight w:val="263"/>
        </w:trPr>
        <w:tc>
          <w:tcPr>
            <w:tcW w:w="5080" w:type="dxa"/>
            <w:vAlign w:val="bottom"/>
            <w:gridSpan w:val="2"/>
          </w:tcPr>
          <w:p>
            <w:pPr>
              <w:ind w:left="40"/>
              <w:spacing w:after="0"/>
              <w:rPr>
                <w:sz w:val="20"/>
                <w:szCs w:val="20"/>
                <w:color w:val="auto"/>
              </w:rPr>
            </w:pPr>
            <w:r>
              <w:rPr>
                <w:rFonts w:ascii="Arial" w:cs="Arial" w:eastAsia="Arial" w:hAnsi="Arial"/>
                <w:sz w:val="13"/>
                <w:szCs w:val="13"/>
                <w:color w:val="auto"/>
              </w:rPr>
              <w:t>Scott D. Myers (7)</w:t>
            </w:r>
          </w:p>
        </w:tc>
        <w:tc>
          <w:tcPr>
            <w:tcW w:w="1480" w:type="dxa"/>
            <w:vAlign w:val="bottom"/>
          </w:tcPr>
          <w:p>
            <w:pPr>
              <w:jc w:val="right"/>
              <w:ind w:right="53"/>
              <w:spacing w:after="0"/>
              <w:rPr>
                <w:sz w:val="20"/>
                <w:szCs w:val="20"/>
                <w:color w:val="auto"/>
              </w:rPr>
            </w:pPr>
            <w:r>
              <w:rPr>
                <w:rFonts w:ascii="Arial" w:cs="Arial" w:eastAsia="Arial" w:hAnsi="Arial"/>
                <w:sz w:val="13"/>
                <w:szCs w:val="13"/>
                <w:color w:val="auto"/>
              </w:rPr>
              <w:t>25,444</w:t>
            </w:r>
          </w:p>
        </w:tc>
        <w:tc>
          <w:tcPr>
            <w:tcW w:w="12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30,514</w:t>
            </w:r>
          </w:p>
        </w:tc>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55,958</w:t>
            </w:r>
          </w:p>
        </w:tc>
      </w:tr>
      <w:tr>
        <w:trPr>
          <w:trHeight w:val="27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Amir Nashat, Ph.D. (8)</w:t>
            </w: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51,963</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15,033</w:t>
            </w: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66,996</w:t>
            </w:r>
          </w:p>
        </w:tc>
      </w:tr>
      <w:tr>
        <w:trPr>
          <w:trHeight w:val="263"/>
        </w:trPr>
        <w:tc>
          <w:tcPr>
            <w:tcW w:w="5080" w:type="dxa"/>
            <w:vAlign w:val="bottom"/>
            <w:gridSpan w:val="2"/>
          </w:tcPr>
          <w:p>
            <w:pPr>
              <w:ind w:left="40"/>
              <w:spacing w:after="0"/>
              <w:rPr>
                <w:sz w:val="20"/>
                <w:szCs w:val="20"/>
                <w:color w:val="auto"/>
              </w:rPr>
            </w:pPr>
            <w:r>
              <w:rPr>
                <w:rFonts w:ascii="Arial" w:cs="Arial" w:eastAsia="Arial" w:hAnsi="Arial"/>
                <w:sz w:val="13"/>
                <w:szCs w:val="13"/>
                <w:color w:val="auto"/>
              </w:rPr>
              <w:t>Aymeric Sallin</w:t>
            </w:r>
          </w:p>
        </w:tc>
        <w:tc>
          <w:tcPr>
            <w:tcW w:w="1480" w:type="dxa"/>
            <w:vAlign w:val="bottom"/>
          </w:tcPr>
          <w:p>
            <w:pPr>
              <w:jc w:val="right"/>
              <w:ind w:right="53"/>
              <w:spacing w:after="0"/>
              <w:rPr>
                <w:sz w:val="20"/>
                <w:szCs w:val="20"/>
                <w:color w:val="auto"/>
              </w:rPr>
            </w:pPr>
            <w:r>
              <w:rPr>
                <w:rFonts w:ascii="Arial" w:cs="Arial" w:eastAsia="Arial" w:hAnsi="Arial"/>
                <w:sz w:val="13"/>
                <w:szCs w:val="13"/>
                <w:color w:val="auto"/>
              </w:rPr>
              <w:t>46,000</w:t>
            </w:r>
          </w:p>
        </w:tc>
        <w:tc>
          <w:tcPr>
            <w:tcW w:w="12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15,033</w:t>
            </w:r>
          </w:p>
        </w:tc>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61,033</w:t>
            </w:r>
          </w:p>
        </w:tc>
      </w:tr>
      <w:tr>
        <w:trPr>
          <w:trHeight w:val="27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Timothy Springer, Ph.D.</w:t>
            </w:r>
          </w:p>
        </w:tc>
        <w:tc>
          <w:tcPr>
            <w:tcW w:w="14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62,000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15,033</w:t>
            </w:r>
          </w:p>
        </w:tc>
        <w:tc>
          <w:tcPr>
            <w:tcW w:w="10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77,033</w:t>
            </w:r>
          </w:p>
        </w:tc>
      </w:tr>
      <w:tr>
        <w:trPr>
          <w:trHeight w:val="256"/>
        </w:trPr>
        <w:tc>
          <w:tcPr>
            <w:tcW w:w="5080" w:type="dxa"/>
            <w:vAlign w:val="bottom"/>
            <w:gridSpan w:val="2"/>
          </w:tcPr>
          <w:p>
            <w:pPr>
              <w:ind w:left="40"/>
              <w:spacing w:after="0"/>
              <w:rPr>
                <w:sz w:val="20"/>
                <w:szCs w:val="20"/>
                <w:color w:val="auto"/>
              </w:rPr>
            </w:pPr>
            <w:r>
              <w:rPr>
                <w:rFonts w:ascii="Arial" w:cs="Arial" w:eastAsia="Arial" w:hAnsi="Arial"/>
                <w:sz w:val="13"/>
                <w:szCs w:val="13"/>
                <w:color w:val="auto"/>
              </w:rPr>
              <w:t>Patrick Zenner</w:t>
            </w:r>
          </w:p>
        </w:tc>
        <w:tc>
          <w:tcPr>
            <w:tcW w:w="1480" w:type="dxa"/>
            <w:vAlign w:val="bottom"/>
          </w:tcPr>
          <w:p>
            <w:pPr>
              <w:jc w:val="right"/>
              <w:ind w:right="53"/>
              <w:spacing w:after="0"/>
              <w:rPr>
                <w:sz w:val="20"/>
                <w:szCs w:val="20"/>
                <w:color w:val="auto"/>
              </w:rPr>
            </w:pPr>
            <w:r>
              <w:rPr>
                <w:rFonts w:ascii="Arial" w:cs="Arial" w:eastAsia="Arial" w:hAnsi="Arial"/>
                <w:sz w:val="13"/>
                <w:szCs w:val="13"/>
                <w:color w:val="auto"/>
              </w:rPr>
              <w:t>86,133</w:t>
            </w:r>
          </w:p>
        </w:tc>
        <w:tc>
          <w:tcPr>
            <w:tcW w:w="12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Arial" w:cs="Arial" w:eastAsia="Arial" w:hAnsi="Arial"/>
                <w:sz w:val="13"/>
                <w:szCs w:val="13"/>
                <w:color w:val="auto"/>
              </w:rPr>
              <w:t>15,033</w:t>
            </w:r>
          </w:p>
        </w:tc>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3"/>
              <w:spacing w:after="0"/>
              <w:rPr>
                <w:sz w:val="20"/>
                <w:szCs w:val="20"/>
                <w:color w:val="auto"/>
              </w:rPr>
            </w:pPr>
            <w:r>
              <w:rPr>
                <w:rFonts w:ascii="Arial" w:cs="Arial" w:eastAsia="Arial" w:hAnsi="Arial"/>
                <w:sz w:val="13"/>
                <w:szCs w:val="13"/>
                <w:color w:val="auto"/>
              </w:rPr>
              <w:t>101,166</w:t>
            </w:r>
          </w:p>
        </w:tc>
      </w:tr>
    </w:tbl>
    <w:p>
      <w:pPr>
        <w:spacing w:after="0" w:line="18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cash retainers earned for services rendered as members of the Board of Directors and related committees.</w:t>
      </w:r>
    </w:p>
    <w:p>
      <w:pPr>
        <w:spacing w:after="0" w:line="163" w:lineRule="exact"/>
        <w:rPr>
          <w:rFonts w:ascii="Arial" w:cs="Arial" w:eastAsia="Arial" w:hAnsi="Arial"/>
          <w:sz w:val="14"/>
          <w:szCs w:val="14"/>
          <w:color w:val="auto"/>
        </w:rPr>
      </w:pPr>
    </w:p>
    <w:p>
      <w:pPr>
        <w:ind w:left="340" w:right="140" w:hanging="332"/>
        <w:spacing w:after="0" w:line="249"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audited financial statements included in our 2019 Annual Report.</w:t>
      </w:r>
    </w:p>
    <w:p>
      <w:pPr>
        <w:spacing w:after="0" w:line="146" w:lineRule="exact"/>
        <w:rPr>
          <w:rFonts w:ascii="Arial" w:cs="Arial" w:eastAsia="Arial" w:hAnsi="Arial"/>
          <w:sz w:val="14"/>
          <w:szCs w:val="14"/>
          <w:color w:val="auto"/>
        </w:rPr>
      </w:pPr>
    </w:p>
    <w:p>
      <w:pPr>
        <w:ind w:left="340" w:right="220" w:hanging="332"/>
        <w:spacing w:after="0" w:line="25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compensation represents compensation earned in 2019 under consulting agreements with the Company. For additional information regarding this agreement, see "Certain Relationships".</w:t>
      </w:r>
    </w:p>
    <w:p>
      <w:pPr>
        <w:spacing w:after="0" w:line="139"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Ms. Cox was appointed to the Board of Directors on November 20, 2019.</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Dr. Farokhzad resigned from the Board of Directors on November 20, 2019.</w:t>
      </w:r>
    </w:p>
    <w:p>
      <w:pPr>
        <w:spacing w:after="0" w:line="163" w:lineRule="exact"/>
        <w:rPr>
          <w:rFonts w:ascii="Arial" w:cs="Arial" w:eastAsia="Arial" w:hAnsi="Arial"/>
          <w:sz w:val="14"/>
          <w:szCs w:val="14"/>
          <w:color w:val="auto"/>
        </w:rPr>
      </w:pPr>
    </w:p>
    <w:p>
      <w:pPr>
        <w:ind w:left="340" w:right="40" w:hanging="332"/>
        <w:spacing w:after="0" w:line="247"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connection with his resignation, in November 2019, the Company amended the terms of the options granted to Dr. Farokhzad to provide that (i) his outstanding, unvested stock options (141,328 shares) would vest in full and continue to become exercisable in accordance with their original vesting schedules irrespective of his termination of service, and (ii) the right to exercise each of his outstanding stock options (234,772 shares) would be extended until the final expiration date of the applicable option. The amount shown includes $94,735 in the incremental fair value of Dr. Farokhzad's options as a result of such modification.</w:t>
      </w:r>
    </w:p>
    <w:p>
      <w:pPr>
        <w:spacing w:after="0" w:line="147"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Myers was appointed to the Board of Directors on June 14, 2019.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5" w:name="page36"/>
    <w:bookmarkEnd w:id="35"/>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Nashat resigned from the Board of Directors on April 24, 2020.</w:t>
      </w:r>
    </w:p>
    <w:p>
      <w:pPr>
        <w:spacing w:after="0" w:line="15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table below shows the aggregate number of option awards (exercisable and unexercisable) held by each non-employee director as of December 31, 2019 . None of our non-employee directors held unvested stock awards in the Company as of that date.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jc w:val="right"/>
              <w:ind w:right="493"/>
              <w:spacing w:after="0"/>
              <w:rPr>
                <w:sz w:val="20"/>
                <w:szCs w:val="20"/>
                <w:color w:val="auto"/>
              </w:rPr>
            </w:pPr>
            <w:r>
              <w:rPr>
                <w:rFonts w:ascii="Arial" w:cs="Arial" w:eastAsia="Arial" w:hAnsi="Arial"/>
                <w:sz w:val="13"/>
                <w:szCs w:val="13"/>
                <w:b w:val="1"/>
                <w:bCs w:val="1"/>
                <w:color w:val="auto"/>
              </w:rPr>
              <w:t>Options outstanding</w:t>
            </w:r>
          </w:p>
        </w:tc>
      </w:tr>
      <w:tr>
        <w:trPr>
          <w:trHeight w:val="186"/>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auto"/>
              </w:rPr>
              <w:t>at fiscal year end</w:t>
            </w:r>
          </w:p>
        </w:tc>
      </w:tr>
      <w:tr>
        <w:trPr>
          <w:trHeight w:val="256"/>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Timothy C. Barabe</w:t>
            </w:r>
          </w:p>
        </w:tc>
        <w:tc>
          <w:tcPr>
            <w:tcW w:w="2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36,738</w:t>
            </w:r>
          </w:p>
        </w:tc>
      </w:tr>
      <w:tr>
        <w:trPr>
          <w:trHeight w:val="263"/>
        </w:trPr>
        <w:tc>
          <w:tcPr>
            <w:tcW w:w="8780" w:type="dxa"/>
            <w:vAlign w:val="bottom"/>
            <w:gridSpan w:val="2"/>
          </w:tcPr>
          <w:p>
            <w:pPr>
              <w:ind w:left="40"/>
              <w:spacing w:after="0"/>
              <w:rPr>
                <w:sz w:val="20"/>
                <w:szCs w:val="20"/>
                <w:color w:val="auto"/>
              </w:rPr>
            </w:pPr>
            <w:r>
              <w:rPr>
                <w:rFonts w:ascii="Arial" w:cs="Arial" w:eastAsia="Arial" w:hAnsi="Arial"/>
                <w:sz w:val="13"/>
                <w:szCs w:val="13"/>
                <w:color w:val="auto"/>
              </w:rPr>
              <w:t>Carrie S. Cox</w:t>
            </w:r>
          </w:p>
        </w:tc>
        <w:tc>
          <w:tcPr>
            <w:tcW w:w="2460" w:type="dxa"/>
            <w:vAlign w:val="bottom"/>
          </w:tcPr>
          <w:p>
            <w:pPr>
              <w:jc w:val="right"/>
              <w:ind w:right="33"/>
              <w:spacing w:after="0"/>
              <w:rPr>
                <w:sz w:val="20"/>
                <w:szCs w:val="20"/>
                <w:color w:val="auto"/>
              </w:rPr>
            </w:pPr>
            <w:r>
              <w:rPr>
                <w:rFonts w:ascii="Arial" w:cs="Arial" w:eastAsia="Arial" w:hAnsi="Arial"/>
                <w:sz w:val="13"/>
                <w:szCs w:val="13"/>
                <w:color w:val="auto"/>
              </w:rPr>
              <w:t>20,000</w:t>
            </w:r>
          </w:p>
        </w:tc>
      </w:tr>
      <w:tr>
        <w:trPr>
          <w:trHeight w:val="277"/>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Omid Farokhzad, M.D.</w:t>
            </w:r>
          </w:p>
        </w:tc>
        <w:tc>
          <w:tcPr>
            <w:tcW w:w="2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234,772</w:t>
            </w:r>
          </w:p>
        </w:tc>
      </w:tr>
      <w:tr>
        <w:trPr>
          <w:trHeight w:val="263"/>
        </w:trPr>
        <w:tc>
          <w:tcPr>
            <w:tcW w:w="8780" w:type="dxa"/>
            <w:vAlign w:val="bottom"/>
            <w:gridSpan w:val="2"/>
          </w:tcPr>
          <w:p>
            <w:pPr>
              <w:ind w:left="40"/>
              <w:spacing w:after="0"/>
              <w:rPr>
                <w:sz w:val="20"/>
                <w:szCs w:val="20"/>
                <w:color w:val="auto"/>
              </w:rPr>
            </w:pPr>
            <w:r>
              <w:rPr>
                <w:rFonts w:ascii="Arial" w:cs="Arial" w:eastAsia="Arial" w:hAnsi="Arial"/>
                <w:sz w:val="13"/>
                <w:szCs w:val="13"/>
                <w:color w:val="auto"/>
              </w:rPr>
              <w:t>Scott D. Myers</w:t>
            </w:r>
          </w:p>
        </w:tc>
        <w:tc>
          <w:tcPr>
            <w:tcW w:w="2460" w:type="dxa"/>
            <w:vAlign w:val="bottom"/>
          </w:tcPr>
          <w:p>
            <w:pPr>
              <w:jc w:val="right"/>
              <w:ind w:right="33"/>
              <w:spacing w:after="0"/>
              <w:rPr>
                <w:sz w:val="20"/>
                <w:szCs w:val="20"/>
                <w:color w:val="auto"/>
              </w:rPr>
            </w:pPr>
            <w:r>
              <w:rPr>
                <w:rFonts w:ascii="Arial" w:cs="Arial" w:eastAsia="Arial" w:hAnsi="Arial"/>
                <w:sz w:val="13"/>
                <w:szCs w:val="13"/>
                <w:color w:val="auto"/>
              </w:rPr>
              <w:t>20,000</w:t>
            </w:r>
          </w:p>
        </w:tc>
      </w:tr>
      <w:tr>
        <w:trPr>
          <w:trHeight w:val="277"/>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Amir Nashat, Ph.D.</w:t>
            </w:r>
          </w:p>
        </w:tc>
        <w:tc>
          <w:tcPr>
            <w:tcW w:w="2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26,410</w:t>
            </w:r>
          </w:p>
        </w:tc>
      </w:tr>
      <w:tr>
        <w:trPr>
          <w:trHeight w:val="263"/>
        </w:trPr>
        <w:tc>
          <w:tcPr>
            <w:tcW w:w="8780" w:type="dxa"/>
            <w:vAlign w:val="bottom"/>
            <w:gridSpan w:val="2"/>
          </w:tcPr>
          <w:p>
            <w:pPr>
              <w:ind w:left="40"/>
              <w:spacing w:after="0"/>
              <w:rPr>
                <w:sz w:val="20"/>
                <w:szCs w:val="20"/>
                <w:color w:val="auto"/>
              </w:rPr>
            </w:pPr>
            <w:r>
              <w:rPr>
                <w:rFonts w:ascii="Arial" w:cs="Arial" w:eastAsia="Arial" w:hAnsi="Arial"/>
                <w:sz w:val="13"/>
                <w:szCs w:val="13"/>
                <w:color w:val="auto"/>
              </w:rPr>
              <w:t>Aymeric Sallin</w:t>
            </w:r>
          </w:p>
        </w:tc>
        <w:tc>
          <w:tcPr>
            <w:tcW w:w="2460" w:type="dxa"/>
            <w:vAlign w:val="bottom"/>
          </w:tcPr>
          <w:p>
            <w:pPr>
              <w:jc w:val="right"/>
              <w:ind w:right="33"/>
              <w:spacing w:after="0"/>
              <w:rPr>
                <w:sz w:val="20"/>
                <w:szCs w:val="20"/>
                <w:color w:val="auto"/>
              </w:rPr>
            </w:pPr>
            <w:r>
              <w:rPr>
                <w:rFonts w:ascii="Arial" w:cs="Arial" w:eastAsia="Arial" w:hAnsi="Arial"/>
                <w:sz w:val="13"/>
                <w:szCs w:val="13"/>
                <w:color w:val="auto"/>
              </w:rPr>
              <w:t>26,410</w:t>
            </w:r>
          </w:p>
        </w:tc>
      </w:tr>
      <w:tr>
        <w:trPr>
          <w:trHeight w:val="277"/>
        </w:trPr>
        <w:tc>
          <w:tcPr>
            <w:tcW w:w="8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Timothy Springer, Ph.D.</w:t>
            </w:r>
          </w:p>
        </w:tc>
        <w:tc>
          <w:tcPr>
            <w:tcW w:w="2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26,410</w:t>
            </w:r>
          </w:p>
        </w:tc>
      </w:tr>
      <w:tr>
        <w:trPr>
          <w:trHeight w:val="256"/>
        </w:trPr>
        <w:tc>
          <w:tcPr>
            <w:tcW w:w="8780" w:type="dxa"/>
            <w:vAlign w:val="bottom"/>
            <w:gridSpan w:val="2"/>
          </w:tcPr>
          <w:p>
            <w:pPr>
              <w:ind w:left="40"/>
              <w:spacing w:after="0"/>
              <w:rPr>
                <w:sz w:val="20"/>
                <w:szCs w:val="20"/>
                <w:color w:val="auto"/>
              </w:rPr>
            </w:pPr>
            <w:r>
              <w:rPr>
                <w:rFonts w:ascii="Arial" w:cs="Arial" w:eastAsia="Arial" w:hAnsi="Arial"/>
                <w:sz w:val="13"/>
                <w:szCs w:val="13"/>
                <w:color w:val="auto"/>
              </w:rPr>
              <w:t>Patrick Zenner</w:t>
            </w:r>
          </w:p>
        </w:tc>
        <w:tc>
          <w:tcPr>
            <w:tcW w:w="2460" w:type="dxa"/>
            <w:vAlign w:val="bottom"/>
          </w:tcPr>
          <w:p>
            <w:pPr>
              <w:jc w:val="right"/>
              <w:ind w:right="33"/>
              <w:spacing w:after="0"/>
              <w:rPr>
                <w:sz w:val="20"/>
                <w:szCs w:val="20"/>
                <w:color w:val="auto"/>
              </w:rPr>
            </w:pPr>
            <w:r>
              <w:rPr>
                <w:rFonts w:ascii="Arial" w:cs="Arial" w:eastAsia="Arial" w:hAnsi="Arial"/>
                <w:sz w:val="13"/>
                <w:szCs w:val="13"/>
                <w:color w:val="auto"/>
              </w:rPr>
              <w:t>32,820</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2019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rPr>
              <w:t>Number of securities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Number of securities</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rPr>
              <w:t>to be issued upon</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Weighted-average</w:t>
            </w:r>
          </w:p>
        </w:tc>
        <w:tc>
          <w:tcPr>
            <w:tcW w:w="24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remaining available for</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rPr>
              <w:t>exercise of outstanding</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exercise price of</w:t>
            </w:r>
          </w:p>
        </w:tc>
        <w:tc>
          <w:tcPr>
            <w:tcW w:w="24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future issuance under</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rPr>
              <w:t>stock options, warrants</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rPr>
              <w:t>outstanding options,</w:t>
            </w:r>
          </w:p>
        </w:tc>
        <w:tc>
          <w:tcPr>
            <w:tcW w:w="24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equity compensation</w:t>
            </w:r>
          </w:p>
        </w:tc>
        <w:tc>
          <w:tcPr>
            <w:tcW w:w="0" w:type="dxa"/>
            <w:vAlign w:val="bottom"/>
          </w:tcPr>
          <w:p>
            <w:pPr>
              <w:spacing w:after="0"/>
              <w:rPr>
                <w:sz w:val="1"/>
                <w:szCs w:val="1"/>
                <w:color w:val="auto"/>
              </w:rPr>
            </w:pPr>
          </w:p>
        </w:tc>
      </w:tr>
      <w:tr>
        <w:trPr>
          <w:trHeight w:val="284"/>
        </w:trPr>
        <w:tc>
          <w:tcPr>
            <w:tcW w:w="372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Plan category</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and rights</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rPr>
              <w:t xml:space="preserve">warrants and rights </w:t>
            </w:r>
            <w:r>
              <w:rPr>
                <w:rFonts w:ascii="Arial" w:cs="Arial" w:eastAsia="Arial" w:hAnsi="Arial"/>
                <w:sz w:val="22"/>
                <w:szCs w:val="22"/>
                <w:b w:val="1"/>
                <w:bCs w:val="1"/>
                <w:color w:val="auto"/>
                <w:vertAlign w:val="superscript"/>
              </w:rPr>
              <w:t>(1)</w:t>
            </w:r>
          </w:p>
        </w:tc>
        <w:tc>
          <w:tcPr>
            <w:tcW w:w="320" w:type="dxa"/>
            <w:vAlign w:val="bottom"/>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plans </w:t>
            </w:r>
            <w:r>
              <w:rPr>
                <w:rFonts w:ascii="Arial" w:cs="Arial" w:eastAsia="Arial" w:hAnsi="Arial"/>
                <w:sz w:val="22"/>
                <w:szCs w:val="22"/>
                <w:b w:val="1"/>
                <w:bCs w:val="1"/>
                <w:color w:val="auto"/>
                <w:w w:val="93"/>
                <w:vertAlign w:val="superscript"/>
              </w:rPr>
              <w:t>(2)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6"/>
              </w:rPr>
              <w:t>(b)</w:t>
            </w:r>
          </w:p>
        </w:tc>
        <w:tc>
          <w:tcPr>
            <w:tcW w:w="24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(c)</w:t>
            </w:r>
          </w:p>
        </w:tc>
        <w:tc>
          <w:tcPr>
            <w:tcW w:w="0" w:type="dxa"/>
            <w:vAlign w:val="bottom"/>
          </w:tcPr>
          <w:p>
            <w:pPr>
              <w:spacing w:after="0"/>
              <w:rPr>
                <w:sz w:val="1"/>
                <w:szCs w:val="1"/>
                <w:color w:val="auto"/>
              </w:rPr>
            </w:pPr>
          </w:p>
        </w:tc>
      </w:tr>
      <w:tr>
        <w:trPr>
          <w:trHeight w:val="277"/>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Equity compensation plans approved by security holders </w:t>
            </w:r>
            <w:r>
              <w:rPr>
                <w:rFonts w:ascii="Arial" w:cs="Arial" w:eastAsia="Arial" w:hAnsi="Arial"/>
                <w:sz w:val="22"/>
                <w:szCs w:val="22"/>
                <w:color w:val="auto"/>
                <w:vertAlign w:val="superscript"/>
              </w:rPr>
              <w:t>(3)</w:t>
            </w:r>
          </w:p>
        </w:tc>
        <w:tc>
          <w:tcPr>
            <w:tcW w:w="2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4,646,669</w:t>
            </w:r>
          </w:p>
        </w:tc>
        <w:tc>
          <w:tcPr>
            <w:tcW w:w="3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(4)</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240" w:type="dxa"/>
            <w:vAlign w:val="bottom"/>
            <w:gridSpan w:val="2"/>
            <w:shd w:val="clear" w:color="auto" w:fill="CCEEFF"/>
          </w:tcPr>
          <w:p>
            <w:pPr>
              <w:ind w:left="1540"/>
              <w:spacing w:after="0"/>
              <w:rPr>
                <w:sz w:val="20"/>
                <w:szCs w:val="20"/>
                <w:color w:val="auto"/>
              </w:rPr>
            </w:pPr>
            <w:r>
              <w:rPr>
                <w:rFonts w:ascii="Arial" w:cs="Arial" w:eastAsia="Arial" w:hAnsi="Arial"/>
                <w:sz w:val="13"/>
                <w:szCs w:val="13"/>
                <w:color w:val="auto"/>
              </w:rPr>
              <w:t xml:space="preserve">5.52  </w:t>
            </w:r>
            <w:r>
              <w:rPr>
                <w:rFonts w:ascii="Arial" w:cs="Arial" w:eastAsia="Arial" w:hAnsi="Arial"/>
                <w:sz w:val="22"/>
                <w:szCs w:val="22"/>
                <w:color w:val="auto"/>
                <w:vertAlign w:val="superscript"/>
              </w:rPr>
              <w:t>(5)</w:t>
            </w: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xml:space="preserve">1,765,018  </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68"/>
        </w:trPr>
        <w:tc>
          <w:tcPr>
            <w:tcW w:w="3840" w:type="dxa"/>
            <w:vAlign w:val="bottom"/>
            <w:gridSpan w:val="2"/>
          </w:tcPr>
          <w:p>
            <w:pPr>
              <w:ind w:left="40"/>
              <w:spacing w:after="0"/>
              <w:rPr>
                <w:sz w:val="20"/>
                <w:szCs w:val="20"/>
                <w:color w:val="auto"/>
              </w:rPr>
            </w:pPr>
            <w:r>
              <w:rPr>
                <w:rFonts w:ascii="Arial" w:cs="Arial" w:eastAsia="Arial" w:hAnsi="Arial"/>
                <w:sz w:val="13"/>
                <w:szCs w:val="13"/>
                <w:color w:val="auto"/>
              </w:rPr>
              <w:t>Equity compensation plans not approved by security holders</w:t>
            </w:r>
          </w:p>
        </w:tc>
        <w:tc>
          <w:tcPr>
            <w:tcW w:w="2140" w:type="dxa"/>
            <w:vAlign w:val="bottom"/>
            <w:vMerge w:val="restart"/>
          </w:tcPr>
          <w:p>
            <w:pPr>
              <w:jc w:val="right"/>
              <w:ind w:right="53"/>
              <w:spacing w:after="0"/>
              <w:rPr>
                <w:sz w:val="20"/>
                <w:szCs w:val="20"/>
                <w:color w:val="auto"/>
              </w:rPr>
            </w:pPr>
            <w:r>
              <w:rPr>
                <w:rFonts w:ascii="Arial" w:cs="Arial" w:eastAsia="Arial" w:hAnsi="Arial"/>
                <w:sz w:val="13"/>
                <w:szCs w:val="13"/>
                <w:color w:val="auto"/>
              </w:rPr>
              <w:t>2,331,250</w:t>
            </w:r>
          </w:p>
        </w:tc>
        <w:tc>
          <w:tcPr>
            <w:tcW w:w="340" w:type="dxa"/>
            <w:vAlign w:val="bottom"/>
            <w:vMerge w:val="restart"/>
          </w:tcPr>
          <w:p>
            <w:pPr>
              <w:jc w:val="right"/>
              <w:ind w:right="104"/>
              <w:spacing w:after="0"/>
              <w:rPr>
                <w:sz w:val="20"/>
                <w:szCs w:val="20"/>
                <w:color w:val="auto"/>
              </w:rPr>
            </w:pPr>
            <w:r>
              <w:rPr>
                <w:rFonts w:ascii="Arial" w:cs="Arial" w:eastAsia="Arial" w:hAnsi="Arial"/>
                <w:sz w:val="11"/>
                <w:szCs w:val="11"/>
                <w:color w:val="auto"/>
              </w:rPr>
              <w:t>(8)</w:t>
            </w:r>
          </w:p>
        </w:tc>
        <w:tc>
          <w:tcPr>
            <w:tcW w:w="24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1920" w:type="dxa"/>
            <w:vAlign w:val="bottom"/>
            <w:vMerge w:val="restart"/>
          </w:tcPr>
          <w:p>
            <w:pPr>
              <w:ind w:left="1540"/>
              <w:spacing w:after="0"/>
              <w:rPr>
                <w:sz w:val="20"/>
                <w:szCs w:val="20"/>
                <w:color w:val="auto"/>
              </w:rPr>
            </w:pPr>
            <w:r>
              <w:rPr>
                <w:rFonts w:ascii="Arial" w:cs="Arial" w:eastAsia="Arial" w:hAnsi="Arial"/>
                <w:sz w:val="13"/>
                <w:szCs w:val="13"/>
                <w:color w:val="auto"/>
              </w:rPr>
              <w:t>3.83</w:t>
            </w:r>
          </w:p>
        </w:tc>
        <w:tc>
          <w:tcPr>
            <w:tcW w:w="320" w:type="dxa"/>
            <w:vAlign w:val="bottom"/>
          </w:tcPr>
          <w:p>
            <w:pPr>
              <w:spacing w:after="0"/>
              <w:rPr>
                <w:sz w:val="14"/>
                <w:szCs w:val="14"/>
                <w:color w:val="auto"/>
              </w:rPr>
            </w:pPr>
          </w:p>
        </w:tc>
        <w:tc>
          <w:tcPr>
            <w:tcW w:w="2440" w:type="dxa"/>
            <w:vAlign w:val="bottom"/>
            <w:gridSpan w:val="2"/>
            <w:vMerge w:val="restart"/>
          </w:tcPr>
          <w:p>
            <w:pPr>
              <w:jc w:val="right"/>
              <w:ind w:right="4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60"/>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21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6,977,919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92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Arial" w:cs="Arial" w:eastAsia="Arial" w:hAnsi="Arial"/>
                <w:sz w:val="13"/>
                <w:szCs w:val="13"/>
                <w:color w:val="auto"/>
              </w:rPr>
              <w:t>5.52</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1,765,018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weighted-average exercise price of outstanding options and is calculated without taking into account outstanding restricted stock units.</w:t>
      </w:r>
    </w:p>
    <w:p>
      <w:pPr>
        <w:spacing w:after="0" w:line="174" w:lineRule="exact"/>
        <w:rPr>
          <w:rFonts w:ascii="Arial" w:cs="Arial" w:eastAsia="Arial" w:hAnsi="Arial"/>
          <w:sz w:val="13"/>
          <w:szCs w:val="13"/>
          <w:color w:val="auto"/>
        </w:rPr>
      </w:pPr>
    </w:p>
    <w:p>
      <w:pPr>
        <w:ind w:left="340" w:right="20" w:hanging="332"/>
        <w:spacing w:after="0" w:line="264"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 of Directors.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147" w:lineRule="exact"/>
        <w:rPr>
          <w:rFonts w:ascii="Arial" w:cs="Arial" w:eastAsia="Arial" w:hAnsi="Arial"/>
          <w:sz w:val="13"/>
          <w:szCs w:val="13"/>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the 2016 Plan, the 2008 Plan and the 2016 ESPP.</w:t>
      </w:r>
    </w:p>
    <w:p>
      <w:pPr>
        <w:spacing w:after="0" w:line="174" w:lineRule="exact"/>
        <w:rPr>
          <w:rFonts w:ascii="Arial" w:cs="Arial" w:eastAsia="Arial" w:hAnsi="Arial"/>
          <w:sz w:val="13"/>
          <w:szCs w:val="13"/>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3,941,181 outstanding options to purchase stock under the 2016 Plan and 705,488 outstanding options to purchase stock under the 2008 Plan.</w:t>
      </w:r>
    </w:p>
    <w:p>
      <w:pPr>
        <w:spacing w:after="0" w:line="174" w:lineRule="exact"/>
        <w:rPr>
          <w:rFonts w:ascii="Arial" w:cs="Arial" w:eastAsia="Arial" w:hAnsi="Arial"/>
          <w:sz w:val="13"/>
          <w:szCs w:val="13"/>
          <w:color w:val="auto"/>
        </w:rPr>
      </w:pPr>
    </w:p>
    <w:p>
      <w:pPr>
        <w:ind w:left="340" w:hanging="332"/>
        <w:spacing w:after="0" w:line="280"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of December 31, 2019 , the weighted-average exercise price of outstanding options under the 2016 Plan was $5.54 and the weighted-average exercise price of outstanding options under the 2008 Plan was $5.38 .</w:t>
      </w:r>
    </w:p>
    <w:p>
      <w:pPr>
        <w:spacing w:after="0" w:line="137" w:lineRule="exact"/>
        <w:rPr>
          <w:rFonts w:ascii="Arial" w:cs="Arial" w:eastAsia="Arial" w:hAnsi="Arial"/>
          <w:sz w:val="13"/>
          <w:szCs w:val="13"/>
          <w:color w:val="auto"/>
        </w:rPr>
      </w:pPr>
    </w:p>
    <w:p>
      <w:pPr>
        <w:ind w:left="340" w:right="140" w:hanging="332"/>
        <w:spacing w:after="0" w:line="270"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267,612 shares available for issuance under the 2016 Plan and 747,406 shares available for issuance under the 2016 ESPP (of which 78,583 shares were issued with respect to the purchase period in effect as of December 31, 2019, which purchase period ended on February 28, 2019). To the extent outstanding stock options under the 2008 Plan are forfeited or lapse unexercised, the shares of common stock subject to such stock option awards will be available for issuance under the 2016 Plan.</w:t>
      </w:r>
    </w:p>
    <w:p>
      <w:pPr>
        <w:spacing w:after="0" w:line="143" w:lineRule="exact"/>
        <w:rPr>
          <w:rFonts w:ascii="Arial" w:cs="Arial" w:eastAsia="Arial" w:hAnsi="Arial"/>
          <w:sz w:val="13"/>
          <w:szCs w:val="13"/>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the 2018 Plan. See Note 11 to our consolidated audited financial statements included in our 2019 Annual Report for a description of the material features of the 2018 Plan.</w:t>
      </w:r>
    </w:p>
    <w:p>
      <w:pPr>
        <w:spacing w:after="0" w:line="174" w:lineRule="exact"/>
        <w:rPr>
          <w:rFonts w:ascii="Arial" w:cs="Arial" w:eastAsia="Arial" w:hAnsi="Arial"/>
          <w:sz w:val="13"/>
          <w:szCs w:val="13"/>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2,150,000 outstanding options and 181,250 outstanding restricted stock units.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4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as of April 23, 2020 ,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87,489,681 shares of Common Stock outstanding as of April 23, 2020 . In computing the number of shares beneficially owned by a person and the percentage ownership of that person, shares of Common Stock subject to options, warrants or other rights held by such person that are currently exercisable or will become exercisable within 60 days of April 23, 2020 are considered outstanding, although these shares are not considered outstanding for purposes of computing the percentage ownership of any other person.</w:t>
      </w:r>
    </w:p>
    <w:p>
      <w:pPr>
        <w:spacing w:after="0" w:line="3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rPr>
              <w:t>Percentage</w:t>
            </w:r>
          </w:p>
        </w:tc>
      </w:tr>
      <w:tr>
        <w:trPr>
          <w:trHeight w:val="148"/>
        </w:trPr>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rPr>
              <w:t>of shares</w:t>
            </w:r>
          </w:p>
        </w:tc>
      </w:tr>
      <w:tr>
        <w:trPr>
          <w:trHeight w:val="148"/>
        </w:trPr>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beneficially</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rPr>
              <w:t>beneficially</w:t>
            </w:r>
          </w:p>
        </w:tc>
      </w:tr>
      <w:tr>
        <w:trPr>
          <w:trHeight w:val="186"/>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 of beneficial owner</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owned</w:t>
            </w:r>
          </w:p>
        </w:tc>
      </w:tr>
      <w:tr>
        <w:trPr>
          <w:trHeight w:val="256"/>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i w:val="1"/>
                <w:iCs w:val="1"/>
                <w:color w:val="auto"/>
              </w:rPr>
              <w:t>5% Stockholders</w:t>
            </w:r>
          </w:p>
        </w:tc>
        <w:tc>
          <w:tcPr>
            <w:tcW w:w="2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Entities affiliated with Timothy A. Springer, Ph.D. (1)</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14,942,489</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16.7%</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Entities affiliated with Vivo Capital (2)</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8,732,127</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The Mangrove Partners Master Fund, Ltd. (3)</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7,881,774</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Entities affiliated with EcoR1 Capital (4)</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6,896,551</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Wasatch Advisors, Inc. (5)</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5,566,252</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Entities affiliated with Biotechnology Value Fund, L.P. (6)</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4,926,108</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Entities affiliated with Boxer Capital (7)</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4,926,108</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Entities affiliated with NanoDimension (8)</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4,715,266</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297"/>
        </w:trPr>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i w:val="1"/>
                <w:iCs w:val="1"/>
                <w:color w:val="auto"/>
              </w:rPr>
              <w:t>Named Executive Officers, Directors and Nominees</w:t>
            </w: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Carsten Brunn, Ph.D. (9)</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574,418</w:t>
            </w:r>
          </w:p>
        </w:tc>
        <w:tc>
          <w:tcPr>
            <w:tcW w:w="100" w:type="dxa"/>
            <w:vAlign w:val="bottom"/>
          </w:tcPr>
          <w:p>
            <w:pPr>
              <w:spacing w:after="0"/>
              <w:rPr>
                <w:sz w:val="22"/>
                <w:szCs w:val="22"/>
                <w:color w:val="auto"/>
              </w:rPr>
            </w:pP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Elona Kogan, J.D. (10)</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264,282</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Stephen Smolinski (11)</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142,562</w:t>
            </w:r>
          </w:p>
        </w:tc>
        <w:tc>
          <w:tcPr>
            <w:tcW w:w="100" w:type="dxa"/>
            <w:vAlign w:val="bottom"/>
          </w:tcPr>
          <w:p>
            <w:pPr>
              <w:spacing w:after="0"/>
              <w:rPr>
                <w:sz w:val="22"/>
                <w:szCs w:val="22"/>
                <w:color w:val="auto"/>
              </w:rPr>
            </w:pP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304"/>
        </w:trPr>
        <w:tc>
          <w:tcPr>
            <w:tcW w:w="6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Carrie S. Cox (12)</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102,409</w:t>
            </w:r>
          </w:p>
        </w:tc>
        <w:tc>
          <w:tcPr>
            <w:tcW w:w="100" w:type="dxa"/>
            <w:vAlign w:val="bottom"/>
          </w:tcPr>
          <w:p>
            <w:pPr>
              <w:spacing w:after="0"/>
              <w:rPr>
                <w:sz w:val="22"/>
                <w:szCs w:val="22"/>
                <w:color w:val="auto"/>
              </w:rPr>
            </w:pP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Goran Ando, M.D.</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Timothy C. Barabe (13)</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157,751</w:t>
            </w:r>
          </w:p>
        </w:tc>
        <w:tc>
          <w:tcPr>
            <w:tcW w:w="100" w:type="dxa"/>
            <w:vAlign w:val="bottom"/>
          </w:tcPr>
          <w:p>
            <w:pPr>
              <w:spacing w:after="0"/>
              <w:rPr>
                <w:sz w:val="22"/>
                <w:szCs w:val="22"/>
                <w:color w:val="auto"/>
              </w:rPr>
            </w:pP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Scott D. Myers (14)</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107,215</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Aymeric Sallin (15)</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26,410</w:t>
            </w:r>
          </w:p>
        </w:tc>
        <w:tc>
          <w:tcPr>
            <w:tcW w:w="100" w:type="dxa"/>
            <w:vAlign w:val="bottom"/>
          </w:tcPr>
          <w:p>
            <w:pPr>
              <w:spacing w:after="0"/>
              <w:rPr>
                <w:sz w:val="22"/>
                <w:szCs w:val="22"/>
                <w:color w:val="auto"/>
              </w:rPr>
            </w:pP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77"/>
        </w:trPr>
        <w:tc>
          <w:tcPr>
            <w:tcW w:w="70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Timothy A. Springer, Ph.D. (1)</w:t>
            </w:r>
          </w:p>
        </w:tc>
        <w:tc>
          <w:tcPr>
            <w:tcW w:w="20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14,942,489</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263"/>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Patrick Zenner (16)</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88,068</w:t>
            </w:r>
          </w:p>
        </w:tc>
        <w:tc>
          <w:tcPr>
            <w:tcW w:w="100" w:type="dxa"/>
            <w:vAlign w:val="bottom"/>
          </w:tcPr>
          <w:p>
            <w:pPr>
              <w:spacing w:after="0"/>
              <w:rPr>
                <w:sz w:val="22"/>
                <w:szCs w:val="22"/>
                <w:color w:val="auto"/>
              </w:rPr>
            </w:pPr>
          </w:p>
        </w:tc>
        <w:tc>
          <w:tcPr>
            <w:tcW w:w="20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304"/>
        </w:trPr>
        <w:tc>
          <w:tcPr>
            <w:tcW w:w="6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56"/>
        </w:trPr>
        <w:tc>
          <w:tcPr>
            <w:tcW w:w="7060" w:type="dxa"/>
            <w:vAlign w:val="bottom"/>
            <w:gridSpan w:val="2"/>
          </w:tcPr>
          <w:p>
            <w:pPr>
              <w:ind w:left="40"/>
              <w:spacing w:after="0"/>
              <w:rPr>
                <w:sz w:val="20"/>
                <w:szCs w:val="20"/>
                <w:color w:val="auto"/>
              </w:rPr>
            </w:pPr>
            <w:r>
              <w:rPr>
                <w:rFonts w:ascii="Arial" w:cs="Arial" w:eastAsia="Arial" w:hAnsi="Arial"/>
                <w:sz w:val="13"/>
                <w:szCs w:val="13"/>
                <w:color w:val="auto"/>
              </w:rPr>
              <w:t>All executive officers, directors and director nominees as a group (13 persons) (17)</w:t>
            </w:r>
          </w:p>
        </w:tc>
        <w:tc>
          <w:tcPr>
            <w:tcW w:w="2020" w:type="dxa"/>
            <w:vAlign w:val="bottom"/>
          </w:tcPr>
          <w:p>
            <w:pPr>
              <w:jc w:val="right"/>
              <w:ind w:right="33"/>
              <w:spacing w:after="0"/>
              <w:rPr>
                <w:sz w:val="20"/>
                <w:szCs w:val="20"/>
                <w:color w:val="auto"/>
              </w:rPr>
            </w:pPr>
            <w:r>
              <w:rPr>
                <w:rFonts w:ascii="Arial" w:cs="Arial" w:eastAsia="Arial" w:hAnsi="Arial"/>
                <w:sz w:val="13"/>
                <w:szCs w:val="13"/>
                <w:color w:val="auto"/>
              </w:rPr>
              <w:t>16,932,499</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19.0%</w:t>
            </w:r>
          </w:p>
        </w:tc>
      </w:tr>
    </w:tbl>
    <w:p>
      <w:pPr>
        <w:spacing w:after="0" w:line="175" w:lineRule="exact"/>
        <w:rPr>
          <w:sz w:val="20"/>
          <w:szCs w:val="20"/>
          <w:color w:val="auto"/>
        </w:rPr>
      </w:pPr>
    </w:p>
    <w:p>
      <w:pPr>
        <w:jc w:val="right"/>
        <w:ind w:left="5540" w:right="5500" w:hanging="5505"/>
        <w:spacing w:after="0" w:line="444" w:lineRule="auto"/>
        <w:tabs>
          <w:tab w:leader="none" w:pos="242"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our outstanding common stock.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7" w:name="page38"/>
    <w:bookmarkEnd w:id="37"/>
    <w:p>
      <w:pPr>
        <w:ind w:left="332" w:hanging="332"/>
        <w:spacing w:after="0" w:line="239" w:lineRule="auto"/>
        <w:tabs>
          <w:tab w:leader="none" w:pos="3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a Schedule 13D/A filed with the SEC on January 2, 2020 and other information known to us, consists of (i) 7,293,625 shares of common stock held directly by Timothy A. Springer, Ph.D. , our director, (ii) 79,130 shares of common stock issuable upon exercise of underlying warrants exercisable within 60 days of April 23, 2020 held directly by Timothy Springer, (iii) 26,410 shares of common stock issuable upon exercise of outstanding options within 60 days of April 23, 2020 and held directly by Timothy Springer, (iv) 5,486,463 shares of common stock held by TAS Partners LLC (“TAS”) directly, (v) 1,970,443 shares of common stock issuable upon exercise of underlying warrants exercisable within 60 days of April 23, 2020, and (vi) 86,418 shares of common stock held by Dr. Chafen Lu, Timothy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145" w:lineRule="exact"/>
        <w:rPr>
          <w:rFonts w:ascii="Arial" w:cs="Arial" w:eastAsia="Arial" w:hAnsi="Arial"/>
          <w:sz w:val="13"/>
          <w:szCs w:val="13"/>
          <w:color w:val="auto"/>
        </w:rPr>
      </w:pPr>
    </w:p>
    <w:p>
      <w:pPr>
        <w:ind w:left="332" w:hanging="332"/>
        <w:spacing w:after="0" w:line="238" w:lineRule="auto"/>
        <w:tabs>
          <w:tab w:leader="none" w:pos="3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a Schedule 13G filed with the SEC on December 30, 2019, and other information known to us, consists of (i) 1,442,767 shares of common stock held by Vivo Capital IX, LLC (“Vivo IX”), (ii) 6,465,792 shares of common stock held by Vivo Opportunity, LLC (“Vivo Opportunity”), and (iii) 707,435 shares of common stock held by Vivo Capital VIII, LLC (“Vivo VIII” and, together with Vivo IX and Vivo Opportunity, the "Vivo Funds"). The voting members of Vivo IX are Frank Kung, Edgar Engleman, Albert Cha, Shan Fu and Chen Yu, none of whom has individual voting or investment power with respect to these shares and each of whom disclaims beneficial ownership of such shares. The voting members of Vivo Opportunity are Albert Cha, Gaurav Aggarwal, Shan Fu, Frank Kung and Michael Chang, none of whom has individual voting or investment power with respect to these shares and each of whom disclaims beneficial ownership of such shares. The voting members of Vivo VIII are Frank Kung, Edgar Engleman, Albert Cha, Shan Fu and Chen Yu, none of whom has individual voting or investment power with respect to these shares and each of whom disclaims beneficial ownership of such shares. Also includes an aggregate of approximately 116,133 shares of common stock issuable upon exercise of underlying warrants and/or pre-funded warrants exercisable within 60 days of April 23, 2020 held by the Vivo Funds. Excludes an aggregate of 16,436,175 shares of common stock issuable upon exercise of underlying warrants and/or pre-funded warrants held by the Vivo Funds. Such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The principal place of business of the Vivo Funds is 192 Lytton Avenue, Palo Alto, California, 94301.</w:t>
      </w:r>
    </w:p>
    <w:p>
      <w:pPr>
        <w:spacing w:after="0" w:line="300" w:lineRule="exact"/>
        <w:rPr>
          <w:rFonts w:ascii="Arial" w:cs="Arial" w:eastAsia="Arial" w:hAnsi="Arial"/>
          <w:sz w:val="13"/>
          <w:szCs w:val="13"/>
          <w:color w:val="auto"/>
        </w:rPr>
      </w:pPr>
    </w:p>
    <w:p>
      <w:pPr>
        <w:ind w:left="332" w:right="120" w:hanging="332"/>
        <w:spacing w:after="0" w:line="239" w:lineRule="auto"/>
        <w:tabs>
          <w:tab w:leader="none" w:pos="3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solely on a Schedule 13G filed with the SEC on January 13, 2020 and other information known to us, consists of (i) 5,254,516 shares of common stock held by The Mangrove Partners Master Fund, Ltd. (the "Master Fund") and (ii) 2,627,258 shares of common stock issuable upon exercise of underlying warrants exercisable within 60 days of April 23, 2020 held by the Master Fund. Such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As the investment manager of the Master Fund, Mangrove Partners may be deemed the beneficial owner of the Shares owned by the Master Fund. Nathaniel August, as the principal of Mangrove Partners, may be deemed a beneficial owner of the shares owned by the Master Fund. Each of Master Fund, Mangrove Partners and Nathanial August report shared voting and dispositive power over the securities held directly by Master Fund. The principal business address of the Master Fund and Mangrove Partners is c/o Maples Corporate Services, Ltd., PO Box 309, Ugland House, South Church Street, George Town, Grand Cayman, Cayman Islands KY1-1104. The principal business office of Nathanial August is 645 Madison Avenue, 14th Floor, New York, New York 10022.</w:t>
      </w:r>
    </w:p>
    <w:p>
      <w:pPr>
        <w:spacing w:after="0" w:line="145" w:lineRule="exact"/>
        <w:rPr>
          <w:rFonts w:ascii="Arial" w:cs="Arial" w:eastAsia="Arial" w:hAnsi="Arial"/>
          <w:sz w:val="13"/>
          <w:szCs w:val="13"/>
          <w:color w:val="auto"/>
        </w:rPr>
      </w:pPr>
    </w:p>
    <w:p>
      <w:pPr>
        <w:ind w:left="332" w:hanging="332"/>
        <w:spacing w:after="0" w:line="239" w:lineRule="auto"/>
        <w:tabs>
          <w:tab w:leader="none" w:pos="3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a Schedule 13G filed with the SEC on January 6, 2020 and other information known to us, consists of (i) 772,414 shares of common stock held by EcoR1 Capital Fund, LP, (ii) 386,207 shares of common stock issuable upon exercise of underlying warrants exercisable within 60 days of April 23, 2020 held by EcoR1 Capital Fund, LP, (iii) 3,825,287 shares of common stock held by EcoR1 Capital Fund Qualified, LP (together with EcoR1 Capital Fund, LP, the "EcoR1 Funds"), and (iv) 1,912,643 shares of common stock issuable upon exercise of underlying warrants exercisable within 60 days of April 23, 2020 held by EcoR1 Capital Fund Qualified, LP. Such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Oleg Nodelman, manager of the EcoR1 Funds, may be deemed a beneficial owner of the shares held directly by the EcoR1 Funds. The principal business address of the EcoR1 Funds and Oleg Nodelman is 357 Tehama Street, #3, San Francisco, California, 94103.</w:t>
      </w:r>
    </w:p>
    <w:p>
      <w:pPr>
        <w:spacing w:after="0" w:line="226" w:lineRule="exact"/>
        <w:rPr>
          <w:rFonts w:ascii="Arial" w:cs="Arial" w:eastAsia="Arial" w:hAnsi="Arial"/>
          <w:sz w:val="13"/>
          <w:szCs w:val="13"/>
          <w:color w:val="auto"/>
        </w:rPr>
      </w:pPr>
    </w:p>
    <w:p>
      <w:pPr>
        <w:ind w:left="332" w:right="120" w:hanging="332"/>
        <w:spacing w:after="0"/>
        <w:tabs>
          <w:tab w:leader="none" w:pos="3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on a Schedule 13G filed with the SEC on February 11, 2020 and other information known to us, consists of (i) 4,416,827 shares of common stock, and (ii) 1,149,425 shares of common stock issuable upon exercise of underlying warrants exercisable within 60 days of April 23, 2020. Wasatch Advisors, Inc. (“Wasatch”) reports sole voting and investment power over the securities held by it. The principal place of business of Wasatch is 505 Wakara Way, Salt Lake City, Utah, 84108.</w:t>
      </w:r>
    </w:p>
    <w:p>
      <w:pPr>
        <w:spacing w:after="0" w:line="145" w:lineRule="exact"/>
        <w:rPr>
          <w:rFonts w:ascii="Arial" w:cs="Arial" w:eastAsia="Arial" w:hAnsi="Arial"/>
          <w:sz w:val="13"/>
          <w:szCs w:val="13"/>
          <w:color w:val="auto"/>
        </w:rPr>
      </w:pPr>
    </w:p>
    <w:p>
      <w:pPr>
        <w:ind w:left="332" w:hanging="332"/>
        <w:spacing w:after="0" w:line="260" w:lineRule="auto"/>
        <w:tabs>
          <w:tab w:leader="none" w:pos="332"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solely on a Schedule 13G filed with the SEC on January 7, 2020, includes (i) 1,660,948 shares of common stock held by Biotechnology Value Fund, L.P. (“BVF”), (ii) 830,474 shares of common stock issuable upon exercise of underlying warrants exercisable within 60 days of April 23, 2020 held by BVF, (iii) 1,293,646 shares of common stock held by Biotechnology Value Fund II, L.P. (“BVF2”), (iv) 646,823 shares of common stock issuable upon exercise of underlying warrants exercisable within 60 days of April 23, 2020 held by BVF2, (v) 226,312 shares of common stock held by Biotechnology Value Trading Fund OS LP (“Trading Fund OS”), (vi) 113,156 shares of common stock issuable upon exercise of underlying warrants exercisable within 60 days of April 23, 2020 held by Trading Fund OS, (vii) 103,166 shares of common stock held by an account (the “Partners Managed Account”) managed by BVF Partners L.P. (“Partners”), and (viii) 51,583 shares of common stock issuable upon exercise of underlying warrants exercisable within 60 days of April 23, 2020 held by the Partners Managed Account. Such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BVF Partners OS Ltd (“Partners OS”) is the general partner of Trading Fund OS and may be deemed to beneficially own the securities held by Trading Fund OS. Partners, as the general partner of BVF, BVF2, the investment manager of Trading Fund OS and the sole member of Partners OS, may be deemed to beneficially own the securities beneficially owned in the aggregate by BVF, BVF2, Trading Fund OS, and the Partners Managed Account. BVF Inc., as the general partner of Partners, and Mark Lampert, as a director and officer of BVF Inc., may be deemed to beneficially own the securities beneficially owned by Partners. Partners OS disclaims beneficial ownership of the securities beneficially owned by Trading Fund OS. Each of Partners, BVF Inc. and Mr. Lampert disclaims beneficial ownership of the securities beneficially owned by BVF, BVF2, Trading Fund OS, and the Partners Managed Account. The address for the beneficial owners is 44 Montgomery Street, 40th Floor, San Francisco, CA, 94104.</w:t>
      </w:r>
    </w:p>
    <w:p>
      <w:pPr>
        <w:spacing w:after="0" w:line="284" w:lineRule="exact"/>
        <w:rPr>
          <w:rFonts w:ascii="Arial" w:cs="Arial" w:eastAsia="Arial" w:hAnsi="Arial"/>
          <w:sz w:val="12"/>
          <w:szCs w:val="12"/>
          <w:color w:val="auto"/>
        </w:rPr>
      </w:pPr>
    </w:p>
    <w:p>
      <w:pPr>
        <w:ind w:left="332" w:right="200" w:hanging="332"/>
        <w:spacing w:after="0"/>
        <w:tabs>
          <w:tab w:leader="none" w:pos="3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Based solely on information known to us, includes (i) 3,284,072 shares of common stock, and (ii) 1,642,036 shares of common stock issuable upon exercise of underlying warrants exercisable within 60 days of April 23, 2020. Boxer Capital reports sole voting and investment power over the securities held by it. The principal place of business of Boxer Capital is 11682 El Camino Real, Suite 320, San Diego, CA, 92130.</w:t>
      </w:r>
    </w:p>
    <w:p>
      <w:pPr>
        <w:spacing w:after="0" w:line="145" w:lineRule="exact"/>
        <w:rPr>
          <w:rFonts w:ascii="Arial" w:cs="Arial" w:eastAsia="Arial" w:hAnsi="Arial"/>
          <w:sz w:val="13"/>
          <w:szCs w:val="13"/>
          <w:color w:val="auto"/>
        </w:rPr>
      </w:pPr>
    </w:p>
    <w:p>
      <w:pPr>
        <w:ind w:left="332" w:right="20" w:hanging="332"/>
        <w:spacing w:after="0" w:line="264" w:lineRule="auto"/>
        <w:tabs>
          <w:tab w:leader="none" w:pos="332" w:val="left"/>
        </w:tabs>
        <w:numPr>
          <w:ilvl w:val="0"/>
          <w:numId w:val="29"/>
        </w:numPr>
        <w:rPr>
          <w:rFonts w:ascii="Arial" w:cs="Arial" w:eastAsia="Arial" w:hAnsi="Arial"/>
          <w:sz w:val="12"/>
          <w:szCs w:val="12"/>
          <w:color w:val="auto"/>
        </w:rPr>
      </w:pPr>
      <w:r>
        <w:rPr>
          <w:rFonts w:ascii="Arial" w:cs="Arial" w:eastAsia="Arial" w:hAnsi="Arial"/>
          <w:sz w:val="12"/>
          <w:szCs w:val="12"/>
          <w:color w:val="auto"/>
        </w:rPr>
        <w:t>Based on a Schedule 13G filed with the SEC on February 14, 2018 and other information known to us as of December 31, 2019, includes (i) 658,157 shares of common stock held by NanoDimension Limited Partnership, (ii) 35,000 shares of common stock held by NanoDimension Management Limited, (iii) 1,663,629 shares of common stock held by NanoDimension II, L.P., (iv) 656,814 shares of common stock issuable upon exercise of underlying warrants exercisable within 60 days of April 23, 2020 held by NanoDimension II, L.P., and (v) 35,000 shares of common stock held by NanoDimension II Management Limited. In addition, based on other information known to us, on January 25, 2019, entities affiliated with NanoDimension Limited Partnership purchased 1,666,666 shares of common stock in connection with our follow-on public offering. The address of the beneficial owners is 2983 Woodside Road, Woodside, California, 94062.</w:t>
      </w:r>
    </w:p>
    <w:p>
      <w:pPr>
        <w:spacing w:after="0" w:line="353"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11" w:right="359" w:bottom="1440" w:gutter="0" w:footer="0" w:header="0"/>
        </w:sectPr>
      </w:pPr>
    </w:p>
    <w:bookmarkStart w:id="38" w:name="page39"/>
    <w:bookmarkEnd w:id="38"/>
    <w:p>
      <w:pPr>
        <w:ind w:left="332" w:right="200" w:hanging="332"/>
        <w:spacing w:after="0" w:line="242"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78,477 shares of common stock held by Dr. Brunn directly, (ii) 485,003 shares of common stock underlying outstanding stock options exercisable within 60 days of April 23, 2020, and (iii) 10,938 shares of common stock underlying outstanding restricted stock units which will vest within 60 days of April 23, 2020.</w:t>
      </w:r>
    </w:p>
    <w:p>
      <w:pPr>
        <w:spacing w:after="0" w:line="144" w:lineRule="exact"/>
        <w:rPr>
          <w:rFonts w:ascii="Arial" w:cs="Arial" w:eastAsia="Arial" w:hAnsi="Arial"/>
          <w:sz w:val="13"/>
          <w:szCs w:val="13"/>
          <w:color w:val="auto"/>
        </w:rPr>
      </w:pPr>
    </w:p>
    <w:p>
      <w:pPr>
        <w:ind w:left="332" w:right="160" w:hanging="332"/>
        <w:spacing w:after="0" w:line="282" w:lineRule="auto"/>
        <w:tabs>
          <w:tab w:leader="none" w:pos="332"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Consists of (i) 139,282 shares of common stock held by Ms. Kogan directly, and (ii) 125,000 shares of common stock underlying outstanding stock options exercisable within 60 days of April 23, 2020. Does not include 50,000 shares underlying restricted stock unit awards that are subject to vesting and may become issuable upon achievement of specified performance goals.</w:t>
      </w:r>
    </w:p>
    <w:p>
      <w:pPr>
        <w:spacing w:after="0" w:line="121" w:lineRule="exact"/>
        <w:rPr>
          <w:rFonts w:ascii="Arial" w:cs="Arial" w:eastAsia="Arial" w:hAnsi="Arial"/>
          <w:sz w:val="12"/>
          <w:szCs w:val="12"/>
          <w:color w:val="auto"/>
        </w:rPr>
      </w:pPr>
    </w:p>
    <w:p>
      <w:pPr>
        <w:ind w:left="332" w:right="100" w:hanging="332"/>
        <w:spacing w:after="0" w:line="242"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13,812 shares of common stock held by Mr. Smolinski directly, and (ii) 128,750 shares of common stock underlying outstanding stock options exercisable within 60 days of April 23, 2020.</w:t>
      </w:r>
    </w:p>
    <w:p>
      <w:pPr>
        <w:spacing w:after="0" w:line="144" w:lineRule="exact"/>
        <w:rPr>
          <w:rFonts w:ascii="Arial" w:cs="Arial" w:eastAsia="Arial" w:hAnsi="Arial"/>
          <w:sz w:val="13"/>
          <w:szCs w:val="13"/>
          <w:color w:val="auto"/>
        </w:rPr>
      </w:pPr>
    </w:p>
    <w:p>
      <w:pPr>
        <w:ind w:left="332" w:right="180" w:hanging="332"/>
        <w:spacing w:after="0" w:line="242"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65,681 shares of common stock held by Ms. Cox directly, (ii) 32,640 shares of common stock issuable upon exercise of underlying warrants exercisable within 60 days of April 23, 2020, and (iii) 3,888 shares of common stock underlying outstanding stock options exercisable within 60 days of April 23, 2020.</w:t>
      </w:r>
    </w:p>
    <w:p>
      <w:pPr>
        <w:spacing w:after="0" w:line="144" w:lineRule="exact"/>
        <w:rPr>
          <w:rFonts w:ascii="Arial" w:cs="Arial" w:eastAsia="Arial" w:hAnsi="Arial"/>
          <w:sz w:val="13"/>
          <w:szCs w:val="13"/>
          <w:color w:val="auto"/>
        </w:rPr>
      </w:pPr>
    </w:p>
    <w:p>
      <w:pPr>
        <w:ind w:left="332" w:right="20" w:hanging="332"/>
        <w:spacing w:after="0" w:line="242"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88,173 shares of common stock held by Mr. Barabe directly, (ii) 32,840 shares of common stock issuable upon exercise of underlying warrants exercisable within 60 days of April 23, 2020, and (iii) 36,738 shares of common stock underlying outstanding stock options exercisable within 60 days of April 23, 2020.</w:t>
      </w:r>
    </w:p>
    <w:p>
      <w:pPr>
        <w:spacing w:after="0" w:line="144" w:lineRule="exact"/>
        <w:rPr>
          <w:rFonts w:ascii="Arial" w:cs="Arial" w:eastAsia="Arial" w:hAnsi="Arial"/>
          <w:sz w:val="13"/>
          <w:szCs w:val="13"/>
          <w:color w:val="auto"/>
        </w:rPr>
      </w:pPr>
    </w:p>
    <w:p>
      <w:pPr>
        <w:ind w:left="332" w:right="80" w:hanging="332"/>
        <w:spacing w:after="0" w:line="242"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(i) 80,645 shares of common stock held by Mr. Myers directly, (ii) 19,704 shares of common stock issuable upon exercise of underlying warrants exercisable within 60 days of April 23, 2020, and (iii) 6,666 shares of common stock underlying outstanding stock options exercisable within 60 days of April 23, 2020.</w:t>
      </w:r>
    </w:p>
    <w:p>
      <w:pPr>
        <w:spacing w:after="0" w:line="144" w:lineRule="exact"/>
        <w:rPr>
          <w:rFonts w:ascii="Arial" w:cs="Arial" w:eastAsia="Arial" w:hAnsi="Arial"/>
          <w:sz w:val="13"/>
          <w:szCs w:val="13"/>
          <w:color w:val="auto"/>
        </w:rPr>
      </w:pPr>
    </w:p>
    <w:p>
      <w:pPr>
        <w:ind w:left="332" w:hanging="332"/>
        <w:spacing w:after="0"/>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26,410 shares of common stock underlying outstanding stock options exercisable within 60 days of April 23, 2020 held by Mr. Sallin directly.</w:t>
      </w:r>
    </w:p>
    <w:p>
      <w:pPr>
        <w:spacing w:after="0" w:line="147" w:lineRule="exact"/>
        <w:rPr>
          <w:rFonts w:ascii="Arial" w:cs="Arial" w:eastAsia="Arial" w:hAnsi="Arial"/>
          <w:sz w:val="13"/>
          <w:szCs w:val="13"/>
          <w:color w:val="auto"/>
        </w:rPr>
      </w:pPr>
    </w:p>
    <w:p>
      <w:pPr>
        <w:ind w:left="332" w:hanging="332"/>
        <w:spacing w:after="0"/>
        <w:tabs>
          <w:tab w:leader="none" w:pos="332"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Consists of 55,248 shares of common stock held by Mr. Zenner directly, and (ii) 32,820 shares of common stock underlying outstanding stock options exercisable within 60 days of April 23, 2020.</w:t>
      </w:r>
    </w:p>
    <w:p>
      <w:pPr>
        <w:spacing w:after="0" w:line="159" w:lineRule="exact"/>
        <w:rPr>
          <w:rFonts w:ascii="Arial" w:cs="Arial" w:eastAsia="Arial" w:hAnsi="Arial"/>
          <w:sz w:val="12"/>
          <w:szCs w:val="12"/>
          <w:color w:val="auto"/>
        </w:rPr>
      </w:pPr>
    </w:p>
    <w:p>
      <w:pPr>
        <w:ind w:left="332" w:hanging="332"/>
        <w:spacing w:after="0" w:line="242" w:lineRule="auto"/>
        <w:tabs>
          <w:tab w:leader="none" w:pos="332"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(i) 15,632,239 shares of common stock owned directly or beneficially by our executive officers or members of our Board of Directors, and (ii) 1,326,670 shares of common stock underlying outstanding stock options exercisable within 60 days of April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1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since January 1, 2018.</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entered into an amended and restated investors’ rights agreement in April 2014, which was further amended in July 2014, August 2015 and June 2016 with our former director, Omid Farokhzad, the holders of our preferred stock, including entities in which certain other of our directors or former directors are related, and certain other stockholders. The agreement provides for certain rights relating to the registration of such holders’ common stock, including shares issuable upon conversion of preferred stock, and a right of first refusal to purchase future securities sold by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CONSULTING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December 2008, we entered into a consulting agreement with our former director Omid Farokhzad, M.D., as amended in January 2012, which provides for an annual payment of $75,000 to Dr. Farokhzad.</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consulting agreement with Dr. Farokhzad provides that we may terminate the agreement at any time, but must deposit with an escrow agent the consulting fees for the prior 90 days which would then be payable to Dr. Farokhzad post-termination. The agreement may also be terminated without penalty by both parties upon mutual consent or by Dr. Farokhzad with 30 days’ prior written notice. The agreement contains provisions regarding intellectual property assignment, confidentiality, noncompetition and nonsolicitation.</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May 2018, the Company entered into a second consulting agreement with Dr. Farokhzad for a term beginning on April 1, 2018 and ending on March 31, 2019. Under the second consulting agreement, in exchange for his services, Dr. Farokhzad received an option to purchase 95,000 shares of our common stock, which vested as to one-third of the shares subject to the option on May 30, 2019 and as to the remaining shares in 24 equal monthly installments thereafter, subject to his continued service as a director. Such consulting agreement was further amended in December 2018 to extend the term until December 31, 2019. Under the amendment, Dr. Farokhzad was entitled to receive an annual fee of $85,000 for his service in 2019 and received an option to purchase an additional 75,000</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0" w:right="399" w:bottom="1440" w:gutter="0" w:footer="0" w:header="0"/>
        </w:sectPr>
      </w:pPr>
    </w:p>
    <w:bookmarkStart w:id="40" w:name="page41"/>
    <w:bookmarkEnd w:id="40"/>
    <w:p>
      <w:pPr>
        <w:ind w:right="60"/>
        <w:spacing w:after="0" w:line="254" w:lineRule="auto"/>
        <w:rPr>
          <w:sz w:val="20"/>
          <w:szCs w:val="20"/>
          <w:color w:val="auto"/>
        </w:rPr>
      </w:pPr>
      <w:r>
        <w:rPr>
          <w:rFonts w:ascii="Arial" w:cs="Arial" w:eastAsia="Arial" w:hAnsi="Arial"/>
          <w:sz w:val="18"/>
          <w:szCs w:val="18"/>
          <w:color w:val="auto"/>
        </w:rPr>
        <w:t>shares of our common stock, which vested as to one-third of the shares subject to the option on November 30, 2019 and as to the remaining shares in 18 month installments thereafter, subject to his continued service as a director and further subject to the same accelerated vesting provisions as his prior option. For more information, see the section in this Proxy Statement entitled Executive and Director Compensation-Director Compensation.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the section in this proxy statement entitled “Executive and Director Compensation-Employment Agreements.”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 FOLLOW-ON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5"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 January 2019, we completed a registered public offering pursuant to which we issued and sold an aggregate of 22,188,706 shares of our common stock (including 2,188,706 shares sold pursuant to the underwriters’ full exercise of their option to purchase additional shares) at a public offering price of $1.50 for aggregate gross proceeds to us of approximately $33.3 million. The following table sets forth the number of shares of common stock purchased in our registered public offering by directors (and related parties thereto) and holders of more than 5% of our common stock:</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540" w:type="dxa"/>
            <w:vAlign w:val="bottom"/>
          </w:tcPr>
          <w:p>
            <w:pPr>
              <w:jc w:val="right"/>
              <w:ind w:right="8"/>
              <w:spacing w:after="0"/>
              <w:rPr>
                <w:sz w:val="20"/>
                <w:szCs w:val="20"/>
                <w:color w:val="auto"/>
              </w:rPr>
            </w:pPr>
            <w:r>
              <w:rPr>
                <w:rFonts w:ascii="Arial" w:cs="Arial" w:eastAsia="Arial" w:hAnsi="Arial"/>
                <w:sz w:val="14"/>
                <w:szCs w:val="14"/>
                <w:b w:val="1"/>
                <w:bCs w:val="1"/>
                <w:color w:val="auto"/>
              </w:rPr>
              <w:t>Shares of Common Stock</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6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540" w:type="dxa"/>
            <w:vAlign w:val="bottom"/>
          </w:tcPr>
          <w:p>
            <w:pPr>
              <w:jc w:val="right"/>
              <w:ind w:right="508"/>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7"/>
                <w:szCs w:val="17"/>
                <w:color w:val="auto"/>
              </w:rPr>
            </w:pPr>
          </w:p>
        </w:tc>
        <w:tc>
          <w:tcPr>
            <w:tcW w:w="164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 Purchase Price</w:t>
            </w:r>
          </w:p>
        </w:tc>
      </w:tr>
      <w:tr>
        <w:trPr>
          <w:trHeight w:val="256"/>
        </w:trPr>
        <w:tc>
          <w:tcPr>
            <w:tcW w:w="40" w:type="dxa"/>
            <w:vAlign w:val="bottom"/>
            <w:shd w:val="clear" w:color="auto" w:fill="CCEEFF"/>
          </w:tcPr>
          <w:p>
            <w:pPr>
              <w:spacing w:after="0"/>
              <w:rPr>
                <w:sz w:val="22"/>
                <w:szCs w:val="22"/>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 xml:space="preserve">Greater than 5% Stockholders </w:t>
            </w:r>
            <w:r>
              <w:rPr>
                <w:rFonts w:ascii="Arial" w:cs="Arial" w:eastAsia="Arial" w:hAnsi="Arial"/>
                <w:sz w:val="17"/>
                <w:szCs w:val="17"/>
                <w:color w:val="auto"/>
                <w:vertAlign w:val="superscript"/>
              </w:rPr>
              <w:t>(1)</w:t>
            </w:r>
          </w:p>
        </w:tc>
        <w:tc>
          <w:tcPr>
            <w:tcW w:w="2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Timothy A. Springer, Ph.D.</w:t>
            </w:r>
          </w:p>
        </w:tc>
        <w:tc>
          <w:tcPr>
            <w:tcW w:w="4740" w:type="dxa"/>
            <w:vAlign w:val="bottom"/>
            <w:tcBorders>
              <w:top w:val="single" w:sz="8" w:color="CCEEFF"/>
            </w:tcBorders>
          </w:tcPr>
          <w:p>
            <w:pPr>
              <w:spacing w:after="0"/>
              <w:rPr>
                <w:sz w:val="22"/>
                <w:szCs w:val="22"/>
                <w:color w:val="auto"/>
              </w:rPr>
            </w:pPr>
          </w:p>
        </w:tc>
        <w:tc>
          <w:tcPr>
            <w:tcW w:w="2540" w:type="dxa"/>
            <w:vAlign w:val="bottom"/>
            <w:tcBorders>
              <w:top w:val="single" w:sz="8" w:color="CCEEFF"/>
            </w:tcBorders>
          </w:tcPr>
          <w:p>
            <w:pPr>
              <w:jc w:val="right"/>
              <w:ind w:right="108"/>
              <w:spacing w:after="0"/>
              <w:rPr>
                <w:sz w:val="20"/>
                <w:szCs w:val="20"/>
                <w:color w:val="auto"/>
              </w:rPr>
            </w:pPr>
            <w:r>
              <w:rPr>
                <w:rFonts w:ascii="Arial" w:cs="Arial" w:eastAsia="Arial" w:hAnsi="Arial"/>
                <w:sz w:val="14"/>
                <w:szCs w:val="14"/>
                <w:color w:val="auto"/>
              </w:rPr>
              <w:t>4,000,000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6,000,000</w:t>
            </w:r>
          </w:p>
        </w:tc>
      </w:tr>
      <w:tr>
        <w:trPr>
          <w:trHeight w:val="276"/>
        </w:trPr>
        <w:tc>
          <w:tcPr>
            <w:tcW w:w="40" w:type="dxa"/>
            <w:vAlign w:val="bottom"/>
            <w:shd w:val="clear" w:color="auto" w:fill="CCEEFF"/>
          </w:tcPr>
          <w:p>
            <w:pPr>
              <w:spacing w:after="0"/>
              <w:rPr>
                <w:sz w:val="24"/>
                <w:szCs w:val="24"/>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Entities affiliated with NanoDimension</w:t>
            </w:r>
          </w:p>
        </w:tc>
        <w:tc>
          <w:tcPr>
            <w:tcW w:w="2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1,666,666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2,499,999</w:t>
            </w:r>
          </w:p>
        </w:tc>
      </w:tr>
      <w:tr>
        <w:trPr>
          <w:trHeight w:val="264"/>
        </w:trPr>
        <w:tc>
          <w:tcPr>
            <w:tcW w:w="40" w:type="dxa"/>
            <w:vAlign w:val="bottom"/>
          </w:tcPr>
          <w:p>
            <w:pPr>
              <w:spacing w:after="0"/>
              <w:rPr>
                <w:sz w:val="22"/>
                <w:szCs w:val="22"/>
                <w:color w:val="auto"/>
              </w:rPr>
            </w:pPr>
          </w:p>
        </w:tc>
        <w:tc>
          <w:tcPr>
            <w:tcW w:w="6820" w:type="dxa"/>
            <w:vAlign w:val="bottom"/>
            <w:gridSpan w:val="3"/>
          </w:tcPr>
          <w:p>
            <w:pPr>
              <w:spacing w:after="0"/>
              <w:rPr>
                <w:sz w:val="20"/>
                <w:szCs w:val="20"/>
                <w:color w:val="auto"/>
              </w:rPr>
            </w:pPr>
            <w:r>
              <w:rPr>
                <w:rFonts w:ascii="Arial" w:cs="Arial" w:eastAsia="Arial" w:hAnsi="Arial"/>
                <w:sz w:val="14"/>
                <w:szCs w:val="14"/>
                <w:color w:val="auto"/>
              </w:rPr>
              <w:t>Entities affiliated with OrbiMed Advisors (former 5% stockholder)</w:t>
            </w:r>
          </w:p>
        </w:tc>
        <w:tc>
          <w:tcPr>
            <w:tcW w:w="2540" w:type="dxa"/>
            <w:vAlign w:val="bottom"/>
          </w:tcPr>
          <w:p>
            <w:pPr>
              <w:jc w:val="right"/>
              <w:ind w:right="108"/>
              <w:spacing w:after="0"/>
              <w:rPr>
                <w:sz w:val="20"/>
                <w:szCs w:val="20"/>
                <w:color w:val="auto"/>
              </w:rPr>
            </w:pPr>
            <w:r>
              <w:rPr>
                <w:rFonts w:ascii="Arial" w:cs="Arial" w:eastAsia="Arial" w:hAnsi="Arial"/>
                <w:sz w:val="14"/>
                <w:szCs w:val="14"/>
                <w:color w:val="auto"/>
              </w:rPr>
              <w:t>1,333,333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2,000,000</w:t>
            </w:r>
          </w:p>
        </w:tc>
      </w:tr>
      <w:tr>
        <w:trPr>
          <w:trHeight w:val="276"/>
        </w:trPr>
        <w:tc>
          <w:tcPr>
            <w:tcW w:w="40" w:type="dxa"/>
            <w:vAlign w:val="bottom"/>
            <w:shd w:val="clear" w:color="auto" w:fill="CCEEFF"/>
          </w:tcPr>
          <w:p>
            <w:pPr>
              <w:spacing w:after="0"/>
              <w:rPr>
                <w:sz w:val="24"/>
                <w:szCs w:val="24"/>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Entities affiliated with Polaris (former 5% stockholder)</w:t>
            </w:r>
          </w:p>
        </w:tc>
        <w:tc>
          <w:tcPr>
            <w:tcW w:w="2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666,666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999,999</w:t>
            </w:r>
          </w:p>
        </w:tc>
      </w:tr>
      <w:tr>
        <w:trPr>
          <w:trHeight w:val="230"/>
        </w:trPr>
        <w:tc>
          <w:tcPr>
            <w:tcW w:w="4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Directors and Affiliates</w:t>
            </w: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SAF-BND Trust (affiliated of Omid Farokhzad, M.D., a former member of our Board of Directors)</w:t>
            </w:r>
          </w:p>
        </w:tc>
        <w:tc>
          <w:tcPr>
            <w:tcW w:w="2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83,333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125,000</w:t>
            </w:r>
          </w:p>
        </w:tc>
      </w:tr>
      <w:tr>
        <w:trPr>
          <w:trHeight w:val="264"/>
        </w:trPr>
        <w:tc>
          <w:tcPr>
            <w:tcW w:w="40" w:type="dxa"/>
            <w:vAlign w:val="bottom"/>
          </w:tcPr>
          <w:p>
            <w:pPr>
              <w:spacing w:after="0"/>
              <w:rPr>
                <w:sz w:val="22"/>
                <w:szCs w:val="22"/>
                <w:color w:val="auto"/>
              </w:rPr>
            </w:pPr>
          </w:p>
        </w:tc>
        <w:tc>
          <w:tcPr>
            <w:tcW w:w="6820" w:type="dxa"/>
            <w:vAlign w:val="bottom"/>
            <w:gridSpan w:val="3"/>
          </w:tcPr>
          <w:p>
            <w:pPr>
              <w:spacing w:after="0"/>
              <w:rPr>
                <w:sz w:val="20"/>
                <w:szCs w:val="20"/>
                <w:color w:val="auto"/>
              </w:rPr>
            </w:pPr>
            <w:r>
              <w:rPr>
                <w:rFonts w:ascii="Arial" w:cs="Arial" w:eastAsia="Arial" w:hAnsi="Arial"/>
                <w:sz w:val="14"/>
                <w:szCs w:val="14"/>
                <w:color w:val="auto"/>
              </w:rPr>
              <w:t>Chafen Lu (Timothy Springer’s wife)</w:t>
            </w:r>
          </w:p>
        </w:tc>
        <w:tc>
          <w:tcPr>
            <w:tcW w:w="2540" w:type="dxa"/>
            <w:vAlign w:val="bottom"/>
          </w:tcPr>
          <w:p>
            <w:pPr>
              <w:jc w:val="right"/>
              <w:ind w:right="108"/>
              <w:spacing w:after="0"/>
              <w:rPr>
                <w:sz w:val="20"/>
                <w:szCs w:val="20"/>
                <w:color w:val="auto"/>
              </w:rPr>
            </w:pPr>
            <w:r>
              <w:rPr>
                <w:rFonts w:ascii="Arial" w:cs="Arial" w:eastAsia="Arial" w:hAnsi="Arial"/>
                <w:sz w:val="14"/>
                <w:szCs w:val="14"/>
                <w:color w:val="auto"/>
              </w:rPr>
              <w:t>66,666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99,999</w:t>
            </w:r>
          </w:p>
        </w:tc>
      </w:tr>
      <w:tr>
        <w:trPr>
          <w:trHeight w:val="276"/>
        </w:trPr>
        <w:tc>
          <w:tcPr>
            <w:tcW w:w="40" w:type="dxa"/>
            <w:vAlign w:val="bottom"/>
            <w:shd w:val="clear" w:color="auto" w:fill="CCEEFF"/>
          </w:tcPr>
          <w:p>
            <w:pPr>
              <w:spacing w:after="0"/>
              <w:rPr>
                <w:sz w:val="24"/>
                <w:szCs w:val="24"/>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Jed Springer (Timothy Springer’s brother)</w:t>
            </w:r>
          </w:p>
        </w:tc>
        <w:tc>
          <w:tcPr>
            <w:tcW w:w="2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r>
    </w:tbl>
    <w:p>
      <w:pPr>
        <w:spacing w:after="0" w:line="215" w:lineRule="exact"/>
        <w:rPr>
          <w:sz w:val="20"/>
          <w:szCs w:val="20"/>
          <w:color w:val="auto"/>
        </w:rPr>
      </w:pPr>
    </w:p>
    <w:p>
      <w:pPr>
        <w:ind w:left="420" w:right="180" w:hanging="412"/>
        <w:spacing w:after="0" w:line="280" w:lineRule="auto"/>
        <w:tabs>
          <w:tab w:leader="none" w:pos="4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Additional details regarding certain of these stockholders and their equity holdings are provided in this proxy statement under the caption "Security Ownership of Certain Beneficial Owners and Management."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AUGUST 2019 PRIVATE PLACEMENT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2019, we completed a private placement offering pursuant to which we issued and sold an aggregate of 3,178,174 shares of our common stock at a purchase price of $1.81, which was equal to the most recent consolidated closing bid price on the Nasdaq Global Market on August 19, 2019, for aggregate gross proceeds to us of approximately $5.75 million. The following table sets forth the number of shares of common stock purchased in our private placement offering by executive officers, directors and related parties thereto: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 of common</w:t>
            </w:r>
          </w:p>
        </w:tc>
        <w:tc>
          <w:tcPr>
            <w:tcW w:w="240" w:type="dxa"/>
            <w:vAlign w:val="bottom"/>
          </w:tcPr>
          <w:p>
            <w:pPr>
              <w:spacing w:after="0"/>
              <w:rPr>
                <w:sz w:val="14"/>
                <w:szCs w:val="14"/>
                <w:color w:val="auto"/>
              </w:rPr>
            </w:pPr>
          </w:p>
        </w:tc>
        <w:tc>
          <w:tcPr>
            <w:tcW w:w="1540" w:type="dxa"/>
            <w:vAlign w:val="bottom"/>
          </w:tcPr>
          <w:p>
            <w:pPr>
              <w:jc w:val="right"/>
              <w:ind w:right="668"/>
              <w:spacing w:after="0"/>
              <w:rPr>
                <w:sz w:val="20"/>
                <w:szCs w:val="20"/>
                <w:color w:val="auto"/>
              </w:rPr>
            </w:pPr>
            <w:r>
              <w:rPr>
                <w:rFonts w:ascii="Arial" w:cs="Arial" w:eastAsia="Arial" w:hAnsi="Arial"/>
                <w:sz w:val="14"/>
                <w:szCs w:val="14"/>
                <w:b w:val="1"/>
                <w:bCs w:val="1"/>
                <w:color w:val="auto"/>
              </w:rPr>
              <w:t>Total</w:t>
            </w:r>
          </w:p>
        </w:tc>
      </w:tr>
      <w:tr>
        <w:trPr>
          <w:trHeight w:val="196"/>
        </w:trPr>
        <w:tc>
          <w:tcPr>
            <w:tcW w:w="40" w:type="dxa"/>
            <w:vAlign w:val="bottom"/>
          </w:tcPr>
          <w:p>
            <w:pPr>
              <w:spacing w:after="0"/>
              <w:rPr>
                <w:sz w:val="17"/>
                <w:szCs w:val="17"/>
                <w:color w:val="auto"/>
              </w:rPr>
            </w:pPr>
          </w:p>
        </w:tc>
        <w:tc>
          <w:tcPr>
            <w:tcW w:w="7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 purchased</w:t>
            </w:r>
          </w:p>
        </w:tc>
        <w:tc>
          <w:tcPr>
            <w:tcW w:w="240" w:type="dxa"/>
            <w:vAlign w:val="bottom"/>
          </w:tcPr>
          <w:p>
            <w:pPr>
              <w:spacing w:after="0"/>
              <w:rPr>
                <w:sz w:val="17"/>
                <w:szCs w:val="17"/>
                <w:color w:val="auto"/>
              </w:rPr>
            </w:pPr>
          </w:p>
        </w:tc>
        <w:tc>
          <w:tcPr>
            <w:tcW w:w="1540" w:type="dxa"/>
            <w:vAlign w:val="bottom"/>
          </w:tcPr>
          <w:p>
            <w:pPr>
              <w:jc w:val="right"/>
              <w:ind w:right="308"/>
              <w:spacing w:after="0"/>
              <w:rPr>
                <w:sz w:val="20"/>
                <w:szCs w:val="20"/>
                <w:color w:val="auto"/>
              </w:rPr>
            </w:pPr>
            <w:r>
              <w:rPr>
                <w:rFonts w:ascii="Arial" w:cs="Arial" w:eastAsia="Arial" w:hAnsi="Arial"/>
                <w:sz w:val="14"/>
                <w:szCs w:val="14"/>
                <w:b w:val="1"/>
                <w:bCs w:val="1"/>
                <w:color w:val="auto"/>
              </w:rPr>
              <w:t>purchase price</w:t>
            </w:r>
          </w:p>
        </w:tc>
      </w:tr>
      <w:tr>
        <w:trPr>
          <w:trHeight w:val="229"/>
        </w:trPr>
        <w:tc>
          <w:tcPr>
            <w:tcW w:w="40" w:type="dxa"/>
            <w:vAlign w:val="bottom"/>
          </w:tcPr>
          <w:p>
            <w:pPr>
              <w:spacing w:after="0"/>
              <w:rPr>
                <w:sz w:val="19"/>
                <w:szCs w:val="19"/>
                <w:color w:val="auto"/>
              </w:rPr>
            </w:pPr>
          </w:p>
        </w:tc>
        <w:tc>
          <w:tcPr>
            <w:tcW w:w="7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xml:space="preserve">Greater than 5% Stockholders </w:t>
            </w:r>
            <w:r>
              <w:rPr>
                <w:rFonts w:ascii="Arial" w:cs="Arial" w:eastAsia="Arial" w:hAnsi="Arial"/>
                <w:sz w:val="17"/>
                <w:szCs w:val="17"/>
                <w:color w:val="auto"/>
                <w:vertAlign w:val="superscript"/>
              </w:rPr>
              <w:t>(1)</w:t>
            </w: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TAS Partners, LLC (affiliate of Timothy A. Springer, Ph.D.)</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1,991,000</w:t>
            </w:r>
          </w:p>
        </w:tc>
      </w:tr>
      <w:tr>
        <w:trPr>
          <w:trHeight w:val="229"/>
        </w:trPr>
        <w:tc>
          <w:tcPr>
            <w:tcW w:w="40" w:type="dxa"/>
            <w:vAlign w:val="bottom"/>
          </w:tcPr>
          <w:p>
            <w:pPr>
              <w:spacing w:after="0"/>
              <w:rPr>
                <w:sz w:val="19"/>
                <w:szCs w:val="19"/>
                <w:color w:val="auto"/>
              </w:rPr>
            </w:pPr>
          </w:p>
        </w:tc>
        <w:tc>
          <w:tcPr>
            <w:tcW w:w="7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Executive Officers, Directors and Affiliates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Timothy A. Springer, Ph.D.</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2,896,000</w:t>
            </w:r>
          </w:p>
        </w:tc>
      </w:tr>
      <w:tr>
        <w:trPr>
          <w:trHeight w:val="264"/>
        </w:trPr>
        <w:tc>
          <w:tcPr>
            <w:tcW w:w="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14"/>
                <w:szCs w:val="14"/>
                <w:color w:val="auto"/>
              </w:rPr>
              <w:t>Elona Kogan, J.D.</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82,872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149,998</w:t>
            </w:r>
          </w:p>
        </w:tc>
      </w:tr>
      <w:tr>
        <w:trPr>
          <w:trHeight w:val="276"/>
        </w:trPr>
        <w:tc>
          <w:tcPr>
            <w:tcW w:w="40" w:type="dxa"/>
            <w:vAlign w:val="bottom"/>
            <w:shd w:val="clear" w:color="auto" w:fill="CCEEFF"/>
          </w:tcPr>
          <w:p>
            <w:pPr>
              <w:spacing w:after="0"/>
              <w:rPr>
                <w:sz w:val="24"/>
                <w:szCs w:val="24"/>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Patrick Zenner</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99,999</w:t>
            </w:r>
          </w:p>
        </w:tc>
      </w:tr>
      <w:tr>
        <w:trPr>
          <w:trHeight w:val="264"/>
        </w:trPr>
        <w:tc>
          <w:tcPr>
            <w:tcW w:w="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14"/>
                <w:szCs w:val="14"/>
                <w:color w:val="auto"/>
              </w:rPr>
              <w:t>Takashi Kei Kishimoto, Ph.D.</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90,500</w:t>
            </w:r>
          </w:p>
        </w:tc>
      </w:tr>
      <w:tr>
        <w:trPr>
          <w:trHeight w:val="276"/>
        </w:trPr>
        <w:tc>
          <w:tcPr>
            <w:tcW w:w="40" w:type="dxa"/>
            <w:vAlign w:val="bottom"/>
            <w:shd w:val="clear" w:color="auto" w:fill="CCEEFF"/>
          </w:tcPr>
          <w:p>
            <w:pPr>
              <w:spacing w:after="0"/>
              <w:rPr>
                <w:sz w:val="24"/>
                <w:szCs w:val="24"/>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Carsten Brunn, Ph.D.</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74,999</w:t>
            </w:r>
          </w:p>
        </w:tc>
      </w:tr>
      <w:tr>
        <w:trPr>
          <w:trHeight w:val="264"/>
        </w:trPr>
        <w:tc>
          <w:tcPr>
            <w:tcW w:w="4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Arial" w:cs="Arial" w:eastAsia="Arial" w:hAnsi="Arial"/>
                <w:sz w:val="14"/>
                <w:szCs w:val="14"/>
                <w:color w:val="auto"/>
              </w:rPr>
              <w:t>Scott D. Myers</w:t>
            </w:r>
          </w:p>
        </w:tc>
        <w:tc>
          <w:tcPr>
            <w:tcW w:w="1800" w:type="dxa"/>
            <w:vAlign w:val="bottom"/>
          </w:tcPr>
          <w:p>
            <w:pPr>
              <w:jc w:val="right"/>
              <w:ind w:right="48"/>
              <w:spacing w:after="0"/>
              <w:rPr>
                <w:sz w:val="20"/>
                <w:szCs w:val="20"/>
                <w:color w:val="auto"/>
              </w:rPr>
            </w:pPr>
            <w:r>
              <w:rPr>
                <w:rFonts w:ascii="Arial" w:cs="Arial" w:eastAsia="Arial" w:hAnsi="Arial"/>
                <w:sz w:val="14"/>
                <w:szCs w:val="14"/>
                <w:color w:val="auto"/>
              </w:rPr>
              <w:t>41,436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74,999</w:t>
            </w:r>
          </w:p>
        </w:tc>
      </w:tr>
      <w:tr>
        <w:trPr>
          <w:trHeight w:val="276"/>
        </w:trPr>
        <w:tc>
          <w:tcPr>
            <w:tcW w:w="40" w:type="dxa"/>
            <w:vAlign w:val="bottom"/>
            <w:shd w:val="clear" w:color="auto" w:fill="CCEEFF"/>
          </w:tcPr>
          <w:p>
            <w:pPr>
              <w:spacing w:after="0"/>
              <w:rPr>
                <w:sz w:val="24"/>
                <w:szCs w:val="24"/>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Stephen Smolinski</w:t>
            </w: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bl>
    <w:p>
      <w:pPr>
        <w:spacing w:after="0" w:line="161" w:lineRule="exact"/>
        <w:rPr>
          <w:sz w:val="20"/>
          <w:szCs w:val="20"/>
          <w:color w:val="auto"/>
        </w:rPr>
      </w:pPr>
    </w:p>
    <w:p>
      <w:pPr>
        <w:ind w:left="420" w:right="180" w:hanging="412"/>
        <w:spacing w:after="0" w:line="280" w:lineRule="auto"/>
        <w:tabs>
          <w:tab w:leader="none" w:pos="4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Additional details regarding certain of these stockholders and their equity holdings are provided in this proxy statement under the caption "Security Ownership of Certain Beneficial Owners and Management."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DECEMBER 2019 PRIVATE PLACEMENT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980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2019, we completed a private placement offering pursuant to which we issued and sold (i) an aggregate of 37,634,883 shares of its common stock at a purchase price equal to $ 1.46 per share, which was equal to the most recent consolidated closing bid price on the Nasdaq Global Market on December 18, 2019, (ii) warrants to purchase an aggregate of 22,988,501 shares of Common Stock (the “Common Warrants”), at a purchase price equal to at $0.125 per share underlying each Common Warrant, and (iii) pre-funded warrants to purchase an aggregate of 8,342,128 shares of Common Stock (the “Pre-Funded Warrants"), at a purchase price equal to at $1.46 per share underlying each Pre-Funded Warrant, for aggregate gross proceeds of approximately $70.0 million. The following table sets forth the number of shares of common stock purchased in our registered public offering by directors (and related parties thereto) and holders of more than 5% of our common stock:</w:t>
      </w:r>
    </w:p>
    <w:p>
      <w:pPr>
        <w:spacing w:after="0" w:line="30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Pre-funded</w:t>
            </w:r>
          </w:p>
        </w:tc>
        <w:tc>
          <w:tcPr>
            <w:tcW w:w="14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8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Shares of common</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 warrants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rPr>
              <w:t>aggregate</w:t>
            </w:r>
          </w:p>
        </w:tc>
      </w:tr>
      <w:tr>
        <w:trPr>
          <w:trHeight w:val="196"/>
        </w:trPr>
        <w:tc>
          <w:tcPr>
            <w:tcW w:w="20" w:type="dxa"/>
            <w:vAlign w:val="bottom"/>
          </w:tcPr>
          <w:p>
            <w:pPr>
              <w:spacing w:after="0"/>
              <w:rPr>
                <w:sz w:val="17"/>
                <w:szCs w:val="17"/>
                <w:color w:val="auto"/>
              </w:rPr>
            </w:pPr>
          </w:p>
        </w:tc>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stock purchased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 be purchased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7"/>
                <w:szCs w:val="17"/>
                <w:color w:val="auto"/>
              </w:rPr>
            </w:pPr>
          </w:p>
        </w:tc>
        <w:tc>
          <w:tcPr>
            <w:tcW w:w="1200" w:type="dxa"/>
            <w:vAlign w:val="bottom"/>
          </w:tcPr>
          <w:p>
            <w:pPr>
              <w:jc w:val="center"/>
              <w:ind w:right="68"/>
              <w:spacing w:after="0"/>
              <w:rPr>
                <w:sz w:val="20"/>
                <w:szCs w:val="20"/>
                <w:color w:val="auto"/>
              </w:rPr>
            </w:pPr>
            <w:r>
              <w:rPr>
                <w:rFonts w:ascii="Arial" w:cs="Arial" w:eastAsia="Arial" w:hAnsi="Arial"/>
                <w:sz w:val="14"/>
                <w:szCs w:val="14"/>
                <w:b w:val="1"/>
                <w:bCs w:val="1"/>
                <w:color w:val="auto"/>
              </w:rPr>
              <w:t>purchase price</w:t>
            </w:r>
          </w:p>
        </w:tc>
      </w:tr>
      <w:tr>
        <w:trPr>
          <w:trHeight w:val="229"/>
        </w:trPr>
        <w:tc>
          <w:tcPr>
            <w:tcW w:w="20" w:type="dxa"/>
            <w:vAlign w:val="bottom"/>
            <w:tcBorders>
              <w:top w:val="single" w:sz="8" w:color="auto"/>
            </w:tcBorders>
          </w:tcPr>
          <w:p>
            <w:pPr>
              <w:spacing w:after="0"/>
              <w:rPr>
                <w:sz w:val="19"/>
                <w:szCs w:val="19"/>
                <w:color w:val="auto"/>
              </w:rPr>
            </w:pPr>
          </w:p>
        </w:tc>
        <w:tc>
          <w:tcPr>
            <w:tcW w:w="42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i w:val="1"/>
                <w:iCs w:val="1"/>
                <w:color w:val="auto"/>
              </w:rPr>
              <w:t xml:space="preserve">Greater than 5% Stockholders </w:t>
            </w:r>
            <w:r>
              <w:rPr>
                <w:rFonts w:ascii="Arial" w:cs="Arial" w:eastAsia="Arial" w:hAnsi="Arial"/>
                <w:sz w:val="17"/>
                <w:szCs w:val="17"/>
                <w:color w:val="auto"/>
                <w:vertAlign w:val="superscript"/>
              </w:rPr>
              <w:t>(1)</w:t>
            </w:r>
          </w:p>
        </w:tc>
        <w:tc>
          <w:tcPr>
            <w:tcW w:w="1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Entities affiliated with Vivo Capital</w:t>
            </w:r>
          </w:p>
        </w:tc>
        <w:tc>
          <w:tcPr>
            <w:tcW w:w="1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8,078,233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8,210,180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8,342,128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25,000,000</w:t>
            </w:r>
          </w:p>
        </w:tc>
      </w:tr>
      <w:tr>
        <w:trPr>
          <w:trHeight w:val="264"/>
        </w:trPr>
        <w:tc>
          <w:tcPr>
            <w:tcW w:w="20" w:type="dxa"/>
            <w:vAlign w:val="bottom"/>
          </w:tcPr>
          <w:p>
            <w:pPr>
              <w:spacing w:after="0"/>
              <w:rPr>
                <w:sz w:val="22"/>
                <w:szCs w:val="22"/>
                <w:color w:val="auto"/>
              </w:rPr>
            </w:pPr>
          </w:p>
        </w:tc>
        <w:tc>
          <w:tcPr>
            <w:tcW w:w="4240" w:type="dxa"/>
            <w:vAlign w:val="bottom"/>
            <w:gridSpan w:val="3"/>
          </w:tcPr>
          <w:p>
            <w:pPr>
              <w:spacing w:after="0"/>
              <w:rPr>
                <w:sz w:val="20"/>
                <w:szCs w:val="20"/>
                <w:color w:val="auto"/>
              </w:rPr>
            </w:pPr>
            <w:r>
              <w:rPr>
                <w:rFonts w:ascii="Arial" w:cs="Arial" w:eastAsia="Arial" w:hAnsi="Arial"/>
                <w:sz w:val="14"/>
                <w:szCs w:val="14"/>
                <w:color w:val="auto"/>
              </w:rPr>
              <w:t>Entities affiliated with Mangrove</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5,254,516</w:t>
            </w:r>
          </w:p>
        </w:tc>
        <w:tc>
          <w:tcPr>
            <w:tcW w:w="1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2,627,258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8,000,000</w:t>
            </w:r>
          </w:p>
        </w:tc>
      </w:tr>
      <w:tr>
        <w:trPr>
          <w:trHeight w:val="276"/>
        </w:trPr>
        <w:tc>
          <w:tcPr>
            <w:tcW w:w="20" w:type="dxa"/>
            <w:vAlign w:val="bottom"/>
            <w:shd w:val="clear" w:color="auto" w:fill="CCEEFF"/>
          </w:tcPr>
          <w:p>
            <w:pPr>
              <w:spacing w:after="0"/>
              <w:rPr>
                <w:sz w:val="24"/>
                <w:szCs w:val="24"/>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Entities affiliated with EcoR1 Capital, LLC</w:t>
            </w:r>
          </w:p>
        </w:tc>
        <w:tc>
          <w:tcPr>
            <w:tcW w:w="1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4,597,701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2,298,850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7,000,000</w:t>
            </w:r>
          </w:p>
        </w:tc>
      </w:tr>
      <w:tr>
        <w:trPr>
          <w:trHeight w:val="264"/>
        </w:trPr>
        <w:tc>
          <w:tcPr>
            <w:tcW w:w="20" w:type="dxa"/>
            <w:vAlign w:val="bottom"/>
          </w:tcPr>
          <w:p>
            <w:pPr>
              <w:spacing w:after="0"/>
              <w:rPr>
                <w:sz w:val="22"/>
                <w:szCs w:val="22"/>
                <w:color w:val="auto"/>
              </w:rPr>
            </w:pPr>
          </w:p>
        </w:tc>
        <w:tc>
          <w:tcPr>
            <w:tcW w:w="4240" w:type="dxa"/>
            <w:vAlign w:val="bottom"/>
            <w:gridSpan w:val="3"/>
          </w:tcPr>
          <w:p>
            <w:pPr>
              <w:spacing w:after="0"/>
              <w:rPr>
                <w:sz w:val="20"/>
                <w:szCs w:val="20"/>
                <w:color w:val="auto"/>
              </w:rPr>
            </w:pPr>
            <w:r>
              <w:rPr>
                <w:rFonts w:ascii="Arial" w:cs="Arial" w:eastAsia="Arial" w:hAnsi="Arial"/>
                <w:sz w:val="14"/>
                <w:szCs w:val="14"/>
                <w:color w:val="auto"/>
              </w:rPr>
              <w:t>TAS Partners, LLC (affiliate of Timothy A. Springer, Ph.D.)</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3,940,887</w:t>
            </w:r>
          </w:p>
        </w:tc>
        <w:tc>
          <w:tcPr>
            <w:tcW w:w="1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1,970,443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6,000,000</w:t>
            </w:r>
          </w:p>
        </w:tc>
      </w:tr>
      <w:tr>
        <w:trPr>
          <w:trHeight w:val="276"/>
        </w:trPr>
        <w:tc>
          <w:tcPr>
            <w:tcW w:w="20" w:type="dxa"/>
            <w:vAlign w:val="bottom"/>
            <w:shd w:val="clear" w:color="auto" w:fill="CCEEFF"/>
          </w:tcPr>
          <w:p>
            <w:pPr>
              <w:spacing w:after="0"/>
              <w:rPr>
                <w:sz w:val="24"/>
                <w:szCs w:val="24"/>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Entities affiliated with Boxer Capital</w:t>
            </w:r>
          </w:p>
        </w:tc>
        <w:tc>
          <w:tcPr>
            <w:tcW w:w="1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3,284,072</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1,642,036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5,000,000</w:t>
            </w:r>
          </w:p>
        </w:tc>
      </w:tr>
      <w:tr>
        <w:trPr>
          <w:trHeight w:val="264"/>
        </w:trPr>
        <w:tc>
          <w:tcPr>
            <w:tcW w:w="20" w:type="dxa"/>
            <w:vAlign w:val="bottom"/>
          </w:tcPr>
          <w:p>
            <w:pPr>
              <w:spacing w:after="0"/>
              <w:rPr>
                <w:sz w:val="22"/>
                <w:szCs w:val="22"/>
                <w:color w:val="auto"/>
              </w:rPr>
            </w:pPr>
          </w:p>
        </w:tc>
        <w:tc>
          <w:tcPr>
            <w:tcW w:w="4240" w:type="dxa"/>
            <w:vAlign w:val="bottom"/>
            <w:gridSpan w:val="3"/>
          </w:tcPr>
          <w:p>
            <w:pPr>
              <w:spacing w:after="0"/>
              <w:rPr>
                <w:sz w:val="20"/>
                <w:szCs w:val="20"/>
                <w:color w:val="auto"/>
              </w:rPr>
            </w:pPr>
            <w:r>
              <w:rPr>
                <w:rFonts w:ascii="Arial" w:cs="Arial" w:eastAsia="Arial" w:hAnsi="Arial"/>
                <w:sz w:val="14"/>
                <w:szCs w:val="14"/>
                <w:color w:val="auto"/>
              </w:rPr>
              <w:t>Entities affiliated with Biotechnology Value Fund, L.P.</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3,284,072</w:t>
            </w:r>
          </w:p>
        </w:tc>
        <w:tc>
          <w:tcPr>
            <w:tcW w:w="1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1,642,036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5,000,000</w:t>
            </w:r>
          </w:p>
        </w:tc>
      </w:tr>
      <w:tr>
        <w:trPr>
          <w:trHeight w:val="276"/>
        </w:trPr>
        <w:tc>
          <w:tcPr>
            <w:tcW w:w="20" w:type="dxa"/>
            <w:vAlign w:val="bottom"/>
            <w:shd w:val="clear" w:color="auto" w:fill="CCEEFF"/>
          </w:tcPr>
          <w:p>
            <w:pPr>
              <w:spacing w:after="0"/>
              <w:rPr>
                <w:sz w:val="24"/>
                <w:szCs w:val="24"/>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Entities affiliated with Wasatch</w:t>
            </w:r>
          </w:p>
        </w:tc>
        <w:tc>
          <w:tcPr>
            <w:tcW w:w="1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2,298,851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1,149,425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3,500,000</w:t>
            </w:r>
          </w:p>
        </w:tc>
      </w:tr>
      <w:tr>
        <w:trPr>
          <w:trHeight w:val="264"/>
        </w:trPr>
        <w:tc>
          <w:tcPr>
            <w:tcW w:w="20" w:type="dxa"/>
            <w:vAlign w:val="bottom"/>
          </w:tcPr>
          <w:p>
            <w:pPr>
              <w:spacing w:after="0"/>
              <w:rPr>
                <w:sz w:val="22"/>
                <w:szCs w:val="22"/>
                <w:color w:val="auto"/>
              </w:rPr>
            </w:pPr>
          </w:p>
        </w:tc>
        <w:tc>
          <w:tcPr>
            <w:tcW w:w="4240" w:type="dxa"/>
            <w:vAlign w:val="bottom"/>
            <w:gridSpan w:val="3"/>
          </w:tcPr>
          <w:p>
            <w:pPr>
              <w:spacing w:after="0"/>
              <w:rPr>
                <w:sz w:val="20"/>
                <w:szCs w:val="20"/>
                <w:color w:val="auto"/>
              </w:rPr>
            </w:pPr>
            <w:r>
              <w:rPr>
                <w:rFonts w:ascii="Arial" w:cs="Arial" w:eastAsia="Arial" w:hAnsi="Arial"/>
                <w:sz w:val="14"/>
                <w:szCs w:val="14"/>
                <w:color w:val="auto"/>
              </w:rPr>
              <w:t>Entities affiliated with NanoDimension</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1,313,629</w:t>
            </w:r>
          </w:p>
        </w:tc>
        <w:tc>
          <w:tcPr>
            <w:tcW w:w="1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656,814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2,000,000</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Directors and Affiliates</w:t>
            </w:r>
          </w:p>
        </w:tc>
        <w:tc>
          <w:tcPr>
            <w:tcW w:w="2660" w:type="dxa"/>
            <w:vAlign w:val="bottom"/>
            <w:tcBorders>
              <w:bottom w:val="single" w:sz="8" w:color="CCEEFF"/>
            </w:tcBorders>
            <w:gridSpan w:val="2"/>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240" w:type="dxa"/>
            <w:vAlign w:val="bottom"/>
            <w:gridSpan w:val="3"/>
          </w:tcPr>
          <w:p>
            <w:pPr>
              <w:spacing w:after="0"/>
              <w:rPr>
                <w:sz w:val="20"/>
                <w:szCs w:val="20"/>
                <w:color w:val="auto"/>
              </w:rPr>
            </w:pPr>
            <w:r>
              <w:rPr>
                <w:rFonts w:ascii="Arial" w:cs="Arial" w:eastAsia="Arial" w:hAnsi="Arial"/>
                <w:sz w:val="14"/>
                <w:szCs w:val="14"/>
                <w:color w:val="auto"/>
              </w:rPr>
              <w:t>Carrie S. Cox</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65,681</w:t>
            </w:r>
          </w:p>
        </w:tc>
        <w:tc>
          <w:tcPr>
            <w:tcW w:w="1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32,840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99,999</w:t>
            </w:r>
          </w:p>
        </w:tc>
      </w:tr>
      <w:tr>
        <w:trPr>
          <w:trHeight w:val="276"/>
        </w:trPr>
        <w:tc>
          <w:tcPr>
            <w:tcW w:w="20" w:type="dxa"/>
            <w:vAlign w:val="bottom"/>
            <w:shd w:val="clear" w:color="auto" w:fill="CCEEFF"/>
          </w:tcPr>
          <w:p>
            <w:pPr>
              <w:spacing w:after="0"/>
              <w:rPr>
                <w:sz w:val="24"/>
                <w:szCs w:val="24"/>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Timothy Barabe</w:t>
            </w:r>
          </w:p>
        </w:tc>
        <w:tc>
          <w:tcPr>
            <w:tcW w:w="1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65,681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32,840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99,999</w:t>
            </w:r>
          </w:p>
        </w:tc>
      </w:tr>
      <w:tr>
        <w:trPr>
          <w:trHeight w:val="258"/>
        </w:trPr>
        <w:tc>
          <w:tcPr>
            <w:tcW w:w="20" w:type="dxa"/>
            <w:vAlign w:val="bottom"/>
          </w:tcPr>
          <w:p>
            <w:pPr>
              <w:spacing w:after="0"/>
              <w:rPr>
                <w:sz w:val="22"/>
                <w:szCs w:val="22"/>
                <w:color w:val="auto"/>
              </w:rPr>
            </w:pPr>
          </w:p>
        </w:tc>
        <w:tc>
          <w:tcPr>
            <w:tcW w:w="4240" w:type="dxa"/>
            <w:vAlign w:val="bottom"/>
            <w:gridSpan w:val="3"/>
          </w:tcPr>
          <w:p>
            <w:pPr>
              <w:spacing w:after="0"/>
              <w:rPr>
                <w:sz w:val="20"/>
                <w:szCs w:val="20"/>
                <w:color w:val="auto"/>
              </w:rPr>
            </w:pPr>
            <w:r>
              <w:rPr>
                <w:rFonts w:ascii="Arial" w:cs="Arial" w:eastAsia="Arial" w:hAnsi="Arial"/>
                <w:sz w:val="14"/>
                <w:szCs w:val="14"/>
                <w:color w:val="auto"/>
              </w:rPr>
              <w:t>Scott D. Myers</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39,409</w:t>
            </w:r>
          </w:p>
        </w:tc>
        <w:tc>
          <w:tcPr>
            <w:tcW w:w="1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19,704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60,000</w:t>
            </w:r>
          </w:p>
        </w:tc>
      </w:tr>
    </w:tbl>
    <w:p>
      <w:pPr>
        <w:spacing w:after="0" w:line="173" w:lineRule="exact"/>
        <w:rPr>
          <w:sz w:val="20"/>
          <w:szCs w:val="20"/>
          <w:color w:val="auto"/>
        </w:rPr>
      </w:pPr>
    </w:p>
    <w:p>
      <w:pPr>
        <w:ind w:left="420" w:right="180" w:hanging="412"/>
        <w:spacing w:after="0" w:line="280" w:lineRule="auto"/>
        <w:tabs>
          <w:tab w:leader="none" w:pos="4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Additional details regarding certain of these stockholders and their equity holdings are provided in this proxy statement under the caption "Security Ownership of Certain Beneficial Owners and Management."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Requirements for Stockholder Proposals or Nominations to be Brought Before the Annual Meeting. </w:t>
      </w:r>
      <w:r>
        <w:rPr>
          <w:rFonts w:ascii="Arial" w:cs="Arial" w:eastAsia="Arial" w:hAnsi="Arial"/>
          <w:sz w:val="18"/>
          <w:szCs w:val="18"/>
          <w:color w:val="auto"/>
        </w:rPr>
        <w:t>Stockholders intending to 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at the 2021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2021 Annual Meeting of Stockholders no earlier than the close of business on February 19, 2021 and no later than the close of business on March 21, 2021. The notice must contain the information required by the Amended and Restated Bylaws, a copy of which is available upon request to our Secretary. In the event that the date of the 2021 Annual Meeting of Stockholders is more than 30 days before or more than 60 days after June 19, 2021, then our Secretary must receive such written notice not earlier than the close of business on the 120th day prior to the 2021 Annual Meeting and not later than the close of business on the 90th day prior to the 2021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2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Requirements for Stockholder Proposals to be Considered for Inclusion in the Company's Proxy Materials for the 2021 Annual Meeting </w:t>
      </w:r>
      <w:r>
        <w:rPr>
          <w:rFonts w:ascii="Arial" w:cs="Arial" w:eastAsia="Arial" w:hAnsi="Arial"/>
          <w:sz w:val="18"/>
          <w:szCs w:val="18"/>
          <w:color w:val="auto"/>
        </w:rPr>
        <w:t>.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who wishes to submit a proposal for inclusion in our proxy materials must comply with Rule 14a-8 promulgated under the Exchange Act. For such proposals to be included in our proxy materials for presentation at our 2021 Annual Meeting of Stockholders, all applicable requirements of Rule 14a-8 must be satisfied, and we must receive such proposals no later than December 29, 2020 at our offices at 65 Grove Street, Watertown, Massachusetts 02472, Attn: Secretary.</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2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09803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98030" cy="179705"/>
                    </a:xfrm>
                    <a:prstGeom prst="rect">
                      <a:avLst/>
                    </a:prstGeom>
                    <a:noFill/>
                  </pic:spPr>
                </pic:pic>
              </a:graphicData>
            </a:graphic>
          </wp:anchor>
        </w:drawing>
        <w:t>Selecta's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980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copy of Selecta’s Annual Report on Form 10-K for the fiscal year ended December 31, 2019 , including financial statements and schedules thereto but not including exhibits, as filed with the SEC, will be sent to any stockholder of record on April 23, 2020 without charge upon written request addressed to:</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Selecta Biosciences,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Watertown, MA 02472</w:t>
      </w:r>
    </w:p>
    <w:p>
      <w:pPr>
        <w:spacing w:after="0" w:line="38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A reasonable fee will be charged for copies of exhibits. You also may access this proxy statement and our Annual Report on Form 10-K at </w:t>
      </w:r>
      <w:r>
        <w:rPr>
          <w:rFonts w:ascii="Arial" w:cs="Arial" w:eastAsia="Arial" w:hAnsi="Arial"/>
          <w:sz w:val="17"/>
          <w:szCs w:val="17"/>
          <w:i w:val="1"/>
          <w:iCs w:val="1"/>
          <w:color w:val="auto"/>
        </w:rPr>
        <w:t xml:space="preserve">www.proxyvote.com </w:t>
      </w:r>
      <w:r>
        <w:rPr>
          <w:rFonts w:ascii="Arial" w:cs="Arial" w:eastAsia="Arial" w:hAnsi="Arial"/>
          <w:sz w:val="17"/>
          <w:szCs w:val="17"/>
          <w:color w:val="auto"/>
        </w:rPr>
        <w:t>. You also may access our Annual Report on Form 10-K for the year ended December 31, 2019 at</w:t>
      </w:r>
      <w:r>
        <w:rPr>
          <w:rFonts w:ascii="Arial" w:cs="Arial" w:eastAsia="Arial" w:hAnsi="Arial"/>
          <w:sz w:val="17"/>
          <w:szCs w:val="17"/>
          <w:i w:val="1"/>
          <w:iCs w:val="1"/>
          <w:color w:val="auto"/>
        </w:rPr>
        <w:t xml:space="preserve"> www.selectabio.com </w:t>
      </w:r>
      <w:r>
        <w:rPr>
          <w:rFonts w:ascii="Arial" w:cs="Arial" w:eastAsia="Arial" w:hAnsi="Arial"/>
          <w:sz w:val="17"/>
          <w:szCs w:val="17"/>
          <w:color w:val="auto"/>
        </w:rPr>
        <w:t>.</w:t>
      </w:r>
    </w:p>
    <w:p>
      <w:pPr>
        <w:spacing w:after="0" w:line="1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Elona Kogan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430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Elona Kogan J.D.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5846445" cy="74320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43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68580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5846445" cy="76123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61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x"/>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Ü"/>
      <w:numFmt w:val="bullet"/>
      <w:start w:val="1"/>
    </w:lvl>
  </w:abstractNum>
  <w:abstractNum w:abstractNumId="6">
    <w:nsid w:val="62BBD95A"/>
    <w:multiLevelType w:val="hybridMultilevel"/>
    <w:lvl w:ilvl="0">
      <w:lvlJc w:val="left"/>
      <w:lvlText w:val="1"/>
      <w:numFmt w:val="bullet"/>
      <w:start w:val="1"/>
    </w:lvl>
  </w:abstractNum>
  <w:abstractNum w:abstractNumId="7">
    <w:nsid w:val="436C6125"/>
    <w:multiLevelType w:val="hybridMultilevel"/>
    <w:lvl w:ilvl="0">
      <w:lvlJc w:val="left"/>
      <w:lvlText w:val="2"/>
      <w:numFmt w:val="bullet"/>
      <w:start w:val="1"/>
    </w:lvl>
  </w:abstractNum>
  <w:abstractNum w:abstractNumId="8">
    <w:nsid w:val="628C895D"/>
    <w:multiLevelType w:val="hybridMultilevel"/>
    <w:lvl w:ilvl="0">
      <w:lvlJc w:val="left"/>
      <w:lvlText w:val="3"/>
      <w:numFmt w:val="bullet"/>
      <w:start w:val="1"/>
    </w:lvl>
  </w:abstractNum>
  <w:abstractNum w:abstractNumId="9">
    <w:nsid w:val="333AB105"/>
    <w:multiLevelType w:val="hybridMultilevel"/>
    <w:lvl w:ilvl="0">
      <w:lvlJc w:val="left"/>
      <w:lvlText w:val="4"/>
      <w:numFmt w:val="bullet"/>
      <w:start w:val="1"/>
    </w:lvl>
  </w:abstractNum>
  <w:abstractNum w:abstractNumId="10">
    <w:nsid w:val="721DA317"/>
    <w:multiLevelType w:val="hybridMultilevel"/>
    <w:lvl w:ilvl="0">
      <w:lvlJc w:val="left"/>
      <w:lvlText w:val="5"/>
      <w:numFmt w:val="bullet"/>
      <w:start w:val="1"/>
    </w:lvl>
  </w:abstractNum>
  <w:abstractNum w:abstractNumId="11">
    <w:nsid w:val="2443A858"/>
    <w:multiLevelType w:val="hybridMultilevel"/>
    <w:lvl w:ilvl="0">
      <w:lvlJc w:val="left"/>
      <w:lvlText w:val="6"/>
      <w:numFmt w:val="bullet"/>
      <w:start w:val="1"/>
    </w:lvl>
  </w:abstractNum>
  <w:abstractNum w:abstractNumId="12">
    <w:nsid w:val="2D1D5AE9"/>
    <w:multiLevelType w:val="hybridMultilevel"/>
    <w:lvl w:ilvl="0">
      <w:lvlJc w:val="left"/>
      <w:lvlText w:val="&amp;"/>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8"/>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9"/>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2020-04-28T07:22:10Z</dcterms:created>
  <dcterms:modified xsi:type="dcterms:W3CDTF">2020-04-28T07:22:10Z</dcterms:modified>
</cp:coreProperties>
</file>