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13G/A</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3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Selecta Biosciences,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Common Stock, $0.0001 par value per share, including common shares obtainable upon exercise of Common Warrants </w:t>
      </w:r>
      <w:r>
        <w:rPr>
          <w:rFonts w:ascii="Times New Roman" w:cs="Times New Roman" w:eastAsia="Times New Roman" w:hAnsi="Times New Roman"/>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816212104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38" w:lineRule="exact"/>
        <w:rPr>
          <w:sz w:val="24"/>
          <w:szCs w:val="24"/>
          <w:color w:val="auto"/>
        </w:rPr>
      </w:pPr>
    </w:p>
    <w:p>
      <w:pPr>
        <w:ind w:left="660"/>
        <w:spacing w:after="0"/>
        <w:rPr>
          <w:sz w:val="20"/>
          <w:szCs w:val="20"/>
          <w:color w:val="auto"/>
        </w:rPr>
      </w:pPr>
      <w:r>
        <w:rPr>
          <w:rFonts w:ascii="Wingdings" w:cs="Wingdings" w:eastAsia="Wingdings" w:hAnsi="Wingdings"/>
          <w:sz w:val="22"/>
          <w:szCs w:val="22"/>
          <w:b w:val="1"/>
          <w:bCs w:val="1"/>
          <w:color w:val="auto"/>
        </w:rPr>
        <w:t xml:space="preserve">o </w:t>
      </w:r>
      <w:r>
        <w:rPr>
          <w:rFonts w:ascii="Times New Roman" w:cs="Times New Roman" w:eastAsia="Times New Roman" w:hAnsi="Times New Roman"/>
          <w:sz w:val="17"/>
          <w:szCs w:val="17"/>
          <w:color w:val="auto"/>
        </w:rPr>
        <w:t>Rule 13d-1(b)</w:t>
      </w:r>
    </w:p>
    <w:p>
      <w:pPr>
        <w:spacing w:after="0" w:line="26" w:lineRule="exact"/>
        <w:rPr>
          <w:sz w:val="24"/>
          <w:szCs w:val="24"/>
          <w:color w:val="auto"/>
        </w:rPr>
      </w:pPr>
    </w:p>
    <w:p>
      <w:pPr>
        <w:jc w:val="both"/>
        <w:ind w:left="660" w:right="9340" w:hanging="4"/>
        <w:spacing w:after="0" w:line="297" w:lineRule="auto"/>
        <w:tabs>
          <w:tab w:leader="none" w:pos="894"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color w:val="auto"/>
        </w:rPr>
        <w:t xml:space="preserve">Rule 13d-1(c) </w:t>
      </w:r>
      <w:r>
        <w:rPr>
          <w:rFonts w:ascii="Wingdings" w:cs="Wingdings" w:eastAsia="Wingdings" w:hAnsi="Wingdings"/>
          <w:sz w:val="19"/>
          <w:szCs w:val="19"/>
          <w:b w:val="1"/>
          <w:bCs w:val="1"/>
          <w:color w:val="auto"/>
        </w:rPr>
        <w:t xml:space="preserve">o </w:t>
      </w:r>
      <w:r>
        <w:rPr>
          <w:rFonts w:ascii="Times New Roman" w:cs="Times New Roman" w:eastAsia="Times New Roman" w:hAnsi="Times New Roman"/>
          <w:sz w:val="15"/>
          <w:szCs w:val="15"/>
          <w:color w:val="auto"/>
        </w:rPr>
        <w:t>Rule 13d-1(d)</w:t>
      </w:r>
    </w:p>
    <w:p>
      <w:pPr>
        <w:spacing w:after="0" w:line="392"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361315</wp:posOffset>
            </wp:positionV>
            <wp:extent cx="713613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816212104</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2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Mangrove Partners Master Fund, Ltd.</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x</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Cayman Islands</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9,387,677(1)</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9,387,677</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9,387,677</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5.97% (2)</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4,127,258 common shares obtainable upon exercise of Common Warrants.</w:t>
      </w:r>
    </w:p>
    <w:p>
      <w:pPr>
        <w:spacing w:after="0" w:line="27" w:lineRule="exact"/>
        <w:rPr>
          <w:rFonts w:ascii="Times New Roman" w:cs="Times New Roman" w:eastAsia="Times New Roman" w:hAnsi="Times New Roman"/>
          <w:sz w:val="18"/>
          <w:szCs w:val="18"/>
          <w:color w:val="auto"/>
        </w:rPr>
      </w:pPr>
    </w:p>
    <w:p>
      <w:pPr>
        <w:ind w:right="20" w:firstLine="8"/>
        <w:spacing w:after="0" w:line="260" w:lineRule="auto"/>
        <w:tabs>
          <w:tab w:leader="none" w:pos="26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on the sum of (i) 153,031,097 Shares outstanding as of November 3, 2022, based on information provided by the Issuer and (ii) 4,127,258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175895</wp:posOffset>
            </wp:positionV>
            <wp:extent cx="7136130"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440" w:type="dxa"/>
            <w:vAlign w:val="bottom"/>
            <w:tcBorders>
              <w:top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816212104</w:t>
            </w:r>
          </w:p>
        </w:tc>
        <w:tc>
          <w:tcPr>
            <w:tcW w:w="6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3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gridSpan w:val="2"/>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5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Mangrove Partners</w:t>
            </w: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x</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5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Cayman Islands</w:t>
            </w: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200" w:type="dxa"/>
            <w:vAlign w:val="bottom"/>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200" w:type="dxa"/>
            <w:vAlign w:val="bottom"/>
          </w:tcPr>
          <w:p>
            <w:pPr>
              <w:spacing w:after="0"/>
              <w:rPr>
                <w:sz w:val="18"/>
                <w:szCs w:val="18"/>
                <w:color w:val="auto"/>
              </w:rPr>
            </w:pPr>
          </w:p>
        </w:tc>
        <w:tc>
          <w:tcPr>
            <w:tcW w:w="6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200" w:type="dxa"/>
            <w:vAlign w:val="bottom"/>
          </w:tcPr>
          <w:p>
            <w:pPr>
              <w:spacing w:after="0"/>
              <w:rPr>
                <w:sz w:val="18"/>
                <w:szCs w:val="18"/>
                <w:color w:val="auto"/>
              </w:rPr>
            </w:pPr>
          </w:p>
        </w:tc>
        <w:tc>
          <w:tcPr>
            <w:tcW w:w="6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9,387,677(1)(3)</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200" w:type="dxa"/>
            <w:vAlign w:val="bottom"/>
          </w:tcPr>
          <w:p>
            <w:pPr>
              <w:spacing w:after="0"/>
              <w:rPr>
                <w:sz w:val="17"/>
                <w:szCs w:val="17"/>
                <w:color w:val="auto"/>
              </w:rPr>
            </w:pPr>
          </w:p>
        </w:tc>
        <w:tc>
          <w:tcPr>
            <w:tcW w:w="6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200" w:type="dxa"/>
            <w:vAlign w:val="bottom"/>
          </w:tcPr>
          <w:p>
            <w:pPr>
              <w:spacing w:after="0"/>
              <w:rPr>
                <w:sz w:val="18"/>
                <w:szCs w:val="18"/>
                <w:color w:val="auto"/>
              </w:rPr>
            </w:pPr>
          </w:p>
        </w:tc>
        <w:tc>
          <w:tcPr>
            <w:tcW w:w="6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20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9,387,677</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gridSpan w:val="2"/>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9,387,677</w:t>
            </w: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5"/>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5"/>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5.97% (2)</w:t>
            </w: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5"/>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5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4,127,258 common shares obtainable upon exercise of Common Warrants</w:t>
      </w:r>
    </w:p>
    <w:p>
      <w:pPr>
        <w:spacing w:after="0" w:line="27" w:lineRule="exact"/>
        <w:rPr>
          <w:rFonts w:ascii="Times New Roman" w:cs="Times New Roman" w:eastAsia="Times New Roman" w:hAnsi="Times New Roman"/>
          <w:sz w:val="18"/>
          <w:szCs w:val="18"/>
          <w:color w:val="auto"/>
        </w:rPr>
      </w:pPr>
    </w:p>
    <w:p>
      <w:pPr>
        <w:ind w:right="20" w:firstLine="8"/>
        <w:spacing w:after="0" w:line="260" w:lineRule="auto"/>
        <w:tabs>
          <w:tab w:leader="none" w:pos="26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on the sum of (i) 153,031,097 Shares outstanding as of November 3, 2022, based on information provided by the Issuer and (ii) 4,127,258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107315</wp:posOffset>
            </wp:positionV>
            <wp:extent cx="7136130"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622"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816212104</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4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Nathaniel August</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x</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9,387,677(1)(3)</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9,387,677</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9,387,677</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5.97% (2)</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IN, HC</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4,127,258 common shares obtainable upon exercise of Common Warrants</w:t>
      </w:r>
    </w:p>
    <w:p>
      <w:pPr>
        <w:spacing w:after="0" w:line="27" w:lineRule="exact"/>
        <w:rPr>
          <w:rFonts w:ascii="Times New Roman" w:cs="Times New Roman" w:eastAsia="Times New Roman" w:hAnsi="Times New Roman"/>
          <w:sz w:val="18"/>
          <w:szCs w:val="18"/>
          <w:color w:val="auto"/>
        </w:rPr>
      </w:pPr>
    </w:p>
    <w:p>
      <w:pPr>
        <w:ind w:right="20" w:firstLine="8"/>
        <w:spacing w:after="0" w:line="260" w:lineRule="auto"/>
        <w:tabs>
          <w:tab w:leader="none" w:pos="26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on the sum of (i) 153,031,097 Shares outstanding as of November 3, 2022, based on information provided by the Issuer and (ii) 4,127,258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107315</wp:posOffset>
            </wp:positionV>
            <wp:extent cx="7136130"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4" w:name="page5"/>
    <w:bookmarkEnd w:id="4"/>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816212104</w:t>
            </w: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5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19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Selecta Biosciences, Inc.</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65 Grove Street</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Watertown, MA 02472</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(a, b, c) Names of Person Filing, Address of Principal Business Office, Citizenship:</w:t>
      </w:r>
    </w:p>
    <w:p>
      <w:pPr>
        <w:spacing w:after="0" w:line="121" w:lineRule="exact"/>
        <w:rPr>
          <w:sz w:val="20"/>
          <w:szCs w:val="20"/>
          <w:color w:val="auto"/>
        </w:rPr>
      </w:pPr>
    </w:p>
    <w:p>
      <w:pPr>
        <w:jc w:val="both"/>
        <w:ind w:left="800"/>
        <w:spacing w:after="0" w:line="261" w:lineRule="auto"/>
        <w:rPr>
          <w:sz w:val="20"/>
          <w:szCs w:val="20"/>
          <w:color w:val="auto"/>
        </w:rPr>
      </w:pPr>
      <w:r>
        <w:rPr>
          <w:rFonts w:ascii="Times New Roman" w:cs="Times New Roman" w:eastAsia="Times New Roman" w:hAnsi="Times New Roman"/>
          <w:sz w:val="18"/>
          <w:szCs w:val="18"/>
          <w:u w:val="single" w:color="auto"/>
          <w:color w:val="auto"/>
        </w:rPr>
        <w:t>Mangrove Partners,</w:t>
      </w:r>
      <w:r>
        <w:rPr>
          <w:rFonts w:ascii="Times New Roman" w:cs="Times New Roman" w:eastAsia="Times New Roman" w:hAnsi="Times New Roman"/>
          <w:sz w:val="18"/>
          <w:szCs w:val="18"/>
          <w:color w:val="auto"/>
        </w:rPr>
        <w:t xml:space="preserve"> a Cayman Islands limited liability company, is located at c/o Maples Corporate Services, Ltd., PO Box 309, Ugland House, South Church Street, George Town, Grand Cayman, Cayman Islands KY1-1104</w:t>
      </w:r>
    </w:p>
    <w:p>
      <w:pPr>
        <w:jc w:val="both"/>
        <w:ind w:left="800"/>
        <w:spacing w:after="0" w:line="250" w:lineRule="auto"/>
        <w:rPr>
          <w:sz w:val="20"/>
          <w:szCs w:val="20"/>
          <w:color w:val="auto"/>
        </w:rPr>
      </w:pPr>
      <w:r>
        <w:rPr>
          <w:rFonts w:ascii="Times New Roman" w:cs="Times New Roman" w:eastAsia="Times New Roman" w:hAnsi="Times New Roman"/>
          <w:sz w:val="18"/>
          <w:szCs w:val="18"/>
          <w:u w:val="single" w:color="auto"/>
          <w:color w:val="auto"/>
        </w:rPr>
        <w:t>Mangrove Partners Master Fund, Ltd.</w:t>
      </w:r>
      <w:r>
        <w:rPr>
          <w:rFonts w:ascii="Times New Roman" w:cs="Times New Roman" w:eastAsia="Times New Roman" w:hAnsi="Times New Roman"/>
          <w:sz w:val="18"/>
          <w:szCs w:val="18"/>
          <w:color w:val="auto"/>
        </w:rPr>
        <w:t>, a Cayman Islands limited liability company, is located at c/o Maples Corporate Services, Ltd., PO Box 309, Ugland House, South Church Street, George Town, Grand Cayman, Cayman Islands KY1-1104</w:t>
      </w:r>
    </w:p>
    <w:p>
      <w:pPr>
        <w:spacing w:after="0" w:line="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u w:val="single" w:color="auto"/>
          <w:color w:val="auto"/>
        </w:rPr>
        <w:t>Nathaniel August</w:t>
      </w:r>
      <w:r>
        <w:rPr>
          <w:rFonts w:ascii="Times New Roman" w:cs="Times New Roman" w:eastAsia="Times New Roman" w:hAnsi="Times New Roman"/>
          <w:sz w:val="18"/>
          <w:szCs w:val="18"/>
          <w:color w:val="auto"/>
        </w:rPr>
        <w:t>, a United States citizen, is located at 645 Madison Avenue, 14th Floor, New York, New York 10022</w:t>
      </w:r>
    </w:p>
    <w:p>
      <w:pPr>
        <w:spacing w:after="0" w:line="9" w:lineRule="exact"/>
        <w:rPr>
          <w:sz w:val="20"/>
          <w:szCs w:val="20"/>
          <w:color w:val="auto"/>
        </w:rPr>
      </w:pPr>
    </w:p>
    <w:p>
      <w:pPr>
        <w:jc w:val="both"/>
        <w:ind w:left="800"/>
        <w:spacing w:after="0" w:line="255" w:lineRule="auto"/>
        <w:rPr>
          <w:sz w:val="20"/>
          <w:szCs w:val="20"/>
          <w:color w:val="auto"/>
        </w:rPr>
      </w:pPr>
      <w:r>
        <w:rPr>
          <w:rFonts w:ascii="Times New Roman" w:cs="Times New Roman" w:eastAsia="Times New Roman" w:hAnsi="Times New Roman"/>
          <w:sz w:val="18"/>
          <w:szCs w:val="18"/>
          <w:color w:val="auto"/>
        </w:rPr>
        <w:t>The shares of the Issuer which are the subject of this SCHEDULE 13G/A (the “Shares”) are held by the Master Fund. Beneficial ownership of the Shares is also claimed by (i) Mangrove Partners which serves as the investment manager of the Master Fund, and (ii) Nathaniel August who is the principal of Mangrove Partners.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(d) Title of Class of Securities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Common Stock, $0.0001 par value per share, including common shares obtainable upon exercise of Common Warrants (the “Common Stock”)</w:t>
      </w:r>
    </w:p>
    <w:p>
      <w:pPr>
        <w:spacing w:after="0" w:line="22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816212104</w:t>
      </w:r>
    </w:p>
    <w:p>
      <w:pPr>
        <w:spacing w:after="0" w:line="335"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816212104</w:t>
            </w: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6 of 9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22" w:lineRule="exact"/>
        <w:rPr>
          <w:sz w:val="20"/>
          <w:szCs w:val="20"/>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53" w:lineRule="exact"/>
        <w:rPr>
          <w:rFonts w:ascii="Times New Roman" w:cs="Times New Roman" w:eastAsia="Times New Roman" w:hAnsi="Times New Roman"/>
          <w:sz w:val="18"/>
          <w:szCs w:val="18"/>
          <w:color w:val="auto"/>
        </w:rPr>
      </w:pPr>
    </w:p>
    <w:p>
      <w:pPr>
        <w:ind w:left="600" w:hanging="295"/>
        <w:spacing w:after="0"/>
        <w:tabs>
          <w:tab w:leader="none" w:pos="600" w:val="left"/>
        </w:tabs>
        <w:numPr>
          <w:ilvl w:val="0"/>
          <w:numId w:val="5"/>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7"/>
          <w:szCs w:val="17"/>
          <w:color w:val="auto"/>
        </w:rPr>
        <w:t>An investment adviser in accordance with §240.13d-1(b)(1)(ii)(E);</w:t>
      </w:r>
    </w:p>
    <w:p>
      <w:pPr>
        <w:spacing w:after="0" w:line="107"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30" w:lineRule="exact"/>
        <w:rPr>
          <w:rFonts w:ascii="Times New Roman" w:cs="Times New Roman" w:eastAsia="Times New Roman" w:hAnsi="Times New Roman"/>
          <w:sz w:val="18"/>
          <w:szCs w:val="18"/>
          <w:color w:val="auto"/>
        </w:rPr>
      </w:pPr>
    </w:p>
    <w:p>
      <w:pPr>
        <w:ind w:left="900" w:right="200" w:hanging="595"/>
        <w:spacing w:after="0" w:line="237" w:lineRule="exact"/>
        <w:tabs>
          <w:tab w:leader="none" w:pos="603"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8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130" w:lineRule="exact"/>
        <w:rPr>
          <w:rFonts w:ascii="Times New Roman" w:cs="Times New Roman" w:eastAsia="Times New Roman" w:hAnsi="Times New Roman"/>
          <w:sz w:val="18"/>
          <w:szCs w:val="18"/>
          <w:color w:val="auto"/>
        </w:rPr>
      </w:pPr>
    </w:p>
    <w:p>
      <w:pPr>
        <w:ind w:left="900" w:right="460" w:hanging="595"/>
        <w:spacing w:after="0" w:line="237" w:lineRule="exact"/>
        <w:tabs>
          <w:tab w:leader="none" w:pos="603"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group, in accordance with §240.13d-1(b)(1)(ii)(K). If filing as a non-U.S. institution in accordance with §240.13d-1(b)(1)(ii)(J), please specify the type of institution:</w:t>
      </w: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-156210</wp:posOffset>
            </wp:positionV>
            <wp:extent cx="8001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364"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816212104</w:t>
            </w: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7 of 9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121" w:lineRule="exact"/>
        <w:rPr>
          <w:sz w:val="20"/>
          <w:szCs w:val="20"/>
          <w:color w:val="auto"/>
        </w:rPr>
      </w:pPr>
    </w:p>
    <w:p>
      <w:pPr>
        <w:jc w:val="both"/>
        <w:ind w:left="800"/>
        <w:spacing w:after="0" w:line="282" w:lineRule="auto"/>
        <w:rPr>
          <w:sz w:val="20"/>
          <w:szCs w:val="20"/>
          <w:color w:val="auto"/>
        </w:rPr>
      </w:pPr>
      <w:r>
        <w:rPr>
          <w:rFonts w:ascii="Times New Roman" w:cs="Times New Roman" w:eastAsia="Times New Roman" w:hAnsi="Times New Roman"/>
          <w:sz w:val="18"/>
          <w:szCs w:val="18"/>
          <w:color w:val="auto"/>
        </w:rPr>
        <w:t>Information with respect to the Reporting Persons' ownership of the Common Stock as of December 31, 2022, is incorporated by reference to items (5) - (9) and (11) of the cover page of the respective Reporting Person.</w:t>
      </w:r>
    </w:p>
    <w:p>
      <w:pPr>
        <w:spacing w:after="0" w:line="54" w:lineRule="exact"/>
        <w:rPr>
          <w:sz w:val="20"/>
          <w:szCs w:val="20"/>
          <w:color w:val="auto"/>
        </w:rPr>
      </w:pPr>
    </w:p>
    <w:p>
      <w:pPr>
        <w:jc w:val="both"/>
        <w:ind w:left="800" w:right="20"/>
        <w:spacing w:after="0" w:line="266" w:lineRule="auto"/>
        <w:rPr>
          <w:sz w:val="20"/>
          <w:szCs w:val="20"/>
          <w:color w:val="auto"/>
        </w:rPr>
      </w:pPr>
      <w:r>
        <w:rPr>
          <w:rFonts w:ascii="Times New Roman" w:cs="Times New Roman" w:eastAsia="Times New Roman" w:hAnsi="Times New Roman"/>
          <w:sz w:val="18"/>
          <w:szCs w:val="18"/>
          <w:color w:val="auto"/>
        </w:rPr>
        <w:t>The amount beneficially owned by each Reporting Person is determined based on the sum of (i) 153,031,097 Shares outstanding as of November 3, 2022, based on information provided by the Issuer and (ii) 4,127,258 Shares issuable upon exercise of the Common Warrants, as the Issuer reported in its Form 10-Q filed with the SEC on November 3, 2022.</w:t>
      </w:r>
    </w:p>
    <w:p>
      <w:pPr>
        <w:spacing w:after="0" w:line="68" w:lineRule="exact"/>
        <w:rPr>
          <w:sz w:val="20"/>
          <w:szCs w:val="20"/>
          <w:color w:val="auto"/>
        </w:rPr>
      </w:pPr>
    </w:p>
    <w:p>
      <w:pPr>
        <w:jc w:val="both"/>
        <w:ind w:left="800"/>
        <w:spacing w:after="0" w:line="266" w:lineRule="auto"/>
        <w:rPr>
          <w:sz w:val="20"/>
          <w:szCs w:val="20"/>
          <w:color w:val="auto"/>
        </w:rPr>
      </w:pPr>
      <w:r>
        <w:rPr>
          <w:rFonts w:ascii="Times New Roman" w:cs="Times New Roman" w:eastAsia="Times New Roman" w:hAnsi="Times New Roman"/>
          <w:sz w:val="18"/>
          <w:szCs w:val="18"/>
          <w:color w:val="auto"/>
        </w:rPr>
        <w:t>The filing of this SCHEDULE 13G/A shall not be construed as an admission that the Reporting Persons are, for purposes of Section 13(d) of the Securities Exchange Act of 1934, as amended, the beneficial owners of any of the Shares reported herein. Each of the Reporting Persons specifically disclaims beneficial ownership of the Shares reported herein that are not directly owned by such Reporting Person.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ectPr>
          <w:pgSz w:w="11900" w:h="16838" w:orient="portrait"/>
          <w:cols w:equalWidth="0" w:num="1">
            <w:col w:w="11240"/>
          </w:cols>
          <w:pgMar w:left="320" w:top="663" w:right="339" w:bottom="0" w:gutter="0" w:footer="0" w:header="0"/>
        </w:sectPr>
      </w:pPr>
    </w:p>
    <w:bookmarkStart w:id="5" w:name="page6"/>
    <w:bookmarkEnd w:id="5"/>
    <w:p>
      <w:pPr>
        <w:ind w:left="400" w:firstLine="396"/>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ind w:left="1300" w:hanging="1295"/>
        <w:spacing w:after="0" w:line="263"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See disclosures in Item 2 and Exhibit I.</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121" w:lineRule="exact"/>
        <w:rPr>
          <w:sz w:val="20"/>
          <w:szCs w:val="20"/>
          <w:color w:val="auto"/>
        </w:rPr>
      </w:pPr>
    </w:p>
    <w:p>
      <w:pPr>
        <w:jc w:val="both"/>
        <w:ind w:left="80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816212104</w:t>
            </w:r>
          </w:p>
        </w:tc>
        <w:tc>
          <w:tcPr>
            <w:tcW w:w="452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8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2023</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Mangrove Partners</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Nathaniel August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Nathaniel August, Director</w:t>
      </w: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Mangrove Partners Master Fund, Ltd</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Nathaniel August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Nathaniel August, Director</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Nathaniel August</w:t>
      </w:r>
    </w:p>
    <w:p>
      <w:pPr>
        <w:spacing w:after="0" w:line="227" w:lineRule="exact"/>
        <w:rPr>
          <w:sz w:val="20"/>
          <w:szCs w:val="20"/>
          <w:color w:val="auto"/>
        </w:rPr>
      </w:pPr>
    </w:p>
    <w:p>
      <w:pPr>
        <w:ind w:left="562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Nathaniel August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18415</wp:posOffset>
            </wp:positionV>
            <wp:extent cx="32829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Nathaniel August</w:t>
      </w:r>
    </w:p>
    <w:p>
      <w:pPr>
        <w:sectPr>
          <w:pgSz w:w="11900" w:h="16838" w:orient="portrait"/>
          <w:cols w:equalWidth="0" w:num="1">
            <w:col w:w="11240"/>
          </w:cols>
          <w:pgMar w:left="320" w:top="447" w:right="339" w:bottom="1440" w:gutter="0" w:footer="0" w:header="0"/>
        </w:sectPr>
      </w:pPr>
    </w:p>
    <w:bookmarkStart w:id="7" w:name="page8"/>
    <w:bookmarkEnd w:id="7"/>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816212104</w:t>
            </w:r>
          </w:p>
        </w:tc>
        <w:tc>
          <w:tcPr>
            <w:tcW w:w="452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9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I</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JOINT FILING STATEMENT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13d-1(k)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undersigned acknowledge and agree that the foregoing statement on SCHEDULE 13G/A, is filed on behalf of each of the undersigned and that all subsequent amendments to this statement on SCHEDULE 13G/A,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2023</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Mangrove Partners</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Nathaniel August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Nathaniel August, Director</w:t>
      </w: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Mangrove Partners Master Fund, Ltd</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Nathaniel August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Nathaniel August, Director</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Nathaniel August</w:t>
      </w:r>
    </w:p>
    <w:p>
      <w:pPr>
        <w:spacing w:after="0" w:line="227" w:lineRule="exact"/>
        <w:rPr>
          <w:sz w:val="20"/>
          <w:szCs w:val="20"/>
          <w:color w:val="auto"/>
        </w:rPr>
      </w:pPr>
    </w:p>
    <w:p>
      <w:pPr>
        <w:ind w:left="562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Nathaniel August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18415</wp:posOffset>
            </wp:positionV>
            <wp:extent cx="32829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Nathaniel August</w:t>
      </w:r>
    </w:p>
    <w:sectPr>
      <w:pgSz w:w="11900" w:h="16838" w:orient="portrait"/>
      <w:cols w:equalWidth="0" w:num="1">
        <w:col w:w="11240"/>
      </w:cols>
      <w:pgMar w:left="320" w:top="4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2023-02-14T12:47:45Z</dcterms:created>
  <dcterms:modified xsi:type="dcterms:W3CDTF">2023-02-14T12:47:45Z</dcterms:modified>
</cp:coreProperties>
</file>