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351790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328930</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80" w:lineRule="exact"/>
        <w:rPr>
          <w:sz w:val="24"/>
          <w:szCs w:val="24"/>
          <w:color w:val="auto"/>
        </w:rPr>
      </w:pPr>
    </w:p>
    <w:p>
      <w:pPr>
        <w:ind w:left="340" w:hanging="318"/>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00" w:lineRule="exact"/>
        <w:rPr>
          <w:sz w:val="24"/>
          <w:szCs w:val="24"/>
          <w:color w:val="auto"/>
        </w:rPr>
      </w:pPr>
    </w:p>
    <w:p>
      <w:pPr>
        <w:ind w:left="340" w:hanging="318"/>
        <w:spacing w:after="0"/>
        <w:tabs>
          <w:tab w:leader="none" w:pos="3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7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For the transition period from ____ to 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001-37798</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Cartesian Therapeutics,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53" w:lineRule="exact"/>
        <w:rPr>
          <w:sz w:val="24"/>
          <w:szCs w:val="24"/>
          <w:color w:val="auto"/>
        </w:rPr>
      </w:pPr>
    </w:p>
    <w:tbl>
      <w:tblPr>
        <w:tblLayout w:type="fixed"/>
        <w:tblInd w:w="30" w:type="dxa"/>
        <w:tblCellMar>
          <w:top w:w="0" w:type="dxa"/>
          <w:left w:w="0" w:type="dxa"/>
          <w:bottom w:w="0" w:type="dxa"/>
          <w:right w:w="0" w:type="dxa"/>
        </w:tblCellMar>
      </w:tblPr>
      <w:tr>
        <w:trPr>
          <w:trHeight w:val="159"/>
        </w:trPr>
        <w:tc>
          <w:tcPr>
            <w:tcW w:w="4720" w:type="dxa"/>
            <w:vAlign w:val="bottom"/>
          </w:tcPr>
          <w:p>
            <w:pPr>
              <w:jc w:val="center"/>
              <w:ind w:left="20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560" w:type="dxa"/>
            <w:vAlign w:val="bottom"/>
          </w:tcPr>
          <w:p>
            <w:pPr>
              <w:spacing w:after="0"/>
              <w:rPr>
                <w:sz w:val="13"/>
                <w:szCs w:val="13"/>
                <w:color w:val="auto"/>
              </w:rPr>
            </w:pPr>
          </w:p>
        </w:tc>
        <w:tc>
          <w:tcPr>
            <w:tcW w:w="4980" w:type="dxa"/>
            <w:vAlign w:val="bottom"/>
            <w:gridSpan w:val="2"/>
          </w:tcPr>
          <w:p>
            <w:pPr>
              <w:jc w:val="right"/>
              <w:ind w:right="3020"/>
              <w:spacing w:after="0"/>
              <w:rPr>
                <w:sz w:val="20"/>
                <w:szCs w:val="20"/>
                <w:color w:val="auto"/>
              </w:rPr>
            </w:pPr>
            <w:r>
              <w:rPr>
                <w:rFonts w:ascii="Times New Roman" w:cs="Times New Roman" w:eastAsia="Times New Roman" w:hAnsi="Times New Roman"/>
                <w:sz w:val="12"/>
                <w:szCs w:val="12"/>
                <w:b w:val="1"/>
                <w:bCs w:val="1"/>
                <w:color w:val="auto"/>
              </w:rPr>
              <w:t>26-1622110</w:t>
            </w:r>
          </w:p>
        </w:tc>
      </w:tr>
      <w:tr>
        <w:trPr>
          <w:trHeight w:val="142"/>
        </w:trPr>
        <w:tc>
          <w:tcPr>
            <w:tcW w:w="47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80" w:type="dxa"/>
            <w:vAlign w:val="bottom"/>
          </w:tcPr>
          <w:p>
            <w:pPr>
              <w:jc w:val="center"/>
              <w:ind w:right="198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5"/>
        </w:trPr>
        <w:tc>
          <w:tcPr>
            <w:tcW w:w="47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rPr>
              <w:t>of incorporation or organization)</w:t>
            </w: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80" w:type="dxa"/>
            <w:vAlign w:val="bottom"/>
          </w:tcPr>
          <w:p>
            <w:pPr>
              <w:spacing w:after="0"/>
              <w:rPr>
                <w:sz w:val="13"/>
                <w:szCs w:val="13"/>
                <w:color w:val="auto"/>
              </w:rPr>
            </w:pPr>
          </w:p>
        </w:tc>
      </w:tr>
      <w:tr>
        <w:trPr>
          <w:trHeight w:val="171"/>
        </w:trPr>
        <w:tc>
          <w:tcPr>
            <w:tcW w:w="4720" w:type="dxa"/>
            <w:vAlign w:val="bottom"/>
          </w:tcPr>
          <w:p>
            <w:pPr>
              <w:jc w:val="center"/>
              <w:ind w:left="2080"/>
              <w:spacing w:after="0"/>
              <w:rPr>
                <w:sz w:val="20"/>
                <w:szCs w:val="20"/>
                <w:color w:val="auto"/>
              </w:rPr>
            </w:pPr>
            <w:r>
              <w:rPr>
                <w:rFonts w:ascii="Times New Roman" w:cs="Times New Roman" w:eastAsia="Times New Roman" w:hAnsi="Times New Roman"/>
                <w:sz w:val="12"/>
                <w:szCs w:val="12"/>
                <w:b w:val="1"/>
                <w:bCs w:val="1"/>
                <w:color w:val="auto"/>
                <w:w w:val="98"/>
              </w:rPr>
              <w:t>7495 New Horizon Way, Frederick, MD</w:t>
            </w:r>
          </w:p>
        </w:tc>
        <w:tc>
          <w:tcPr>
            <w:tcW w:w="1560" w:type="dxa"/>
            <w:vAlign w:val="bottom"/>
          </w:tcPr>
          <w:p>
            <w:pPr>
              <w:spacing w:after="0"/>
              <w:rPr>
                <w:sz w:val="14"/>
                <w:szCs w:val="14"/>
                <w:color w:val="auto"/>
              </w:rPr>
            </w:pPr>
          </w:p>
        </w:tc>
        <w:tc>
          <w:tcPr>
            <w:tcW w:w="4980" w:type="dxa"/>
            <w:vAlign w:val="bottom"/>
            <w:gridSpan w:val="2"/>
          </w:tcPr>
          <w:p>
            <w:pPr>
              <w:jc w:val="right"/>
              <w:ind w:right="3140"/>
              <w:spacing w:after="0"/>
              <w:rPr>
                <w:sz w:val="20"/>
                <w:szCs w:val="20"/>
                <w:color w:val="auto"/>
              </w:rPr>
            </w:pPr>
            <w:r>
              <w:rPr>
                <w:rFonts w:ascii="Times New Roman" w:cs="Times New Roman" w:eastAsia="Times New Roman" w:hAnsi="Times New Roman"/>
                <w:sz w:val="12"/>
                <w:szCs w:val="12"/>
                <w:b w:val="1"/>
                <w:bCs w:val="1"/>
                <w:color w:val="auto"/>
              </w:rPr>
              <w:t>21703</w:t>
            </w:r>
          </w:p>
        </w:tc>
      </w:tr>
      <w:tr>
        <w:trPr>
          <w:trHeight w:val="171"/>
        </w:trPr>
        <w:tc>
          <w:tcPr>
            <w:tcW w:w="47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80" w:type="dxa"/>
            <w:vAlign w:val="bottom"/>
          </w:tcPr>
          <w:p>
            <w:pPr>
              <w:jc w:val="center"/>
              <w:ind w:right="198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201"/>
        </w:trPr>
        <w:tc>
          <w:tcPr>
            <w:tcW w:w="4720" w:type="dxa"/>
            <w:vAlign w:val="bottom"/>
          </w:tcPr>
          <w:p>
            <w:pPr>
              <w:spacing w:after="0"/>
              <w:rPr>
                <w:sz w:val="17"/>
                <w:szCs w:val="17"/>
                <w:color w:val="auto"/>
              </w:rPr>
            </w:pPr>
          </w:p>
        </w:tc>
        <w:tc>
          <w:tcPr>
            <w:tcW w:w="1560" w:type="dxa"/>
            <w:vAlign w:val="bottom"/>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301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348-8698</w:t>
            </w: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159"/>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w:t>
            </w: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36"/>
        </w:trPr>
        <w:tc>
          <w:tcPr>
            <w:tcW w:w="47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142"/>
        </w:trPr>
        <w:tc>
          <w:tcPr>
            <w:tcW w:w="4720" w:type="dxa"/>
            <w:vAlign w:val="bottom"/>
            <w:tcBorders>
              <w:left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560" w:type="dxa"/>
            <w:vAlign w:val="bottom"/>
            <w:tcBorders>
              <w:bottom w:val="single" w:sz="8" w:color="auto"/>
            </w:tcBorders>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00" w:type="dxa"/>
            <w:vAlign w:val="bottom"/>
            <w:tcBorders>
              <w:bottom w:val="single" w:sz="8" w:color="auto"/>
              <w:right w:val="single" w:sz="8" w:color="auto"/>
            </w:tcBorders>
          </w:tcPr>
          <w:p>
            <w:pPr>
              <w:spacing w:after="0"/>
              <w:rPr>
                <w:sz w:val="12"/>
                <w:szCs w:val="12"/>
                <w:color w:val="auto"/>
              </w:rPr>
            </w:pP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72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2"/>
                <w:szCs w:val="12"/>
                <w:color w:val="auto"/>
              </w:rPr>
              <w:t>Common Stock, $0.0001 par value per share</w:t>
            </w:r>
          </w:p>
        </w:tc>
        <w:tc>
          <w:tcPr>
            <w:tcW w:w="156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color w:val="auto"/>
              </w:rPr>
              <w:t>RNAC</w:t>
            </w:r>
          </w:p>
        </w:tc>
        <w:tc>
          <w:tcPr>
            <w:tcW w:w="300" w:type="dxa"/>
            <w:vAlign w:val="bottom"/>
            <w:tcBorders>
              <w:bottom w:val="single" w:sz="8" w:color="auto"/>
              <w:right w:val="single" w:sz="8" w:color="auto"/>
            </w:tcBorders>
          </w:tcPr>
          <w:p>
            <w:pPr>
              <w:spacing w:after="0"/>
              <w:rPr>
                <w:sz w:val="12"/>
                <w:szCs w:val="12"/>
                <w:color w:val="auto"/>
              </w:rPr>
            </w:pP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69"/>
        </w:trPr>
        <w:tc>
          <w:tcPr>
            <w:tcW w:w="4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36"/>
        </w:trPr>
        <w:tc>
          <w:tcPr>
            <w:tcW w:w="47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142"/>
        </w:trPr>
        <w:tc>
          <w:tcPr>
            <w:tcW w:w="4720" w:type="dxa"/>
            <w:vAlign w:val="bottom"/>
            <w:tcBorders>
              <w:left w:val="single" w:sz="8" w:color="auto"/>
              <w:bottom w:val="single" w:sz="8" w:color="auto"/>
            </w:tcBorders>
          </w:tcPr>
          <w:p>
            <w:pPr>
              <w:spacing w:after="0"/>
              <w:rPr>
                <w:sz w:val="12"/>
                <w:szCs w:val="12"/>
                <w:color w:val="auto"/>
              </w:rPr>
            </w:pPr>
          </w:p>
        </w:tc>
        <w:tc>
          <w:tcPr>
            <w:tcW w:w="156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00" w:type="dxa"/>
            <w:vAlign w:val="bottom"/>
            <w:tcBorders>
              <w:bottom w:val="single" w:sz="8" w:color="auto"/>
            </w:tcBorders>
          </w:tcPr>
          <w:p>
            <w:pPr>
              <w:spacing w:after="0"/>
              <w:rPr>
                <w:sz w:val="12"/>
                <w:szCs w:val="12"/>
                <w:color w:val="auto"/>
              </w:rPr>
            </w:pPr>
          </w:p>
        </w:tc>
        <w:tc>
          <w:tcPr>
            <w:tcW w:w="4680" w:type="dxa"/>
            <w:vAlign w:val="bottom"/>
            <w:tcBorders>
              <w:bottom w:val="single" w:sz="8" w:color="auto"/>
              <w:right w:val="single" w:sz="8" w:color="auto"/>
            </w:tcBorders>
          </w:tcPr>
          <w:p>
            <w:pPr>
              <w:spacing w:after="0"/>
              <w:rPr>
                <w:sz w:val="12"/>
                <w:szCs w:val="12"/>
                <w:color w:val="auto"/>
              </w:rPr>
            </w:pPr>
          </w:p>
        </w:tc>
      </w:tr>
      <w:tr>
        <w:trPr>
          <w:trHeight w:val="142"/>
        </w:trPr>
        <w:tc>
          <w:tcPr>
            <w:tcW w:w="4720" w:type="dxa"/>
            <w:vAlign w:val="bottom"/>
            <w:tcBorders>
              <w:left w:val="single" w:sz="8" w:color="auto"/>
              <w:bottom w:val="single" w:sz="8" w:color="auto"/>
            </w:tcBorders>
          </w:tcPr>
          <w:p>
            <w:pPr>
              <w:spacing w:after="0"/>
              <w:rPr>
                <w:sz w:val="12"/>
                <w:szCs w:val="12"/>
                <w:color w:val="auto"/>
              </w:rPr>
            </w:pPr>
          </w:p>
        </w:tc>
        <w:tc>
          <w:tcPr>
            <w:tcW w:w="156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color w:val="auto"/>
                <w:w w:val="98"/>
              </w:rPr>
              <w:t>Contingent Value Rights</w:t>
            </w:r>
          </w:p>
        </w:tc>
        <w:tc>
          <w:tcPr>
            <w:tcW w:w="300" w:type="dxa"/>
            <w:vAlign w:val="bottom"/>
            <w:tcBorders>
              <w:bottom w:val="single" w:sz="8" w:color="auto"/>
            </w:tcBorders>
          </w:tcPr>
          <w:p>
            <w:pPr>
              <w:spacing w:after="0"/>
              <w:rPr>
                <w:sz w:val="12"/>
                <w:szCs w:val="12"/>
                <w:color w:val="auto"/>
              </w:rPr>
            </w:pPr>
          </w:p>
        </w:tc>
        <w:tc>
          <w:tcPr>
            <w:tcW w:w="4680" w:type="dxa"/>
            <w:vAlign w:val="bottom"/>
            <w:tcBorders>
              <w:bottom w:val="single" w:sz="8" w:color="auto"/>
              <w:right w:val="single" w:sz="8" w:color="auto"/>
            </w:tcBorders>
          </w:tcPr>
          <w:p>
            <w:pPr>
              <w:spacing w:after="0"/>
              <w:rPr>
                <w:sz w:val="12"/>
                <w:szCs w:val="12"/>
                <w:color w:val="auto"/>
              </w:rPr>
            </w:pPr>
          </w:p>
        </w:tc>
      </w:tr>
      <w:tr>
        <w:trPr>
          <w:trHeight w:val="16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o</w:t>
            </w:r>
          </w:p>
        </w:tc>
        <w:tc>
          <w:tcPr>
            <w:tcW w:w="498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r>
        <w:trPr>
          <w:trHeight w:val="181"/>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w w:val="99"/>
              </w:rPr>
              <w:t xml:space="preserve">Indicate by check mark if the registrant is not required to file reports pursuant to Section 13 or Section 15(d) of the Act. Yes </w:t>
            </w:r>
            <w:r>
              <w:rPr>
                <w:rFonts w:ascii="Wingdings" w:cs="Wingdings" w:eastAsia="Wingdings" w:hAnsi="Wingdings"/>
                <w:sz w:val="12"/>
                <w:szCs w:val="12"/>
                <w:b w:val="1"/>
                <w:bCs w:val="1"/>
                <w:color w:val="auto"/>
                <w:w w:val="99"/>
              </w:rPr>
              <w:t>o</w:t>
            </w:r>
          </w:p>
        </w:tc>
        <w:tc>
          <w:tcPr>
            <w:tcW w:w="498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bl>
    <w:p>
      <w:pPr>
        <w:ind w:right="40" w:firstLine="216"/>
        <w:spacing w:after="0" w:line="14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right="60" w:firstLine="216"/>
        <w:spacing w:after="0" w:line="14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right="200" w:firstLine="216"/>
        <w:spacing w:after="0" w:line="24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600" w:type="dxa"/>
        <w:tblCellMar>
          <w:top w:w="0" w:type="dxa"/>
          <w:left w:w="0" w:type="dxa"/>
          <w:bottom w:w="0" w:type="dxa"/>
          <w:right w:w="0" w:type="dxa"/>
        </w:tblCellMar>
      </w:tblPr>
      <w:tr>
        <w:trPr>
          <w:trHeight w:val="138"/>
        </w:trPr>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4"/>
              </w:rPr>
              <w:t>Large accelerated filer</w:t>
            </w:r>
          </w:p>
        </w:tc>
        <w:tc>
          <w:tcPr>
            <w:tcW w:w="172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2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Accelerated filer</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4"/>
        </w:trPr>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Non-accelerated filer</w:t>
            </w:r>
          </w:p>
        </w:tc>
        <w:tc>
          <w:tcPr>
            <w:tcW w:w="172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2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Emerging growth company</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0" w:lineRule="exact"/>
        <w:rPr>
          <w:sz w:val="24"/>
          <w:szCs w:val="24"/>
          <w:color w:val="auto"/>
        </w:rPr>
      </w:pPr>
    </w:p>
    <w:p>
      <w:pPr>
        <w:ind w:right="20" w:firstLine="216"/>
        <w:spacing w:after="0" w:line="15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 w:lineRule="exact"/>
        <w:rPr>
          <w:sz w:val="24"/>
          <w:szCs w:val="24"/>
          <w:color w:val="auto"/>
        </w:rPr>
      </w:pPr>
    </w:p>
    <w:p>
      <w:pPr>
        <w:ind w:right="40" w:firstLine="216"/>
        <w:spacing w:after="0" w:line="14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attested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ind w:right="500" w:firstLine="216"/>
        <w:spacing w:after="0" w:line="226" w:lineRule="auto"/>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right="160" w:firstLine="216"/>
        <w:spacing w:after="0" w:line="230" w:lineRule="auto"/>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left="20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147320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73" w:right="319" w:bottom="1440" w:gutter="0" w:footer="0" w:header="0"/>
        </w:sectPr>
      </w:pPr>
    </w:p>
    <w:bookmarkStart w:id="1" w:name="page2"/>
    <w:bookmarkEnd w:id="1"/>
    <w:p>
      <w:pPr>
        <w:ind w:firstLine="216"/>
        <w:spacing w:after="0" w:line="252" w:lineRule="auto"/>
        <w:rPr>
          <w:sz w:val="20"/>
          <w:szCs w:val="20"/>
          <w:color w:val="auto"/>
        </w:rPr>
      </w:pPr>
      <w:r>
        <w:rPr>
          <w:rFonts w:ascii="Times New Roman" w:cs="Times New Roman" w:eastAsia="Times New Roman" w:hAnsi="Times New Roman"/>
          <w:sz w:val="12"/>
          <w:szCs w:val="12"/>
          <w:color w:val="auto"/>
        </w:rPr>
        <w:t>The aggregate market value of common stock held by non-affiliates of the registrant based on the closing price of the registrant’s common stock as reported on the Nasdaq Stock Market on June 28, 2024, the last business day of the registrant’s most recently completed second quarter, was $193,901,954.</w:t>
      </w:r>
    </w:p>
    <w:p>
      <w:pPr>
        <w:ind w:left="200"/>
        <w:spacing w:after="0"/>
        <w:rPr>
          <w:sz w:val="20"/>
          <w:szCs w:val="20"/>
          <w:color w:val="auto"/>
        </w:rPr>
      </w:pPr>
      <w:r>
        <w:rPr>
          <w:rFonts w:ascii="Times New Roman" w:cs="Times New Roman" w:eastAsia="Times New Roman" w:hAnsi="Times New Roman"/>
          <w:sz w:val="12"/>
          <w:szCs w:val="12"/>
          <w:color w:val="auto"/>
        </w:rPr>
        <w:t>As of February 28, 2025, the registrant had 25,907,101 shares of common stock, par value $0.0001 per share, outstanding.</w:t>
      </w:r>
    </w:p>
    <w:p>
      <w:pPr>
        <w:spacing w:after="0" w:line="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Portions of the registrant’s definitive Proxy Statement relating to its 2025 Annual Meeting of Stockholders to be filed with the Securities and Exchange Commission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201930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0"/>
          </w:cols>
          <w:pgMar w:left="300" w:top="33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80" w:type="dxa"/>
            <w:vAlign w:val="bottom"/>
            <w:gridSpan w:val="11"/>
          </w:tcPr>
          <w:p>
            <w:pPr>
              <w:jc w:val="center"/>
              <w:ind w:right="250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6"/>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9"/>
          </w:tcPr>
          <w:p>
            <w:pPr>
              <w:jc w:val="center"/>
              <w:ind w:right="2940"/>
              <w:spacing w:after="0"/>
              <w:rPr>
                <w:sz w:val="20"/>
                <w:szCs w:val="20"/>
                <w:color w:val="auto"/>
              </w:rPr>
            </w:pPr>
            <w:r>
              <w:rPr>
                <w:rFonts w:ascii="Times New Roman" w:cs="Times New Roman" w:eastAsia="Times New Roman" w:hAnsi="Times New Roman"/>
                <w:sz w:val="12"/>
                <w:szCs w:val="12"/>
                <w:b w:val="1"/>
                <w:bCs w:val="1"/>
                <w:color w:val="0000FF"/>
                <w:w w:val="98"/>
              </w:rPr>
              <w:t>Part I</w:t>
            </w:r>
          </w:p>
        </w:tc>
        <w:tc>
          <w:tcPr>
            <w:tcW w:w="2520" w:type="dxa"/>
            <w:vAlign w:val="bottom"/>
            <w:gridSpan w:val="3"/>
            <w:vMerge w:val="restart"/>
          </w:tcPr>
          <w:p>
            <w:pPr>
              <w:ind w:left="204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5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14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0000FF"/>
              </w:rPr>
              <w:t>Item 1.</w:t>
            </w:r>
          </w:p>
        </w:tc>
        <w:tc>
          <w:tcPr>
            <w:tcW w:w="7420" w:type="dxa"/>
            <w:vAlign w:val="bottom"/>
            <w:gridSpan w:val="27"/>
          </w:tcPr>
          <w:p>
            <w:pPr>
              <w:spacing w:after="0" w:line="128" w:lineRule="exact"/>
              <w:rPr>
                <w:sz w:val="20"/>
                <w:szCs w:val="20"/>
                <w:color w:val="auto"/>
              </w:rPr>
            </w:pPr>
            <w:r>
              <w:rPr>
                <w:rFonts w:ascii="Times New Roman" w:cs="Times New Roman" w:eastAsia="Times New Roman" w:hAnsi="Times New Roman"/>
                <w:sz w:val="12"/>
                <w:szCs w:val="12"/>
                <w:color w:val="0000FF"/>
              </w:rPr>
              <w:t>Business</w:t>
            </w:r>
          </w:p>
        </w:tc>
        <w:tc>
          <w:tcPr>
            <w:tcW w:w="2520" w:type="dxa"/>
            <w:vAlign w:val="bottom"/>
            <w:gridSpan w:val="3"/>
          </w:tcPr>
          <w:p>
            <w:pPr>
              <w:jc w:val="right"/>
              <w:ind w:right="240"/>
              <w:spacing w:after="0" w:line="128" w:lineRule="exact"/>
              <w:rPr>
                <w:sz w:val="20"/>
                <w:szCs w:val="20"/>
                <w:color w:val="auto"/>
              </w:rPr>
            </w:pPr>
            <w:r>
              <w:rPr>
                <w:rFonts w:ascii="Times New Roman" w:cs="Times New Roman" w:eastAsia="Times New Roman" w:hAnsi="Times New Roman"/>
                <w:sz w:val="12"/>
                <w:szCs w:val="12"/>
                <w:u w:val="single" w:color="auto"/>
                <w:color w:val="0000FF"/>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88"/>
              </w:rPr>
              <w:t>Item 1A.</w:t>
            </w:r>
          </w:p>
        </w:tc>
        <w:tc>
          <w:tcPr>
            <w:tcW w:w="720" w:type="dxa"/>
            <w:vAlign w:val="bottom"/>
          </w:tcPr>
          <w:p>
            <w:pPr>
              <w:spacing w:after="0"/>
              <w:rPr>
                <w:sz w:val="11"/>
                <w:szCs w:val="11"/>
                <w:color w:val="auto"/>
              </w:rPr>
            </w:pP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Risk Factors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27</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0"/>
              </w:rPr>
              <w:t>Item 1B.</w:t>
            </w:r>
          </w:p>
        </w:tc>
        <w:tc>
          <w:tcPr>
            <w:tcW w:w="720" w:type="dxa"/>
            <w:vAlign w:val="bottom"/>
          </w:tcPr>
          <w:p>
            <w:pPr>
              <w:spacing w:after="0"/>
              <w:rPr>
                <w:sz w:val="11"/>
                <w:szCs w:val="11"/>
                <w:color w:val="auto"/>
              </w:rPr>
            </w:pP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Unresolved Staff Comments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53</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1C.</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Cybersecurity</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53</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Item 2.</w:t>
            </w:r>
          </w:p>
        </w:tc>
        <w:tc>
          <w:tcPr>
            <w:tcW w:w="720" w:type="dxa"/>
            <w:vAlign w:val="bottom"/>
          </w:tcPr>
          <w:p>
            <w:pPr>
              <w:spacing w:after="0"/>
              <w:rPr>
                <w:sz w:val="11"/>
                <w:szCs w:val="11"/>
                <w:color w:val="auto"/>
              </w:rPr>
            </w:pPr>
          </w:p>
        </w:tc>
        <w:tc>
          <w:tcPr>
            <w:tcW w:w="6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rPr>
              <w:t>Properties</w:t>
            </w:r>
          </w:p>
        </w:tc>
        <w:tc>
          <w:tcPr>
            <w:tcW w:w="6740" w:type="dxa"/>
            <w:vAlign w:val="bottom"/>
            <w:gridSpan w:val="22"/>
          </w:tcPr>
          <w:p>
            <w:pPr>
              <w:spacing w:after="0"/>
              <w:rPr>
                <w:sz w:val="11"/>
                <w:szCs w:val="11"/>
                <w:color w:val="auto"/>
              </w:rPr>
            </w:pP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54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3.</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Legal Proceedings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54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4.</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Mine Safety Disclosures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54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0000FF"/>
              </w:rPr>
              <w:t>Part II</w:t>
            </w:r>
          </w:p>
        </w:tc>
        <w:tc>
          <w:tcPr>
            <w:tcW w:w="2960" w:type="dxa"/>
            <w:vAlign w:val="bottom"/>
            <w:gridSpan w:val="5"/>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Item 5.</w:t>
            </w:r>
          </w:p>
        </w:tc>
        <w:tc>
          <w:tcPr>
            <w:tcW w:w="7420" w:type="dxa"/>
            <w:vAlign w:val="bottom"/>
            <w:gridSpan w:val="27"/>
          </w:tcPr>
          <w:p>
            <w:pPr>
              <w:spacing w:after="0"/>
              <w:rPr>
                <w:sz w:val="20"/>
                <w:szCs w:val="20"/>
                <w:color w:val="auto"/>
              </w:rPr>
            </w:pPr>
            <w:r>
              <w:rPr>
                <w:rFonts w:ascii="Times New Roman" w:cs="Times New Roman" w:eastAsia="Times New Roman" w:hAnsi="Times New Roman"/>
                <w:sz w:val="12"/>
                <w:szCs w:val="12"/>
                <w:color w:val="0000FF"/>
              </w:rPr>
              <w:t>Market for Registrant's Common Equity, Related Stockholder Matters and Issuer Purchases of Equity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55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6.</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[Reserved]</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56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7.</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56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88"/>
              </w:rPr>
              <w:t>Item 7A.</w:t>
            </w:r>
          </w:p>
        </w:tc>
        <w:tc>
          <w:tcPr>
            <w:tcW w:w="720" w:type="dxa"/>
            <w:vAlign w:val="bottom"/>
          </w:tcPr>
          <w:p>
            <w:pPr>
              <w:spacing w:after="0"/>
              <w:rPr>
                <w:sz w:val="11"/>
                <w:szCs w:val="11"/>
                <w:color w:val="auto"/>
              </w:rPr>
            </w:pP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68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Item 8.</w:t>
            </w:r>
          </w:p>
        </w:tc>
        <w:tc>
          <w:tcPr>
            <w:tcW w:w="720" w:type="dxa"/>
            <w:vAlign w:val="bottom"/>
          </w:tcPr>
          <w:p>
            <w:pPr>
              <w:spacing w:after="0"/>
              <w:rPr>
                <w:sz w:val="11"/>
                <w:szCs w:val="11"/>
                <w:color w:val="auto"/>
              </w:rPr>
            </w:pPr>
          </w:p>
        </w:tc>
        <w:tc>
          <w:tcPr>
            <w:tcW w:w="2900" w:type="dxa"/>
            <w:vAlign w:val="bottom"/>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Financial Statements and Supplementary Data</w:t>
            </w:r>
          </w:p>
        </w:tc>
        <w:tc>
          <w:tcPr>
            <w:tcW w:w="4520" w:type="dxa"/>
            <w:vAlign w:val="bottom"/>
            <w:gridSpan w:val="13"/>
          </w:tcPr>
          <w:p>
            <w:pPr>
              <w:spacing w:after="0"/>
              <w:rPr>
                <w:sz w:val="11"/>
                <w:szCs w:val="11"/>
                <w:color w:val="auto"/>
              </w:rPr>
            </w:pP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68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9.</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Changes in and Disagreements With Accountants on Accounting and Financial Disclosure</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68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88"/>
              </w:rPr>
              <w:t>Item 9A.</w:t>
            </w:r>
          </w:p>
        </w:tc>
        <w:tc>
          <w:tcPr>
            <w:tcW w:w="720" w:type="dxa"/>
            <w:vAlign w:val="bottom"/>
          </w:tcPr>
          <w:p>
            <w:pPr>
              <w:spacing w:after="0"/>
              <w:rPr>
                <w:sz w:val="11"/>
                <w:szCs w:val="11"/>
                <w:color w:val="auto"/>
              </w:rPr>
            </w:pP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Controls and Procedures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68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0"/>
              </w:rPr>
              <w:t>Item 9B.</w:t>
            </w:r>
          </w:p>
        </w:tc>
        <w:tc>
          <w:tcPr>
            <w:tcW w:w="720" w:type="dxa"/>
            <w:vAlign w:val="bottom"/>
          </w:tcPr>
          <w:p>
            <w:pPr>
              <w:spacing w:after="0"/>
              <w:rPr>
                <w:sz w:val="11"/>
                <w:szCs w:val="11"/>
                <w:color w:val="auto"/>
              </w:rPr>
            </w:pPr>
          </w:p>
        </w:tc>
        <w:tc>
          <w:tcPr>
            <w:tcW w:w="118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FF"/>
              </w:rPr>
              <w:t>Other Information</w:t>
            </w:r>
          </w:p>
        </w:tc>
        <w:tc>
          <w:tcPr>
            <w:tcW w:w="6240" w:type="dxa"/>
            <w:vAlign w:val="bottom"/>
            <w:gridSpan w:val="19"/>
          </w:tcPr>
          <w:p>
            <w:pPr>
              <w:spacing w:after="0"/>
              <w:rPr>
                <w:sz w:val="11"/>
                <w:szCs w:val="11"/>
                <w:color w:val="auto"/>
              </w:rPr>
            </w:pP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9C.</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2"/>
                <w:szCs w:val="12"/>
                <w:b w:val="1"/>
                <w:bCs w:val="1"/>
                <w:color w:val="0000FF"/>
              </w:rPr>
              <w:t>Part III</w:t>
            </w:r>
          </w:p>
        </w:tc>
        <w:tc>
          <w:tcPr>
            <w:tcW w:w="2920" w:type="dxa"/>
            <w:vAlign w:val="bottom"/>
            <w:gridSpan w:val="3"/>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Item 10.</w:t>
            </w:r>
          </w:p>
        </w:tc>
        <w:tc>
          <w:tcPr>
            <w:tcW w:w="7420" w:type="dxa"/>
            <w:vAlign w:val="bottom"/>
            <w:gridSpan w:val="27"/>
          </w:tcPr>
          <w:p>
            <w:pPr>
              <w:spacing w:after="0"/>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71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11.</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Executive Compensation</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12.</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Security Ownership of Certain Beneficial Owners and Management and Related Stockholder Matters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13.</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Certain Relationships and Related Transactions, and Director Independence</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14.</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Principal Accountant Fees and Services</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40" w:type="dxa"/>
            <w:vAlign w:val="bottom"/>
            <w:gridSpan w:val="10"/>
          </w:tcPr>
          <w:p>
            <w:pPr>
              <w:jc w:val="center"/>
              <w:ind w:right="2940"/>
              <w:spacing w:after="0"/>
              <w:rPr>
                <w:sz w:val="20"/>
                <w:szCs w:val="20"/>
                <w:color w:val="auto"/>
              </w:rPr>
            </w:pPr>
            <w:r>
              <w:rPr>
                <w:rFonts w:ascii="Times New Roman" w:cs="Times New Roman" w:eastAsia="Times New Roman" w:hAnsi="Times New Roman"/>
                <w:sz w:val="12"/>
                <w:szCs w:val="12"/>
                <w:b w:val="1"/>
                <w:bCs w:val="1"/>
                <w:color w:val="0000FF"/>
              </w:rPr>
              <w:t>Part IV</w:t>
            </w:r>
          </w:p>
        </w:tc>
        <w:tc>
          <w:tcPr>
            <w:tcW w:w="216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Item 15.</w:t>
            </w:r>
          </w:p>
        </w:tc>
        <w:tc>
          <w:tcPr>
            <w:tcW w:w="410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Exhibits and Financial Statement Schedules</w:t>
            </w:r>
          </w:p>
        </w:tc>
        <w:tc>
          <w:tcPr>
            <w:tcW w:w="380" w:type="dxa"/>
            <w:vAlign w:val="bottom"/>
            <w:tcBorders>
              <w:top w:val="single" w:sz="8" w:color="0000FF"/>
            </w:tcBorders>
            <w:gridSpan w:val="5"/>
          </w:tcPr>
          <w:p>
            <w:pPr>
              <w:spacing w:after="0"/>
              <w:rPr>
                <w:sz w:val="20"/>
                <w:szCs w:val="20"/>
                <w:color w:val="auto"/>
              </w:rPr>
            </w:pPr>
          </w:p>
        </w:tc>
        <w:tc>
          <w:tcPr>
            <w:tcW w:w="2940" w:type="dxa"/>
            <w:vAlign w:val="bottom"/>
            <w:gridSpan w:val="4"/>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72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320" w:type="dxa"/>
            <w:vAlign w:val="bottom"/>
            <w:gridSpan w:val="1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Item 16.</w:t>
            </w:r>
          </w:p>
        </w:tc>
        <w:tc>
          <w:tcPr>
            <w:tcW w:w="7420" w:type="dxa"/>
            <w:vAlign w:val="bottom"/>
            <w:gridSpan w:val="27"/>
          </w:tcPr>
          <w:p>
            <w:pPr>
              <w:spacing w:after="0" w:line="133" w:lineRule="exact"/>
              <w:rPr>
                <w:sz w:val="20"/>
                <w:szCs w:val="20"/>
                <w:color w:val="auto"/>
              </w:rPr>
            </w:pPr>
            <w:r>
              <w:rPr>
                <w:rFonts w:ascii="Times New Roman" w:cs="Times New Roman" w:eastAsia="Times New Roman" w:hAnsi="Times New Roman"/>
                <w:sz w:val="12"/>
                <w:szCs w:val="12"/>
                <w:color w:val="0000FF"/>
              </w:rPr>
              <w:t>Form 10-K Summary</w:t>
            </w: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7"/>
          </w:tcPr>
          <w:p>
            <w:pPr>
              <w:spacing w:after="0" w:line="133" w:lineRule="exact"/>
              <w:rPr>
                <w:sz w:val="20"/>
                <w:szCs w:val="20"/>
                <w:color w:val="auto"/>
              </w:rPr>
            </w:pPr>
            <w:r>
              <w:rPr>
                <w:rFonts w:ascii="Times New Roman" w:cs="Times New Roman" w:eastAsia="Times New Roman" w:hAnsi="Times New Roman"/>
                <w:sz w:val="12"/>
                <w:szCs w:val="12"/>
                <w:color w:val="0000FF"/>
              </w:rPr>
              <w:t>Signatures</w:t>
            </w:r>
          </w:p>
        </w:tc>
        <w:tc>
          <w:tcPr>
            <w:tcW w:w="6380" w:type="dxa"/>
            <w:vAlign w:val="bottom"/>
            <w:gridSpan w:val="20"/>
          </w:tcPr>
          <w:p>
            <w:pPr>
              <w:spacing w:after="0"/>
              <w:rPr>
                <w:sz w:val="11"/>
                <w:szCs w:val="11"/>
                <w:color w:val="auto"/>
              </w:rPr>
            </w:pPr>
          </w:p>
        </w:tc>
        <w:tc>
          <w:tcPr>
            <w:tcW w:w="2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76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3"/>
        </w:trPr>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This Annual Report on Form 10-K, or the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53"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53"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future payouts under the contingent value right, or CVR, issued to our holders of record as of the close of business on December 4, 2023;</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achieve the expected benefits or opportunities and related timing with respect to the Merger (as defined below) or to monetize any of our legacy assets;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results of operations and financial position, business strategy, and the length of time that we believe our existing cash resources will fund our operations;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market size and our potential growth opportunities;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preclinical and clinical development activities;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dependence on third-parties, including contract research organizations, or CROs, in the conduct of our pre-clinical studies and clinical trials;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efficacy and safety profile of our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therapeutic benefits and economic value of our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results of preclinical studies and clinical trials;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impairment of our goodwill and indefinite lived intangible assets;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expected impact of macroeconomic conditions, including inflation, increasing interest rates and volatile market conditions, current or potential bank failures;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events, including the ongoing conflicts between Russia and Ukraine and between Hamas and Israel and geopolitical tensions in China on our operations;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political uncertainty on our product development;</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receipt and timing of potential regulatory designations, approvals and commercialization of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prevent or minimize the effects of litigation and other contingencies;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status as a preclinical and development-stage company and our expectation to incur losses in the future, and the possibility that we never achieve or maintain profitability;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uncertainties with respect to our ability to access future capital;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maximize the value of our pipeline of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unproven approach to therapeutic intervention;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enroll patients in clinical trials, timely and successfully complete those trials and receive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363855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29" w:right="339" w:bottom="1440" w:gutter="0" w:footer="0" w:header="0"/>
        </w:sectPr>
      </w:pPr>
    </w:p>
    <w:bookmarkStart w:id="4" w:name="page5"/>
    <w:bookmarkEnd w:id="4"/>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continue to grow our manufacturing capabilities and resources;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manufacture our product candidates, which in some cases are manufactured on a patient-by-patient basis;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access manufacturing facilities and to receive or manufacture sufficient quantities of our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our existing or future collaborations or licenses and to seek new collaborations, licenses or partnerships;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pandemics or similar events on our operations, the continuity of our business, including our preclinical studies and clinical trials, and general economic conditions;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protect and enforce our intellectual property rights;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state, and foreign regulatory requirements, including U.S. Food and Drug Administration, or FDA, regulation of our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and retain key executives and retain qualified personnel;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relating to our competitors and our industry, including the impact of government regulation.</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Moreover, we operate in an evolving environment. New risks and uncertainties may emerge from time to time, and it is not possible for management to predict all risk and uncertainties.</w:t>
      </w:r>
    </w:p>
    <w:p>
      <w:pPr>
        <w:spacing w:after="0" w:line="78"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344170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633"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Corporate History and Background</w:t>
      </w:r>
    </w:p>
    <w:p>
      <w:pPr>
        <w:spacing w:after="0" w:line="82"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231F20"/>
        </w:rPr>
        <w:t>The Company (formerly known as Selecta Biosciences, Inc., or Selecta) was incorporated in Delaware on December 10, 2007, and is headquartered in Frederick, Maryland. On November 13, 2023, the Company and the Delaware corporation which, immediately prior to the Merger (as defined below),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73" w:lineRule="exact"/>
        <w:rPr>
          <w:sz w:val="20"/>
          <w:szCs w:val="20"/>
          <w:color w:val="auto"/>
        </w:rPr>
      </w:pPr>
    </w:p>
    <w:p>
      <w:pPr>
        <w:ind w:right="40" w:firstLine="216"/>
        <w:spacing w:after="0"/>
        <w:rPr>
          <w:sz w:val="20"/>
          <w:szCs w:val="20"/>
          <w:color w:val="auto"/>
        </w:rPr>
      </w:pPr>
      <w:r>
        <w:rPr>
          <w:rFonts w:ascii="Times New Roman" w:cs="Times New Roman" w:eastAsia="Times New Roman" w:hAnsi="Times New Roman"/>
          <w:sz w:val="12"/>
          <w:szCs w:val="12"/>
          <w:color w:val="auto"/>
        </w:rPr>
        <w:t xml:space="preserve">We are a clinical-stage biotechnology company </w:t>
      </w:r>
      <w:r>
        <w:rPr>
          <w:rFonts w:ascii="Times New Roman" w:cs="Times New Roman" w:eastAsia="Times New Roman" w:hAnsi="Times New Roman"/>
          <w:sz w:val="12"/>
          <w:szCs w:val="12"/>
          <w:color w:val="231F20"/>
        </w:rPr>
        <w:t>pioneering mRNA cell therapy for the treatment of autoimmune diseases. We leverage our proprietary technology and manufacturing platform to introduce one or more mRNA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 placebo-controlled Phase 2b clinical trial in patients with myasthenia gravis, or MG, a chronic autoimmune disease that causes disabling muscle weakness and fatigue, we observed that our lead product candidate, Descartes-08, generated a deep and durable clinical benefit where we observed an average MG-ADL (Activities of Daily Living) reduction of 5.5 points at Month 4 with a third of patients achieving minimal symptom expression at Month 6 and 80% of participants reaching Month 12 maintained a clinically meaningful response. Durability of response in MG is commonly measured over a period of 26 to 52 weeks, and maintenance of response over that period is considered durable.</w:t>
      </w:r>
    </w:p>
    <w:p>
      <w:pPr>
        <w:spacing w:after="0" w:line="63"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Autoimmune diseases, where the immune system mistakenly attacks the body, are a family of more than 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neonatal Fc receptor, or FcRn, must also typically be administered continually. We believe there is a significant unmet need for outpatient treatments, completed over a short period of time, that provide deep, durable clinical benefit.</w:t>
      </w:r>
    </w:p>
    <w:p>
      <w:pPr>
        <w:spacing w:after="0" w:line="47"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Cell therapies have the potential to provide this benefit, but conventional cell therapies that use DNA are associated with toxicities, including cytokine release syndrome, or CRS,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w:t>
      </w:r>
    </w:p>
    <w:p>
      <w:pPr>
        <w:spacing w:after="0" w:line="47"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3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are leveraging our proprietary technology and manufacturing platform to develop mRNA cell therapies for autoimmune diseases. Our mRNA CAR-T modality is a personalized approach that collects a patient’s T-cells and uses mRNA to introduce a chimeric antigen receptor, or CAR, into the cell. The CAR redirects the T-cells to target and destroy pathogenic self-reactive cells.</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table below summarizes key information about our development pipeline.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239395</wp:posOffset>
            </wp:positionV>
            <wp:extent cx="3771900" cy="1600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0" cy="160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216"/>
        <w:spacing w:after="0" w:line="327" w:lineRule="auto"/>
        <w:rPr>
          <w:sz w:val="20"/>
          <w:szCs w:val="20"/>
          <w:color w:val="auto"/>
        </w:rPr>
      </w:pPr>
      <w:r>
        <w:rPr>
          <w:rFonts w:ascii="Times New Roman" w:cs="Times New Roman" w:eastAsia="Times New Roman" w:hAnsi="Times New Roman"/>
          <w:sz w:val="11"/>
          <w:szCs w:val="11"/>
          <w:color w:val="auto"/>
        </w:rPr>
        <w:t>Our lead product candidate, Descartes-08, is an autologous mRNA CAR-T directed against the B cell maturation antigen, or BCMA, that we are developing for the treatment of autoimmune diseases. Descartes-08 has been granted Orphan Drug Designation and Regenerative Medicine Advanced Therapy, or RMAT, Designation by the FDA for the treatment of MG as well as a Rare Pediatric Disease Designation for the treatment of juvenile dermatomyositis.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Descartes-08 for the Treatment of MG</w:t>
      </w:r>
    </w:p>
    <w:p>
      <w:pPr>
        <w:spacing w:after="0" w:line="80"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In July 2024, we reported topline results from a Phase 2b randomized, double-blind, placebo-controlled trial in patients with MG. The trial achieved its primary endpoint with statistical significance in the pre-specified modified intent-to-treat, or mITT, efficacy population, with 71% (10/14) of patients treated with Descartes-08 observed to have 5-point or greater improvements in MG Composite, or 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5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Consistent with previously reported results from the Phase 2a open-label portion of the trial, Descartes-08 responders experienced deep improvements across the MG severity scales at Month 3 (average MG-ADL (Activities of Daily Living) = -5.6; MGC= -8.3; QMG (Quantitative MG) = -5.0; QoL-15r (Quality of Life Revised Scale) = -7.9). A 2-point improvement in MG-ADL and 3-point improvement in MGC and QMG scales are considered “clinically meaningful” by expert consensus published in peer-reviewed journals. The improvements seen at Month 3 persisted or further improved in patients evaluated at their Month 4 (n=5) and Month 6 (n=3) follow-up visits, as of the June 19, 2024 data cutoff date.</w:t>
      </w:r>
    </w:p>
    <w:p>
      <w:pPr>
        <w:spacing w:after="0" w:line="5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231F20"/>
        </w:rPr>
        <w:t>In December 2024, we reported updated results from this trial. Deepening of responses was observed over time with participants included in the primary efficacy dataset who continued follow-up (n=12) experiencing an average MG-ADL reduction of 5.5 (±1.1) at Month 4. At Month 4, particularly deep responses were observed in participants without prior exposure to biologic therapies (n=7), including complement or neonatal fragment crystallizable receptor inhibitors, with an average MG-ADL reduction of 6.6 (±1.5). Responses were observed to further deepen at Month 6, with 33% (4/12) of participants in the primary efficacy dataset and 57% (4/7) of participants with no prior exposure to biologic therapy observed to have minimum symptom expression, defined as an MG-ADL score of 0 or 1. Responses were observed to be durable through Month 12, with 80% (4/5) of evaluable participants from the primary efficacy dataset maintaining a clinically meaningful response, defined as a reduction in MG-ADL score of at least 2 points. Of the two participants with no prior exposure to biologic therapy that reached Month 12, both maintained at least a clinically meaningful response, with one continuing to demonstrate minimum symptom expression.</w:t>
      </w:r>
    </w:p>
    <w:p>
      <w:pPr>
        <w:spacing w:after="0" w:line="53"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Consistent with previously reported results from the Phase 2a open-label portion of the trial, Descartes-08 continued to be observed as well-tolerated, supporting outpatient administration without the need for lymphodepleting chemotherapy. Consistent with previously reported data, Descartes-08 was observed to be well-tolerated across the safety dataset (n=36), and adverse events were transient and mostly mild. Notably, there were no cases of CRS, and no cases of immune effector cell-associated neurotoxicity syndrome, or ICANS. In addition, treatment with Descartes-08 was not observed to lead to a decrease in vaccine titers for common viruses and was not associated with increased rates of infection or hypogammaglobulinemia.</w:t>
      </w:r>
    </w:p>
    <w:p>
      <w:pPr>
        <w:spacing w:after="0" w:line="50"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Within this data readout, we also announced updated trial results from a Phase 2a open-label trial of Descartes-08 in patients with MG from certain retreated patients. Two participants were previously retreated, and experienced rapid improvement in clinical scores and maintained minimum symptom expression for up to one year after receiving a second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treatment cycle. A third participant received a second treatment cycle and at the participant’s Month 2 visit, two weeks after the last Descartes-08 infusion, achieved a 4-point reduction in MG-ADL and 6-point reduction in MGC scores from baseline, without reports of CRS or ICANS. The time course and magnitude of treatment response upon retreatment were similar to the time course and magnitude of treatment response observed when the participants were first treated. Four of the seven remaining participants from the Phase 2a portion of the trial maintained clinically meaningful responses for at least one year following initial dosing.</w:t>
      </w:r>
    </w:p>
    <w:p>
      <w:pPr>
        <w:spacing w:after="0" w:line="47"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We plan to commence our Phase 3 AURORA trial of Descartes-08 in patients with MG in the first half of 2025. The randomized, double-blind, placebo-controlled Phase 3 AURORA trial is designed to assess Descartes-08 versus placebo (1:1 randomization) administered as six weekly outpatient infusions without preconditioning chemotherapy in approximately 100 participants with acetylcholine receptor autoantibody positive, or AChR Ab+, MG. The primary endpoint will assess the proportion of Descartes-08 participants with an improvement in MG-ADL score of three points or more at Month 4 compared to placebo. Secondary endpoints will assess safety and tolerability and the proportion of participants with a reduction of four points or more in MGC score, as well as improvements in other validated MG severity scales, including Quantitative MG, QMG, and MG Quality of Life Revised Scale, or MG-QoL-15R. In January 2025, we received written agreement from the FDA under the Special Protocol Assessment, or SPA, process on the overall design of our planned AURORA trial. The SPA agreement indicates that the FDA has determined that the proposed trial design is acceptable to support a future Biologics License Application, or BLA, for Descartes-08 in MG, subject to the ultimate outcome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40640</wp:posOffset>
            </wp:positionV>
            <wp:extent cx="3771900" cy="1737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0" cy="173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Descartes-08 for the Treatment of Other Autoimmune Diseases</w:t>
      </w:r>
    </w:p>
    <w:p>
      <w:pPr>
        <w:spacing w:after="0" w:line="8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We are also developing Descartes-08 for the treatment of other autoimmune diseases. In July 2024, the first patient was dosed in our Phase 2 trial of Descartes-08 for the treatment of systemic lupus erythematosus, or SLE, a chronic autoimmune disease that causes systemic inflammation affecting multiple organ systems. A data readout of this trial is expected in the second half of 2025.</w:t>
      </w:r>
    </w:p>
    <w:p>
      <w:pPr>
        <w:spacing w:after="0" w:line="39"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231F20"/>
        </w:rPr>
        <w:t>In December 2024, we filed an amendment to the investigational new drug application, or IND, for a pediatric basket trial for juvenile dermatomyositis, or JDM, juvenile SLE, juvenile MG, anti-neutrophil cytoplasmic antibody-associated vasculitis, as well as other conditions. Our Phase 2 basket trial in pediatric patients is expected to initiate in the second half of 2025. The FDA has also granted Descartes-08 Rare Pediatric Disease Designation for the treatment of JDM. The FDA grants Rare Pediatric Disease Designation for serious and life-threatening diseases that primarily affect children ages 18 years or younger and fewer than 200,000 people in the United States. Under the FDA’s Rare Pediatric Disease Designation and priority review voucher programs, if Decartes-08 is approved for marketing in JDM, Cartesian may qualify for a priority review voucher that can be redeemed to receive priority review of a subsequent marketing application for a different product candidate.</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Descartes-15</w:t>
      </w:r>
    </w:p>
    <w:p>
      <w:pPr>
        <w:spacing w:after="0" w:line="80"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231F20"/>
        </w:rPr>
        <w:t>Descartes-15 is our next-generation autologous anti-BCMA mRNA CAR-T. In preclinical studies, we have observed Descartes-15 to be 10-fold more potent than Descartes-08. We are testing the safety of Descartes-15 in an open label, single-arm Phase 1 trial in patients with relapsed/refractory multiple myeloma. This trial remains ongoing with three patients dosed to date. We expect that the Phase 1 trial data will inform our clinical development plan for Descartes-15 in autoimmune diseases.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Limitations of Current DNA-Based Cell Therapy Treatments in Autoimmune Disease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60" w:firstLine="216"/>
        <w:spacing w:after="0" w:line="279" w:lineRule="auto"/>
        <w:rPr>
          <w:sz w:val="20"/>
          <w:szCs w:val="20"/>
          <w:color w:val="auto"/>
        </w:rPr>
      </w:pPr>
      <w:r>
        <w:rPr>
          <w:rFonts w:ascii="Times New Roman" w:cs="Times New Roman" w:eastAsia="Times New Roman" w:hAnsi="Times New Roman"/>
          <w:sz w:val="12"/>
          <w:szCs w:val="12"/>
          <w:color w:val="231F20"/>
        </w:rPr>
        <w:t>Conventional DNA cell therapies have been associated with CRS,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39" w:lineRule="exact"/>
        <w:rPr>
          <w:sz w:val="20"/>
          <w:szCs w:val="20"/>
          <w:color w:val="auto"/>
        </w:rPr>
      </w:pPr>
    </w:p>
    <w:p>
      <w:pPr>
        <w:ind w:right="240" w:firstLine="216"/>
        <w:spacing w:after="0" w:line="260" w:lineRule="auto"/>
        <w:rPr>
          <w:sz w:val="20"/>
          <w:szCs w:val="20"/>
          <w:color w:val="auto"/>
        </w:rPr>
      </w:pPr>
      <w:r>
        <w:rPr>
          <w:rFonts w:ascii="Times New Roman" w:cs="Times New Roman" w:eastAsia="Times New Roman" w:hAnsi="Times New Roman"/>
          <w:sz w:val="12"/>
          <w:szCs w:val="12"/>
          <w:color w:val="231F20"/>
        </w:rPr>
        <w:t>Conventional DNA-engineered CAR-T cells are in clinical development for several autoimmune diseases. 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 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w:t>
      </w:r>
    </w:p>
    <w:p>
      <w:pPr>
        <w:spacing w:after="0" w:line="50"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231F20"/>
        </w:rPr>
        <w:t>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Given these risks and requirements, conventional DNA cell therapies are administered under close monitoring in an inpatient setting, increasing their cost and limiting their reach to only the sickest patients.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Limitations of Current Biologic Treatments in Autoimmune Disease</w:t>
      </w:r>
    </w:p>
    <w:p>
      <w:pPr>
        <w:spacing w:after="0" w:line="82"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231F20"/>
        </w:rPr>
        <w:t>Currently approved biologic therapies for MG, such as complement inhibitors and FcRn inhibitors have significantly improved treatment options, but they come with limitations such as incomplete response, immunosuppression risks, high treatment burden, lack of disease modification and potential for emerging resistance.</w:t>
      </w:r>
    </w:p>
    <w:p>
      <w:pPr>
        <w:spacing w:after="0" w:line="3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231F20"/>
        </w:rPr>
        <w:t>Not all patients with AChR+ MG respond adequately to currently approved biologics. The variability in treatment response may be due to differences in disease mechanisms, with some patients having disease drivers beyond complement activation (for complement inhibitors) or immunoglobulin G, or IgG, reduction (for FcRn inhibitors). Additionally, some individuals experience an initial improvement but later lose response, requiring adjustments in their treatment strategy.</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Biologic therapies used for MG can increase the risk of infections. Complement inhibitors in particular, heighten susceptibility to Neisseria infections, necessitating vaccination and, in some cases, prophylactic antibiotic use.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Patients receiving FcRn inhibitors may also experience an increased risk of infections due to immunoglobulin depletion. The long-term safety of these treatments remains an area of active study.</w:t>
      </w:r>
    </w:p>
    <w:p>
      <w:pPr>
        <w:spacing w:after="0" w:line="67" w:lineRule="exact"/>
        <w:rPr>
          <w:sz w:val="20"/>
          <w:szCs w:val="20"/>
          <w:color w:val="auto"/>
        </w:rPr>
      </w:pPr>
    </w:p>
    <w:p>
      <w:pPr>
        <w:ind w:right="360" w:firstLine="216"/>
        <w:spacing w:after="0" w:line="265" w:lineRule="auto"/>
        <w:rPr>
          <w:sz w:val="20"/>
          <w:szCs w:val="20"/>
          <w:color w:val="auto"/>
        </w:rPr>
      </w:pPr>
      <w:r>
        <w:rPr>
          <w:rFonts w:ascii="Times New Roman" w:cs="Times New Roman" w:eastAsia="Times New Roman" w:hAnsi="Times New Roman"/>
          <w:sz w:val="12"/>
          <w:szCs w:val="12"/>
          <w:color w:val="231F20"/>
        </w:rPr>
        <w:t>Currently approved biologic therapies require frequent infusions, which can be burdensome for patients. Efgartigimod requires weekly infusions in repeated cycles, while eculizumab is administered every two weeks and ravulizumab every eight weeks. While ravulizumab reduces the frequency of infusions compared to eculizumab, both of these treatments require ongoing maintenance, which may impact patient quality of life. Access to infusion centers or home infusion services further adds to the logistical challenges.</w:t>
      </w:r>
    </w:p>
    <w:p>
      <w:pPr>
        <w:spacing w:after="0" w:line="47"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231F20"/>
        </w:rPr>
        <w:t>All existing biologic therapies for MG manage symptoms rather than addressing the root cause of the disease. These treatments do not eliminate the underlying autoimmune process or autoreactive B and T cells, meaning patients typically require lifelong therapy. While symptom control is critical, the need for continuous treatment highlights the unmet need for therapies that could induce long-term remission.</w:t>
      </w:r>
    </w:p>
    <w:p>
      <w:pPr>
        <w:spacing w:after="0" w:line="3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Finally, the effectiveness of complement inhibitors may vary among patients due to differences in complement system activity or genetic factors. Some individuals may have upregulated alternative complement pathways or specific gene polymorphisms that reduce the efficacy of eculizumab and ravulizumab. This variability underscores the importance of identifying biomarkers that could help predict response and guide personalized treatment strategies.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Our Autoimmune Disease Solution</w:t>
      </w:r>
    </w:p>
    <w:p>
      <w:pPr>
        <w:spacing w:after="0" w:line="82"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231F20"/>
        </w:rPr>
        <w:t>We believe that mRNA cell therapy has the potential to be a potent yet safer alternative to DNA cell therapy for treating autoimmune diseases. As the data in our clinical trials indicates, the mRNA cell therapies we are developing have the potential to deliver deep and durable clinical benefits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w:t>
      </w:r>
    </w:p>
    <w:p>
      <w:pPr>
        <w:spacing w:after="0" w:line="47" w:lineRule="exact"/>
        <w:rPr>
          <w:sz w:val="20"/>
          <w:szCs w:val="20"/>
          <w:color w:val="auto"/>
        </w:rPr>
      </w:pPr>
    </w:p>
    <w:p>
      <w:pPr>
        <w:jc w:val="both"/>
        <w:ind w:right="140" w:firstLine="216"/>
        <w:spacing w:after="0" w:line="260" w:lineRule="auto"/>
        <w:rPr>
          <w:sz w:val="20"/>
          <w:szCs w:val="20"/>
          <w:color w:val="auto"/>
        </w:rPr>
      </w:pPr>
      <w:r>
        <w:rPr>
          <w:rFonts w:ascii="Times New Roman" w:cs="Times New Roman" w:eastAsia="Times New Roman" w:hAnsi="Times New Roman"/>
          <w:sz w:val="12"/>
          <w:szCs w:val="12"/>
          <w:color w:val="231F20"/>
        </w:rPr>
        <w:t>mRNA CAR-T cells locate their target, become activated, and proliferate like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unlike DNA CAR-T cells, our mRNA CAR-T cells provide pharmacokinetic control. In other words, a patient’s exposure to our cells is determined by the dose. The time, course and duration of that exposure are substantially determined by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231F20"/>
        </w:rPr>
        <w:t>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w:t>
      </w:r>
    </w:p>
    <w:p>
      <w:pPr>
        <w:spacing w:after="0" w:line="47"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231F20"/>
        </w:rPr>
        <w:t>As of December 31, 2024, we have administered Descartes-08 to over 100 patients suffering from one of MG, multiple myeloma, and other diseases in open-label trials on an outpatient basis, many at community clinics. We have not observed product-related CRS, neurotoxicity or infection of any grade. The most common product-related adverse events observed, headache, nausea, and fever, were self-limited and resolved within 72 hours of onset. One participant with MG with a history of allergic reaction to biologics developed hives after the third infusion and was hospitalized for monitoring. The patient’s hives resolved completely after a brief course of steroids.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Our Product Candidates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Descartes-08</w:t>
      </w:r>
    </w:p>
    <w:p>
      <w:pPr>
        <w:spacing w:after="0" w:line="8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231F20"/>
        </w:rPr>
        <w:t>Descartes-08, our lead mRNA cell therapy candidate, is an autologous mRNA CAR-T product targeting BCMA in clinical development for generalized MG and SLE. In contrast to conventional DNA-based CAR T-cell therapies, mRNA CAR-T administration is designed to not require preconditioning chemotherapy, can be administered in the outpatient setting, and does not carry the risk of genomic integration associated with cancerous transformation. Descartes-08 has been granted Orphan Drug Designation and RMAT Designation by the FDA for the treatment of MG, and Rare Pediatric Disease Designation for the treatment of JDM.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231F20"/>
        </w:rPr>
        <w:t>Descartes-08 for the Treatment of MG</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231F20"/>
        </w:rPr>
        <w:t>Overview</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Descartes-08 has been granted Orphan Drug Designation by the FDA for the treatment of MG. We chose MG as our lead indication because the pathogenesis for MG is common to many autoimmune diseases.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231F20"/>
        </w:rPr>
        <w:t>Background Information About MG</w:t>
      </w:r>
    </w:p>
    <w:p>
      <w:pPr>
        <w:spacing w:after="0" w:line="7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231F20"/>
        </w:rPr>
        <w:t>MG is a rare autoimmune disease that causes debilitating muscle weakness and fatigue. It is estimated to affect over 120,000 patients in the U.S. and Europe. MG patients develop antibodies that lead to an immunological 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53" w:lineRule="exact"/>
        <w:rPr>
          <w:sz w:val="20"/>
          <w:szCs w:val="20"/>
          <w:color w:val="auto"/>
        </w:rPr>
      </w:pPr>
    </w:p>
    <w:p>
      <w:pPr>
        <w:ind w:right="640" w:firstLine="216"/>
        <w:spacing w:after="0" w:line="279" w:lineRule="auto"/>
        <w:rPr>
          <w:sz w:val="20"/>
          <w:szCs w:val="20"/>
          <w:color w:val="auto"/>
        </w:rPr>
      </w:pPr>
      <w:r>
        <w:rPr>
          <w:rFonts w:ascii="Times New Roman" w:cs="Times New Roman" w:eastAsia="Times New Roman" w:hAnsi="Times New Roman"/>
          <w:sz w:val="12"/>
          <w:szCs w:val="12"/>
          <w:color w:val="231F20"/>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231F20"/>
        </w:rPr>
        <w:t>Clinical Development</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To date, we have completed the Phase 1/2 trial of Descartes-08 in MG, which consisted of a Phase 1b portion, a Phase 2a portion, and a Phase 2b portion.</w:t>
      </w:r>
    </w:p>
    <w:p>
      <w:pPr>
        <w:spacing w:after="0" w:line="78"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The primary objective of the Phase 1b portion of the trial was to determine the maximum tolerated dose of Descartes-08 for patients with MG. We observed Descartes-08 to be well-tolerated by the three patients who participated in this portion of the trial with no CRS or other serious product-related adverse events.</w:t>
      </w:r>
    </w:p>
    <w:p>
      <w:pPr>
        <w:spacing w:after="0" w:line="3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The primary objective of the Phase 2a portion of the trial was to determine the optimal dosing schedule for patients with MG using the highest dose level tested in Phase 1b (52.5 x106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had moderate-to-severe weakness affecting their muscles.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231F20"/>
        </w:rPr>
        <w:t>The results of the Phase 2a portion of the trial, published in the Lancet Neurology in July 2023, indicated that after six weekly infusions of Descartes-08, the average improvement in all disease severity scores was three-to-five-fold greater than what is considered clinically meaningful by expert consensus. As shown in the figure below, clinical improvements persisted in all patients at Month 9, and in five of the seven remaining patients at a final, 12-month follow-up. Descartes-08 was observed to be well-tolerated with no reports of dose-limiting toxicities, CRS or neurotoxicity.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185420</wp:posOffset>
            </wp:positionV>
            <wp:extent cx="390906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906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231F20"/>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w:t>
      </w:r>
    </w:p>
    <w:p>
      <w:pPr>
        <w:spacing w:after="0" w:line="3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All three participants with detectable anti-acetylcholine receptor antibody levels before treatment had an average 42% reduction in antibody levels by Month 6. These reductions deepened to 68% by Month 9 and persisted at Month 12. In summary, we observed continued clinical improvement and autoantibody reductions after BCMA directed mRNA CAR-T treatment for MG that persisted through the one-year follow-up period.</w:t>
      </w:r>
    </w:p>
    <w:p>
      <w:pPr>
        <w:spacing w:after="0" w:line="39"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231F20"/>
        </w:rPr>
        <w:t>Follow-on results of the Phase 2b portion of the trial were presented in December 2024. The trial reached its primary endpoint to assess the proportion of patients achieving a five-point or greater reduction in their MGC score at day 85. Patients received six weekly infusions at the dose established in Phase 1b (52.5 x106 cells/kg). The trial also involved a crossover component, in which any patient originally assigned to placebo was given the opportunity to receive Descartes-08 after completing trial treatment.</w:t>
      </w:r>
    </w:p>
    <w:p>
      <w:pPr>
        <w:spacing w:after="0" w:line="47"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231F20"/>
        </w:rPr>
        <w:t>In the Phase 2b trial, we observed a deepening of responses after Month 3 in the primary efficacy data set. Two MG composite responders at Month 3 withdrew from the study before Month 4 for personal reasons (total number of participants at Month 4 and Month 6 was 12). Of the 12 participants as of the readout date, eight had reached Month 9 follow-up and five had reached Month 12 follow-up, thus completing the trial. Results of the study showed an average MG-ADL reduction of 5.5 points at Month 4 (chart below on the left) and an average MGC reduction of 7.1 for Descartes-08 treated patients (chart below on the right), both of which exceed the thresholds clinicians generally consider clinically meaningful, defined as a reduction in MG-ADL score of at least two points and a reduction in MGC score of at least three points. Additionally, at Month 6, one third of all participants were observed to achieve minimal symptom expression. This is consistent with what we observed in the Phase 2a trial, where deepest responses were observed to occur at Month 6 and Month 9.</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239395</wp:posOffset>
            </wp:positionV>
            <wp:extent cx="3771900" cy="1583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71900" cy="158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231F20"/>
        </w:rPr>
        <w:t>Additionally, 80% of all participants who reached Month 12, including both responders and non-responders at Month 3, were observed to maintain clinically meaningful responses as measured by both MG-ADL and MGC. We also observed that 57% of the participants with no prior exposure to biologic therapy, achieved minimal symptom expression at Month 6. Of the two participants with no prior exposure to biologic therapy that reached Month 12, both were observed to maintain at least a clinically meaningful response with one continuing to maintain minimal symptom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36830</wp:posOffset>
            </wp:positionV>
            <wp:extent cx="3909060" cy="1680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0906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00" w:firstLine="216"/>
        <w:spacing w:after="0" w:line="265" w:lineRule="auto"/>
        <w:rPr>
          <w:sz w:val="20"/>
          <w:szCs w:val="20"/>
          <w:color w:val="auto"/>
        </w:rPr>
      </w:pPr>
      <w:r>
        <w:rPr>
          <w:rFonts w:ascii="Times New Roman" w:cs="Times New Roman" w:eastAsia="Times New Roman" w:hAnsi="Times New Roman"/>
          <w:sz w:val="12"/>
          <w:szCs w:val="12"/>
          <w:color w:val="auto"/>
        </w:rPr>
        <w:t>The safety profile observed in the follow-up portion of the Phase 2b trial was in line with what we reported at the time of our top line data readout as well as the Phase 2a portion of the trial. Of note, there was a Grade 2 upper respiratory infection reported in both the Descartes-08 and placebo groups. There were no other new adverse events, or AEs, reported, including no hypogammaglobulinemia and other infections and no difference in vaccine titers between Descartes-08 and placebo.</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193675</wp:posOffset>
            </wp:positionV>
            <wp:extent cx="3909060" cy="1834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0906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previously reported that there were three participants in the Phase 2a portion of the trial who were observed to have a response to Descartes-08, but then reverted to baseline, two patients one year after treatment and the other 1.5 years after treatment. As previously reported, there were two participants who were retreated and experienced rapid improvements in clinical scores and maintained minimum symptom expression for up to one year after receiving a second treatment cycle. The time course and magnitude of treatment response upon retreatment were similar to those seen when the participants were first treated. Notably, in the one participant who completed their 12-month retreatment follow-up visit, the duration of response was observed to be longer than that patient’s initial response, and this patient had maintained minimum symptom expression at Month 12. The third retreated participant, at their Month 2 visit, which was 2 weeks after their last Descartes-08 infusion, achieved a 4-point reduction in MG-ADL and 6-point reduction in MGC scores from baseline, without reports of CRS or ICANS.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97790</wp:posOffset>
            </wp:positionV>
            <wp:extent cx="3909060" cy="1771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09060"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231F20"/>
        </w:rPr>
        <w:t>Descartes-08 for the Treatment of Systemic Lupus Erythematosus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231F20"/>
        </w:rPr>
        <w:t>Overview</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We are also developing Descartes-08 for the treatment of SLE, a chronic autoimmune disease that causes systemic inflammation which affects multiple organ systems.</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231F20"/>
        </w:rPr>
        <w:t>Background Information About Systemic Lupus Erythematosus</w:t>
      </w:r>
    </w:p>
    <w:p>
      <w:pPr>
        <w:spacing w:after="0" w:line="78"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231F20"/>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231F20"/>
        </w:rPr>
        <w:t>Next Steps</w:t>
      </w:r>
    </w:p>
    <w:p>
      <w:pPr>
        <w:spacing w:after="0" w:line="78" w:lineRule="exact"/>
        <w:rPr>
          <w:sz w:val="20"/>
          <w:szCs w:val="20"/>
          <w:color w:val="auto"/>
        </w:rPr>
      </w:pPr>
    </w:p>
    <w:p>
      <w:pPr>
        <w:ind w:right="160" w:firstLine="216"/>
        <w:spacing w:after="0" w:line="300" w:lineRule="auto"/>
        <w:rPr>
          <w:sz w:val="20"/>
          <w:szCs w:val="20"/>
          <w:color w:val="auto"/>
        </w:rPr>
      </w:pPr>
      <w:r>
        <w:rPr>
          <w:rFonts w:ascii="Times New Roman" w:cs="Times New Roman" w:eastAsia="Times New Roman" w:hAnsi="Times New Roman"/>
          <w:sz w:val="11"/>
          <w:szCs w:val="11"/>
          <w:color w:val="231F20"/>
        </w:rPr>
        <w:t>We recently initiated a multi-center open-label single-arm Phase 2 trial, for which we have received FDA IND allowance. The primary objective of this trial is to evaluate the safety, tolerability, and manufacturing feasibility of Descartes-08 mRNA CAR-T cells administered as six once-weekly outpatient infusions of 52.5x106 cells/kg without pre-treatment chemotherapy in approximately 30 patients with SLE. We also filed an amendment to the IND application with our Descartes-08 product candidate in pediatric autoimmune disease in December 2024. This Phase 2 SLE trial of Descartes-08 remains ongoing and a preliminary data readout is expected in the second half of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Descartes-15</w:t>
      </w:r>
    </w:p>
    <w:p>
      <w:pPr>
        <w:spacing w:after="0" w:line="8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 and dosing is underway in this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38735</wp:posOffset>
            </wp:positionV>
            <wp:extent cx="3771900" cy="2268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0" cy="226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231F20"/>
        </w:rPr>
        <w:t>Next Steps</w:t>
      </w:r>
    </w:p>
    <w:p>
      <w:pPr>
        <w:spacing w:after="0" w:line="78"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231F20"/>
        </w:rPr>
        <w:t>The Phase 1 dose escalation trial is designed to assess the safety and tolerability of outpatient Descartes-15 administration in patients with multiple myeloma. Following the Phase 1 dose escalation trial, we expect to subsequently assess Descartes-15 in autoimmune indications.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Manufacturing</w:t>
      </w:r>
    </w:p>
    <w:p>
      <w:pPr>
        <w:spacing w:after="0" w:line="82" w:lineRule="exact"/>
        <w:rPr>
          <w:sz w:val="20"/>
          <w:szCs w:val="20"/>
          <w:color w:val="auto"/>
        </w:rPr>
      </w:pPr>
    </w:p>
    <w:p>
      <w:pPr>
        <w:ind w:right="180" w:firstLine="216"/>
        <w:spacing w:after="0" w:line="257" w:lineRule="auto"/>
        <w:rPr>
          <w:sz w:val="20"/>
          <w:szCs w:val="20"/>
          <w:color w:val="auto"/>
        </w:rPr>
      </w:pPr>
      <w:r>
        <w:rPr>
          <w:rFonts w:ascii="Times New Roman" w:cs="Times New Roman" w:eastAsia="Times New Roman" w:hAnsi="Times New Roman"/>
          <w:sz w:val="12"/>
          <w:szCs w:val="12"/>
          <w:color w:val="231F20"/>
        </w:rPr>
        <w:t>We have established wholly-owned internal manufacturing and research and development capabilities, which allow us to optimize processes rapidly and in an iterative manner. Our main manufacturing facility is located in Frederick, Maryland, and operates under current good manufacturing practice, or cGMP. This facility has sufficient capacity to support current clinical needs and can potentially transition to support commercial manufacturing of our maturing pipeline of innovative mRNA cell therapies for the treatment of autoimmune diseases. We believe the Frederick facility will allow us to scale our wholly-owned, in-house cGMP manufacturing capabilities for late-stage clinical and commercial supply of our mRNA cell therapy product candidates, while continuing to maintain control over product quality and production. We also maintain additional manufacturing space located in Gaithersburg, Maryland.</w:t>
      </w:r>
    </w:p>
    <w:p>
      <w:pPr>
        <w:spacing w:after="0" w:line="53"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8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231F20"/>
        </w:rPr>
        <w:t>Our success depends in part on our ability to obtain, maintain, protect, defend and enforce proprietary protection for our drug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“Risk Factors—Risks Related to Our Intellectual Property.”</w:t>
      </w:r>
    </w:p>
    <w:p>
      <w:pPr>
        <w:spacing w:after="0" w:line="47"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231F20"/>
        </w:rPr>
        <w:t>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2024, we had seven issued patents worldwide, including three patents issued in the United States (U.S. Patent Nos. 10,934,337, 11,220,535, and 11,999,773) and four patents issued outside the United States (Japanese Patent No. 7,379,654, Canadian Patent No. 3,158,025, Israeli Patent No. 285909, and Korean Patent No. 102588292. Our issued patents and any patents issuing from our pending applications are set to expire on various dates in 2040 through 2044. Additionally, as of December 31, 2024, we had 13 patent applications pending worldwide, including three U.S. applications, eight applications in ex-U.S. jurisdictions, and 2 International (PCT) applications. A patent granted on U.S. Patent Application No. 18/654,279 will expire on March 13, 2040, a patent granted on U.S. Patent Application No. 17/919,092 will expire on April 15, 2041, and a patent granted on U.S. Patent Application No. 18/292,670 will expire on July 28, 2042, barring any potential patent term adjustment or terminal disclaimers. These U.S. patent applications are directed to compositions of matter, and U.S. Patent Application No. 18/292,670 is also directed to methods of use. In addition, PCT/US2024/020251 was filed on March 15, 2024, a composition-of-matter and method-of-use PCT application, and any national stage application based on it will expire on March 15, 2044. Also, PCT/US2024/020815 was filed on March 20, 2024, a composition-of-matter and method-of-use PCT application, and any national stage applications based on it will expire on March 20, 2044. In addition, a patent granted on any of European patent application 20773688.5, AU 2020241428, CA 3199205, CN 202080020956.1, IN 202117036675, KR 2023-7034215, or MX/a/2021/011196 will expire March 2040 and a patent granted on European patent application 21789568.9 will expire April 2041. All of these patent applications are composition-of-matter applications. In addition, we had two registered marks protecting our brand and prospective products both domestically and internationally. With respect to the legacy Selecta assets, as of December 31, 2024, we had (i) 102 issued patents worldwide, including 11 patents issued in the United States and 91 issued outside the United States, set to expire on various dates in 2032 through 2043, (ii) 65 patent applications pending worldwide, including 12 U.S. applications and 53 applications outside the United States and (iii) two registered marks.</w:t>
      </w:r>
    </w:p>
    <w:p>
      <w:pPr>
        <w:spacing w:after="0" w:line="60"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231F20"/>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“Risk factors—Risks Related to Our Intellectual Property.”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Key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231F20"/>
        </w:rPr>
        <w:t>Biogen License Agreement</w:t>
      </w:r>
    </w:p>
    <w:p>
      <w:pPr>
        <w:spacing w:after="0" w:line="80"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231F20"/>
        </w:rPr>
        <w:t>On September 8, 2023, we entered into a non-exclusive, sublicensable, worldwide, perpetual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47"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231F20"/>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w:t>
      </w:r>
    </w:p>
    <w:p>
      <w:pPr>
        <w:spacing w:after="0" w:line="47"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231F20"/>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231F20"/>
        </w:rPr>
        <w:t>NCI License Agreement</w:t>
      </w:r>
    </w:p>
    <w:p>
      <w:pPr>
        <w:spacing w:after="0" w:line="80"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231F20"/>
        </w:rPr>
        <w:t>Effective September 16, 2019, we entered into a non-exclusive, worldwide license agreement, or the NCI Agreement, with the U.S. Department of Health and Human Services, represented by the National Cancer Institute of the National Institutes of Health, or NCI.</w:t>
      </w:r>
    </w:p>
    <w:p>
      <w:pPr>
        <w:spacing w:after="0" w:line="39"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231F20"/>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47"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231F20"/>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47"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231F20"/>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w:t>
      </w:r>
    </w:p>
    <w:p>
      <w:pPr>
        <w:spacing w:after="0" w:line="53"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Additionally, we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39"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231F20"/>
        </w:rPr>
        <w:t>The NCI Agreement terminates upon the expiration of the last to expire of the patent rights licensed thereunder, if not sooner terminated. The NCI License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 NCI has the right 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231F20"/>
        </w:rPr>
        <w:t>terminate this agreement, after giving written notice and providing 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third-parties’ use of the licensed patent rights and licensed products or licensed processes developed in connection with the licensed patent rights.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Sobi License Agreement</w:t>
      </w:r>
    </w:p>
    <w:p>
      <w:pPr>
        <w:spacing w:after="0" w:line="80"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On June 11, 2020, we entered into a License and Development Agreement with Swedish Orphan Biovitrum AB (publ.), or Sobi, which was amended on October 31, 2023, or, as so amended, the Sobi License. Pursuant to the Sobi License, we granted Sobi an exclusive, worldwide (except as to Greater China) license to develop, manufacture and commercialize a drug candidate known as SEL-212, which is currently in development for the treatment of chronic refractory gout. Pursuant to the Sobi License, Sobi agreed to make milestone payments totaling up to $630.0 million to us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53"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transactions contemplated by the Sobi License were consummated on July 28, 2020. Sobi may terminate the Sobi License for any reason upon 180 days’ written notice, whereby all rights granted under the Sobi License would revert back to us. In addition, if Sobi were to terminate the Sobi License, we have the option to obtain a license to all patents and know-how necessary to exploit SEL-212 in existence as of the termination date from Sobi in return for making an equitable royalty payment to Sobi.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231F20"/>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 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53" w:lineRule="exact"/>
        <w:rPr>
          <w:sz w:val="20"/>
          <w:szCs w:val="20"/>
          <w:color w:val="auto"/>
        </w:rPr>
      </w:pPr>
    </w:p>
    <w:p>
      <w:pPr>
        <w:ind w:right="460" w:firstLine="216"/>
        <w:spacing w:after="0" w:line="279" w:lineRule="auto"/>
        <w:rPr>
          <w:sz w:val="20"/>
          <w:szCs w:val="20"/>
          <w:color w:val="auto"/>
        </w:rPr>
      </w:pPr>
      <w:r>
        <w:rPr>
          <w:rFonts w:ascii="Times New Roman" w:cs="Times New Roman" w:eastAsia="Times New Roman" w:hAnsi="Times New Roman"/>
          <w:sz w:val="12"/>
          <w:szCs w:val="12"/>
          <w:color w:val="auto"/>
        </w:rPr>
        <w:t>The key competitive factors affecting the success of any other cell therapy product candidates that we develop, if approved, are likely to be their efficacy, safety, convenience, price, the level of generic competition and the availability of reimbursement from government and other third-party payors.</w:t>
      </w:r>
    </w:p>
    <w:p>
      <w:pPr>
        <w:spacing w:after="0" w:line="3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231F20"/>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Descartes-08 may compete with products of other companies in the MG market, including Argenx SE, UCB S.A., Johnson &amp; Johnson, Alexion Pharmaceuticals, Inc. and Cabaletta Bio, Inc.</w:t>
      </w:r>
    </w:p>
    <w:p>
      <w:pPr>
        <w:spacing w:after="0" w:line="78"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231F20"/>
        </w:rPr>
        <w:t>Other companies developing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231F20"/>
        </w:rPr>
        <w:t>We believe our cell therapy product candidates are subject to regulation in the United States as “biologics” or “biological products.” We expect to seek approval of Descartes-08 through a single BLA reviewed by FDA’s Center for Biologics Evaluation and Research, or CBER.</w:t>
      </w:r>
    </w:p>
    <w:p>
      <w:pPr>
        <w:spacing w:after="0" w:line="3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231F20"/>
        </w:rPr>
        <w:t>Biological products are subject to regulation under the Federal Food, Drug, and Cosmetic Act, or the FD&amp;C Act, and the Public Health Service Act, or the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47"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231F20"/>
        </w:rPr>
        <w:t>We regard our mRNA-modified products as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U.S. Biological Products Development Process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The process required by the FDA before a biologic, including a cell therapy, may be marketed in the United States is summarized below.</w:t>
      </w:r>
    </w:p>
    <w:p>
      <w:pPr>
        <w:spacing w:after="0" w:line="78"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or GLPs.</w:t>
      </w:r>
    </w:p>
    <w:p>
      <w:pPr>
        <w:spacing w:after="0" w:line="39"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231F20"/>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or IBC, that reviews and oversees research utilizing recombinant or synthetic nucleic acid molecules at an institution participating in a clinical trial..</w:t>
      </w:r>
    </w:p>
    <w:p>
      <w:pPr>
        <w:spacing w:after="0" w:line="53"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231F20"/>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 monitored in accordance with the FDA’s regulations, including with respect to good clinical practice, or GCP, requirements, including the requirement that all research subjects provide informed consent. Further, each clinical study must be reviewed and approved by an institutional review board, or IRB, at or servicing each institution at which the clinical study will be conducted. Human clinical trials are typically conducted in three sequential phases that may overlap or be combined:</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231F20"/>
        </w:rPr>
        <w:t>Phase 1. The biological product candidate is evaluated in a limited population of patients or healthy volunteers to identify the maximum tolerated dose, recommended Phase 2 dose, possible adverse effects and safety risks.</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231F20"/>
        </w:rPr>
        <w:t>For the types of products and therapeutic areas we focus on, Phase 1 studies will generally be done in patients and not healthy volunteers.</w:t>
      </w:r>
    </w:p>
    <w:p>
      <w:pPr>
        <w:spacing w:after="0" w:line="67" w:lineRule="exact"/>
        <w:rPr>
          <w:sz w:val="20"/>
          <w:szCs w:val="20"/>
          <w:color w:val="auto"/>
        </w:rPr>
      </w:pPr>
    </w:p>
    <w:p>
      <w:pPr>
        <w:ind w:left="420" w:right="20" w:firstLine="216"/>
        <w:spacing w:after="0" w:line="279" w:lineRule="auto"/>
        <w:rPr>
          <w:sz w:val="20"/>
          <w:szCs w:val="20"/>
          <w:color w:val="auto"/>
        </w:rPr>
      </w:pPr>
      <w:r>
        <w:rPr>
          <w:rFonts w:ascii="Times New Roman" w:cs="Times New Roman" w:eastAsia="Times New Roman" w:hAnsi="Times New Roman"/>
          <w:sz w:val="12"/>
          <w:szCs w:val="12"/>
          <w:color w:val="231F20"/>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39" w:lineRule="exact"/>
        <w:rPr>
          <w:sz w:val="20"/>
          <w:szCs w:val="20"/>
          <w:color w:val="auto"/>
        </w:rPr>
      </w:pPr>
    </w:p>
    <w:p>
      <w:pPr>
        <w:ind w:left="420" w:right="120" w:firstLine="216"/>
        <w:spacing w:after="0" w:line="279" w:lineRule="auto"/>
        <w:rPr>
          <w:sz w:val="20"/>
          <w:szCs w:val="20"/>
          <w:color w:val="auto"/>
        </w:rPr>
      </w:pPr>
      <w:r>
        <w:rPr>
          <w:rFonts w:ascii="Times New Roman" w:cs="Times New Roman" w:eastAsia="Times New Roman" w:hAnsi="Times New Roman"/>
          <w:sz w:val="12"/>
          <w:szCs w:val="12"/>
          <w:color w:val="231F20"/>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39"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231F20"/>
        </w:rPr>
        <w:t>Cell and gene therapy products may differ from the traditional clinical trial phases. For example, clinical trials for cell and gene therapy products are often structured as a hybrid Phase 1/2 trial where a small group of participants with the disease are enrolled and both safety and efficacy tests are performed.</w:t>
      </w:r>
    </w:p>
    <w:p>
      <w:pPr>
        <w:spacing w:after="0" w:line="3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Through the SPA process, a sponsor may seek agreement from the FDA on critical features of a proposed protocol for their adequacy to support marketing approval. In response to a request for an SPA agreement, the FDA issues a letter to the sponsor indicating its agreement or non-agreement with elements of the proposed protocol. An SPA agreement documents the FDA’s concurrence with the adequacy and acceptability of specific critical elements of the protocol design, and the FDA may not change an SPA agreement once the trial is underway unless the sponsor or applicant agrees in writing or the FDA identifies 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substantial scientific issue essential to determining the safety or effectiveness of the drug after the testing has begun. Even if the sponsor conducts the trial in accordance with an SPA agreement and the trial meets its endpoints with statistical significance, there is no guarantee that the FDA will accept or approve a marketing application. For example, the FDA could determine that the overall balance of risks and benefits for the product candidate is not adequate to support approval, or only justifies approval for a narrow set of clinical uses or approval with restricted distribution or other post-approval requirements or limitations.</w:t>
      </w:r>
    </w:p>
    <w:p>
      <w:pPr>
        <w:spacing w:after="0" w:line="47"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39" w:lineRule="exact"/>
        <w:rPr>
          <w:sz w:val="20"/>
          <w:szCs w:val="20"/>
          <w:color w:val="auto"/>
        </w:rPr>
      </w:pPr>
    </w:p>
    <w:p>
      <w:pPr>
        <w:ind w:right="100" w:firstLine="216"/>
        <w:spacing w:after="0" w:line="327" w:lineRule="auto"/>
        <w:rPr>
          <w:sz w:val="20"/>
          <w:szCs w:val="20"/>
          <w:color w:val="auto"/>
        </w:rPr>
      </w:pPr>
      <w:r>
        <w:rPr>
          <w:rFonts w:ascii="Times New Roman" w:cs="Times New Roman" w:eastAsia="Times New Roman" w:hAnsi="Times New Roman"/>
          <w:sz w:val="11"/>
          <w:szCs w:val="11"/>
          <w:color w:val="231F20"/>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Sponsors of clinical trials of FDA-regulated products, including biologics, are also required to register and disclose certain clinical trial information, which is publicly available at www.clinicaltrials.gov.</w:t>
      </w:r>
    </w:p>
    <w:p>
      <w:pPr>
        <w:spacing w:after="0" w:line="78"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231F20"/>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or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231F20"/>
        </w:rPr>
        <w:t>Under the Prescription Drug Fee User Act, as amended, or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39" w:lineRule="exact"/>
        <w:rPr>
          <w:sz w:val="20"/>
          <w:szCs w:val="20"/>
          <w:color w:val="auto"/>
        </w:rPr>
      </w:pPr>
    </w:p>
    <w:p>
      <w:pPr>
        <w:ind w:right="100" w:firstLine="216"/>
        <w:spacing w:after="0" w:line="255" w:lineRule="auto"/>
        <w:rPr>
          <w:sz w:val="20"/>
          <w:szCs w:val="20"/>
          <w:color w:val="auto"/>
        </w:rPr>
      </w:pPr>
      <w:r>
        <w:rPr>
          <w:rFonts w:ascii="Times New Roman" w:cs="Times New Roman" w:eastAsia="Times New Roman" w:hAnsi="Times New Roman"/>
          <w:sz w:val="12"/>
          <w:szCs w:val="12"/>
          <w:color w:val="231F20"/>
        </w:rPr>
        <w:t>Within 60 days following submission of the application, the FDA conducts a preliminary review of a BLA to determine whether they are sufficiently complete to permit substantive review. The FDA may request additional information before deciding whether to accept a BLA for filing. The FDA may refuse to file any BLA that it deems incomplete or otherwise not reviewable and may request additional information. If the submission is 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Risk Evaluation and Mitigate Strategy, or REMS, is necessary to assure the safe use of the biological product candidate. If the FDA concludes a REMS is needed, the sponsor of the BLA must submit a proposed REMS; the FDA will not approve the BLA without a REMS, if required.</w:t>
      </w:r>
    </w:p>
    <w:p>
      <w:pPr>
        <w:spacing w:after="0" w:line="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GCPs.</w:t>
      </w:r>
    </w:p>
    <w:p>
      <w:pPr>
        <w:spacing w:after="0" w:line="39" w:lineRule="exact"/>
        <w:rPr>
          <w:sz w:val="20"/>
          <w:szCs w:val="20"/>
          <w:color w:val="auto"/>
        </w:rPr>
      </w:pPr>
    </w:p>
    <w:p>
      <w:pPr>
        <w:jc w:val="both"/>
        <w:ind w:right="80" w:firstLine="216"/>
        <w:spacing w:after="0" w:line="300" w:lineRule="auto"/>
        <w:rPr>
          <w:sz w:val="20"/>
          <w:szCs w:val="20"/>
          <w:color w:val="auto"/>
        </w:rPr>
      </w:pPr>
      <w:r>
        <w:rPr>
          <w:rFonts w:ascii="Times New Roman" w:cs="Times New Roman" w:eastAsia="Times New Roman" w:hAnsi="Times New Roman"/>
          <w:sz w:val="11"/>
          <w:szCs w:val="11"/>
          <w:color w:val="231F20"/>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3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One of the performance goals agreed to by the FDA under PDUFA is to review 90% of standard BLAs in 10 months from the filing date and 90% of priority BLAs in six months from the filing date, whereupon a review decision is to be made. Two</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additional months are added to these timelines for new molecular entities. The FDA does not always meet its PDUFA goal dates for standard and priority BLAs.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Orphan Designation</w:t>
      </w:r>
    </w:p>
    <w:p>
      <w:pPr>
        <w:spacing w:after="0" w:line="8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231F20"/>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5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231F20"/>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Descartes-08 has been granted Orphan Drug Designation for the treatment of MG..</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Expedited Development and Review Programs</w:t>
      </w:r>
    </w:p>
    <w:p>
      <w:pPr>
        <w:spacing w:after="0" w:line="8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231F20"/>
        </w:rPr>
        <w:t>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50" w:lineRule="exact"/>
        <w:rPr>
          <w:sz w:val="20"/>
          <w:szCs w:val="20"/>
          <w:color w:val="auto"/>
        </w:rPr>
      </w:pPr>
    </w:p>
    <w:p>
      <w:pPr>
        <w:ind w:right="320" w:firstLine="216"/>
        <w:spacing w:after="0" w:line="265" w:lineRule="auto"/>
        <w:rPr>
          <w:sz w:val="20"/>
          <w:szCs w:val="20"/>
          <w:color w:val="auto"/>
        </w:rPr>
      </w:pPr>
      <w:r>
        <w:rPr>
          <w:rFonts w:ascii="Times New Roman" w:cs="Times New Roman" w:eastAsia="Times New Roman" w:hAnsi="Times New Roman"/>
          <w:sz w:val="12"/>
          <w:szCs w:val="12"/>
          <w:color w:val="231F20"/>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47"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231F20"/>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or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third-parties, could provide the basis for enforcement actions. In addition, the FDA currently requires as a condition for accelerated approval that promotional materials be submitted prior to use, which could adversely impact the timing of the commercial launch of the product.</w:t>
      </w:r>
    </w:p>
    <w:p>
      <w:pPr>
        <w:spacing w:after="0" w:line="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231F20"/>
        </w:rPr>
        <w:t>In addition, under the provisions of The Food and Drug Safety and Innovation Act, or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Fast Track, priority review, accelerated approval, and breakthrough therapy designations do not change the standards for approval and may not necessarily expedite the development or approval process.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231F20"/>
        </w:rPr>
        <w:t>In 2016, the 21st Century Cures Act established what the FDA describes as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Descartes-08 has been granted RMAT designation for the treatment of MG.</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Post-approval Requirements</w:t>
      </w:r>
    </w:p>
    <w:p>
      <w:pPr>
        <w:spacing w:after="0" w:line="8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231F20"/>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47"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231F20"/>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Biosimilars and Exclusivity</w:t>
      </w:r>
    </w:p>
    <w:p>
      <w:pPr>
        <w:spacing w:after="0" w:line="82"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231F20"/>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3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39"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231F20"/>
        </w:rPr>
        <w:t>To our knowledge, the definition of “biosimilar” with regard to an mRNA-modified cell therapy has not been expressly stated in statute, regulation, or guidance, and has not been reviewed by a court. The regulatory pathway for a biosimilar to one of our products thus remains somewhat uncertain.</w:t>
      </w:r>
    </w:p>
    <w:p>
      <w:pPr>
        <w:spacing w:after="0" w:line="39"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231F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The BPCIA is complex and continues to be interpreted and implemented by the FDA. As a result, the ultimate impact, implementation and meaning of the BPCIA is subject to significant uncertainty.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Government Regulation Outside of the United States</w:t>
      </w:r>
    </w:p>
    <w:p>
      <w:pPr>
        <w:spacing w:after="0" w:line="82"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39"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39"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In the European Economic Area, or EEA, which is composed of the 27 member states of the European Union, or EU, plus Norway, Iceland and Liechtenstein, medicinal products can only be commercialized after obtaining a Marketing Authorization, or MA. To obtain an MA in the EEA, we must submit a marketing authorization application, which is similar to the U.S. BLA. There are two types of MAs.</w:t>
      </w:r>
    </w:p>
    <w:p>
      <w:pPr>
        <w:spacing w:after="0" w:line="39"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The EU MA, which is issued by the European Commission through the Centralized Procedure, is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 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53"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4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EU law also provides opportunities for market exclusivity. Upon receiving MA, “new active substances” generally receive eight years of data exclusivity, which prevents regulatory authorities in the EU from referencing the innovator’s data to assess a generic or biosimilar application, and an additional two years of market exclusivity, during which no generic or biosimilar product can be marketed. The ten years of exclusivity will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which would be eligible for the relevant periods of data and market exclusivity.</w:t>
      </w:r>
    </w:p>
    <w:p>
      <w:pPr>
        <w:spacing w:after="0" w:line="53"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The criteria for designating an “orphan medicinal product” in the EU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certain financial and exclusivity incentives. In particular, orphan medicinal products in the EU can receive ten years of market exclusivity, during which time no MA application shall be accepted, and no MA shall be granted for a similar medicinal product for the same indication. The 10-year market exclusivity for orphan medicinal products may be reduced to six years if, at the end of the fifth year, it is established that the product no longer meets the criteria for orphan designation. Additionally, MA may be granted to a similar product during the 10-year period of market exclusivity for the same therapeutic indication at any time in certain circumstances, including if the second applicant can establish in its application that its product, although similar to the orphan medicinal product already authorized, is safer, more effective or otherwise clinically superior.</w:t>
      </w:r>
    </w:p>
    <w:p>
      <w:pPr>
        <w:spacing w:after="0" w:line="56" w:lineRule="exact"/>
        <w:rPr>
          <w:sz w:val="20"/>
          <w:szCs w:val="20"/>
          <w:color w:val="auto"/>
        </w:rPr>
      </w:pPr>
    </w:p>
    <w:p>
      <w:pPr>
        <w:jc w:val="both"/>
        <w:ind w:right="160" w:firstLine="216"/>
        <w:spacing w:after="0" w:line="265" w:lineRule="auto"/>
        <w:rPr>
          <w:sz w:val="20"/>
          <w:szCs w:val="20"/>
          <w:color w:val="auto"/>
        </w:rPr>
      </w:pPr>
      <w:r>
        <w:rPr>
          <w:rFonts w:ascii="Times New Roman" w:cs="Times New Roman" w:eastAsia="Times New Roman" w:hAnsi="Times New Roman"/>
          <w:sz w:val="12"/>
          <w:szCs w:val="12"/>
          <w:color w:val="auto"/>
        </w:rPr>
        <w:t>In the EU, for any new medicinal product that is protected by or eligible for a supplementary protection certificate, pediatric clinical trials must be conducted in accordance with a pediatric investigation plan, or PIP, that has been approved by the EMA. Normally, the pediatric clinical trials must be completed before the initial MA application for the relevant indication. However, the EMA may grant a deferral of the studies in order not to delay the approval of the product in adults and the EMA may waive the requirement to conduct studies in certain circumstances, such as if the relevant condition does not occur in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children. If pediatric clinical trials are completed in accordance with an agreed PIP, the product will be entitled to a six-month extension of its supplementary protection certificate. However, if the product is authorized as an orphan medicinal product, it is entitled to a two-year extension of its 10 years of orphan exclusivity and not to an extension of the supplementary protection certificate.</w:t>
      </w:r>
    </w:p>
    <w:p>
      <w:pPr>
        <w:spacing w:after="0" w:line="39"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3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When conducting clinical trials in the EU, we must adhere to the provisions of the EU Clinical Trials Regulation (EU) No 536/2014. If the sponsor of the clinical trial is not established within the EU, it must appoint an entity within the EU to act as its legal representative, who shall be responsible for ensuring compliance with the sponsor’s obligations under the Regulation and be the addressee for all communications. The sponsor must take out a clinical trial insurance policy, and in most EU countries the sponsor is liable to provide ‘no fault’ compensation to any study subject injured in the clinical trial.</w:t>
      </w:r>
    </w:p>
    <w:p>
      <w:pPr>
        <w:spacing w:after="0" w:line="47" w:lineRule="exact"/>
        <w:rPr>
          <w:sz w:val="20"/>
          <w:szCs w:val="20"/>
          <w:color w:val="auto"/>
        </w:rPr>
      </w:pPr>
    </w:p>
    <w:p>
      <w:pPr>
        <w:ind w:right="260" w:firstLine="216"/>
        <w:spacing w:after="0" w:line="260" w:lineRule="auto"/>
        <w:rPr>
          <w:sz w:val="20"/>
          <w:szCs w:val="20"/>
          <w:color w:val="auto"/>
        </w:rPr>
      </w:pPr>
      <w:r>
        <w:rPr>
          <w:rFonts w:ascii="Times New Roman" w:cs="Times New Roman" w:eastAsia="Times New Roman" w:hAnsi="Times New Roman"/>
          <w:sz w:val="12"/>
          <w:szCs w:val="12"/>
          <w:color w:val="auto"/>
        </w:rPr>
        <w:t>Prior to commencing a clinical trial in the EU, we must obtain a clinical trial authorization, or CTA, in each Member State in which the trial will be conducted. There is a centralized application procedure where one national authority leads the scientific review of the application, while each concerned member state complete an ethical review of any CTA. The application for a CTA must include, among other things, a copy of the trial protocol and an investigational medicinal product dossier containing information about the manufacture and quality of the medicinal product under investigation. Any substantial changes to the trial protocol or other information submitted with the CTAs must be notified to or approved by the relevant competent authorities.</w:t>
      </w:r>
    </w:p>
    <w:p>
      <w:pPr>
        <w:spacing w:after="0" w:line="50"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Regular,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Other Healthcare Laws</w:t>
      </w:r>
    </w:p>
    <w:p>
      <w:pPr>
        <w:spacing w:after="0" w:line="82"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231F20"/>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third-parties on the other. The majority of states also similar have anti-kickback laws, which in some cases apply to items and services reimbursed by private insurance.</w:t>
      </w:r>
    </w:p>
    <w:p>
      <w:pPr>
        <w:spacing w:after="0" w:line="53"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231F20"/>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231F20"/>
        </w:rPr>
        <w:t>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3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5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Sanctions under these federal and state fraud and abuse laws may include civil monetary penalties and criminal fines, exclusion from government healthcare programs, and imprisonment.</w:t>
      </w:r>
    </w:p>
    <w:p>
      <w:pPr>
        <w:spacing w:after="0" w:line="78"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We may also be subject to data privacy and security regulation by both the federal government and the states in which we conduct our business. HIPAA, as amended by the Health Information Technology for Economic and Clinical Health act of 2009,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Coverage and Reimbursement</w:t>
      </w:r>
    </w:p>
    <w:p>
      <w:pPr>
        <w:spacing w:after="0" w:line="8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50"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47"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4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The EU recently adopted Regulation (EU) 2021/2282 on health technology assessment, which provides a framework for Member States to cooperate on health technology assessments at the EU level. The regulation is directly applicable in all EU Member States which is in a phased period of applicability since January 12, 2025, although pricing will still be determined nationally. Moreover, at the national level, EU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Healthcare Reform</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39"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231F20"/>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At the federal level, for example, the Inflation Reduction Act of 2022, or IRA, was signed into law. Key provisions of the IRA include the following, among others:</w:t>
      </w:r>
    </w:p>
    <w:p>
      <w:pPr>
        <w:spacing w:after="0" w:line="7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IRA requires manufacturers to pay rebates for Medicare Part B and Part D drugs whose price increases exceed inflation.</w:t>
      </w:r>
    </w:p>
    <w:p>
      <w:pPr>
        <w:spacing w:after="0" w:line="78" w:lineRule="exact"/>
        <w:rPr>
          <w:rFonts w:ascii="Times New Roman" w:cs="Times New Roman" w:eastAsia="Times New Roman" w:hAnsi="Times New Roman"/>
          <w:sz w:val="12"/>
          <w:szCs w:val="12"/>
          <w:color w:val="231F20"/>
        </w:rPr>
      </w:pPr>
    </w:p>
    <w:p>
      <w:pPr>
        <w:ind w:left="420" w:right="380" w:hanging="212"/>
        <w:spacing w:after="0" w:line="279" w:lineRule="auto"/>
        <w:tabs>
          <w:tab w:leader="none" w:pos="417" w:val="left"/>
        </w:tabs>
        <w:numPr>
          <w:ilvl w:val="0"/>
          <w:numId w:val="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39"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IRA delays the rebate rule that would require pass through of pharmacy benefit manager rebates to beneficiaries</w:t>
      </w:r>
    </w:p>
    <w:p>
      <w:pPr>
        <w:spacing w:after="0" w:line="78" w:lineRule="exact"/>
        <w:rPr>
          <w:rFonts w:ascii="Times New Roman" w:cs="Times New Roman" w:eastAsia="Times New Roman" w:hAnsi="Times New Roman"/>
          <w:sz w:val="12"/>
          <w:szCs w:val="12"/>
          <w:color w:val="231F20"/>
        </w:rPr>
      </w:pPr>
    </w:p>
    <w:p>
      <w:pPr>
        <w:jc w:val="both"/>
        <w:ind w:left="420" w:hanging="212"/>
        <w:spacing w:after="0" w:line="257" w:lineRule="auto"/>
        <w:tabs>
          <w:tab w:leader="none" w:pos="417" w:val="left"/>
        </w:tabs>
        <w:numPr>
          <w:ilvl w:val="0"/>
          <w:numId w:val="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IRA directs the Centers for Medicare and Medicaid Services, or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53"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231F20"/>
        </w:rPr>
        <w:t>Manufacturers that fail to comply with the IRA may be subject to various penalties, including civil monetary penalties or a potential excise tax. The IRA permits the Secretary of Health and Human Services, or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47"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231F20"/>
        </w:rPr>
        <w:t>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w:t>
      </w:r>
    </w:p>
    <w:p>
      <w:pPr>
        <w:spacing w:after="0" w:line="47"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The Trump Administration has discussed several changes to the reach and oversight of the FDA, which could affect its relationship with the biotechnology and pharmaceutical industries, transparency in decision making and ultimately the cost and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availability of prescription drugs. Drug pricing is an active area for regulatory reform at both the federal and state levels, and additional significant changes to current drug pricing and reimbursement structures in the U.S. could be forthcoming. It remains unclear how any new legislation or regulation might affect the prices we may obtain for any of our product candidates for which regulatory approval is obtained.</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Employees and Human Capital Resources</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39"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231F20"/>
        </w:rPr>
        <w:t>As of December 31, 2024, we had 66 full-time employees, 54 of whom are primarily engaged in research and development activities and 12 of whom are primarily engaged in corporate functions. 58% of our employees have at least one of a Masters, PhD, or MD degree. All employees reside and work in the United States and our employees are not represented by a labor union. We consider our employee relations to be strong and in good standing.</w:t>
      </w:r>
    </w:p>
    <w:p>
      <w:pPr>
        <w:spacing w:after="0" w:line="39" w:lineRule="exact"/>
        <w:rPr>
          <w:sz w:val="20"/>
          <w:szCs w:val="20"/>
          <w:color w:val="auto"/>
        </w:rPr>
      </w:pPr>
    </w:p>
    <w:p>
      <w:pPr>
        <w:ind w:right="20" w:firstLine="216"/>
        <w:spacing w:after="0" w:line="300" w:lineRule="auto"/>
        <w:rPr>
          <w:sz w:val="20"/>
          <w:szCs w:val="20"/>
          <w:color w:val="auto"/>
        </w:rPr>
      </w:pPr>
      <w:r>
        <w:rPr>
          <w:rFonts w:ascii="Times New Roman" w:cs="Times New Roman" w:eastAsia="Times New Roman" w:hAnsi="Times New Roman"/>
          <w:sz w:val="11"/>
          <w:szCs w:val="11"/>
          <w:color w:val="231F20"/>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3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231F20"/>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Available Information</w:t>
      </w:r>
    </w:p>
    <w:p>
      <w:pPr>
        <w:spacing w:after="0" w:line="8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file electronically with the SEC our annual reports on Form 10-K, quarterly reports on Form 10-Q, current reports on Form 8-K, proxy statements and other information. Our SEC filings are available to the public over the Internet at the SEC’s website at http://www.sec.gov. We make available on our website at www.cartesiantherapeutics.com, free of charge, copies of these reports as soon as reasonably practicable after filing or furnishing these reports with the SEC. Additionally, our Code of Business Conduct and Ethics is available on our website. The hyperlink to our website is included as an inactive textual reference only, and the information on our website is not incorporated by reference in this Annual Report on Form 10-K or in any other filings we make with the SEC.</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RISK FACTORS SUMMARY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Investing in our common stock involves various risks. You should carefully read and consider the matters discussed in this Annual Report under the heading “Risk Factors,” which include the following risks:</w:t>
      </w:r>
    </w:p>
    <w:p>
      <w:pPr>
        <w:spacing w:after="0" w:line="87"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We are a development-stage company, and we expect to incur losses for the foreseeable future and may never achieve or maintain profitability.</w:t>
      </w:r>
    </w:p>
    <w:p>
      <w:pPr>
        <w:spacing w:after="0" w:line="75" w:lineRule="exact"/>
        <w:rPr>
          <w:rFonts w:ascii="Times New Roman" w:cs="Times New Roman" w:eastAsia="Times New Roman" w:hAnsi="Times New Roman"/>
          <w:sz w:val="13"/>
          <w:szCs w:val="13"/>
          <w:color w:val="auto"/>
        </w:rPr>
      </w:pPr>
    </w:p>
    <w:p>
      <w:pPr>
        <w:ind w:left="420" w:right="4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39" w:lineRule="exact"/>
        <w:rPr>
          <w:rFonts w:ascii="Times New Roman" w:cs="Times New Roman" w:eastAsia="Times New Roman" w:hAnsi="Times New Roman"/>
          <w:sz w:val="12"/>
          <w:szCs w:val="12"/>
          <w:color w:val="auto"/>
        </w:rPr>
      </w:pPr>
    </w:p>
    <w:p>
      <w:pPr>
        <w:ind w:left="420" w:right="6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develop our mRNA-based product candidates by leveraging our proprietary technology and our manufacturing platform, which is an unproven approach to the treatment of autoimmune disease. We are early in most of our clinical development efforts and may not be successful in our efforts to build a pipeline of product candidates and develop marketable drugs.</w:t>
      </w:r>
    </w:p>
    <w:p>
      <w:pPr>
        <w:spacing w:after="0" w:line="39"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expect to continue to grow our manufacturing capabilities and resources and we must incur significant costs to develop this expertise and/or rely on third-parties to manufacture our products.</w:t>
      </w:r>
    </w:p>
    <w:p>
      <w:pPr>
        <w:spacing w:after="0" w:line="78" w:lineRule="exact"/>
        <w:rPr>
          <w:rFonts w:ascii="Times New Roman" w:cs="Times New Roman" w:eastAsia="Times New Roman" w:hAnsi="Times New Roman"/>
          <w:sz w:val="12"/>
          <w:szCs w:val="12"/>
          <w:color w:val="auto"/>
        </w:rPr>
      </w:pPr>
    </w:p>
    <w:p>
      <w:pPr>
        <w:ind w:left="420" w:right="20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rely, and expect to continue to rely, on third-parties, including CROs, to conduct our clinical trials, and those third-parties may not perform satisfactorily, including by failing to meet deadlines for the completion of such trials.</w:t>
      </w:r>
    </w:p>
    <w:p>
      <w:pPr>
        <w:spacing w:after="0" w:line="39" w:lineRule="exact"/>
        <w:rPr>
          <w:rFonts w:ascii="Times New Roman" w:cs="Times New Roman" w:eastAsia="Times New Roman" w:hAnsi="Times New Roman"/>
          <w:sz w:val="12"/>
          <w:szCs w:val="12"/>
          <w:color w:val="auto"/>
        </w:rPr>
      </w:pPr>
    </w:p>
    <w:p>
      <w:pPr>
        <w:ind w:left="420" w:right="4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been in the past and may in the future be subject to stockholder litigation.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0" w:lineRule="exact"/>
        <w:rPr>
          <w:sz w:val="20"/>
          <w:szCs w:val="20"/>
          <w:color w:val="auto"/>
        </w:rPr>
      </w:pPr>
    </w:p>
    <w:p>
      <w:pPr>
        <w:jc w:val="both"/>
        <w:ind w:right="12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Investing in our common stock involves a high degree of risk. You should consider carefully the risks described below, together with the other information included or incorporated by reference in this Annual Report.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Development of our Product Candidates</w:t>
      </w:r>
    </w:p>
    <w:p>
      <w:pPr>
        <w:spacing w:after="0" w:line="1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develop our mRNA-based product candidates by leveraging our proprietary technology and our manufacturing platform, which is an unproven approach to the treatment of autoimmune disease. We are early in most of our clinical development efforts and may not be successful in our efforts to build a pipeline of product candidates and develop marketable drugs.</w:t>
      </w:r>
    </w:p>
    <w:p>
      <w:pPr>
        <w:spacing w:after="0" w:line="35"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Our mRNA approach to develop product candidates for the treatment of autoimmune diseases is an unproven approach. Our most advanced product candidate, Descartes-08, is in the initial phase of Phase 3 clinical development. We have not demonstrated the ability to successfully complete any Phase 3 or other pivotal clinical trials, obtain regulatory approvals, manufacture a commercial product, or arrange for a third-party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53"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design, initiation and completion of preclinical studies and clinical trials with positive results;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reliance on third-parties, including but not limited to collaborators, licensees, clinical research organizations and contract manufacturing organizations;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receipt of marketing approvals from applicable regulatory authorities;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obtaining and maintaining patent and trade secret protection and regulatory exclusivity for our product candidates and not infringing or violating patents or other intellectual property of third-parties;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manufacturability, manufacturing, logistics, and stability of our cell therapies, including autologous cell therapies;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growing our internal cGMP manufacturing capabilities to support commercial manufacturing or making arrangements with third-party manufacturers;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launching commercial sales of our products, if and when approved, whether alone or in collaboration with others;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acceptance of our products, if and when approved, by patients and the medical community;</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effectively competing with other therapies;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obtaining and maintaining coverage and adequate reimbursement by third-party payors, including government payors, for our products, if approved;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maintaining an acceptable safety profile of our products following approval;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maintaining and growing an organization of scientists and businesspeople who can develop and commercialize our product candidates and technology.</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Our failure to successfully execute on of any of the foregoing for any reason would effectively prevent or delay approval of our lead and other product candidates.</w:t>
      </w:r>
    </w:p>
    <w:p>
      <w:pPr>
        <w:spacing w:after="0" w:line="146"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35"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w:t>
      </w:r>
    </w:p>
    <w:p>
      <w:pPr>
        <w:spacing w:after="0" w:line="47"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39" w:lineRule="exact"/>
        <w:rPr>
          <w:sz w:val="20"/>
          <w:szCs w:val="20"/>
          <w:color w:val="auto"/>
        </w:rPr>
      </w:pPr>
    </w:p>
    <w:p>
      <w:pPr>
        <w:ind w:right="260" w:firstLine="216"/>
        <w:spacing w:after="0" w:line="260" w:lineRule="auto"/>
        <w:rPr>
          <w:sz w:val="20"/>
          <w:szCs w:val="20"/>
          <w:color w:val="auto"/>
        </w:rPr>
      </w:pPr>
      <w:r>
        <w:rPr>
          <w:rFonts w:ascii="Times New Roman" w:cs="Times New Roman" w:eastAsia="Times New Roman" w:hAnsi="Times New Roman"/>
          <w:sz w:val="12"/>
          <w:szCs w:val="12"/>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50"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w:t>
      </w:r>
      <w:r>
        <w:rPr>
          <w:rFonts w:ascii="Times New Roman" w:cs="Times New Roman" w:eastAsia="Times New Roman" w:hAnsi="Times New Roman"/>
          <w:sz w:val="12"/>
          <w:szCs w:val="12"/>
          <w:color w:val="231F20"/>
        </w:rPr>
        <w:t>, or</w:t>
      </w:r>
      <w:r>
        <w:rPr>
          <w:rFonts w:ascii="Times New Roman" w:cs="Times New Roman" w:eastAsia="Times New Roman" w:hAnsi="Times New Roman"/>
          <w:sz w:val="12"/>
          <w:szCs w:val="12"/>
          <w:color w:val="auto"/>
        </w:rPr>
        <w:t xml:space="preserve">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may experience numerous unforeseen events during, or as a result of, clinical trials that could delay or prevent our ability to receive marketing approval for, or commercialize, our product candidates, including:</w:t>
      </w:r>
    </w:p>
    <w:p>
      <w:pPr>
        <w:spacing w:after="0" w:line="78"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clinical trials of our product candidates may produce unfavorable, incomplete or inconclusive results;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may be unable to manufacture our product candidates, which in some cases such as mRNA CAR-T, are manufactured on a patient-by-patient basis;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regulators or institutional review boards may not authorize us or our investigators to commence a clinical trial or conduct a clinical trial at a prospective trial site or may place a clinical hold on existing clinical trials;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may experience delays in reaching, or fail to reach, agreement on acceptable terms with CROs or clinical trial sites;</w:t>
      </w:r>
    </w:p>
    <w:p>
      <w:pPr>
        <w:spacing w:after="0" w:line="78" w:lineRule="exact"/>
        <w:rPr>
          <w:rFonts w:ascii="Times New Roman" w:cs="Times New Roman" w:eastAsia="Times New Roman" w:hAnsi="Times New Roman"/>
          <w:sz w:val="12"/>
          <w:szCs w:val="12"/>
          <w:color w:val="231F20"/>
        </w:rPr>
      </w:pPr>
    </w:p>
    <w:p>
      <w:pPr>
        <w:ind w:left="420" w:right="140" w:hanging="212"/>
        <w:spacing w:after="0" w:line="279" w:lineRule="auto"/>
        <w:tabs>
          <w:tab w:leader="none" w:pos="417"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unforeseen geopolitical conflict;</w:t>
      </w:r>
    </w:p>
    <w:p>
      <w:pPr>
        <w:spacing w:after="0" w:line="39"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number of clinical trial sites required for clinical trials of our product candidates may be larger than we expect;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third-party contractors may fail to comply with regulatory requirements or meet their contractual obligations to us in a timely manner, or at all;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may have to suspend or terminate clinical trials of our product candidates for various reasons, including a finding that the participants are being exposed to unacceptable health risks;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investigators, regulators, data safety monitoring boards or institutional review boards may require that we or our investigators suspend or terminate clinical research, or we may decide to do so ourselves;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investigators may deviate from the trial protocol, fail to conduct the trial in accordance with regulatory requirements or misreport study data;</w:t>
      </w:r>
    </w:p>
    <w:p>
      <w:pPr>
        <w:spacing w:after="0" w:line="78" w:lineRule="exact"/>
        <w:rPr>
          <w:rFonts w:ascii="Times New Roman" w:cs="Times New Roman" w:eastAsia="Times New Roman" w:hAnsi="Times New Roman"/>
          <w:sz w:val="12"/>
          <w:szCs w:val="12"/>
          <w:color w:val="231F20"/>
        </w:rPr>
      </w:pPr>
    </w:p>
    <w:p>
      <w:pPr>
        <w:ind w:left="420" w:right="140" w:hanging="212"/>
        <w:spacing w:after="0" w:line="279" w:lineRule="auto"/>
        <w:tabs>
          <w:tab w:leader="none" w:pos="417"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39" w:lineRule="exact"/>
        <w:rPr>
          <w:rFonts w:ascii="Times New Roman" w:cs="Times New Roman" w:eastAsia="Times New Roman" w:hAnsi="Times New Roman"/>
          <w:sz w:val="12"/>
          <w:szCs w:val="12"/>
          <w:color w:val="231F20"/>
        </w:rPr>
      </w:pPr>
    </w:p>
    <w:p>
      <w:pPr>
        <w:ind w:left="420" w:right="500" w:hanging="212"/>
        <w:spacing w:after="0" w:line="279" w:lineRule="auto"/>
        <w:tabs>
          <w:tab w:leader="none" w:pos="417"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supply or quality of raw materials or manufactured product candidates (whether provided by us or third-parties) or other materials necessary to conduct clinical trials of our product candidates may be insufficient, inadequate or not available at an acceptable cost, or in a timely manner, or we may experience interruptions in supply;</w:t>
      </w:r>
    </w:p>
    <w:p>
      <w:pPr>
        <w:spacing w:after="0" w:line="39"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laboratories that we rely upon to perform certain quality control tests may become unavailable, or their services could be delayed;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regulators may revise the requirements for approving our product candidates, or such requirements may not be as we expect;</w:t>
      </w:r>
    </w:p>
    <w:p>
      <w:pPr>
        <w:spacing w:after="0" w:line="78" w:lineRule="exact"/>
        <w:rPr>
          <w:rFonts w:ascii="Times New Roman" w:cs="Times New Roman" w:eastAsia="Times New Roman" w:hAnsi="Times New Roman"/>
          <w:sz w:val="12"/>
          <w:szCs w:val="12"/>
          <w:color w:val="231F20"/>
        </w:rPr>
      </w:pPr>
    </w:p>
    <w:p>
      <w:pPr>
        <w:ind w:left="420" w:right="20" w:hanging="212"/>
        <w:spacing w:after="0" w:line="279" w:lineRule="auto"/>
        <w:tabs>
          <w:tab w:leader="none" w:pos="417"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39" w:lineRule="exact"/>
        <w:rPr>
          <w:rFonts w:ascii="Times New Roman" w:cs="Times New Roman" w:eastAsia="Times New Roman" w:hAnsi="Times New Roman"/>
          <w:sz w:val="12"/>
          <w:szCs w:val="12"/>
          <w:color w:val="231F20"/>
        </w:rPr>
      </w:pPr>
    </w:p>
    <w:p>
      <w:pPr>
        <w:ind w:left="420" w:hanging="212"/>
        <w:spacing w:after="0" w:line="279" w:lineRule="auto"/>
        <w:tabs>
          <w:tab w:leader="none" w:pos="417"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regarding trials managed by our existing or any future collaborators, our collaborators may face any of the above issues, and may conduct clinical trials in ways they view as advantageous to them but potentially suboptimal for us; and</w:t>
      </w:r>
    </w:p>
    <w:p>
      <w:pPr>
        <w:spacing w:after="0" w:line="39"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geopolitical events may affect international and overseas trial sites in ways beyond our control.</w:t>
      </w:r>
    </w:p>
    <w:p>
      <w:pPr>
        <w:spacing w:after="0" w:line="78"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231F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47"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be delayed in obtaining marketing approval for our product candidates, if at all;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obtain marketing approval in some countries and not in others;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obtain approval for indications or patient populations that are not as broad as intended or desired;</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obtain approval with labeling that includes significant use or distribution restrictions or safety warnings;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be subject to additional post-marketing testing requirements; or</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have a product removed from the market after obtaining marketing approval.</w:t>
      </w:r>
    </w:p>
    <w:p>
      <w:pPr>
        <w:spacing w:after="0" w:line="78"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231F20"/>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53"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231F20"/>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If we experience delays or difficulties in the enrollment of patients in clinical trials, our receipt of necessary regulatory approvals could be delayed or prevented.</w:t>
      </w:r>
    </w:p>
    <w:p>
      <w:pPr>
        <w:spacing w:after="0" w:line="82" w:lineRule="exact"/>
        <w:rPr>
          <w:sz w:val="20"/>
          <w:szCs w:val="20"/>
          <w:color w:val="auto"/>
        </w:rPr>
      </w:pPr>
    </w:p>
    <w:p>
      <w:pPr>
        <w:ind w:right="280" w:firstLine="216"/>
        <w:spacing w:after="0" w:line="257" w:lineRule="auto"/>
        <w:rPr>
          <w:sz w:val="20"/>
          <w:szCs w:val="20"/>
          <w:color w:val="auto"/>
        </w:rPr>
      </w:pPr>
      <w:r>
        <w:rPr>
          <w:rFonts w:ascii="Times New Roman" w:cs="Times New Roman" w:eastAsia="Times New Roman" w:hAnsi="Times New Roman"/>
          <w:sz w:val="12"/>
          <w:szCs w:val="12"/>
          <w:color w:val="231F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35"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Opening and conducting clinical trials at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Additional risks inherent in conducting international clinical trials include:</w:t>
      </w:r>
    </w:p>
    <w:p>
      <w:pPr>
        <w:spacing w:after="0" w:line="78"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foreign regulatory requirements that could burden or limit our ability to conduct our clinical trials;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increased costs and heightened supply constraints associated with the acquisition of standard of care drugs and/or combination or comparator agents for which we may bear responsibility in certain jurisdictions;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administrative burdens of conducting clinical trials under multiple foreign regulatory schema;</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foreign exchange fluctuations;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more burdensome manufacturing, customs, shipment and storage requirements;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cultural differences in medical practice and clinical research;</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lack of consistency in standard of care from country to country;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diminished protection of intellectual property in some countries;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changes in country or regional regulatory requirements;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geopolitical instability or wars in regions outside of the United States where we conduct clinical trials may impact ongoing clinical trials.</w:t>
      </w:r>
    </w:p>
    <w:p>
      <w:pPr>
        <w:spacing w:after="0" w:line="14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35"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231F20"/>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and RMAT Designation by the FDA for the treatment of MG. Descartes-08 also received Rare Pediatric Disease Designation by the FDA for the treatment of JDM.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w:t>
      </w:r>
    </w:p>
    <w:p>
      <w:pPr>
        <w:spacing w:after="0" w:line="53"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5"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231F20"/>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Interim, top-line or preliminary data may not be representative of final data. If final data is not as positive as earlier interim, top-line or preliminary we have released, our business prospects would be significantly harmed.</w:t>
      </w:r>
    </w:p>
    <w:p>
      <w:pPr>
        <w:spacing w:after="0" w:line="78"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231F20"/>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11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35"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231F20"/>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Results of our clinical trials could reveal a high and unacceptable severity and prevalence of side effects. In such an event, our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trials could be suspended or terminated, and the FDA or comparable foreign regulatory authorities could order us to cease further development of or deny approval of our product candidates for any or all targeted indications.</w:t>
      </w:r>
    </w:p>
    <w:p>
      <w:pPr>
        <w:spacing w:after="0" w:line="7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231F20"/>
        </w:rPr>
        <w:t>In November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in January 2024, the FDA announced it would require a so-called “boxed warning” be added to the prescribing information for all six then-currently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w:t>
      </w:r>
    </w:p>
    <w:p>
      <w:pPr>
        <w:spacing w:after="0" w:line="53"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231F20"/>
        </w:rPr>
        <w:t>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50"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231F20"/>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39"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231F20"/>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39"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regulatory authorities may withdraw approvals of such product;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regulatory authorities may require the addition of labeling statements, such as a boxed warning or a contraindication;</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regulatory authorities may impose additional restrictions on the marketing of, or the manufacturing processes for, the particular product;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may be required to create a medication guide outlining the risks of such side effects for distribution to patients;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could be sued and held liable for harm caused to patients, or become subject to fines, injunctions or the imposition of civil or criminal penalties;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reputation may suffer; and</w:t>
      </w:r>
    </w:p>
    <w:p>
      <w:pPr>
        <w:spacing w:after="0" w:line="78" w:lineRule="exact"/>
        <w:rPr>
          <w:rFonts w:ascii="Times New Roman" w:cs="Times New Roman" w:eastAsia="Times New Roman" w:hAnsi="Times New Roman"/>
          <w:sz w:val="12"/>
          <w:szCs w:val="12"/>
          <w:color w:val="231F20"/>
        </w:rPr>
      </w:pPr>
    </w:p>
    <w:p>
      <w:pPr>
        <w:ind w:left="420" w:right="120" w:hanging="212"/>
        <w:spacing w:after="0" w:line="279" w:lineRule="auto"/>
        <w:tabs>
          <w:tab w:leader="none" w:pos="417" w:val="left"/>
        </w:tabs>
        <w:numPr>
          <w:ilvl w:val="0"/>
          <w:numId w:val="1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could be required to develop a risk evaluation and mitigation strategies, or REMS, plan to prevent, monitor and/or manage a specific serious risk by informing, educating and/or reinforcing actions to reduce the frequency and/or severity of the event.</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Any of these events could prevent us from achieving or maintaining market acceptance of a particular product candidate, if approved, and could significantly harm our business, results of operations and prospects.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Inadequate funding for the FDA and other government agencies and/or potentially shifting priorities under the new presidential administration could hinder the FDA’s and/or those other government agencies’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6"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ability of the FDA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among other factors. Average review times at the FDA may fluctuate as a result. In addition, government funding of other government agencies on which our operations may rely is subject to the political process, which is inherently fluid and unpredictable.</w:t>
      </w:r>
    </w:p>
    <w:p>
      <w:pPr>
        <w:spacing w:after="0" w:line="47"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Disruptions at the FDA and other agencies may also increase the time necessary for new drugs to be reviewed and/or approved by necessary government agencies or to otherwise respond to regulatory submissions, which would adversely affect our business. For example, the Trump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the U.S. government has shut down multiple times and certain regulatory agencies, such as the FDA, have had to furlough critical FDA and other government employees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w:t>
      </w:r>
    </w:p>
    <w:p>
      <w:pPr>
        <w:spacing w:after="0" w:line="39"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Additionally, we have in the past received grant funding from the National Institutes of Health, or NIH, and under the terms of previously awarded grants we expect to continue to receive grant funding from the NIH. Although we do not consider any of these grants material to our business, a prolonged impact on the availability of grant funding from government agencies could adversely impact our business.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Manufacturing and our Dependence on Third-Parties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expect to continue to grow our manufacturing capabilities and resources and we must incur significant costs to develop this expertise and/or rely on third-parties to manufacture our products.</w:t>
      </w:r>
    </w:p>
    <w:p>
      <w:pPr>
        <w:spacing w:after="0" w:line="8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231F20"/>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39"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Our autologous cell therapy product candidates, including Descartes-08, are made on a patient-by-patient basis, rendering their manufacture less predictable and requiring more demanding logistics.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We rely on one or more third-party laboratories to perform certain quality control tests. These laboratories could become unavailable, or provision of their services could be delayed.</w:t>
      </w:r>
    </w:p>
    <w:p>
      <w:pPr>
        <w:spacing w:after="0" w:line="78"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231F20"/>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3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231F20"/>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or CMOs, to supply our product candidates, any delays or disruptions in supply could have a material adverse impact on the research and development activities and potential commercialization of our or our partners’ product candidates.</w:t>
      </w:r>
    </w:p>
    <w:p>
      <w:pPr>
        <w:spacing w:after="0" w:line="53"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231F20"/>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47"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231F20"/>
        </w:rPr>
        <w:t>To the extent that we have existing, or enter into future, manufacturing arrangements with third-parties, we depend, and will depend in the future, on these third-parties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47"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or our current or future collaborators may not be able to initiate or continue clinical trials of product candidates that are under development;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or our current or future collaborators may be delayed in submitting regulatory applications, or receiving regulatory approvals, for our product candidates;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may lose the cooperation of our collaborators;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facilities and those of our CMOs, and our products could be the subject of inspections by regulatory authorities that could have a negative outcome and result in delays in supply;</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we may be required to cease distribution or recall some or all batches of our products or take action to recover clinical trial material from clinical trial sites;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ultimately, we may not be able to meet the clinical and commercial demands for our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rely, and expect to continue to rely, on third-parties to conduct our clinical trials, and those third-parties may not perform satisfactorily, including by failing to meet deadlines for the completion of such trials.</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We rely, and expect to continue to rely, on third-parties, such as CROs, clinical data management organizations, medical institutions and clinical investigators, to conduct and manage our clinical trials, including our planned Phase 3 clinical trials of Descartes-08. We also expect to rely on other third-parties to store and distribute drug supplies for our clinical trials.</w:t>
      </w:r>
    </w:p>
    <w:p>
      <w:pPr>
        <w:spacing w:after="0" w:line="39"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231F20"/>
        </w:rPr>
        <w:t>While we rely on these third-parties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231F20"/>
        </w:rPr>
        <w:t>Furthermore, these third-parties may also have relationships with other entities, some of which may be our competitors. If these third-parties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Commercialization of our Product Candidates and Legal Compliance Matters</w:t>
      </w:r>
    </w:p>
    <w:p>
      <w:pPr>
        <w:spacing w:after="0" w:line="1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Even if any of our product candidates receives marketing approval, it may fail to achieve the degree of market acceptance by physicians, patients, third-party payors and others in the medical community necessary for commercial success.</w:t>
      </w:r>
    </w:p>
    <w:p>
      <w:pPr>
        <w:spacing w:after="0" w:line="35"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231F20"/>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47"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efficacy, safety and potential advantages compared to alternative treatments;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ability to manufacture and distribute cell therapies in a timely and secure manner;</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ability to offer our products for sale at competitive prices;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convenience and ease of administration compared to alternative treatments;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product labeling or product insert requirements of the FDA or foreign regulatory authorities, including any limitations or warnings contained in a product’s approved labeling, including any black box warning or REMS;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willingness of the target patient population to try new treatments and of physicians to prescribe these treatments;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ability to hire and retain a sales force;</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strength of marketing and distribution support;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availability of third-party coverage and adequate reimbursement for our product candidates, once approved;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prevalence and severity of any side effects;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any restrictions on the use of our products together with other medications.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We currently have no sales organization. If we are unable to establish effective sales, marketing and distribution capabilities, or enter into agreements with third-parties with such capabilities, we may not be successful in commercializing our product candidates if and when they are approved.</w:t>
      </w:r>
    </w:p>
    <w:p>
      <w:pPr>
        <w:spacing w:after="0" w:line="35"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231F20"/>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face substantial competition, including from biosimilars, which may result in others discovering, developing or commercializing competing products before or more successfully than we do.</w:t>
      </w:r>
    </w:p>
    <w:p>
      <w:pPr>
        <w:spacing w:after="0" w:line="8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231F20"/>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53"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231F20"/>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39"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231F20"/>
        </w:rPr>
        <w:t>These third-parties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3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cell therapy product that will likely share our same regulatory approval requirements. In addition, our ability to compete may be affected in many cases by insurers or other third-party payors seeking to encourage the use of generic or biosimilar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expect the product candidates we develop will be regulated as biological products, or biologics, and therefore they may be subject to competition sooner than anticipated.</w:t>
      </w:r>
    </w:p>
    <w:p>
      <w:pPr>
        <w:spacing w:after="0" w:line="8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231F20"/>
        </w:rPr>
        <w:t>The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50" w:lineRule="exact"/>
        <w:rPr>
          <w:sz w:val="20"/>
          <w:szCs w:val="20"/>
          <w:color w:val="auto"/>
        </w:rPr>
      </w:pPr>
    </w:p>
    <w:p>
      <w:pPr>
        <w:jc w:val="both"/>
        <w:ind w:right="100" w:firstLine="216"/>
        <w:spacing w:after="0" w:line="260" w:lineRule="auto"/>
        <w:rPr>
          <w:sz w:val="20"/>
          <w:szCs w:val="20"/>
          <w:color w:val="auto"/>
        </w:rPr>
      </w:pPr>
      <w:r>
        <w:rPr>
          <w:rFonts w:ascii="Times New Roman" w:cs="Times New Roman" w:eastAsia="Times New Roman" w:hAnsi="Times New Roman"/>
          <w:sz w:val="12"/>
          <w:szCs w:val="12"/>
          <w:color w:val="231F20"/>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35" w:lineRule="exact"/>
        <w:rPr>
          <w:sz w:val="20"/>
          <w:szCs w:val="20"/>
          <w:color w:val="auto"/>
        </w:rPr>
      </w:pPr>
    </w:p>
    <w:p>
      <w:pPr>
        <w:ind w:right="340" w:firstLine="216"/>
        <w:spacing w:after="0" w:line="260" w:lineRule="auto"/>
        <w:rPr>
          <w:sz w:val="20"/>
          <w:szCs w:val="20"/>
          <w:color w:val="auto"/>
        </w:rPr>
      </w:pPr>
      <w:r>
        <w:rPr>
          <w:rFonts w:ascii="Times New Roman" w:cs="Times New Roman" w:eastAsia="Times New Roman" w:hAnsi="Times New Roman"/>
          <w:sz w:val="12"/>
          <w:szCs w:val="12"/>
          <w:color w:val="231F20"/>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5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231F20"/>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53"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54"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231F20"/>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231F20"/>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Product liability lawsuits against us could cause us to incur substantial liabilities and limit commercialization of any products that we may develop.</w:t>
      </w:r>
    </w:p>
    <w:p>
      <w:pPr>
        <w:spacing w:after="0" w:line="82"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231F20"/>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regulatory investigations, product recalls or withdrawals, or labeling, marketing or promotional restrictions;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decreased demand for any product candidates or products that we may develop;</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injury to our reputation and significant negative media attention;</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loss of clinical trial participants or increased difficulty in enrolling future participants;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significant costs to defend the related litigation or to reach a settlement;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substantial payments to trial participants or patients;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loss of revenue;</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reduced resources of our management to pursue our business strategy;</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inability to commercialize any products that we may develop;</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distraction of management’s attention from our primary business;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substantial monetary awards to patients or other claimants.</w:t>
      </w:r>
    </w:p>
    <w:p>
      <w:pPr>
        <w:spacing w:after="0" w:line="78"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18"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35"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231F20"/>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47" w:lineRule="exact"/>
        <w:rPr>
          <w:sz w:val="20"/>
          <w:szCs w:val="20"/>
          <w:color w:val="auto"/>
        </w:rPr>
      </w:pPr>
    </w:p>
    <w:p>
      <w:pPr>
        <w:ind w:left="420" w:right="60" w:hanging="212"/>
        <w:spacing w:after="0" w:line="265" w:lineRule="auto"/>
        <w:tabs>
          <w:tab w:leader="none" w:pos="417" w:val="left"/>
        </w:tabs>
        <w:numPr>
          <w:ilvl w:val="0"/>
          <w:numId w:val="1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46" w:lineRule="exact"/>
        <w:rPr>
          <w:rFonts w:ascii="Times New Roman" w:cs="Times New Roman" w:eastAsia="Times New Roman" w:hAnsi="Times New Roman"/>
          <w:sz w:val="12"/>
          <w:szCs w:val="12"/>
          <w:color w:val="231F20"/>
        </w:rPr>
      </w:pPr>
    </w:p>
    <w:p>
      <w:pPr>
        <w:ind w:left="420" w:right="60" w:hanging="212"/>
        <w:spacing w:after="0" w:line="265" w:lineRule="auto"/>
        <w:tabs>
          <w:tab w:leader="none" w:pos="417" w:val="left"/>
        </w:tabs>
        <w:numPr>
          <w:ilvl w:val="0"/>
          <w:numId w:val="1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46" w:lineRule="exact"/>
        <w:rPr>
          <w:rFonts w:ascii="Times New Roman" w:cs="Times New Roman" w:eastAsia="Times New Roman" w:hAnsi="Times New Roman"/>
          <w:sz w:val="12"/>
          <w:szCs w:val="12"/>
          <w:color w:val="231F20"/>
        </w:rPr>
      </w:pPr>
    </w:p>
    <w:p>
      <w:pPr>
        <w:ind w:left="420" w:right="180" w:hanging="212"/>
        <w:spacing w:after="0" w:line="279" w:lineRule="auto"/>
        <w:tabs>
          <w:tab w:leader="none" w:pos="417" w:val="left"/>
        </w:tabs>
        <w:numPr>
          <w:ilvl w:val="0"/>
          <w:numId w:val="1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39" w:lineRule="exact"/>
        <w:rPr>
          <w:rFonts w:ascii="Times New Roman" w:cs="Times New Roman" w:eastAsia="Times New Roman" w:hAnsi="Times New Roman"/>
          <w:sz w:val="12"/>
          <w:szCs w:val="12"/>
          <w:color w:val="231F20"/>
        </w:rPr>
      </w:pPr>
    </w:p>
    <w:p>
      <w:pPr>
        <w:ind w:left="420" w:right="140" w:hanging="212"/>
        <w:spacing w:after="0" w:line="279" w:lineRule="auto"/>
        <w:tabs>
          <w:tab w:leader="none" w:pos="417" w:val="left"/>
        </w:tabs>
        <w:numPr>
          <w:ilvl w:val="0"/>
          <w:numId w:val="1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HIPAA, as amended by HITECH, and their respective implementing regulations, which also impose obligations, including mandatory contractual terms, on certain types of people and entities with respect to safeguarding the privacy, security and transmission of individually identifiable health information;</w:t>
      </w:r>
    </w:p>
    <w:p>
      <w:pPr>
        <w:spacing w:after="0" w:line="39" w:lineRule="exact"/>
        <w:rPr>
          <w:rFonts w:ascii="Times New Roman" w:cs="Times New Roman" w:eastAsia="Times New Roman" w:hAnsi="Times New Roman"/>
          <w:sz w:val="12"/>
          <w:szCs w:val="12"/>
          <w:color w:val="231F20"/>
        </w:rPr>
      </w:pPr>
    </w:p>
    <w:p>
      <w:pPr>
        <w:ind w:left="420" w:right="300" w:hanging="212"/>
        <w:spacing w:after="0" w:line="265" w:lineRule="auto"/>
        <w:tabs>
          <w:tab w:leader="none" w:pos="417" w:val="left"/>
        </w:tabs>
        <w:numPr>
          <w:ilvl w:val="0"/>
          <w:numId w:val="19"/>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federal Physician Payments Sunshine Act, or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right="100" w:hanging="212"/>
        <w:spacing w:after="0" w:line="279" w:lineRule="auto"/>
        <w:tabs>
          <w:tab w:leader="none" w:pos="417" w:val="left"/>
        </w:tabs>
        <w:numPr>
          <w:ilvl w:val="0"/>
          <w:numId w:val="2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39" w:lineRule="exact"/>
        <w:rPr>
          <w:rFonts w:ascii="Times New Roman" w:cs="Times New Roman" w:eastAsia="Times New Roman" w:hAnsi="Times New Roman"/>
          <w:sz w:val="12"/>
          <w:szCs w:val="12"/>
          <w:color w:val="231F20"/>
        </w:rPr>
      </w:pPr>
    </w:p>
    <w:p>
      <w:pPr>
        <w:ind w:left="420" w:right="60" w:hanging="212"/>
        <w:spacing w:after="0" w:line="257" w:lineRule="auto"/>
        <w:tabs>
          <w:tab w:leader="none" w:pos="417" w:val="left"/>
        </w:tabs>
        <w:numPr>
          <w:ilvl w:val="0"/>
          <w:numId w:val="2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53" w:lineRule="exact"/>
        <w:rPr>
          <w:sz w:val="20"/>
          <w:szCs w:val="20"/>
          <w:color w:val="auto"/>
        </w:rPr>
      </w:pPr>
    </w:p>
    <w:p>
      <w:pPr>
        <w:ind w:left="420" w:right="40" w:hanging="212"/>
        <w:spacing w:after="0" w:line="257" w:lineRule="auto"/>
        <w:tabs>
          <w:tab w:leader="none" w:pos="417" w:val="left"/>
        </w:tabs>
        <w:numPr>
          <w:ilvl w:val="0"/>
          <w:numId w:val="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similar healthcare laws and regulations in the EU and other jurisdictions, including reporting requirements detailing interactions with and payments to healthcare providers and laws governing the privacy and security of certain protected information, such as the GDPR, which imposes obligations and restrictions on the collection 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53"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Efforts to ensure that our business arrangements with third-parties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Recently enacted and future legislation may increase the difficulty and cost for us to obtain marketing approval of and commercialize our product candidates and affect the prices we may obtain.</w:t>
      </w:r>
    </w:p>
    <w:p>
      <w:pPr>
        <w:spacing w:after="0" w:line="82"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231F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39"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For example,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39"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231F20"/>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39"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231F20"/>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35"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231F20"/>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35"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231F20"/>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or the FCPA, the U.S. domestic bribery statute contained in 18 U.S.C. § 201, the U.S. Travel Act, the Uniting and Strengthening America by Providing Appropriate Tools Required to Intercept and Obstruct Terrorism, or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If we or third-parties we rely upon fail to comply with environmental, health and safety laws and regulations, we could become subject to fines or penalties or incur costs that could have a material adverse effect on our business.</w:t>
      </w:r>
    </w:p>
    <w:p>
      <w:pPr>
        <w:spacing w:after="0" w:line="82"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231F20"/>
        </w:rPr>
        <w:t>We and our contract manufacturers and other third-parties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53"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47"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Financial Position and Need for Additional Capital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development-stage company, and we expect to incur losses for the foreseeable future and may never achieve or maintain profitability.</w:t>
      </w:r>
    </w:p>
    <w:p>
      <w:pPr>
        <w:spacing w:after="0" w:line="82" w:lineRule="exact"/>
        <w:rPr>
          <w:sz w:val="20"/>
          <w:szCs w:val="20"/>
          <w:color w:val="auto"/>
        </w:rPr>
      </w:pPr>
    </w:p>
    <w:p>
      <w:pPr>
        <w:ind w:right="160" w:firstLine="216"/>
        <w:spacing w:after="0" w:line="286" w:lineRule="auto"/>
        <w:rPr>
          <w:sz w:val="20"/>
          <w:szCs w:val="20"/>
          <w:color w:val="auto"/>
        </w:rPr>
      </w:pPr>
      <w:r>
        <w:rPr>
          <w:rFonts w:ascii="Times New Roman" w:cs="Times New Roman" w:eastAsia="Times New Roman" w:hAnsi="Times New Roman"/>
          <w:sz w:val="11"/>
          <w:szCs w:val="11"/>
          <w:color w:val="auto"/>
        </w:rPr>
        <w:t xml:space="preserve">Except for the year ended December 31, 2022, we have incurred significant operating losses since our inception. We incurred a net loss of $77.4 million and $219.7 million for the years ended December 31, 2024, and 2023, respectively. As of December 31, 2024, we had an accumulated deficit of $692.1 million. </w:t>
      </w:r>
      <w:r>
        <w:rPr>
          <w:rFonts w:ascii="Times New Roman" w:cs="Times New Roman" w:eastAsia="Times New Roman" w:hAnsi="Times New Roman"/>
          <w:sz w:val="11"/>
          <w:szCs w:val="11"/>
          <w:color w:val="231F20"/>
        </w:rPr>
        <w:t>To date, we have financed our operations primarily through public offerings and private placements of our securities, funding received from</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231F20"/>
        </w:rPr>
        <w:t>collaboration and license arrangements and a credit facility. We currently have no source of product revenue, and we do not expect to generate product revenue for the foreseeable future.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w:t>
      </w:r>
    </w:p>
    <w:p>
      <w:pPr>
        <w:spacing w:after="0" w:line="38"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continue the research and development of our product candidates;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increase and develop our manufacturing and distribution capacities;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discover and develop additional product candidates;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seek to maintain and enter into collaboration, licensing and other agreements, including, but not limited to research and development, and/or commercialization agreements;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seek regulatory approvals for any product candidates that successfully complete clinical trials;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potentially establish a sales, marketing and distribution infrastructure and scale up internal manufacturing capabilities to commercialize any products for which we may obtain regulatory approval;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maintain, expand and protect our intellectual property portfolio, including through licensing arrangements;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add clinical, scientific, operational, financial and management information systems and personnel, including personnel to support our product development and potential future commercialization efforts;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experience any delays or encounter any issues with any of the above, including, but not limited to, failed studies, complex results, safety issues or other regulatory, manufacturing or scale-up challenges;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are exposed to broad macroeconomic conditions including inflation and supply chain tightness which could result in us paying more, or being unable, to access goods and services.</w:t>
      </w:r>
    </w:p>
    <w:p>
      <w:pPr>
        <w:spacing w:after="0" w:line="78"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231F20"/>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5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231F20"/>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47"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231F20"/>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3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231F20"/>
        </w:rPr>
        <w:t>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needed or on attractive terms, we could be forced to delay, reduce or eliminate our clinical trials, our other research and development programs or any future commercialization efforts.</w:t>
      </w:r>
    </w:p>
    <w:p>
      <w:pPr>
        <w:spacing w:after="0" w:line="78"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We believe that our existing cash, cash equivalents and restricted cash as of December 31, 2024, will enable us to fund our operating expenses and capital expenditure requirements into mid-2027.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Our future capital requirements will depend on many factors, including:</w:t>
      </w:r>
    </w:p>
    <w:p>
      <w:pPr>
        <w:spacing w:after="0" w:line="78"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scope, progress, results and costs of our clinical trials, preclinical development, manufacturing, laboratory testing and logistics;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number of product candidates that we pursue and the speed with which we pursue development;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headcount growth and associated costs;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timing and outcome of regulatory review of our product candidates;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and timing of future commercialization activities, including manufacturing, marketing, sales and distribution, for any of our product candidates for which we receive marketing approval;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revenue, if any, from commercial sales of our product candidates for which we receive marketing approval;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and timing of preparing, filing and prosecuting patent applications, maintaining and enforcing our intellectual property rights and defending any intellectual property-related claims;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effect of competing technological and market developments;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extent to which we acquire or invest in businesses, products and technologies, including entering into licensing or collaboration arrangements for product candidates.</w:t>
      </w:r>
    </w:p>
    <w:p>
      <w:pPr>
        <w:spacing w:after="0" w:line="78" w:lineRule="exact"/>
        <w:rPr>
          <w:sz w:val="20"/>
          <w:szCs w:val="20"/>
          <w:color w:val="auto"/>
        </w:rPr>
      </w:pPr>
    </w:p>
    <w:p>
      <w:pPr>
        <w:ind w:right="100" w:firstLine="216"/>
        <w:spacing w:after="0" w:line="254" w:lineRule="auto"/>
        <w:rPr>
          <w:sz w:val="20"/>
          <w:szCs w:val="20"/>
          <w:color w:val="auto"/>
        </w:rPr>
      </w:pPr>
      <w:r>
        <w:rPr>
          <w:rFonts w:ascii="Times New Roman" w:cs="Times New Roman" w:eastAsia="Times New Roman" w:hAnsi="Times New Roman"/>
          <w:sz w:val="12"/>
          <w:szCs w:val="12"/>
          <w:color w:val="231F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56"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231F20"/>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Our ability to use our net operating loss and research and development tax credit carryforwards to offset future taxable income may be subject to certain limitations.</w:t>
      </w:r>
    </w:p>
    <w:p>
      <w:pPr>
        <w:spacing w:after="0" w:line="8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231F20"/>
        </w:rPr>
        <w:t>We have net operating loss carryforwards, or NOLs, for federal and state income tax purposes that may be available to offset our future taxable income, if any. In general, under Sections 382 and 383 of the Internal Revenue Code of 1986, as amended, or the Code, a corporation that undergoes an “ownership change” is subject to limitations on its ability to use its pre-change NOLs to offset future taxable income. If the IRS, challenges our analysis that existing NOLs will not expire before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231F20"/>
        </w:rPr>
        <w:t>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w:t>
      </w:r>
    </w:p>
    <w:p>
      <w:pPr>
        <w:spacing w:after="0" w:line="39"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231F20"/>
        </w:rPr>
        <w:t>Furthermore, our ability to use NOLs of companies that we may acquire in the future may be subject to 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11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We have recorded a material amount of goodwill and indefinite-lived intangible assets in connection with the Merger. We may record impairment charges, which would adversely impact our financial position and results of operations.</w:t>
      </w:r>
    </w:p>
    <w:p>
      <w:pPr>
        <w:spacing w:after="0" w:line="35"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231F20"/>
        </w:rPr>
        <w:t>We have recorded a material amount of goodwill and indefinite-lived intangible assets on our balance sheet in connection with the Merger. We review our goodwill and intangible assets for impairment at least annually, or whenever events or changes in circumstances indicate that the carrying amounts of these assets may not be recoverable, in accordance with Accounting Standards Codification Topic 350, Intangibles - Goodwill and Other.</w:t>
      </w:r>
    </w:p>
    <w:p>
      <w:pPr>
        <w:spacing w:after="0" w:line="39"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231F20"/>
        </w:rPr>
        <w:t>One potential indicator of goodwill impairment is whether the fair value of our equity, as measured by our market capitalization, is below the net book value of our equity. Whether our market capitalization triggers an impairment charge in any future period will depend on the underlying reasons for the decline in stock price, the significance of the decline and the length of time the stock price has been trading at such prices.</w:t>
      </w:r>
    </w:p>
    <w:p>
      <w:pPr>
        <w:spacing w:after="0" w:line="39"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231F20"/>
        </w:rPr>
        <w:t>In addition, the determination as to whether our indefinite-lived intangible assets related to Descartes-08 are impaired is heavily dependent on the results of our ongoing clinical trials, as well as other factors, such as the potential market for Descartes-08, if approved.</w:t>
      </w:r>
    </w:p>
    <w:p>
      <w:pPr>
        <w:spacing w:after="0" w:line="39"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231F20"/>
        </w:rPr>
        <w:t>In the event that we determine in a future period that impairment exists for any reason, we would record an impairment charge, which could be material and which would reduce the underlying asset’s value in the period such determination is made, which would adversely impact our financial position and results of operations.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substantial expenses related to the integration of Old Cartesian.</w:t>
      </w:r>
    </w:p>
    <w:p>
      <w:pPr>
        <w:spacing w:after="0" w:line="8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have incurred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significant severance expenses as a result of the Merger. While we and Old Cartesian have assumed that a certain level of expenses will be incurred, there are many factors beyond our control that could affect the total amount or the timing of the integration expenses. Moreover, many of the expenses that have been and will be incurred are, by their nature, difficult to estimate accurately. These integration expenses have resulted in our taking significant charges against earnings following the completion of the Merger, and the amount and timing of such charges are uncertain at present.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Intellectual Property</w:t>
      </w:r>
    </w:p>
    <w:p>
      <w:pPr>
        <w:spacing w:after="0" w:line="1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3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231F20"/>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47" w:lineRule="exact"/>
        <w:rPr>
          <w:sz w:val="20"/>
          <w:szCs w:val="20"/>
          <w:color w:val="auto"/>
        </w:rPr>
      </w:pPr>
    </w:p>
    <w:p>
      <w:pPr>
        <w:ind w:right="260" w:firstLine="216"/>
        <w:spacing w:after="0" w:line="260" w:lineRule="auto"/>
        <w:rPr>
          <w:sz w:val="20"/>
          <w:szCs w:val="20"/>
          <w:color w:val="auto"/>
        </w:rPr>
      </w:pPr>
      <w:r>
        <w:rPr>
          <w:rFonts w:ascii="Times New Roman" w:cs="Times New Roman" w:eastAsia="Times New Roman" w:hAnsi="Times New Roman"/>
          <w:sz w:val="12"/>
          <w:szCs w:val="12"/>
          <w:color w:val="231F20"/>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231F20"/>
        </w:rPr>
        <w:t>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53"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In some circumstances, we may not have the right to control the preparation, filing and prosecution of patent applications, or to maintain the patents covering technology that we license from third-parties.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50"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231F20"/>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We cannot provide any assurances that the issued patents we currently own, or any future patents, include claims with a scope sufficient to protect our product candidates or otherwise provide any competitive advantage.</w:t>
      </w:r>
    </w:p>
    <w:p>
      <w:pPr>
        <w:spacing w:after="0" w:line="78"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231F20"/>
        </w:rPr>
        <w:t>Further, it is possible that a patent claim may provide coverage for some but not all parts of a product candidate or third-party product. These and other factors may provide opportunities for our competitors to design around our patents.</w:t>
      </w:r>
    </w:p>
    <w:p>
      <w:pPr>
        <w:spacing w:after="0" w:line="39" w:lineRule="exact"/>
        <w:rPr>
          <w:sz w:val="20"/>
          <w:szCs w:val="20"/>
          <w:color w:val="auto"/>
        </w:rPr>
      </w:pPr>
    </w:p>
    <w:p>
      <w:pPr>
        <w:jc w:val="both"/>
        <w:ind w:right="160" w:firstLine="216"/>
        <w:spacing w:after="0" w:line="265" w:lineRule="auto"/>
        <w:rPr>
          <w:sz w:val="20"/>
          <w:szCs w:val="20"/>
          <w:color w:val="auto"/>
        </w:rPr>
      </w:pPr>
      <w:r>
        <w:rPr>
          <w:rFonts w:ascii="Times New Roman" w:cs="Times New Roman" w:eastAsia="Times New Roman" w:hAnsi="Times New Roman"/>
          <w:sz w:val="12"/>
          <w:szCs w:val="12"/>
          <w:color w:val="231F20"/>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4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231F20"/>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53" w:lineRule="exact"/>
        <w:rPr>
          <w:sz w:val="20"/>
          <w:szCs w:val="20"/>
          <w:color w:val="auto"/>
        </w:rPr>
      </w:pPr>
    </w:p>
    <w:p>
      <w:pPr>
        <w:ind w:right="160" w:firstLine="216"/>
        <w:spacing w:after="0" w:line="256" w:lineRule="auto"/>
        <w:rPr>
          <w:sz w:val="20"/>
          <w:szCs w:val="20"/>
          <w:color w:val="auto"/>
        </w:rPr>
      </w:pPr>
      <w:r>
        <w:rPr>
          <w:rFonts w:ascii="Times New Roman" w:cs="Times New Roman" w:eastAsia="Times New Roman" w:hAnsi="Times New Roman"/>
          <w:sz w:val="12"/>
          <w:szCs w:val="12"/>
          <w:color w:val="231F20"/>
        </w:rPr>
        <w:t>We may be subject to a third-party pre-issuance submission of prior art to the U.S. Patent and Trademark Office, or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53"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231F20"/>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third-parties, we may not be able to establish or maintain a competitive advantage in our market, which could adversely affect our business and operations.</w:t>
      </w:r>
    </w:p>
    <w:p>
      <w:pPr>
        <w:spacing w:after="0" w:line="54"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231F20"/>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If we are unable to protect the confidentiality of our trade secrets and know-how, our business and competitive position would be harmed.</w:t>
      </w:r>
    </w:p>
    <w:p>
      <w:pPr>
        <w:spacing w:after="0" w:line="82"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231F20"/>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Changes in U.S. patent law could diminish the value of patents in general, thereby impairing our ability to protect our product candidates.</w:t>
      </w:r>
    </w:p>
    <w:p>
      <w:pPr>
        <w:spacing w:after="0" w:line="8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or the Leahy-Smith Act, included provisions that affect the way patent applications are prosecuted and may also affect patent litigation, including first-to-file provisions. A third-party that files a patent application in the USPTO before us could therefore be awarded a patent covering an invention of ours even if we had made the invention before it was made by the third-party.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231F20"/>
        </w:rPr>
        <w:t>In addition, the Leahy-Smith Act limits where a patentee may file a patent infringement suit and provides opportunities for third-parties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third-party could potentially provide evidence in a USPTO proceeding sufficient for the USPTO to hold a claim invalid even though the same evidence would be insufficient to invalidate the claim if first presented in a federal court action.</w:t>
      </w:r>
    </w:p>
    <w:p>
      <w:pPr>
        <w:spacing w:after="0" w:line="47"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231F20"/>
        </w:rPr>
        <w:t>Accordingly, a third-party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47"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231F20"/>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39"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231F20"/>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Third-parties may initiate legal proceedings alleging that we are infringing their intellectual property rights, the outcome of which would be uncertain and could have a material adverse effect on the success of our business.</w:t>
      </w:r>
    </w:p>
    <w:p>
      <w:pPr>
        <w:spacing w:after="0" w:line="82"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231F20"/>
        </w:rPr>
        <w:t>Our commercial success depends upon our ability, and the ability of our collaborators, to develop, manufacture, market and sell our product candidates and use our proprietary technologies without infringing the proprietary rights of third-parties. There is considerable intellectual property litigation in the biotechnology and pharmaceutical industries. While no such litigation has been brought against us and we have not been held by any court to have infringed a third-party’s intellectual property rights, we cannot guarantee that our technology, product candidates or use of our product candidates do not infringe third-party patents.</w:t>
      </w:r>
    </w:p>
    <w:p>
      <w:pPr>
        <w:spacing w:after="0" w:line="47"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231F20"/>
        </w:rPr>
        <w:t>We are aware of numerous patents and pending applications owned by third-parties,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5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231F20"/>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Third-parties may assert infringement claims against us based on existing intellectual property rights and intellectual property rights that may be granted in the future.</w:t>
      </w:r>
    </w:p>
    <w:p>
      <w:pPr>
        <w:spacing w:after="0" w:line="50"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231F20"/>
        </w:rPr>
        <w:t>Patent and other types of intellectual property litigation can involve complex factual and legal questions, and their outcome is uncertain. If we are found, or believe there is a risk we may be found, to infringe a third-party’s intellectual property rights, we could be required or may choose to obtain a license from such third-party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Claims that we have misappropriated the confidential information or trade secrets of third-parties could have a similar negative impact on our business.</w:t>
      </w:r>
    </w:p>
    <w:p>
      <w:pPr>
        <w:spacing w:after="0" w:line="78"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231F20"/>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Any of these risks coming to fruition could have a material adverse impact on our business.</w:t>
      </w:r>
    </w:p>
    <w:p>
      <w:pPr>
        <w:spacing w:after="0" w:line="14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35"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12"/>
          <w:szCs w:val="12"/>
          <w:color w:val="231F20"/>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The lives of our patents may not be sufficient to effectively protect our products and business.</w:t>
      </w:r>
    </w:p>
    <w:p>
      <w:pPr>
        <w:spacing w:after="0" w:line="82"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231F20"/>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5"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231F20"/>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50"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231F20"/>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may not be successful in obtaining or maintaining necessary rights to our product candidates through acquisitions and in-licenses.</w:t>
      </w:r>
    </w:p>
    <w:p>
      <w:pPr>
        <w:spacing w:after="0" w:line="8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231F20"/>
        </w:rPr>
        <w:t>We currently have rights to certain intellectual property, through licenses from third-parties and under patents and patent applications that we own, to develop our product candidates. Because we may find that our programs require the use of proprietary rights held by third-parties, the growth of our business may depend in part on our ability to acquire, in-license or use these proprietary rights. We may be unable to acquire or in-license compositions, methods of use, processes or other third-party intellectual property rights from third-parties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53"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231F20"/>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may be subject to claims by third-parties asserting that our employees or we have misappropriated their intellectual property, or claiming ownership of what we regard as our own intellectual property.</w:t>
      </w:r>
    </w:p>
    <w:p>
      <w:pPr>
        <w:spacing w:after="0" w:line="82"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231F20"/>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w:t>
      </w:r>
    </w:p>
    <w:p>
      <w:pPr>
        <w:spacing w:after="0" w:line="39"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231F20"/>
        </w:rPr>
        <w:t>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4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231F20"/>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third-parties, or defend claims they may bring against us, to determine the ownership of what we regard as our intellectual property. Similarly, we may be subject to claims that an employee, advisor or consultant performed work for us that conflicts with that person’s obligations to a third-party, such as an employer, and thus, that the third-party has an ownership interest in the intellectual property arising out of work performed for us. Litigation may be necessary to defend against these claims.</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Although we have no knowledge of any such claims being alleged to date, if such claims were to arise, litigation may be necessary to defend against any such claims.</w:t>
      </w:r>
    </w:p>
    <w:p>
      <w:pPr>
        <w:spacing w:after="0" w:line="78"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231F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will not seek to protect our intellectual property rights in all jurisdictions throughout the world and we may not be able to adequately enforce our intellectual property rights even in the jurisdictions where we seek protection.</w:t>
      </w:r>
    </w:p>
    <w:p>
      <w:pPr>
        <w:spacing w:after="0" w:line="8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231F20"/>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third-parties from practicing our inventions in all countries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outside the United States, or from selling or importing products made using our inventions in and into the United States or other jurisdictions.</w:t>
      </w:r>
    </w:p>
    <w:p>
      <w:pPr>
        <w:spacing w:after="0" w:line="78"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231F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third-parties from so competing.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If we do not obtain additional protection under the Hatch-Waxman Act and similar foreign legislation extending the terms of our patents for our product candidates, our business may be harmed.</w:t>
      </w:r>
    </w:p>
    <w:p>
      <w:pPr>
        <w:spacing w:after="0" w:line="82"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231F20"/>
        </w:rPr>
        <w:t>Depending upon the timing, duration and specifics of FDA regulatory approval for our product candidates, one or more of our U.S. patents may be eligible for limited patent term restoration under the Drug Price Competition and Patent Term Restoration Act of 1984, or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47"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231F20"/>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Our future success depends on our ability to retain key executives and to attract, retain and motivate qualified personnel.</w:t>
      </w:r>
    </w:p>
    <w:p>
      <w:pPr>
        <w:spacing w:after="0" w:line="8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231F20"/>
        </w:rPr>
        <w:t>We are highly dependent on Carsten Brunn, Ph.D., our President and Chief Executive Officer, as well as the other principal members of our management, scientific, clinical, and manufacturing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47" w:lineRule="exact"/>
        <w:rPr>
          <w:sz w:val="20"/>
          <w:szCs w:val="20"/>
          <w:color w:val="auto"/>
        </w:rPr>
      </w:pPr>
    </w:p>
    <w:p>
      <w:pPr>
        <w:ind w:firstLine="216"/>
        <w:spacing w:after="0" w:line="282" w:lineRule="auto"/>
        <w:rPr>
          <w:sz w:val="20"/>
          <w:szCs w:val="20"/>
          <w:color w:val="auto"/>
        </w:rPr>
      </w:pPr>
      <w:r>
        <w:rPr>
          <w:rFonts w:ascii="Times New Roman" w:cs="Times New Roman" w:eastAsia="Times New Roman" w:hAnsi="Times New Roman"/>
          <w:sz w:val="11"/>
          <w:szCs w:val="11"/>
          <w:color w:val="231F20"/>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We have incurred increased costs as a result of operating as a public company, and our management will be required to devote substantial time to compliance initiatives and corporate governance practices.</w:t>
      </w:r>
    </w:p>
    <w:p>
      <w:pPr>
        <w:spacing w:after="0" w:line="8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As a public company, we have incurred and expect to continue to incur significant legal, accounting and other expenses.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3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example, in connection with the audit of our financial statements for the year ended December 31, 2023, we identified a material weakness in our internal control over financial reporting. As of December 31, 2024, this material weakness has been remediated, but we may identify additional material weaknesses in the future or otherwise fail to maintain an effective system of internal control over financial reporting, which may result in material misstatements of our consolidated financial statements or cause us to fail to meet our periodic reporting obligations.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A variety of risks associated with maintaining our subsidiary in Russia or expanding operations internationally could adversely affect our business.</w:t>
      </w:r>
    </w:p>
    <w:p>
      <w:pPr>
        <w:spacing w:after="0" w:line="8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231F20"/>
        </w:rPr>
        <w:t>In addition to our U.S. operations, we maintain a wholly owned subsidiary in Russia, Selecta (RUS). However, we are in the process of winding down all remaining operations of this subsidiary.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50"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multiple, conflicting and changing laws and regulations, such as privacy regulations, tax laws, export and import restrictions, employment laws, regulatory requirements and other governmental approvals, permits and licenses;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failure by us to obtain and maintain regulatory approvals for the use of our product candidates in various countries;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additional potentially relevant third-party patent rights;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complexities and difficulties in obtaining protection of and enforcing our intellectual property rights;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difficulties in staffing and managing foreign operations;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complexities associated with managing multiple-payor reimbursement regimes, government payors or patient self-pay systems;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limits on our ability to penetrate international markets;</w:t>
      </w:r>
    </w:p>
    <w:p>
      <w:pPr>
        <w:spacing w:after="0" w:line="78" w:lineRule="exact"/>
        <w:rPr>
          <w:rFonts w:ascii="Times New Roman" w:cs="Times New Roman" w:eastAsia="Times New Roman" w:hAnsi="Times New Roman"/>
          <w:sz w:val="12"/>
          <w:szCs w:val="12"/>
          <w:color w:val="231F20"/>
        </w:rPr>
      </w:pPr>
    </w:p>
    <w:p>
      <w:pPr>
        <w:ind w:left="420" w:right="260" w:hanging="212"/>
        <w:spacing w:after="0" w:line="279" w:lineRule="auto"/>
        <w:tabs>
          <w:tab w:leader="none" w:pos="417"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39" w:lineRule="exact"/>
        <w:rPr>
          <w:rFonts w:ascii="Times New Roman" w:cs="Times New Roman" w:eastAsia="Times New Roman" w:hAnsi="Times New Roman"/>
          <w:sz w:val="12"/>
          <w:szCs w:val="12"/>
          <w:color w:val="231F20"/>
        </w:rPr>
      </w:pPr>
    </w:p>
    <w:p>
      <w:pPr>
        <w:ind w:left="420" w:right="240" w:hanging="212"/>
        <w:spacing w:after="0" w:line="279" w:lineRule="auto"/>
        <w:tabs>
          <w:tab w:leader="none" w:pos="417"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natural disasters, political and economic instability, including wars, events of terrorism and political unrest, outbreak of disease, including pandemics, boycotts, curtailment of trade and other business restrictions, economic sanctions, and economic weakness, including inflation;</w:t>
      </w:r>
    </w:p>
    <w:p>
      <w:pPr>
        <w:spacing w:after="0" w:line="39"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changes in diplomatic and trade relationships;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challenges in enforcing our contractual and intellectual property rights, especially in those foreign countries that do not respect and protect intellectual property rights to the same extent as the United States;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restriction on cross-border investment, including enhanced oversight by the Committee on Foreign Investment in the United States and substantial restrictions on investment from China;</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certain expenses including, among others, expenses for travel, translation and insurance;</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legal risks, including use of the legal system by the government to benefit itself or affiliated entities at our expense, including expropriation of property;</w:t>
      </w:r>
    </w:p>
    <w:p>
      <w:pPr>
        <w:spacing w:after="0" w:line="78" w:lineRule="exact"/>
        <w:rPr>
          <w:rFonts w:ascii="Times New Roman" w:cs="Times New Roman" w:eastAsia="Times New Roman" w:hAnsi="Times New Roman"/>
          <w:sz w:val="12"/>
          <w:szCs w:val="12"/>
          <w:color w:val="231F20"/>
        </w:rPr>
      </w:pPr>
    </w:p>
    <w:p>
      <w:pPr>
        <w:ind w:left="420" w:right="100" w:hanging="212"/>
        <w:spacing w:after="0" w:line="279" w:lineRule="auto"/>
        <w:tabs>
          <w:tab w:leader="none" w:pos="417"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regulatory and compliance risks that relate to maintaining accurate information and control over sales and activities that may fall within the purview of the FCPA its books and records provisions, or its anti-bribery provisions; and</w:t>
      </w:r>
    </w:p>
    <w:p>
      <w:pPr>
        <w:spacing w:after="0" w:line="39"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risks that we may suffer reputational harm as a result of our operations in Russia.</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Any of these factors could significantly harm our future international expansion and operations and, consequently, our results of operations.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Our business and operations, including our development programs, could be materially disrupted in the event of system failures, security breaches, violations of data protection laws or data loss or damage by us or third-parties on which we rely, including our CROs or other contractors or consultants.</w:t>
      </w:r>
    </w:p>
    <w:p>
      <w:pPr>
        <w:spacing w:after="0" w:line="35"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231F20"/>
        </w:rPr>
        <w:t>Our internal computer systems and those of third-parties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56"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231F20"/>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231F20"/>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Acquisitions or joint ventures could disrupt our business, cause dilution to our stockholders and otherwise harm our business.</w:t>
      </w:r>
    </w:p>
    <w:p>
      <w:pPr>
        <w:spacing w:after="0" w:line="8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231F20"/>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39"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disruption in our relationships with future customers or with current or future distributors or suppliers as a result of such a transaction;</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unexpected liabilities related to acquired companies;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difficulties integrating acquired personnel, technologies and operations into our existing business;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diversion of management time and focus from operating our business to acquisition integration challenges;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increases in our expenses and reductions in our cash available for operations and other uses;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possible write-offs or impairment charges relating to acquired businesses; and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inability to develop a sales force for any additional product candidates.</w:t>
      </w:r>
    </w:p>
    <w:p>
      <w:pPr>
        <w:spacing w:after="0" w:line="78"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231F20"/>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3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231F20"/>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common stock may be volatile and fluctuate substantially, which could result in substantial losses for purchasers of our common stock.</w:t>
      </w:r>
    </w:p>
    <w:p>
      <w:pPr>
        <w:spacing w:after="0" w:line="82"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231F20"/>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47"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success of competitive products or technologies;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results or progress, or changes in approach or timelines, of clinical trials of our product candidates or those of our competitors;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failure or discontinuation of any of our development programs;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commencement of, termination of, or any development related to any collaboration or licensing arrangement;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regulatory or legal developments in the United States and other countries;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development of new product candidates that may address our markets and make our product candidates less attractive;</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changes in physician, hospital or healthcare provider practices that may make our product candidates less useful;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announcements by us, our collaborators or our competitors of significant acquisitions, strategic partnerships, joint ventures, collaborations or capital commitments;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announcement or market expectation of additional financing efforts;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developments or disputes concerning patent applications, issued patents or other proprietary rights;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recruitment or departure of key personnel;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level of expenses related to any of our product candidates or clinical development programs;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failure to meet or exceed financial estimates, projections or development timelines of the investment community or that we provide to the public;</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results of our efforts to discover, develop, acquire or in-license additional product candidates or products;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actual or expected changes in estimates as to financial results, development timelines or recommendations by securities analysts;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variations in our financial results or those of companies that are perceived to be similar to us;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changes in the structure of healthcare payment systems;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sale of common stock by us or our stockholders in the future as well as the overall trading volume of our common stock;</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changes in the composition of our stockholder base;</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activity in the options market for shares of our common stock;</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market conditions in the pharmaceutical and biotechnology sectors;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general economic, industry and market conditions; and</w:t>
      </w:r>
    </w:p>
    <w:p>
      <w:pPr>
        <w:spacing w:after="0" w:line="76"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other factors described in this “Risk Factors</w:t>
      </w:r>
      <w:r>
        <w:rPr>
          <w:rFonts w:ascii="Times New Roman" w:cs="Times New Roman" w:eastAsia="Times New Roman" w:hAnsi="Times New Roman"/>
          <w:sz w:val="12"/>
          <w:szCs w:val="12"/>
          <w:i w:val="1"/>
          <w:iCs w:val="1"/>
          <w:color w:val="231F20"/>
        </w:rPr>
        <w:t>”</w:t>
      </w:r>
      <w:r>
        <w:rPr>
          <w:rFonts w:ascii="Times New Roman" w:cs="Times New Roman" w:eastAsia="Times New Roman" w:hAnsi="Times New Roman"/>
          <w:sz w:val="12"/>
          <w:szCs w:val="12"/>
          <w:color w:val="231F20"/>
        </w:rPr>
        <w:t xml:space="preserve"> section.</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7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2"/>
          <w:szCs w:val="12"/>
          <w:color w:val="auto"/>
        </w:rPr>
        <w:t>Our executive officers, directors and stockholders who own more than 5% of our outstanding common stock and their respective affiliates, in the aggregate, hold shares representing approximately 64.5% of our outstanding voting stock as of December 31, 2024</w:t>
      </w:r>
      <w:r>
        <w:rPr>
          <w:rFonts w:ascii="Times New Roman" w:cs="Times New Roman" w:eastAsia="Times New Roman" w:hAnsi="Times New Roman"/>
          <w:sz w:val="12"/>
          <w:szCs w:val="12"/>
          <w:color w:val="231F20"/>
        </w:rPr>
        <w:t>, assuming the conversion of all shares of all outstanding shares of Series A Non-Voting Convertible Preferred Stock, par value $0.0001 per share, or Series A Preferred Stock, and Series B Non-Voting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 xml:space="preserve">Convertible Preferred Stock, par value $0.0001 per share, or Series B Preferred Stock, into common stock, or </w:t>
      </w:r>
      <w:r>
        <w:rPr>
          <w:rFonts w:ascii="Times New Roman" w:cs="Times New Roman" w:eastAsia="Times New Roman" w:hAnsi="Times New Roman"/>
          <w:sz w:val="12"/>
          <w:szCs w:val="12"/>
          <w:color w:val="000000"/>
        </w:rPr>
        <w:t>68.4%, assuming no conversion of outstanding shares of Series A Preferred Stock and Series B Preferred Stock into common</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stock</w:t>
      </w:r>
      <w:r>
        <w:rPr>
          <w:rFonts w:ascii="Times New Roman" w:cs="Times New Roman" w:eastAsia="Times New Roman" w:hAnsi="Times New Roman"/>
          <w:sz w:val="12"/>
          <w:szCs w:val="12"/>
          <w:color w:val="231F20"/>
        </w:rPr>
        <w:t>.</w:t>
      </w:r>
      <w:r>
        <w:rPr>
          <w:rFonts w:ascii="Times New Roman" w:cs="Times New Roman" w:eastAsia="Times New Roman" w:hAnsi="Times New Roman"/>
          <w:sz w:val="12"/>
          <w:szCs w:val="12"/>
          <w:color w:val="000000"/>
        </w:rPr>
        <w:t xml:space="preserve"> As a result, if some or all of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231F20"/>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35" w:lineRule="exact"/>
        <w:rPr>
          <w:sz w:val="20"/>
          <w:szCs w:val="20"/>
          <w:color w:val="auto"/>
        </w:rPr>
      </w:pPr>
    </w:p>
    <w:p>
      <w:pPr>
        <w:jc w:val="both"/>
        <w:ind w:right="300" w:firstLine="216"/>
        <w:spacing w:after="0" w:line="265" w:lineRule="auto"/>
        <w:rPr>
          <w:sz w:val="20"/>
          <w:szCs w:val="20"/>
          <w:color w:val="auto"/>
        </w:rPr>
      </w:pPr>
      <w:r>
        <w:rPr>
          <w:rFonts w:ascii="Times New Roman" w:cs="Times New Roman" w:eastAsia="Times New Roman" w:hAnsi="Times New Roman"/>
          <w:sz w:val="12"/>
          <w:szCs w:val="12"/>
          <w:color w:val="231F20"/>
        </w:rPr>
        <w:t>Provisions in our restated certificate of incorporation, as amended, or the Charter, and amended and restated by-laws may delay or prevent an acquisition or a change in management. These provisions include a prohibition on actions by written consent of our stockholders and the ability of our board of directors, or the Board of Directors, to issue preferred stock without stockholder approval. In addition, because we are incorporated in Delaware, we are governed by the provisions of Section 203 of the Delaware General Corporation Law, which prohibits stockholders owning in excess of 15% of our outstanding voting stock from merging or combining with us.</w:t>
      </w:r>
    </w:p>
    <w:p>
      <w:pPr>
        <w:spacing w:after="0" w:line="47"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231F20"/>
        </w:rPr>
        <w:t>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47"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231F20"/>
        </w:rPr>
        <w:t>Furthermore, our Charter specifies that, unless we consent in writing to the selection of an alternative forum, the Court of Chancery of the State of Delaware will be the sole and exclusive forum for most legal actions involving claims brought against us by stockholders. This provision of our Charter applies to actions arising under the Securities Act and the Exchange Act.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may result in increased litigation costs for our stockholders. We note that there is uncertainty as to whether a court would enforce these provisions and that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been in the past and may in the future be subject to stockholder litigation.</w:t>
      </w:r>
    </w:p>
    <w:p>
      <w:pPr>
        <w:spacing w:after="0" w:line="82"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39" w:lineRule="exact"/>
        <w:rPr>
          <w:sz w:val="20"/>
          <w:szCs w:val="20"/>
          <w:color w:val="auto"/>
        </w:rPr>
      </w:pPr>
    </w:p>
    <w:p>
      <w:pPr>
        <w:ind w:right="180" w:firstLine="216"/>
        <w:spacing w:after="0" w:line="257" w:lineRule="auto"/>
        <w:rPr>
          <w:sz w:val="20"/>
          <w:szCs w:val="20"/>
          <w:color w:val="auto"/>
        </w:rPr>
      </w:pPr>
      <w:r>
        <w:rPr>
          <w:rFonts w:ascii="Times New Roman" w:cs="Times New Roman" w:eastAsia="Times New Roman" w:hAnsi="Times New Roman"/>
          <w:sz w:val="12"/>
          <w:szCs w:val="12"/>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alleged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a proposal to convert our Series A Preferred Stock into our common stock, subject to certain beneficial ownership limitations, or the Series A Conversion Proposal. The complaint sought injunctive relief enjoining or rescinding the Merger, issuance of an amended proxy statement, and attorneys’ fees and costs. Additional similar lawsuits may be filed. This action was subsequently dismissed on March 11, 2024.</w:t>
      </w:r>
    </w:p>
    <w:p>
      <w:pPr>
        <w:spacing w:after="0" w:line="53"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On February 7, 2024, Justin Sloan, a purported stockholder of our Company, filed a putative class action on behalf of himself and similarly situated stockholders of the Company against our Company and members of our Board of Directors in the Court of Chancery of the State of Delaware, titled Sloan v. Barabe, et al., No. 2024-0105. The complaint alleged that the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2"/>
          <w:szCs w:val="12"/>
          <w:color w:val="auto"/>
        </w:rPr>
        <w:t>individual defendants breached their fiduciary duties by failing to disclose purportedly material information to our Company’s stockholders in our Preliminary Proxy Statement filed on January 31, 2024 in connection with the solicitation of stockholder approval of the Series A Conversion Proposal. The complaint seeks a temporary injunction against the stockholder vote on the Series A Conversion Proposal, compensatory damages, pre-and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This action was subsequently dismissed on March 13, 2024.</w:t>
      </w:r>
    </w:p>
    <w:p>
      <w:pPr>
        <w:spacing w:after="0" w:line="48"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alleged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We intend to vigorously defend against any demands which we believe to be without merit.</w:t>
      </w:r>
    </w:p>
    <w:p>
      <w:pPr>
        <w:spacing w:after="0" w:line="54"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There can be no assurance as to the outcome of any stockholder litigation. Unfavorable outcomes in class action litigation could require us to pay extensive damages, which could delay or prevent our ability to develop our product candidates and harm our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82"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One of the key responsibilities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and through the Audit Committee, which conducts regular risk assessments related to all matters affecting the enterprise, including cybersecurity, and receives periodic reports on the Company’s cybersecurity risks and activities. Our Chief Financial Officer and our Senior Director, Head of IT are the Company employees responsible for developing and implementing a cybersecurity risk management program intended to protect the confidentiality, integrity, and availability of our critical systems and information. We partner with external cybersecurity vendors to enact a layered defense approach with controls deployed that seek to meet the requirements of the NIST Cybersecurity Framework.</w:t>
      </w:r>
    </w:p>
    <w:p>
      <w:pPr>
        <w:spacing w:after="0" w:line="53"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Our Chief Financial Officer has served as a biotechnology executive for 20 years, whose responsibilities have included direct oversight of his companies’ cybersecurity risks. Our Senior Director, Head of IT has served as an Information Technology professional for over ten years and has held senior IT positions across several companies including a large pharmaceutical company.</w:t>
      </w:r>
    </w:p>
    <w:p>
      <w:pPr>
        <w:spacing w:after="0" w:line="39"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have established policies and processes for assessing, identifying, and managing material risk from cybersecurity threats, and have integrated these processes into our overall risk management systems and processes. Our Senior Director, Head of IT oversees the cybersecurity program through risk management, employee security training, and oversight and escalation of threat monitoring and incident response.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In the event of a major security incident, we have established an escalation path for stakeholder notification and remediation efforts, and major incidents are immediately escalated to the Head of IT, Chief Financial Officer, and Chief Operations Officer. In 2024, we proactively conducted a thorough and robust cybersecurity assessment, performed by an external cybersecurity partner, to evaluate our risks and identify key areas to improve our cybersecurity posture. We have implemented processes when evaluating third-party service providers, for example by reviewing available audit reports including the System and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Organization Controls (SOC 2) reports and requesting disclosure of any previous cybersecurity events. We also perform quality audits of certain regulated vendors, which includes an assessment of the vendor’s information technology system and associated controls.</w:t>
      </w:r>
    </w:p>
    <w:p>
      <w:pPr>
        <w:spacing w:after="0" w:line="39"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Additionally, we conduct periodic risk assessments to identify and monitor against potential cybersecurity threats and incidents, as well as assess for any changes in our business practices that may affect our cybersecurity position. This risk oversight includes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47"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Following these risk assessments, we re-design, implement, and maintain reasonable safeguards to minimize identified risks and address any identified gaps in existing safeguards. Primary responsibility for assessing, monitoring and managing our cybersecurity program is delegated to our Senior Director, Head of IT, who reports on IT operations, risk mitigation and assessment efforts, and other general cybersecurity matters to our Chief Financial Officer, to manage the risk assessment and mitigation process.</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part of our overall risk management system, we monitor and test our safeguards and train our employees on these safeguards.</w:t>
      </w:r>
    </w:p>
    <w:p>
      <w:pPr>
        <w:spacing w:after="0" w:line="78" w:lineRule="exact"/>
        <w:rPr>
          <w:sz w:val="20"/>
          <w:szCs w:val="20"/>
          <w:color w:val="auto"/>
        </w:rPr>
      </w:pPr>
    </w:p>
    <w:p>
      <w:pPr>
        <w:jc w:val="both"/>
        <w:ind w:right="100" w:firstLine="216"/>
        <w:spacing w:after="0" w:line="260" w:lineRule="auto"/>
        <w:rPr>
          <w:sz w:val="20"/>
          <w:szCs w:val="20"/>
          <w:color w:val="auto"/>
        </w:rPr>
      </w:pPr>
      <w:r>
        <w:rPr>
          <w:rFonts w:ascii="Times New Roman" w:cs="Times New Roman" w:eastAsia="Times New Roman" w:hAnsi="Times New Roman"/>
          <w:sz w:val="12"/>
          <w:szCs w:val="12"/>
          <w:color w:val="auto"/>
        </w:rPr>
        <w:t>We continue to work with third-party cybersecurity vendors to assist us in best practices for implementing strengthened cybersecurity procedures. All Company employees and third-party vendors are instructed to promptly report any suspected breach of its security measures that may affect our Company to the Senior Director, Head of IT. Our Chief Financial Officer and Senior Director, Head of IT provide periodic briefings to the Audit Committee regarding our Company’s cybersecurity risks and activities, including any recent cybersecurity incidents and related responses, cybersecurity systems testing, activities of third-parties, and related matters. The Audit Committee provides regular updates to the full Board of Directors on such reports.</w:t>
      </w:r>
    </w:p>
    <w:p>
      <w:pPr>
        <w:spacing w:after="0" w:line="50"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We have not encountered cybersecurity challenges that have materially impaired our operations or financial standing. For additional information regarding risks from cybersecurity threats, please refer to Item 1A, “Risk Factors,” in this Annual Report on Form 10-K.</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8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Our corporate headquarters are currently located at 7495 New Horizon Way, Frederick, Maryland and consists of 29,050 total square feet of integrated manufacturing and office space under a lease that expires in June 2031. Additionally, we lease approximately 7,909 total square feet of office, laboratory, and manufacturing space in Gaithersburg, Maryland under a lease that expires in January 2027 and 32,294 total square feet of office and laboratory space in Watertown, Massachusetts under a lease that expires in May 2028.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common stock is publicly traded on The Nasdaq Stock Market under the symbol “RNAC.”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As of February 28, 2025, there were approximately 25,907,101 shares of our common stock outstanding held by approximately 107 holders of record. The actual number of stockholders is greater than this number of record holders, and includes stockholders who are beneficial owners, but whose shares are held in street name by brokers and other nominees.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82"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Performance Graph</w:t>
      </w:r>
    </w:p>
    <w:p>
      <w:pPr>
        <w:spacing w:after="0" w:line="82" w:lineRule="exact"/>
        <w:rPr>
          <w:sz w:val="20"/>
          <w:szCs w:val="20"/>
          <w:color w:val="auto"/>
        </w:rPr>
      </w:pPr>
    </w:p>
    <w:p>
      <w:pPr>
        <w:jc w:val="both"/>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graph set forth below compares the cumulative total stockholder return on our common stock between December 31, 2019 and December 31, 2024, with the cumulative total return of (a) the Nasdaq Composite Index and (b) the Nasdaq Biotechnology Index, over the same period. This graph assumes the investment of $100 at the market close on December 31, 2019 in our common stock, the Nasdaq Composite Index and the Nasdaq Biotechnology Index and assumes the reinvestment of dividends, if any. The stock price performance of the following graph is not necessarily indicative of future stock price performance.</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Comparison Of Cumulative Total Return Cartesian Therapeutics,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36195</wp:posOffset>
            </wp:positionV>
            <wp:extent cx="3909060" cy="1765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0906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500" w:right="60"/>
        <w:spacing w:after="0" w:line="283" w:lineRule="auto"/>
        <w:rPr>
          <w:sz w:val="20"/>
          <w:szCs w:val="20"/>
          <w:color w:val="auto"/>
        </w:rPr>
      </w:pPr>
      <w:r>
        <w:rPr>
          <w:rFonts w:ascii="Times New Roman" w:cs="Times New Roman" w:eastAsia="Times New Roman" w:hAnsi="Times New Roman"/>
          <w:sz w:val="12"/>
          <w:szCs w:val="12"/>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or the Exchange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82"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Information about our equity compensation plans in Item 12 of Part III of this Annual Report is incorporated herein by reference. Any future determination to pay dividends will be made at the discretion of our Board of Directors and will depend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various factors, including applicable laws, our results of operations, financial condition, future prospects, then applicable contractual restrictions and any other factors deemed relevant by our Board of Directors. Investors should not purchase our common stock with the expectation of receiving cash dividends.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Purchases of Equity Securities by the Issuer or Affiliated Purchasers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did not repurchase any of our equity securities during the quarter ended December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Sales of Unregistered Securities and Use of Proceeds from Registered Securities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[Reserved]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80" w:lineRule="exact"/>
        <w:rPr>
          <w:sz w:val="20"/>
          <w:szCs w:val="20"/>
          <w:color w:val="auto"/>
        </w:rPr>
      </w:pPr>
    </w:p>
    <w:p>
      <w:pPr>
        <w:jc w:val="both"/>
        <w:ind w:right="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consolidated financial statements and related notes thereto and other financial information included elsewhere in this Annual Report on Form 10-K. In addition to historical information, some of the information contained in the following discussion and analysis contains forward-looking statements that involve risks, uncertainties and assumptions. You should review the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We are a clinical-stage biotechnology company pioneering mRNA cell therapy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 placebo-controlled Phase 2b clinical trial in patients with myasthenia gravis, or MG, a chronic autoimmune disease that causes disabling muscle weakness and fatigue, we observed that our lead product candidate, Descartes-08, generated a deep and durable clinical benefit where we observed an average MG-ADL reduction of 5.5 points at Month 4 with a third of patients achieving minimal symptom expression at Month 6 and 80% of participants reaching Month 12 maintained a clinically meaningful response. Durability of response in MG is commonly measured over a period of 26 to 52 weeks, and maintenance of response over that period is considered durable.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Merger</w:t>
      </w:r>
    </w:p>
    <w:p>
      <w:pPr>
        <w:spacing w:after="0" w:line="8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On November 13, 2023, the Company (formerly known as Selecta) merged with the private Delaware corporation which, immediately prior to the Merger, was known as Cartesian Therapeutics, Inc., in accordance with the terms of the Merger Agreement, by and among Selecta, First Merger Sub, Second Merger Sub, and Old Cartesian. Pursuant to the Merger Agreement, First Merger Sub merged with and into Old Cartesian, pursuant to which Old Cartesian was the surviving corporation and became a wholly owned subsidiary of Selecta. Immediately following the First Merger, Old Cartesian merged with and into Second Merger Sub, pursuant to which Second Merger Sub was the surviving entity. In connection with the Second Merger, Old Cartesian changed its name to Cartesian Bio, LLC. In connection with the Merger and pursuant to the Merger Agreement, the Company changed its corporate name to Cartesian Therapeutics, Inc. See Note 4 of the accompanying notes to the consolidated financial statements appearing elsewhere in this Annual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Operations</w:t>
      </w:r>
    </w:p>
    <w:p>
      <w:pPr>
        <w:spacing w:after="0" w:line="82"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39"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Except for the year ended December 31, 2022, we have incurred significant operating losses since our inception. We incurred a net loss of $77.4 million and $219.7 million for the years ended December 31, 2024 and 2023, respectively. As of December 31, 2024, we had an accumulated deficit of $692.1 million. We expect to continue to incur significant expenses and operating losses for the foreseeable future as we:</w:t>
      </w:r>
    </w:p>
    <w:p>
      <w:pPr>
        <w:spacing w:after="0" w:line="39" w:lineRule="exact"/>
        <w:rPr>
          <w:sz w:val="20"/>
          <w:szCs w:val="20"/>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Descartes-08 for MG into Phase 3 development;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develop our preclinical and clinical-stage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regulatory approvals for any product candidates that successfully complete clinical trials;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expand and protect our intellectual property portfolio, including through licensing arrangements;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hire additional staff, including clinical, scientific and management personnel;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costs associated with continuing to operate as a public company.</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our research and development expenses for the years ended December 31, 2024 and 2023 (in thousands):</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6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780" w:type="dxa"/>
            <w:vAlign w:val="bottom"/>
          </w:tcPr>
          <w:p>
            <w:pPr>
              <w:spacing w:after="0"/>
              <w:rPr>
                <w:sz w:val="10"/>
                <w:szCs w:val="10"/>
                <w:color w:val="auto"/>
              </w:rPr>
            </w:pPr>
          </w:p>
        </w:tc>
      </w:tr>
      <w:tr>
        <w:trPr>
          <w:trHeight w:val="188"/>
        </w:trPr>
        <w:tc>
          <w:tcPr>
            <w:tcW w:w="68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w w:val="99"/>
              </w:rPr>
              <w:t>2023</w:t>
            </w:r>
          </w:p>
        </w:tc>
      </w:tr>
      <w:tr>
        <w:trPr>
          <w:trHeight w:val="1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Legacy Selecta programs</w:t>
            </w:r>
          </w:p>
        </w:tc>
        <w:tc>
          <w:tcPr>
            <w:tcW w:w="8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31,826</w:t>
            </w:r>
          </w:p>
        </w:tc>
      </w:tr>
      <w:tr>
        <w:trPr>
          <w:trHeight w:val="129"/>
        </w:trPr>
        <w:tc>
          <w:tcPr>
            <w:tcW w:w="6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Descartes-08 for MG</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12,142</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w:t>
            </w:r>
          </w:p>
        </w:tc>
      </w:tr>
      <w:tr>
        <w:trPr>
          <w:trHeight w:val="14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Early stage programs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w:t>
            </w:r>
          </w:p>
        </w:tc>
      </w:tr>
      <w:tr>
        <w:trPr>
          <w:trHeight w:val="129"/>
        </w:trPr>
        <w:tc>
          <w:tcPr>
            <w:tcW w:w="6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and development employee expenses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11,952</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18,363</w:t>
            </w:r>
          </w:p>
        </w:tc>
      </w:tr>
      <w:tr>
        <w:trPr>
          <w:trHeight w:val="14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Research and development stock-based compensation expense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12,985</w:t>
            </w:r>
          </w:p>
        </w:tc>
      </w:tr>
      <w:tr>
        <w:trPr>
          <w:trHeight w:val="12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Research and development facilities and other expenses</w:t>
            </w:r>
          </w:p>
        </w:tc>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10,616</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7,148</w:t>
            </w:r>
          </w:p>
        </w:tc>
      </w:tr>
      <w:tr>
        <w:trPr>
          <w:trHeight w:val="14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research and development expenses</w:t>
            </w: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45,105</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71,260</w:t>
            </w:r>
          </w:p>
        </w:tc>
      </w:tr>
    </w:tbl>
    <w:p>
      <w:pPr>
        <w:spacing w:after="0" w:line="12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47"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Concurrently with the closing of the Merger, we entered into a securities purchase agreement, or the 2023 Securities Purchase Agreement, pursuant to which we agreed to issue 149,330.115 shares of Series A Preferred Stock, in exchange for aggregate gross proceeds of $60.25 million, or the 2023 Private Placement. We granted customary registration rights to investors in connection with the 2023 Private Placement.</w:t>
      </w:r>
    </w:p>
    <w:p>
      <w:pPr>
        <w:spacing w:after="0" w:line="39"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On July 2, 2024, we entered into a securities purchase agreement, or the 2024 Securities Purchase Agreement, for a private investment in public equity financing, or the 2024 Private Placement, which provided for the issuance of 3,563,247 shares of common stock and 2,937,903 shares of Series B Preferred Stock, each at a purchase price of $20.00 per share. The 2024 Private Placement resulted in gross proceeds of approximately $130.0 million before deducting placement agent fees and other offering expenses. We granted customary registration rights to investors in connection with the 2024 Private Placement.</w:t>
      </w:r>
    </w:p>
    <w:p>
      <w:pPr>
        <w:spacing w:after="0" w:line="47"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We believe that our existing cash, cash equivalents, and restricted cash as of December 31, 2024 will enable us to fund our operating expenses and capital expenditure requirements into mid-2027. We have based this estimate on assumptions that may prove to be wrong, and we could use our capital resources sooner than we currently expect.</w:t>
      </w:r>
    </w:p>
    <w:p>
      <w:pPr>
        <w:spacing w:after="0" w:line="39"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consolidated financial information presented below includes the accounts of Cartesian Therapeutics, Inc. and our wholly owned subsidiaries, Selecta (RUS) LLC, a Russian limited liability company, or Selecta (RUS), Selecta Biosciences Security Corporation, a Massachusetts securities corporation which was dissolved in December 2024, and Cartesian Bio, LLC, a Delaware limited liability company, which is a variable interest entity for which we are the primary beneficiary. All intercompany accounts and transactions have been eliminated.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Components of our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and license revenue</w:t>
      </w:r>
    </w:p>
    <w:p>
      <w:pPr>
        <w:spacing w:after="0" w:line="8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descriptions of the agreements underlying our collaboration and license revenue, see Notes 3 and 14 to our consolidated financial statements included elsewhere in this Annual Report.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Grant revenue</w:t>
      </w:r>
    </w:p>
    <w:p>
      <w:pPr>
        <w:spacing w:after="0" w:line="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Additionally, we generate grant revenue which consists of funding received to perform specific research and development services under grant arrangements.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8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Our research and development expenses consist of internal and external research and development costs, which primarily include fees paid to contract research organizations, internal manufacturing- and quality-related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spacing w:after="0" w:line="50"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8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Impairment of long-lived assets consists of impairment charges on our long-lived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Interest income consists primarily of income earned on our cash, cash equivalents and marketable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Interest expense consists of interest expense on amounts borrowed under our credit facilities and loss on extinguishment of debt.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net</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Other income, net consists of non-operating income and non-operating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warrant liabilities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Common warrants classified as liabilities are remeasured quarterly at fair value with the change in fair value recognized as a component of earnings.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contingent value right liability</w:t>
      </w:r>
    </w:p>
    <w:p>
      <w:pPr>
        <w:spacing w:after="0" w:line="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contingent value right liability is remeasured quarterly at fair value with the change in fair value recognized as a component of earnings.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forward contract liabilities</w:t>
      </w:r>
    </w:p>
    <w:p>
      <w:pPr>
        <w:spacing w:after="0" w:line="82"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 forward contract liabilities associated with the delayed issuance of the Series A Preferred Stock related to the Merger and 2023 Private Placement are remeasured quarterly and upon settlement at fair value with the change in fair value recognized as a component of earnings.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Years Ended December 31, 2024 and 2023</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25"/>
        </w:trPr>
        <w:tc>
          <w:tcPr>
            <w:tcW w:w="4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88"/>
        </w:trPr>
        <w:tc>
          <w:tcPr>
            <w:tcW w:w="40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Increase (Decrease)</w:t>
            </w:r>
          </w:p>
        </w:tc>
        <w:tc>
          <w:tcPr>
            <w:tcW w:w="640" w:type="dxa"/>
            <w:vAlign w:val="bottom"/>
            <w:tcBorders>
              <w:bottom w:val="single" w:sz="8" w:color="auto"/>
            </w:tcBorders>
          </w:tcPr>
          <w:p>
            <w:pPr>
              <w:spacing w:after="0"/>
              <w:rPr>
                <w:sz w:val="16"/>
                <w:szCs w:val="16"/>
                <w:color w:val="auto"/>
              </w:rPr>
            </w:pPr>
          </w:p>
        </w:tc>
      </w:tr>
      <w:tr>
        <w:trPr>
          <w:trHeight w:val="128"/>
        </w:trPr>
        <w:tc>
          <w:tcPr>
            <w:tcW w:w="4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Revenue: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29"/>
        </w:trPr>
        <w:tc>
          <w:tcPr>
            <w:tcW w:w="40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Collaboration and license revenue</w:t>
            </w:r>
          </w:p>
        </w:tc>
        <w:tc>
          <w:tcPr>
            <w:tcW w:w="800" w:type="dxa"/>
            <w:vAlign w:val="bottom"/>
          </w:tcPr>
          <w:p>
            <w:pPr>
              <w:jc w:val="right"/>
              <w:ind w:right="67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38,275</w:t>
            </w:r>
          </w:p>
        </w:tc>
        <w:tc>
          <w:tcPr>
            <w:tcW w:w="80" w:type="dxa"/>
            <w:vAlign w:val="bottom"/>
          </w:tcPr>
          <w:p>
            <w:pPr>
              <w:spacing w:after="0"/>
              <w:rPr>
                <w:sz w:val="11"/>
                <w:szCs w:val="11"/>
                <w:color w:val="auto"/>
              </w:rPr>
            </w:pPr>
          </w:p>
        </w:tc>
        <w:tc>
          <w:tcPr>
            <w:tcW w:w="520" w:type="dxa"/>
            <w:vAlign w:val="bottom"/>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26,004</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812"/>
              <w:spacing w:after="0"/>
              <w:rPr>
                <w:sz w:val="20"/>
                <w:szCs w:val="20"/>
                <w:color w:val="auto"/>
              </w:rPr>
            </w:pPr>
            <w:r>
              <w:rPr>
                <w:rFonts w:ascii="Times New Roman" w:cs="Times New Roman" w:eastAsia="Times New Roman" w:hAnsi="Times New Roman"/>
                <w:sz w:val="10"/>
                <w:szCs w:val="10"/>
                <w:color w:val="auto"/>
              </w:rPr>
              <w:t>12,271</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1"/>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Grant revenue</w:t>
            </w:r>
          </w:p>
        </w:tc>
        <w:tc>
          <w:tcPr>
            <w:tcW w:w="8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638</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color w:val="auto"/>
              </w:rPr>
              <w:t>638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18"/>
        </w:trPr>
        <w:tc>
          <w:tcPr>
            <w:tcW w:w="402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color w:val="auto"/>
              </w:rPr>
              <w:t>Total revenue</w:t>
            </w:r>
          </w:p>
        </w:tc>
        <w:tc>
          <w:tcPr>
            <w:tcW w:w="8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38,913</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26,004</w:t>
            </w:r>
          </w:p>
        </w:tc>
        <w:tc>
          <w:tcPr>
            <w:tcW w:w="920" w:type="dxa"/>
            <w:vAlign w:val="bottom"/>
          </w:tcPr>
          <w:p>
            <w:pPr>
              <w:spacing w:after="0"/>
              <w:rPr>
                <w:sz w:val="10"/>
                <w:szCs w:val="10"/>
                <w:color w:val="auto"/>
              </w:rPr>
            </w:pPr>
          </w:p>
        </w:tc>
        <w:tc>
          <w:tcPr>
            <w:tcW w:w="1300" w:type="dxa"/>
            <w:vAlign w:val="bottom"/>
          </w:tcPr>
          <w:p>
            <w:pPr>
              <w:jc w:val="right"/>
              <w:ind w:right="812"/>
              <w:spacing w:after="0" w:line="107" w:lineRule="exact"/>
              <w:rPr>
                <w:sz w:val="20"/>
                <w:szCs w:val="20"/>
                <w:color w:val="auto"/>
              </w:rPr>
            </w:pPr>
            <w:r>
              <w:rPr>
                <w:rFonts w:ascii="Times New Roman" w:cs="Times New Roman" w:eastAsia="Times New Roman" w:hAnsi="Times New Roman"/>
                <w:sz w:val="10"/>
                <w:szCs w:val="10"/>
                <w:color w:val="auto"/>
              </w:rPr>
              <w:t>12,909</w:t>
            </w:r>
          </w:p>
        </w:tc>
        <w:tc>
          <w:tcPr>
            <w:tcW w:w="6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50 %</w:t>
            </w:r>
          </w:p>
        </w:tc>
      </w:tr>
      <w:tr>
        <w:trPr>
          <w:trHeight w:val="14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Operating expenses: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29"/>
        </w:trPr>
        <w:tc>
          <w:tcPr>
            <w:tcW w:w="40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Research and development</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45,105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71,260</w:t>
            </w:r>
          </w:p>
        </w:tc>
        <w:tc>
          <w:tcPr>
            <w:tcW w:w="920" w:type="dxa"/>
            <w:vAlign w:val="bottom"/>
          </w:tcPr>
          <w:p>
            <w:pPr>
              <w:spacing w:after="0"/>
              <w:rPr>
                <w:sz w:val="11"/>
                <w:szCs w:val="11"/>
                <w:color w:val="auto"/>
              </w:rPr>
            </w:pPr>
          </w:p>
        </w:tc>
        <w:tc>
          <w:tcPr>
            <w:tcW w:w="13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rPr>
              <w:t>(26,155)</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r>
      <w:tr>
        <w:trPr>
          <w:trHeight w:val="141"/>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30,126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40,450</w:t>
            </w: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rPr>
              <w:t>(10,324)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r>
      <w:tr>
        <w:trPr>
          <w:trHeight w:val="129"/>
        </w:trPr>
        <w:tc>
          <w:tcPr>
            <w:tcW w:w="4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0"/>
                <w:szCs w:val="10"/>
                <w:color w:val="auto"/>
              </w:rPr>
              <w:t>Impairment of long-lived assets</w:t>
            </w:r>
          </w:p>
        </w:tc>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7,579</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710</w:t>
            </w:r>
          </w:p>
        </w:tc>
        <w:tc>
          <w:tcPr>
            <w:tcW w:w="920" w:type="dxa"/>
            <w:vAlign w:val="bottom"/>
            <w:tcBorders>
              <w:bottom w:val="single" w:sz="8" w:color="CCEEFF"/>
            </w:tcBorders>
          </w:tcPr>
          <w:p>
            <w:pPr>
              <w:spacing w:after="0"/>
              <w:rPr>
                <w:sz w:val="11"/>
                <w:szCs w:val="11"/>
                <w:color w:val="auto"/>
              </w:rPr>
            </w:pPr>
          </w:p>
        </w:tc>
        <w:tc>
          <w:tcPr>
            <w:tcW w:w="1300" w:type="dxa"/>
            <w:vAlign w:val="bottom"/>
            <w:tcBorders>
              <w:bottom w:val="single" w:sz="8" w:color="CCEEFF"/>
            </w:tcBorders>
          </w:tcPr>
          <w:p>
            <w:pPr>
              <w:jc w:val="right"/>
              <w:ind w:right="812"/>
              <w:spacing w:after="0"/>
              <w:rPr>
                <w:sz w:val="20"/>
                <w:szCs w:val="20"/>
                <w:color w:val="auto"/>
              </w:rPr>
            </w:pPr>
            <w:r>
              <w:rPr>
                <w:rFonts w:ascii="Times New Roman" w:cs="Times New Roman" w:eastAsia="Times New Roman" w:hAnsi="Times New Roman"/>
                <w:sz w:val="10"/>
                <w:szCs w:val="10"/>
                <w:color w:val="auto"/>
              </w:rPr>
              <w:t>6,869</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967 %</w:t>
            </w:r>
          </w:p>
        </w:tc>
      </w:tr>
      <w:tr>
        <w:trPr>
          <w:trHeight w:val="130"/>
        </w:trPr>
        <w:tc>
          <w:tcPr>
            <w:tcW w:w="402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8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82,810</w:t>
            </w:r>
          </w:p>
        </w:tc>
        <w:tc>
          <w:tcPr>
            <w:tcW w:w="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112,420</w:t>
            </w:r>
          </w:p>
        </w:tc>
        <w:tc>
          <w:tcPr>
            <w:tcW w:w="92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792"/>
              <w:spacing w:after="0" w:line="113" w:lineRule="exact"/>
              <w:rPr>
                <w:sz w:val="20"/>
                <w:szCs w:val="20"/>
                <w:color w:val="auto"/>
              </w:rPr>
            </w:pPr>
            <w:r>
              <w:rPr>
                <w:rFonts w:ascii="Times New Roman" w:cs="Times New Roman" w:eastAsia="Times New Roman" w:hAnsi="Times New Roman"/>
                <w:sz w:val="10"/>
                <w:szCs w:val="10"/>
                <w:color w:val="auto"/>
              </w:rPr>
              <w:t>(29,610)</w:t>
            </w:r>
          </w:p>
        </w:tc>
        <w:tc>
          <w:tcPr>
            <w:tcW w:w="64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(26)%</w:t>
            </w:r>
          </w:p>
        </w:tc>
      </w:tr>
      <w:tr>
        <w:trPr>
          <w:trHeight w:val="118"/>
        </w:trPr>
        <w:tc>
          <w:tcPr>
            <w:tcW w:w="402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color w:val="auto"/>
              </w:rPr>
              <w:t>Operating loss</w:t>
            </w:r>
          </w:p>
        </w:tc>
        <w:tc>
          <w:tcPr>
            <w:tcW w:w="8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(43,897)</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(86,416)</w:t>
            </w:r>
          </w:p>
        </w:tc>
        <w:tc>
          <w:tcPr>
            <w:tcW w:w="920" w:type="dxa"/>
            <w:vAlign w:val="bottom"/>
          </w:tcPr>
          <w:p>
            <w:pPr>
              <w:spacing w:after="0"/>
              <w:rPr>
                <w:sz w:val="10"/>
                <w:szCs w:val="10"/>
                <w:color w:val="auto"/>
              </w:rPr>
            </w:pPr>
          </w:p>
        </w:tc>
        <w:tc>
          <w:tcPr>
            <w:tcW w:w="1300" w:type="dxa"/>
            <w:vAlign w:val="bottom"/>
          </w:tcPr>
          <w:p>
            <w:pPr>
              <w:jc w:val="right"/>
              <w:ind w:right="812"/>
              <w:spacing w:after="0" w:line="107" w:lineRule="exact"/>
              <w:rPr>
                <w:sz w:val="20"/>
                <w:szCs w:val="20"/>
                <w:color w:val="auto"/>
              </w:rPr>
            </w:pPr>
            <w:r>
              <w:rPr>
                <w:rFonts w:ascii="Times New Roman" w:cs="Times New Roman" w:eastAsia="Times New Roman" w:hAnsi="Times New Roman"/>
                <w:sz w:val="10"/>
                <w:szCs w:val="10"/>
                <w:color w:val="auto"/>
              </w:rPr>
              <w:t>42,519</w:t>
            </w:r>
          </w:p>
        </w:tc>
        <w:tc>
          <w:tcPr>
            <w:tcW w:w="6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(49)%</w:t>
            </w:r>
          </w:p>
        </w:tc>
      </w:tr>
      <w:tr>
        <w:trPr>
          <w:trHeight w:val="14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 income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7,386</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4,964</w:t>
            </w: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color w:val="auto"/>
              </w:rPr>
              <w:t>2,422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49 %</w:t>
            </w:r>
          </w:p>
        </w:tc>
      </w:tr>
      <w:tr>
        <w:trPr>
          <w:trHeight w:val="129"/>
        </w:trPr>
        <w:tc>
          <w:tcPr>
            <w:tcW w:w="4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transaction, net</w:t>
            </w:r>
          </w:p>
        </w:tc>
        <w:tc>
          <w:tcPr>
            <w:tcW w:w="8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920" w:type="dxa"/>
            <w:vAlign w:val="bottom"/>
          </w:tcPr>
          <w:p>
            <w:pPr>
              <w:spacing w:after="0"/>
              <w:rPr>
                <w:sz w:val="11"/>
                <w:szCs w:val="11"/>
                <w:color w:val="auto"/>
              </w:rPr>
            </w:pPr>
          </w:p>
        </w:tc>
        <w:tc>
          <w:tcPr>
            <w:tcW w:w="13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rPr>
              <w:t>(38)</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r>
      <w:tr>
        <w:trPr>
          <w:trHeight w:val="14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Interest expense</w:t>
            </w: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(2,833)</w:t>
            </w: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color w:val="auto"/>
              </w:rPr>
              <w:t>2,833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w:t>
            </w:r>
          </w:p>
        </w:tc>
      </w:tr>
      <w:tr>
        <w:trPr>
          <w:trHeight w:val="129"/>
        </w:trPr>
        <w:tc>
          <w:tcPr>
            <w:tcW w:w="4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fair value of warrant liabilities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2,558</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12,746</w:t>
            </w:r>
          </w:p>
        </w:tc>
        <w:tc>
          <w:tcPr>
            <w:tcW w:w="920" w:type="dxa"/>
            <w:vAlign w:val="bottom"/>
          </w:tcPr>
          <w:p>
            <w:pPr>
              <w:spacing w:after="0"/>
              <w:rPr>
                <w:sz w:val="11"/>
                <w:szCs w:val="11"/>
                <w:color w:val="auto"/>
              </w:rPr>
            </w:pPr>
          </w:p>
        </w:tc>
        <w:tc>
          <w:tcPr>
            <w:tcW w:w="13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rPr>
              <w:t>(10,188)</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w:t>
            </w:r>
          </w:p>
        </w:tc>
      </w:tr>
      <w:tr>
        <w:trPr>
          <w:trHeight w:val="14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fair value of contingent value right liability</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(36,900)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(18,300)</w:t>
            </w: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rPr>
              <w:t>(18,600)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102 %</w:t>
            </w:r>
          </w:p>
        </w:tc>
      </w:tr>
      <w:tr>
        <w:trPr>
          <w:trHeight w:val="129"/>
        </w:trPr>
        <w:tc>
          <w:tcPr>
            <w:tcW w:w="4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Change in fair value of forward contract liabilities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(149,600)</w:t>
            </w:r>
          </w:p>
        </w:tc>
        <w:tc>
          <w:tcPr>
            <w:tcW w:w="920" w:type="dxa"/>
            <w:vAlign w:val="bottom"/>
          </w:tcPr>
          <w:p>
            <w:pPr>
              <w:spacing w:after="0"/>
              <w:rPr>
                <w:sz w:val="11"/>
                <w:szCs w:val="11"/>
                <w:color w:val="auto"/>
              </w:rPr>
            </w:pPr>
          </w:p>
        </w:tc>
        <w:tc>
          <w:tcPr>
            <w:tcW w:w="1300" w:type="dxa"/>
            <w:vAlign w:val="bottom"/>
          </w:tcPr>
          <w:p>
            <w:pPr>
              <w:jc w:val="right"/>
              <w:ind w:right="812"/>
              <w:spacing w:after="0"/>
              <w:rPr>
                <w:sz w:val="20"/>
                <w:szCs w:val="20"/>
                <w:color w:val="auto"/>
              </w:rPr>
            </w:pPr>
            <w:r>
              <w:rPr>
                <w:rFonts w:ascii="Times New Roman" w:cs="Times New Roman" w:eastAsia="Times New Roman" w:hAnsi="Times New Roman"/>
                <w:sz w:val="10"/>
                <w:szCs w:val="10"/>
                <w:color w:val="auto"/>
              </w:rPr>
              <w:t>142,710</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w:t>
            </w:r>
          </w:p>
        </w:tc>
      </w:tr>
      <w:tr>
        <w:trPr>
          <w:trHeight w:val="14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income, net</w:t>
            </w:r>
          </w:p>
        </w:tc>
        <w:tc>
          <w:tcPr>
            <w:tcW w:w="8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606</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w:t>
            </w: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rPr>
              <w:t>(85)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18"/>
        </w:trPr>
        <w:tc>
          <w:tcPr>
            <w:tcW w:w="402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color w:val="auto"/>
              </w:rPr>
              <w:t>Loss before income taxes</w:t>
            </w:r>
          </w:p>
        </w:tc>
        <w:tc>
          <w:tcPr>
            <w:tcW w:w="8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(77,137)</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(238,710)</w:t>
            </w:r>
          </w:p>
        </w:tc>
        <w:tc>
          <w:tcPr>
            <w:tcW w:w="920" w:type="dxa"/>
            <w:vAlign w:val="bottom"/>
          </w:tcPr>
          <w:p>
            <w:pPr>
              <w:spacing w:after="0"/>
              <w:rPr>
                <w:sz w:val="10"/>
                <w:szCs w:val="10"/>
                <w:color w:val="auto"/>
              </w:rPr>
            </w:pPr>
          </w:p>
        </w:tc>
        <w:tc>
          <w:tcPr>
            <w:tcW w:w="1300" w:type="dxa"/>
            <w:vAlign w:val="bottom"/>
          </w:tcPr>
          <w:p>
            <w:pPr>
              <w:jc w:val="right"/>
              <w:ind w:right="812"/>
              <w:spacing w:after="0" w:line="107" w:lineRule="exact"/>
              <w:rPr>
                <w:sz w:val="20"/>
                <w:szCs w:val="20"/>
                <w:color w:val="auto"/>
              </w:rPr>
            </w:pPr>
            <w:r>
              <w:rPr>
                <w:rFonts w:ascii="Times New Roman" w:cs="Times New Roman" w:eastAsia="Times New Roman" w:hAnsi="Times New Roman"/>
                <w:sz w:val="10"/>
                <w:szCs w:val="10"/>
                <w:color w:val="auto"/>
              </w:rPr>
              <w:t>161,573</w:t>
            </w:r>
          </w:p>
        </w:tc>
        <w:tc>
          <w:tcPr>
            <w:tcW w:w="6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(68)%</w:t>
            </w:r>
          </w:p>
        </w:tc>
      </w:tr>
      <w:tr>
        <w:trPr>
          <w:trHeight w:val="14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tax (expense) benefit</w:t>
            </w:r>
          </w:p>
        </w:tc>
        <w:tc>
          <w:tcPr>
            <w:tcW w:w="8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19,000</w:t>
            </w:r>
          </w:p>
        </w:tc>
        <w:tc>
          <w:tcPr>
            <w:tcW w:w="9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rPr>
              <w:t>(19,287)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w:t>
            </w:r>
          </w:p>
        </w:tc>
      </w:tr>
      <w:tr>
        <w:trPr>
          <w:trHeight w:val="118"/>
        </w:trPr>
        <w:tc>
          <w:tcPr>
            <w:tcW w:w="402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color w:val="auto"/>
              </w:rPr>
              <w:t>Net loss</w:t>
            </w:r>
          </w:p>
        </w:tc>
        <w:tc>
          <w:tcPr>
            <w:tcW w:w="8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(77,424)</w:t>
            </w:r>
          </w:p>
        </w:tc>
        <w:tc>
          <w:tcPr>
            <w:tcW w:w="80" w:type="dxa"/>
            <w:vAlign w:val="bottom"/>
          </w:tcPr>
          <w:p>
            <w:pPr>
              <w:spacing w:after="0"/>
              <w:rPr>
                <w:sz w:val="10"/>
                <w:szCs w:val="10"/>
                <w:color w:val="auto"/>
              </w:rPr>
            </w:pPr>
          </w:p>
        </w:tc>
        <w:tc>
          <w:tcPr>
            <w:tcW w:w="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(219,710)</w:t>
            </w:r>
          </w:p>
        </w:tc>
        <w:tc>
          <w:tcPr>
            <w:tcW w:w="920" w:type="dxa"/>
            <w:vAlign w:val="bottom"/>
          </w:tcPr>
          <w:p>
            <w:pPr>
              <w:jc w:val="right"/>
              <w:ind w:right="732"/>
              <w:spacing w:after="0" w:line="107"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812"/>
              <w:spacing w:after="0" w:line="107" w:lineRule="exact"/>
              <w:rPr>
                <w:sz w:val="20"/>
                <w:szCs w:val="20"/>
                <w:color w:val="auto"/>
              </w:rPr>
            </w:pPr>
            <w:r>
              <w:rPr>
                <w:rFonts w:ascii="Times New Roman" w:cs="Times New Roman" w:eastAsia="Times New Roman" w:hAnsi="Times New Roman"/>
                <w:sz w:val="10"/>
                <w:szCs w:val="10"/>
                <w:color w:val="auto"/>
              </w:rPr>
              <w:t>142,286</w:t>
            </w:r>
          </w:p>
        </w:tc>
        <w:tc>
          <w:tcPr>
            <w:tcW w:w="6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(65)%</w:t>
            </w: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Collaboration and license revenue</w:t>
      </w:r>
    </w:p>
    <w:p>
      <w:pPr>
        <w:spacing w:after="0" w:line="78"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2024, we recognized $38.3 million of collaboration and license revenue, compared to $26.0 million for the year ended December 31, 2023, an increase of $12.3 million. The increase was primarily due to an increase in revenue recognized under the Sobi License resulting from the $30.0 million unconstrained development milestone recognized during the year ended December 31, 2024 and recognition of the remaining deferred revenue under the License and Development Agreement, or the Astellas Agreement, with Audentes Therapeutics, Inc., or Astellas, upon notice of termination during the year ended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Grant revenue</w:t>
      </w:r>
    </w:p>
    <w:p>
      <w:pPr>
        <w:spacing w:after="0" w:line="78"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2024, we recognized $0.6 million of grant revenue. We received funding approval from the National Institute of Neurological Disorders and Stroke of the National Institutes of Health, or NINDS, during the year ended December 31, 2024, and there was no grant revenue during the year ended December 31, 2023.</w:t>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Research and development expenses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is a comparison of research and development expenses for the years ended December 31, 2024 and 2023 (in thousands,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8"/>
        </w:trPr>
        <w:tc>
          <w:tcPr>
            <w:tcW w:w="57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Increase (Decrease)</w:t>
            </w:r>
          </w:p>
        </w:tc>
        <w:tc>
          <w:tcPr>
            <w:tcW w:w="660" w:type="dxa"/>
            <w:vAlign w:val="bottom"/>
            <w:tcBorders>
              <w:bottom w:val="single" w:sz="8" w:color="auto"/>
            </w:tcBorders>
          </w:tcPr>
          <w:p>
            <w:pPr>
              <w:spacing w:after="0"/>
              <w:rPr>
                <w:sz w:val="16"/>
                <w:szCs w:val="16"/>
                <w:color w:val="auto"/>
              </w:rPr>
            </w:pPr>
          </w:p>
        </w:tc>
      </w:tr>
      <w:tr>
        <w:trPr>
          <w:trHeight w:val="13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Legacy Selecta programs</w:t>
            </w:r>
          </w:p>
        </w:tc>
        <w:tc>
          <w:tcPr>
            <w:tcW w:w="7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6,150</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31,826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(25,676)</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w:t>
            </w:r>
          </w:p>
        </w:tc>
      </w:tr>
      <w:tr>
        <w:trPr>
          <w:trHeight w:val="129"/>
        </w:trPr>
        <w:tc>
          <w:tcPr>
            <w:tcW w:w="5740" w:type="dxa"/>
            <w:vAlign w:val="bottom"/>
          </w:tcPr>
          <w:p>
            <w:pPr>
              <w:spacing w:after="0"/>
              <w:rPr>
                <w:sz w:val="20"/>
                <w:szCs w:val="20"/>
                <w:color w:val="auto"/>
              </w:rPr>
            </w:pPr>
            <w:r>
              <w:rPr>
                <w:rFonts w:ascii="Times New Roman" w:cs="Times New Roman" w:eastAsia="Times New Roman" w:hAnsi="Times New Roman"/>
                <w:sz w:val="10"/>
                <w:szCs w:val="10"/>
                <w:color w:val="auto"/>
              </w:rPr>
              <w:t>Descartes-08 for MG</w:t>
            </w: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12,142</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11,799</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3440 %</w:t>
            </w:r>
          </w:p>
        </w:tc>
      </w:tr>
      <w:tr>
        <w:trPr>
          <w:trHeight w:val="141"/>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Early stage programs</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73 %</w:t>
            </w:r>
          </w:p>
        </w:tc>
      </w:tr>
      <w:tr>
        <w:trPr>
          <w:trHeight w:val="129"/>
        </w:trPr>
        <w:tc>
          <w:tcPr>
            <w:tcW w:w="574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 employee expenses</w:t>
            </w: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11,952</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18,363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(6,411)</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w:t>
            </w:r>
          </w:p>
        </w:tc>
      </w:tr>
      <w:tr>
        <w:trPr>
          <w:trHeight w:val="141"/>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Research and development stock-based compensation expense</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3,217</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12,985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(9,768)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r>
      <w:tr>
        <w:trPr>
          <w:trHeight w:val="129"/>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Research and development facilities and other expenses</w:t>
            </w:r>
          </w:p>
        </w:tc>
        <w:tc>
          <w:tcPr>
            <w:tcW w:w="7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10,616</w:t>
            </w:r>
          </w:p>
        </w:tc>
        <w:tc>
          <w:tcPr>
            <w:tcW w:w="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7,148</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3,468</w:t>
            </w: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49 %</w:t>
            </w:r>
          </w:p>
        </w:tc>
      </w:tr>
      <w:tr>
        <w:trPr>
          <w:trHeight w:val="146"/>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research and development expenses</w:t>
            </w:r>
          </w:p>
        </w:tc>
        <w:tc>
          <w:tcPr>
            <w:tcW w:w="78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45,105</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71,260</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(26,155)</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r>
    </w:tbl>
    <w:p>
      <w:pPr>
        <w:spacing w:after="0" w:line="12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For the year ended December 31, 2024, our research and development expenses were $45.1 million, compared to $71.3 million for the year ended December 31, 2023, a decrease of $26.2 million. The expenses associated with legacy Selecta programs decreased $25.7 million due to the wind down of the legacy Selecta programs as part of our strategic reprioritization. The increase in expenses for Descartes-08 for MG was primarily related to the expenses for the ongoing Phase 2b trial and the preparations for the Phase 3 AURORA trial that were incurred following the Merger. Our research and development employee expenses decreased $6.4 million due to a one-time cash charge to salaries and benefits as a result of our restructuring in 2023. The decrease in our research and development stock-based compensation expense was primarily the result of the settlement of equity compensation awards in connection with the Merger. The increase in our research and development facilities and other expenses was primarily the result of our lease of integrated manufacturing and office space in Frederick, Maryland that commenced May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General and administrative expenses</w:t>
      </w:r>
    </w:p>
    <w:p>
      <w:pPr>
        <w:spacing w:after="0" w:line="78" w:lineRule="exact"/>
        <w:rPr>
          <w:sz w:val="20"/>
          <w:szCs w:val="20"/>
          <w:color w:val="auto"/>
        </w:rPr>
      </w:pPr>
    </w:p>
    <w:p>
      <w:pPr>
        <w:ind w:right="440" w:firstLine="216"/>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2024, our general and administrative expenses were $30.1 million, compared to $40.5 million for the year ended December 31, 2023, a decrease of $10.4 million. The decrease in costs was primarily the result of reductions in expenses incurred for stock compensation and professional fees in connection with the Merger.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Impairment of long-lived assets</w:t>
      </w:r>
    </w:p>
    <w:p>
      <w:pPr>
        <w:spacing w:after="0" w:line="78"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2024, our impairment of long-lived assets was $7.6 million, compared to $0.7 million for the year ended December 31, 2023, an increase of $6.9 million. During the year ended December 31, 2024, we recorded a full impairment charge of $7.6 million after evaluating the right-of-use assets and related furniture and fixtures upon our decision to cease use of our office and laboratory space at 65 Grove Street, Watertown, Massachusetts. During the year ended December 31, 2023, we recorded an impairment charge of $0.7 million related to the partial impairment of a right-of-use asset at 65 Grove Street, Watertown, Massachusetts.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income</w:t>
      </w:r>
    </w:p>
    <w:p>
      <w:pPr>
        <w:spacing w:after="0" w:line="78"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Interest income for the year ended December 31, 2024 was $7.4 million, compared to $5.0 million for the year ended December 31, 2023, an increase of $2.4 million. The increase in interest income was due to increased investment balances.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expense</w:t>
      </w:r>
    </w:p>
    <w:p>
      <w:pPr>
        <w:spacing w:after="0" w:line="69" w:lineRule="exact"/>
        <w:rPr>
          <w:sz w:val="20"/>
          <w:szCs w:val="20"/>
          <w:color w:val="auto"/>
        </w:rPr>
      </w:pPr>
    </w:p>
    <w:p>
      <w:pPr>
        <w:ind w:right="200" w:firstLine="216"/>
        <w:spacing w:after="0" w:line="264" w:lineRule="auto"/>
        <w:rPr>
          <w:sz w:val="20"/>
          <w:szCs w:val="20"/>
          <w:color w:val="auto"/>
        </w:rPr>
      </w:pPr>
      <w:r>
        <w:rPr>
          <w:rFonts w:ascii="Times New Roman" w:cs="Times New Roman" w:eastAsia="Times New Roman" w:hAnsi="Times New Roman"/>
          <w:sz w:val="12"/>
          <w:szCs w:val="12"/>
          <w:color w:val="auto"/>
        </w:rPr>
        <w:t>During the year ended December 31, 2024, we recognized no interest expense. Interest expense for the year ended December 31, 2023 comprised interest expense and amortization of the carrying costs of our credit facilities and loss on extinguishment of debt.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 in fair value of warrant liabilities</w:t>
      </w:r>
    </w:p>
    <w:p>
      <w:pPr>
        <w:spacing w:after="0" w:line="69" w:lineRule="exact"/>
        <w:rPr>
          <w:sz w:val="20"/>
          <w:szCs w:val="20"/>
          <w:color w:val="auto"/>
        </w:rPr>
      </w:pPr>
    </w:p>
    <w:p>
      <w:pPr>
        <w:jc w:val="both"/>
        <w:ind w:right="80" w:firstLine="216"/>
        <w:spacing w:after="0" w:line="241" w:lineRule="auto"/>
        <w:rPr>
          <w:sz w:val="20"/>
          <w:szCs w:val="20"/>
          <w:color w:val="auto"/>
        </w:rPr>
      </w:pPr>
      <w:r>
        <w:rPr>
          <w:rFonts w:ascii="Times New Roman" w:cs="Times New Roman" w:eastAsia="Times New Roman" w:hAnsi="Times New Roman"/>
          <w:sz w:val="12"/>
          <w:szCs w:val="12"/>
          <w:color w:val="auto"/>
        </w:rPr>
        <w:t>For the year ended December 31, 2024, we recognized $2.6 million of income from the decrease in the fair value of warrant liabilities, compared to $12.7 million for the year ended December 31, 2023, a decrease of $10.1 million. Fair value of warrant liabilities was determined utilizing the Black-Scholes valuation methodology. The decrease in warrant value was primarily driven by a decrease in the per-share price of our common stock and the expiration of the warrants we issued in 2019, or the 2019 Warrants, during the year ended December 31,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 in fair value of contingent value right liability</w:t>
      </w:r>
    </w:p>
    <w:p>
      <w:pPr>
        <w:spacing w:after="0" w:line="78"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2024, we recognized $36.9 million of expense associated with the increase in the fair value of contingent value right liability, compared to $18.3 million of expense for the year ended December 31, 2023, an increase of $18.6 million. The fair value of the contingent value right liability as of December 31, 2024 was determined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utilizing a Monte Carlo simulation model and as of December 31, 2023 was determined utilizing a discounted cash flow valuation methodology. The increase in the fair value of CVR liability was primarily due to changes in the amount and timing of anticipated payments and the passage of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 in fair value of forward contract liabilities</w:t>
      </w:r>
    </w:p>
    <w:p>
      <w:pPr>
        <w:spacing w:after="0" w:line="7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For the year ended December 31, 2024, we recognized $6.9 million of expense associated with the increase in the fair value of Series A Preferred Stock forward contract liabilities, compared to $149.6 million of expense for the year ended December 31, 2023, a decrease of $142.7 million. The increase in the fair value of the Series A Preferred Stock forward contract liabilities during the year ended December 31, 2023 was primarily driven by an increase in the per-share price of our common stock since the date of the Merger and 2023 Private Placement. A portion of the forward contract liability was settled during the year ended December 31, 2023 and there was no such forward contract liability prior to the Merger. The increase in the fair value of the Series A Preferred Stock forward contract liabilities during the year ended December 31, 2024 was primarily driven by an increase in the per-share price of our common stock since December 31, 2023 through settlement. The remaining Series A Preferred Stock forward contract liability was settled during the year ended December 31,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income, net</w:t>
      </w:r>
    </w:p>
    <w:p>
      <w:pPr>
        <w:spacing w:after="0" w:line="69" w:lineRule="exact"/>
        <w:rPr>
          <w:sz w:val="20"/>
          <w:szCs w:val="20"/>
          <w:color w:val="auto"/>
        </w:rPr>
      </w:pPr>
    </w:p>
    <w:p>
      <w:pPr>
        <w:ind w:right="260" w:firstLine="216"/>
        <w:spacing w:after="0" w:line="264" w:lineRule="auto"/>
        <w:rPr>
          <w:sz w:val="20"/>
          <w:szCs w:val="20"/>
          <w:color w:val="auto"/>
        </w:rPr>
      </w:pPr>
      <w:r>
        <w:rPr>
          <w:rFonts w:ascii="Times New Roman" w:cs="Times New Roman" w:eastAsia="Times New Roman" w:hAnsi="Times New Roman"/>
          <w:sz w:val="12"/>
          <w:szCs w:val="12"/>
          <w:color w:val="auto"/>
        </w:rPr>
        <w:t>During the year ended December 31, 2024, we recognized other income, net of $0.6 million, compared to $0.7 million for the year ended December 31, 2023, a decrease of $0.1 million. The decrease was primarily driven by a decrease in sublease income. The terms of our subleases expired during the year ended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Income taxes</w:t>
      </w:r>
    </w:p>
    <w:p>
      <w:pPr>
        <w:spacing w:after="0" w:line="78"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2024, we recognized a deferred tax expense of $0.3 million relating to a change in state tax rate applied to the indefinite deferred tax liability. During the year ended December 31, 2023, we recognized a current tax benefit of $19.0 million relating to the benefit of legacy Selecta tax attributes that reduced deferred tax liabilities during the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Except for net income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cash, cash equivalents, and restricted cash were $214.3 million as of December 31, 2024, of which $1.7 million was restricted cash related to lease commitments.</w:t>
      </w:r>
    </w:p>
    <w:p>
      <w:pPr>
        <w:spacing w:after="0" w:line="78"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30" w:lineRule="exact"/>
        <w:rPr>
          <w:sz w:val="20"/>
          <w:szCs w:val="20"/>
          <w:color w:val="auto"/>
        </w:rPr>
      </w:pPr>
    </w:p>
    <w:p>
      <w:pPr>
        <w:jc w:val="both"/>
        <w:ind w:right="40" w:firstLine="216"/>
        <w:spacing w:after="0" w:line="249" w:lineRule="auto"/>
        <w:rPr>
          <w:sz w:val="20"/>
          <w:szCs w:val="20"/>
          <w:color w:val="auto"/>
        </w:rPr>
      </w:pPr>
      <w:r>
        <w:rPr>
          <w:rFonts w:ascii="Times New Roman" w:cs="Times New Roman" w:eastAsia="Times New Roman" w:hAnsi="Times New Roman"/>
          <w:sz w:val="12"/>
          <w:szCs w:val="12"/>
          <w:color w:val="auto"/>
        </w:rPr>
        <w:t>The 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and License Agreements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In-licenses</w:t>
      </w:r>
    </w:p>
    <w:p>
      <w:pPr>
        <w:spacing w:after="0" w:line="8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September 2023, we entered into the Biogen Agreement with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16 to our consolidated financial statements included elsewhere in this Annual Report.</w:t>
      </w:r>
    </w:p>
    <w:p>
      <w:pPr>
        <w:spacing w:after="0" w:line="41" w:lineRule="exact"/>
        <w:rPr>
          <w:sz w:val="20"/>
          <w:szCs w:val="20"/>
          <w:color w:val="auto"/>
        </w:rPr>
      </w:pPr>
    </w:p>
    <w:p>
      <w:pPr>
        <w:ind w:right="160" w:firstLine="216"/>
        <w:spacing w:after="0" w:line="241" w:lineRule="auto"/>
        <w:rPr>
          <w:sz w:val="20"/>
          <w:szCs w:val="20"/>
          <w:color w:val="auto"/>
        </w:rPr>
      </w:pPr>
      <w:r>
        <w:rPr>
          <w:rFonts w:ascii="Times New Roman" w:cs="Times New Roman" w:eastAsia="Times New Roman" w:hAnsi="Times New Roman"/>
          <w:sz w:val="12"/>
          <w:szCs w:val="12"/>
          <w:color w:val="auto"/>
        </w:rPr>
        <w:t>Effective September 2019, we entered into the NCI Agreement with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16 to our consolidated financial statements included elsewhere in this Annual Report.</w:t>
      </w:r>
    </w:p>
    <w:p>
      <w:pPr>
        <w:spacing w:after="0" w:line="5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October 2021, we and Ginkgo Bioworks Holdings, Inc., or Ginkgo, entered into a Collaboration and License Agreement, or the First Ginkgo Agreement, and paid Ginkgo a $0.5 million one-time upfront payment. In June 2022, we paid $0.5 million and issued 29,761 shares of our common stock then-valued at $1.0 million to Ginkgo for the achievement of certain preclinical milestones under the First Ginkgo Agreement. In January 2022, we entered into a Collaboration and License Agreement, or the Second Ginkgo Agreement, and paid Ginkgo a $1.5 million one-time upfront payment. In July 2023, we paid $1.0 million and issued 44,642 shares of our common stock then-valued at $1.5 million to Ginkgo for the achievement of certain preclinical milestones under the Second Ginkgo Agreement. For further description of the First Ginkgo Agreement and the Second Ginkgo Agreement, see Note 16 to our consolidated financial statements included elsewhere in this Annual Report.</w:t>
      </w:r>
    </w:p>
    <w:p>
      <w:pPr>
        <w:spacing w:after="0" w:line="53"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Additionally, in October 2021, we entered into an Exclusive License Agreement with Genovis AB (publ.), or Genovis, or the Genovis Agreement, and paid Genovis a $4.0 million one-time upfront payment. In February 2023, as a result of the sublicense of Xork, a bacterial IgG protease, to Astellas, we made a $4.0 million payment to Genovis. The Genovis Agreement was terminated effective September 13, 2024. For further description of the Genovis Agreement, see Note 16 to our consolidated financial statements included elsewhere in this Annual Report.</w:t>
      </w:r>
    </w:p>
    <w:p>
      <w:pPr>
        <w:spacing w:after="0" w:line="47"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On September 7, 2021, we entered into a Collaboration and License Agreement, or the Cyrus Agreement, with Cyrus Biotechnology, Inc., or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16 to our consolidated financial statements included elsewhere in this Annual Report.</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Out-licenses</w:t>
      </w:r>
    </w:p>
    <w:p>
      <w:pPr>
        <w:spacing w:after="0" w:line="82"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14 to our consolidated financial statements included elsewhere in this Annual Report. Amounts paid and remaining obligations with regard to the Xork product candidate not reimbursed by Astellas through the Astellas Agreement were subject to potential reimbursement through deductions to CVR distributions as described in Note 6 to our consolidated financial statements included elsewhere in this Annual Report.</w:t>
      </w:r>
    </w:p>
    <w:p>
      <w:pPr>
        <w:spacing w:after="0" w:line="53"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On October 1, 2021, we entered into a License Agreement, or the Takeda Agreement, with Takeda Pharmaceuticals USA, Inc, or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14 to our consolidated financial statements included elsewhere in this Annual Report.</w:t>
      </w:r>
    </w:p>
    <w:p>
      <w:pPr>
        <w:spacing w:after="0" w:line="47"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In June 2020, we entered into the Sobi License. Sobi paid us a one-time, upfront payment of $75.0 million, and upon the closing of a private placement of our common stock to Sobi at a price of $138.468 per share, we received an additional $25.0 million from Sobi. We are eligible to receive $630.0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July 2024, we received $30.0 million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14 to our consolidated financial statements included elsewhere in this Annual Report.</w:t>
      </w:r>
    </w:p>
    <w:p>
      <w:pPr>
        <w:spacing w:after="0" w:line="53"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Additionally, in June 2020, we and Sarepta Therapeutics, Inc., or Sarepta, entered into a Research License and Option Agreement, or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14 to our consolidated financial statements included elsewhere in this Annual Report.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Financings</w:t>
      </w:r>
    </w:p>
    <w:p>
      <w:pPr>
        <w:spacing w:after="0" w:line="82"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On October 25, 2021, we entered into a Sales Agreement, or the 2021 Sales Agreement, with Leerink Partners LLC, or Leerink Partners (and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or SEC, for aggregate gross sales proceeds of up to $75.0 million. During the years ended December 31, 2024 and 2023, we sold no shares of our common stock pursuant to the 2021 Sales Agreement. On December 13, 2024, we and Leerink Partners entered into a Sales Agreement, or the 2024 Sales Agreement. The 2024 Sales Agreement supersedes the 2021 Sales Agreement, which is no longer in effect. Under the 2024 Sales Agreement, we may issue and sell shares of our common stock, from time to time, through Leerink Partners for aggregate gross sales proceeds of up to $100.0 million.</w:t>
      </w:r>
    </w:p>
    <w:p>
      <w:pPr>
        <w:spacing w:after="0" w:line="53"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On November 13, 2023, we entered into the 2023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2023 Private Placement. In the 2023 Private Placement, we issued and sold an aggregate of 149,330.115 shares of Series A Preferred Stock for an aggregate purchase price of $60.25 million, of which</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50,189.789 shares of Series A Preferred Stock were issued and sold in the year ended December 31, 2023 for gross proceeds of $20.25 million, and 99,140.326 shares of Series A Preferred Stock were issued and sold during the year ended December 31, 2024 for gross proceeds of $40.0 million.</w:t>
      </w:r>
    </w:p>
    <w:p>
      <w:pPr>
        <w:spacing w:after="0" w:line="50"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On July 2, 2024, we entered into the 2024 Securities Purchase Agreement for the 2024 Private Placement with certain institutional and accredited investors, or the Purchasers. In the 2024 Private Placement, we issued and sold an aggregate of 3,563,247 shares of common stock and 2,937,903 shares of Series B Preferred Stock for which we generated gross proceeds of approximately $130.0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Indebtedness</w:t>
      </w:r>
    </w:p>
    <w:p>
      <w:pPr>
        <w:spacing w:after="0" w:line="8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If in the future we seek debt financing, the terms of such debt could restrict our operating and financial flexibility by imposing liens on our assets and covenants on the operation of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Future funding requirements</w:t>
      </w:r>
    </w:p>
    <w:p>
      <w:pPr>
        <w:spacing w:after="0" w:line="8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As of the date of this Annual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3"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2024, we had an accumulated deficit of $692.1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50" w:lineRule="exact"/>
        <w:rPr>
          <w:sz w:val="20"/>
          <w:szCs w:val="20"/>
          <w:color w:val="auto"/>
        </w:rPr>
      </w:pPr>
    </w:p>
    <w:p>
      <w:pPr>
        <w:ind w:right="140" w:firstLine="216"/>
        <w:spacing w:after="0" w:line="256" w:lineRule="auto"/>
        <w:rPr>
          <w:sz w:val="20"/>
          <w:szCs w:val="20"/>
          <w:color w:val="auto"/>
        </w:rPr>
      </w:pPr>
      <w:r>
        <w:rPr>
          <w:rFonts w:ascii="Times New Roman" w:cs="Times New Roman" w:eastAsia="Times New Roman" w:hAnsi="Times New Roman"/>
          <w:sz w:val="12"/>
          <w:szCs w:val="12"/>
          <w:color w:val="auto"/>
        </w:rPr>
        <w:t>We believe that our existing cash, cash equivalents, and restricted cash as of December 31, 2024 will enable us to fund our operating expenses and capital expenditure requirements into mid-2027.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231F20"/>
        </w:rPr>
        <w:t>Our future capital requirements will depend on many factors, including:</w:t>
      </w:r>
    </w:p>
    <w:p>
      <w:pPr>
        <w:spacing w:after="0" w:line="78"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scope, progress, results and costs of our clinical trials, preclinical development, manufacturing, laboratory testing and logistics;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number of product candidates that we pursue and the speed with which we pursue development;</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our headcount growth and associated costs;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timing and outcome of regulatory review of our product candidates;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and timing of future commercialization activities, including manufacturing, marketing, sales and distribution, for any of our product candidates for which we receive marketing approval;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revenue, if any, from commercial sales of our product candidates for which we receive marketing approval;</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costs and timing of preparing, filing and prosecuting patent applications, maintaining and enforcing our intellectual property rights and defending any intellectual property-related claims;</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effect of competing technological and market developments; and</w:t>
      </w:r>
    </w:p>
    <w:p>
      <w:pPr>
        <w:spacing w:after="0" w:line="78" w:lineRule="exact"/>
        <w:rPr>
          <w:rFonts w:ascii="Times New Roman" w:cs="Times New Roman" w:eastAsia="Times New Roman" w:hAnsi="Times New Roman"/>
          <w:sz w:val="12"/>
          <w:szCs w:val="12"/>
          <w:color w:val="231F20"/>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extent to which we acquire or invest in businesses, products and technologies, including entering into licensing or collaboration arrangements for product candidates.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Requirements due to Contractual Obligations and Other Commitments</w:t>
      </w:r>
    </w:p>
    <w:p>
      <w:pPr>
        <w:spacing w:after="0" w:line="8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are under agreement to lease approximately 32,294 square feet of laboratory and office space in Watertown, Massachusetts through May 2028. Remaining lease payments from December 31, 2024 through the end of the lease term total approximately $9.7 million. Payments made and remaining obligations on this lease liability are subject to potential reimbursement through deductions to CVR distributions as described in Note 6 to our consolidated financial statements included elsewhere in this Annual Report.</w:t>
      </w:r>
    </w:p>
    <w:p>
      <w:pPr>
        <w:spacing w:after="0" w:line="38" w:lineRule="exact"/>
        <w:rPr>
          <w:sz w:val="20"/>
          <w:szCs w:val="20"/>
          <w:color w:val="auto"/>
        </w:rPr>
      </w:pPr>
    </w:p>
    <w:p>
      <w:pPr>
        <w:ind w:right="200" w:firstLine="216"/>
        <w:spacing w:after="0" w:line="264" w:lineRule="auto"/>
        <w:rPr>
          <w:sz w:val="20"/>
          <w:szCs w:val="20"/>
          <w:color w:val="auto"/>
        </w:rPr>
      </w:pPr>
      <w:r>
        <w:rPr>
          <w:rFonts w:ascii="Times New Roman" w:cs="Times New Roman" w:eastAsia="Times New Roman" w:hAnsi="Times New Roman"/>
          <w:sz w:val="12"/>
          <w:szCs w:val="12"/>
          <w:color w:val="auto"/>
        </w:rPr>
        <w:t>In November 2023, in connection with the Merger, we acquired two leases for office and laboratory space in Gaithersburg, Maryland, which expire in January 2027. Annualized rent is approximately $0.3 million and remaining lease payments from December 31, 2024 through the end of the lease term total approximately $0.7 million.</w:t>
      </w:r>
    </w:p>
    <w:p>
      <w:pPr>
        <w:spacing w:after="0" w:line="47"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In February 2024, we entered into an agreement to lease approximately 19,199 square feet of integrated manufacturing and office space in Fredericksburg, Maryland. In May 2024, we entered into an amendment to lease an additional approximately 7,842 square feet at the same site. In August 2024, we entered into a second amendment to lease an additional approximately 2,009 square feet at the same site. The lease, as amended, expires in June 2031. Annualized base rent under the leases is approximately $1.2 million and is subject to annual increases in accordance with the terms of the lease agreement. The leases provide for a tenant improvement allowance of $0.8 million. Remaining lease payments from December 31, 2024 through the end of the lease term total approximately $8.1 million.</w:t>
      </w:r>
    </w:p>
    <w:p>
      <w:pPr>
        <w:spacing w:after="0" w:line="41" w:lineRule="exact"/>
        <w:rPr>
          <w:sz w:val="20"/>
          <w:szCs w:val="20"/>
          <w:color w:val="auto"/>
        </w:rPr>
      </w:pPr>
    </w:p>
    <w:p>
      <w:pPr>
        <w:ind w:right="180" w:firstLine="216"/>
        <w:spacing w:after="0" w:line="249" w:lineRule="auto"/>
        <w:rPr>
          <w:sz w:val="20"/>
          <w:szCs w:val="20"/>
          <w:color w:val="auto"/>
        </w:rPr>
      </w:pPr>
      <w:r>
        <w:rPr>
          <w:rFonts w:ascii="Times New Roman" w:cs="Times New Roman" w:eastAsia="Times New Roman" w:hAnsi="Times New Roman"/>
          <w:sz w:val="12"/>
          <w:szCs w:val="12"/>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December 31, 2024, we were unable to estimate the timing or likelihood of achieving these milestones or</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generating future product sales. Payments made and remaining obligations on the license agreement with 3SBio are subject to potential reimbursement through deductions to CVR distributions as described in Note 6 to our consolidated financial statements included elsewhere in this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4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780" w:type="dxa"/>
            <w:vAlign w:val="bottom"/>
            <w:tcBorders>
              <w:bottom w:val="single" w:sz="8" w:color="auto"/>
            </w:tcBorders>
          </w:tcPr>
          <w:p>
            <w:pPr>
              <w:spacing w:after="0"/>
              <w:rPr>
                <w:sz w:val="11"/>
                <w:szCs w:val="11"/>
                <w:color w:val="auto"/>
              </w:rPr>
            </w:pPr>
          </w:p>
        </w:tc>
      </w:tr>
      <w:tr>
        <w:trPr>
          <w:trHeight w:val="125"/>
        </w:trPr>
        <w:tc>
          <w:tcPr>
            <w:tcW w:w="8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w w:val="99"/>
              </w:rPr>
              <w:t>2023</w:t>
            </w:r>
          </w:p>
        </w:tc>
      </w:tr>
      <w:tr>
        <w:trPr>
          <w:trHeight w:val="116"/>
        </w:trPr>
        <w:tc>
          <w:tcPr>
            <w:tcW w:w="84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provided by and (used in):</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Operating activities</w:t>
            </w:r>
          </w:p>
        </w:tc>
        <w:tc>
          <w:tcPr>
            <w:tcW w:w="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(23,674)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(51,161)</w:t>
            </w:r>
          </w:p>
        </w:tc>
      </w:tr>
      <w:tr>
        <w:trPr>
          <w:trHeight w:val="129"/>
        </w:trPr>
        <w:tc>
          <w:tcPr>
            <w:tcW w:w="8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Investing activities</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(8,742)</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34,609</w:t>
            </w:r>
          </w:p>
        </w:tc>
      </w:tr>
      <w:tr>
        <w:trPr>
          <w:trHeight w:val="141"/>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Financing activities</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168,428</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(13,145)</w:t>
            </w:r>
          </w:p>
        </w:tc>
      </w:tr>
      <w:tr>
        <w:trPr>
          <w:trHeight w:val="129"/>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Effect of exchange rate changes on cash</w:t>
            </w: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w:t>
            </w:r>
          </w:p>
        </w:tc>
      </w:tr>
      <w:tr>
        <w:trPr>
          <w:trHeight w:val="128"/>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change in cash, cash equivalents, and restricted cash</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135,991</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(29,750)</w:t>
            </w:r>
          </w:p>
        </w:tc>
      </w:tr>
    </w:tbl>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Operating activities</w:t>
      </w:r>
    </w:p>
    <w:p>
      <w:pPr>
        <w:spacing w:after="0" w:line="8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Net cash used in operating activities for the year ended December 31, 2024 was $23.7 million compared to $51.2 million in the same period in 2023. The decrease in net cash used in operating activities of $27.5 million was primarily due to $17.9 million of net loss, adjusted for non-cash items, and $5.8 million of cash used in changes in operating assets and liabilities, in each case during the year ended December 31, 2024 compared to $56.1 million of net loss, adjusted for non-cash items, and $4.9 million of cash provided by changes in operating assets and liabilities during the year ended December 31, 2023.</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Investing activities</w:t>
      </w:r>
    </w:p>
    <w:p>
      <w:pPr>
        <w:spacing w:after="0" w:line="80"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for the year ended December 31, 2024 was $8.7 million compared to net cash provided by investing activities of $34.6 million in the same period in 2023, a decrease of $43.3 million. The net cash used in investing activities for the year ended December 31, 2024 consisted primarily of purchases of property and equipment. The net cash provided by investing activities for the year ended December 31, 2023 was primarily proceeds from the maturities of marketable securities and cash assumed in the Merger offset by purchases of property and equipment.</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Financing activities</w:t>
      </w:r>
    </w:p>
    <w:p>
      <w:pPr>
        <w:spacing w:after="0" w:line="80"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Net cash provided by financing activities for the year ended December 31, 2024 was $168.4 million compared to net cash used in financing activities of $13.1 million in the same period in 2023, an increase of $181.5 million. The net cash provided by financing activities for the year ended December 31, 2024 was primarily the result of proceeds of the 2024 Private Placement and the 2023 Private Placement. The net cash used in financing activities for the year ended December 31, 2023 was primarily the result of repayments of principal on outstanding debt and settlement of equity awards in the Merger partially offset by proceeds from the 2023 Private Placement.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a discussion of recently adopted or issued accounting pronouncements refer to Note 3 to our consolidated financial statements included elsewhere in this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2024, we did not have any off-balance sheet arrangements as defined in the rules and regulations of the SEC.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Use of Estimates</w:t>
      </w:r>
    </w:p>
    <w:p>
      <w:pPr>
        <w:spacing w:after="0" w:line="73" w:lineRule="exact"/>
        <w:rPr>
          <w:sz w:val="20"/>
          <w:szCs w:val="20"/>
          <w:color w:val="auto"/>
        </w:rPr>
      </w:pPr>
    </w:p>
    <w:p>
      <w:pPr>
        <w:ind w:right="100" w:firstLine="216"/>
        <w:spacing w:after="0" w:line="238" w:lineRule="auto"/>
        <w:rPr>
          <w:sz w:val="20"/>
          <w:szCs w:val="20"/>
          <w:color w:val="auto"/>
        </w:rPr>
      </w:pPr>
      <w:r>
        <w:rPr>
          <w:rFonts w:ascii="Times New Roman" w:cs="Times New Roman" w:eastAsia="Times New Roman" w:hAnsi="Times New Roman"/>
          <w:sz w:val="12"/>
          <w:szCs w:val="12"/>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included elsewhere in this Annual Report, we believe the following accounting policies to be the most critical in understanding the judgments and estimates we use in preparing our consolidated financial statements: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Contingent Value Right Liability</w:t>
      </w:r>
    </w:p>
    <w:p>
      <w:pPr>
        <w:spacing w:after="0" w:line="80" w:lineRule="exact"/>
        <w:rPr>
          <w:sz w:val="20"/>
          <w:szCs w:val="20"/>
          <w:color w:val="auto"/>
        </w:rPr>
      </w:pPr>
    </w:p>
    <w:p>
      <w:pPr>
        <w:ind w:right="240" w:firstLine="216"/>
        <w:spacing w:after="0" w:line="283" w:lineRule="auto"/>
        <w:rPr>
          <w:sz w:val="20"/>
          <w:szCs w:val="20"/>
          <w:color w:val="auto"/>
        </w:rPr>
      </w:pPr>
      <w:r>
        <w:rPr>
          <w:rFonts w:ascii="Times New Roman" w:cs="Times New Roman" w:eastAsia="Times New Roman" w:hAnsi="Times New Roman"/>
          <w:sz w:val="12"/>
          <w:szCs w:val="12"/>
          <w:color w:val="auto"/>
        </w:rPr>
        <w:t xml:space="preserve">The CVRs distributed pursuant to the terms of the CVR Agreement represent financial instruments that are accounted for under the fair value option election in ASC Topic 825, </w:t>
      </w:r>
      <w:r>
        <w:rPr>
          <w:rFonts w:ascii="Times New Roman" w:cs="Times New Roman" w:eastAsia="Times New Roman" w:hAnsi="Times New Roman"/>
          <w:sz w:val="12"/>
          <w:szCs w:val="12"/>
          <w:i w:val="1"/>
          <w:iCs w:val="1"/>
          <w:color w:val="auto"/>
        </w:rPr>
        <w:t>Financial Instruments (ASC 825)</w:t>
      </w:r>
      <w:r>
        <w:rPr>
          <w:rFonts w:ascii="Times New Roman" w:cs="Times New Roman" w:eastAsia="Times New Roman" w:hAnsi="Times New Roman"/>
          <w:sz w:val="12"/>
          <w:szCs w:val="12"/>
          <w:color w:val="auto"/>
        </w:rPr>
        <w:t>. Under the fair value option election,</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the CVRs are initially measured at the aggregate estimated fair value of the CVRs and will be subsequently remeasured at estimated fair value on a recurring basis at each reporting period date. The estimated fair value of the CVR liability was determined using a discounted cash flow methodology as of December 31, 2023 and a Monte Carlo simulation model as of December 31,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and License Revenue Recognition</w:t>
      </w:r>
    </w:p>
    <w:p>
      <w:pPr>
        <w:spacing w:after="0" w:line="82" w:lineRule="exact"/>
        <w:rPr>
          <w:sz w:val="20"/>
          <w:szCs w:val="20"/>
          <w:color w:val="auto"/>
        </w:rPr>
      </w:pPr>
    </w:p>
    <w:p>
      <w:pPr>
        <w:ind w:firstLine="216"/>
        <w:spacing w:after="0" w:line="243" w:lineRule="auto"/>
        <w:rPr>
          <w:sz w:val="20"/>
          <w:szCs w:val="20"/>
          <w:color w:val="auto"/>
        </w:rPr>
      </w:pPr>
      <w:r>
        <w:rPr>
          <w:rFonts w:ascii="Times New Roman" w:cs="Times New Roman" w:eastAsia="Times New Roman" w:hAnsi="Times New Roman"/>
          <w:sz w:val="12"/>
          <w:szCs w:val="12"/>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2"/>
          <w:szCs w:val="12"/>
          <w:i w:val="1"/>
          <w:iCs w:val="1"/>
          <w:color w:val="auto"/>
        </w:rPr>
        <w:t>Revenue from Contracts with Customers (ASC 606)</w:t>
      </w:r>
      <w:r>
        <w:rPr>
          <w:rFonts w:ascii="Times New Roman" w:cs="Times New Roman" w:eastAsia="Times New Roman" w:hAnsi="Times New Roman"/>
          <w:sz w:val="12"/>
          <w:szCs w:val="12"/>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w:t>
      </w:r>
    </w:p>
    <w:p>
      <w:pPr>
        <w:spacing w:after="0" w:line="59"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Collaboration and License Revenue: </w:t>
      </w:r>
      <w:r>
        <w:rPr>
          <w:rFonts w:ascii="Times New Roman" w:cs="Times New Roman" w:eastAsia="Times New Roman" w:hAnsi="Times New Roman"/>
          <w:sz w:val="12"/>
          <w:szCs w:val="12"/>
          <w:color w:val="auto"/>
        </w:rPr>
        <w:t>We currently generate revenue through collaboration and license agreements with strategic collaborators for the development and commercialization of product candidates. Collaboration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license agreements with customers are generally accounted for in accordance with ASC 606. We analyze collaboration arrangements by first assessing whether they are within the scope of ASC Topic 808, </w:t>
      </w:r>
      <w:r>
        <w:rPr>
          <w:rFonts w:ascii="Times New Roman" w:cs="Times New Roman" w:eastAsia="Times New Roman" w:hAnsi="Times New Roman"/>
          <w:sz w:val="12"/>
          <w:szCs w:val="12"/>
          <w:i w:val="1"/>
          <w:iCs w:val="1"/>
          <w:color w:val="auto"/>
        </w:rPr>
        <w:t>Collaborative Arrangements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(ASC 808</w:t>
      </w:r>
      <w:r>
        <w:rPr>
          <w:rFonts w:ascii="Times New Roman" w:cs="Times New Roman" w:eastAsia="Times New Roman" w:hAnsi="Times New Roman"/>
          <w:sz w:val="12"/>
          <w:szCs w:val="12"/>
          <w:color w:val="auto"/>
        </w:rPr>
        <w:t>), and evaluate whether such arrangements involve joint operating activities performed by parties that are both active participants in the activities and exposed to significant risks and rewards that are dependent 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2"/>
          <w:szCs w:val="12"/>
          <w:i w:val="1"/>
          <w:iCs w:val="1"/>
          <w:color w:val="auto"/>
        </w:rPr>
        <w:t>Research and Development (ASC 730)</w:t>
      </w:r>
      <w:r>
        <w:rPr>
          <w:rFonts w:ascii="Times New Roman" w:cs="Times New Roman" w:eastAsia="Times New Roman" w:hAnsi="Times New Roman"/>
          <w:sz w:val="12"/>
          <w:szCs w:val="12"/>
          <w:color w:val="auto"/>
        </w:rPr>
        <w:t>, and record reimbursements from counterparties as an offset to the related research and development costs. In determining the appropriate amount of revenue to be recognized as we fulfill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58"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37" w:lineRule="exact"/>
        <w:rPr>
          <w:sz w:val="20"/>
          <w:szCs w:val="20"/>
          <w:color w:val="auto"/>
        </w:rPr>
      </w:pPr>
    </w:p>
    <w:p>
      <w:pPr>
        <w:ind w:right="6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Licenses of Intellectual Property: </w:t>
      </w:r>
      <w:r>
        <w:rPr>
          <w:rFonts w:ascii="Times New Roman" w:cs="Times New Roman" w:eastAsia="Times New Roman" w:hAnsi="Times New Roman"/>
          <w:sz w:val="12"/>
          <w:szCs w:val="12"/>
          <w:color w:val="auto"/>
        </w:rPr>
        <w:t>If the license to our intellectual property is determined to be distinct from the other promised goods and services identified in the arrangement, we recognize revenues from non-refundable, upfront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they are issued at a discount, and therefore, represent material rights and should be accounted for as separate performance obligations.</w:t>
      </w:r>
    </w:p>
    <w:p>
      <w:pPr>
        <w:spacing w:after="0" w:line="76"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Milestone Payments: </w:t>
      </w:r>
      <w:r>
        <w:rPr>
          <w:rFonts w:ascii="Times New Roman" w:cs="Times New Roman" w:eastAsia="Times New Roman" w:hAnsi="Times New Roman"/>
          <w:sz w:val="12"/>
          <w:szCs w:val="12"/>
          <w:color w:val="auto"/>
        </w:rPr>
        <w:t>At the inception of each arrangement that includes developmental and regulatory milestone payments, we evaluate whether the achievement of each milestone specifically relates to our efforts to satisfy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51"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Manufacturing Supply Services: </w:t>
      </w:r>
      <w:r>
        <w:rPr>
          <w:rFonts w:ascii="Times New Roman" w:cs="Times New Roman" w:eastAsia="Times New Roman" w:hAnsi="Times New Roman"/>
          <w:sz w:val="12"/>
          <w:szCs w:val="12"/>
          <w:color w:val="auto"/>
        </w:rPr>
        <w:t>Arrangements that include a promise for future supply of drug substance or drug product for either clinical development or commercial supply at the customer’s discretion are evaluated to determine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if they are distinct and optional. For optional services that are distinct, we assess if they are priced at a discount, and therefore, provide a material right to the licensee to be accounted for as separate performance obligations.</w:t>
      </w:r>
    </w:p>
    <w:p>
      <w:pPr>
        <w:spacing w:after="0" w:line="35" w:lineRule="exact"/>
        <w:rPr>
          <w:sz w:val="20"/>
          <w:szCs w:val="20"/>
          <w:color w:val="auto"/>
        </w:rPr>
      </w:pPr>
    </w:p>
    <w:p>
      <w:pPr>
        <w:jc w:val="both"/>
        <w:ind w:right="20" w:firstLine="216"/>
        <w:spacing w:after="0" w:line="330" w:lineRule="auto"/>
        <w:rPr>
          <w:sz w:val="20"/>
          <w:szCs w:val="20"/>
          <w:color w:val="auto"/>
        </w:rPr>
      </w:pPr>
      <w:r>
        <w:rPr>
          <w:rFonts w:ascii="Times New Roman" w:cs="Times New Roman" w:eastAsia="Times New Roman" w:hAnsi="Times New Roman"/>
          <w:sz w:val="11"/>
          <w:szCs w:val="11"/>
          <w:i w:val="1"/>
          <w:iCs w:val="1"/>
          <w:color w:val="auto"/>
        </w:rPr>
        <w:t xml:space="preserve">Royalties: </w:t>
      </w:r>
      <w:r>
        <w:rPr>
          <w:rFonts w:ascii="Times New Roman" w:cs="Times New Roman" w:eastAsia="Times New Roman" w:hAnsi="Times New Roman"/>
          <w:sz w:val="11"/>
          <w:szCs w:val="11"/>
          <w:color w:val="auto"/>
        </w:rPr>
        <w:t>For arrangements that include sales-based royalties, including milestone payments based on the level of sales, and the license is deemed to be the predominant item to which the royalties relate, we will recognize revenue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at the later of (i) when the related sales occur, or (ii) when the performance obligation to which some or all of the royalty has been allocated has been satisfied (or partially satisfied) in accordance with the royalty recognition constraint.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Trial Costs</w:t>
      </w:r>
    </w:p>
    <w:p>
      <w:pPr>
        <w:spacing w:after="0" w:line="82"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Clinical trial expenses are a significant component of research and development expenses, and we outsource a significant portion of these costs to third-parties. Third-party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 Liabilities</w:t>
      </w:r>
    </w:p>
    <w:p>
      <w:pPr>
        <w:spacing w:after="0" w:line="82"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In December 2019, we issued the 2019 Warrants in connection with a securities purchase agreement between us and a group of institutional investors and certain members of our Board of Directors. Pursuant to the terms of the 2019 Warrants, we could have been required to settle the common warrants in cash in the event of certain acquisitions of us and, as a result, the 2019 Warrants were required to be measured at fair value and reported as a liability on the balance sheet. The outstanding 2019 Warrants expired on December 23, 2024 in accordance with their terms.</w:t>
      </w:r>
    </w:p>
    <w:p>
      <w:pPr>
        <w:spacing w:after="0" w:line="47" w:lineRule="exact"/>
        <w:rPr>
          <w:sz w:val="20"/>
          <w:szCs w:val="20"/>
          <w:color w:val="auto"/>
        </w:rPr>
      </w:pPr>
    </w:p>
    <w:p>
      <w:pPr>
        <w:ind w:right="100" w:firstLine="216"/>
        <w:spacing w:after="0" w:line="327" w:lineRule="auto"/>
        <w:rPr>
          <w:sz w:val="20"/>
          <w:szCs w:val="20"/>
          <w:color w:val="auto"/>
        </w:rPr>
      </w:pPr>
      <w:r>
        <w:rPr>
          <w:rFonts w:ascii="Times New Roman" w:cs="Times New Roman" w:eastAsia="Times New Roman" w:hAnsi="Times New Roman"/>
          <w:sz w:val="11"/>
          <w:szCs w:val="11"/>
          <w:color w:val="auto"/>
        </w:rPr>
        <w:t>In April 2022, we issued warrants in connection with an underwritten offering of shares of common stock and warrants to purchase shares of common stock, or the 2022 Warrants. Pursuant to the terms of the 2022 Warrants, we could be required to settle the 2022 Warrants in cash in the event we are acquired under certain circumstances and, as a result, the 2022 Warrants are required to be measured at fair value and reported as a liability on the balance sheet.</w:t>
      </w:r>
    </w:p>
    <w:p>
      <w:pPr>
        <w:spacing w:after="0" w:line="15"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recorded the fair value of the 2019 Warrants and 2022 Warrants upon issuance using the Black-Scholes valuation model, and are required to revalue the common warrants at each reporting date and upon exercise or expiration with any changes in fair value recorded on our statement of operations. In December 2022, we amended the terms of the outstanding 2019 Warrants held by certain members of our Board of Directors to remove the cash settlement provision (as so amended, the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Amended 2019 Warrants). As a result, the Amended 2019 Warrants were remeasured at fair value on December 20, 2022 and reclassified from a liability to equity on the balance sheet.</w:t>
      </w:r>
    </w:p>
    <w:p>
      <w:pPr>
        <w:spacing w:after="0" w:line="78"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8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47"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Smaller Reporting Company</w:t>
      </w:r>
    </w:p>
    <w:p>
      <w:pPr>
        <w:spacing w:after="0" w:line="73" w:lineRule="exact"/>
        <w:rPr>
          <w:sz w:val="20"/>
          <w:szCs w:val="20"/>
          <w:color w:val="auto"/>
        </w:rPr>
      </w:pPr>
    </w:p>
    <w:p>
      <w:pPr>
        <w:ind w:right="20" w:firstLine="216"/>
        <w:spacing w:after="0" w:line="244" w:lineRule="auto"/>
        <w:rPr>
          <w:sz w:val="20"/>
          <w:szCs w:val="20"/>
          <w:color w:val="auto"/>
        </w:rPr>
      </w:pPr>
      <w:r>
        <w:rPr>
          <w:rFonts w:ascii="Times New Roman" w:cs="Times New Roman" w:eastAsia="Times New Roman" w:hAnsi="Times New Roman"/>
          <w:sz w:val="12"/>
          <w:szCs w:val="12"/>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a smaller reporting company under the rules of the Securities Act and the Exchange Act and are not required to provide this information required under this item.</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p>
      <w:pPr>
        <w:spacing w:after="0" w:line="82"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The consolidated financial statements together with the report of our independent registered public company accounting firm, required to be filed pursuant to this Item 8 are appended to this Annual Report. An index of those consolidated financial statements is found in Item 15.</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82" w:lineRule="exact"/>
        <w:rPr>
          <w:sz w:val="20"/>
          <w:szCs w:val="20"/>
          <w:color w:val="auto"/>
        </w:rPr>
      </w:pPr>
    </w:p>
    <w:p>
      <w:pPr>
        <w:ind w:right="20" w:firstLine="216"/>
        <w:spacing w:after="0" w:line="244"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Exchange Act Rules 13a-15(e) and 15d-15(e), that are designed to ensure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principle financial officer, to allow timely decisions regarding required disclosure.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controls. The design of any system of controls is also based in part upon certain assumptions about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8" w:name="page69"/>
    <w:bookmarkEnd w:id="6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jc w:val="both"/>
        <w:ind w:left="8" w:right="120"/>
        <w:spacing w:after="0" w:line="249" w:lineRule="auto"/>
        <w:rPr>
          <w:sz w:val="20"/>
          <w:szCs w:val="20"/>
          <w:color w:val="auto"/>
        </w:rPr>
      </w:pPr>
      <w:r>
        <w:rPr>
          <w:rFonts w:ascii="Times New Roman" w:cs="Times New Roman" w:eastAsia="Times New Roman" w:hAnsi="Times New Roman"/>
          <w:sz w:val="12"/>
          <w:szCs w:val="12"/>
          <w:color w:val="auto"/>
        </w:rPr>
        <w:t>likelihood of future events, and there can be no assurance that any design will succeed in achieving its stated goals under all potential future conditions. Over time, controls may become inadequate because of changes in conditions, or the degree of compliance with the policies and procedures may deteriorate. Accordingly, given the inherent limitations in a cost-effective system of controls, financial statement misstatements due to error or fraud may occur and may not be detected. Our disclosure controls and procedures are designed to provide reasonable, not absolute, assurance of achieving their objectives. We conduct periodic evaluations of our system of controls to enhance, where necessary, our control policies and procedures.</w:t>
      </w:r>
    </w:p>
    <w:p>
      <w:pPr>
        <w:spacing w:after="0" w:line="48" w:lineRule="exact"/>
        <w:rPr>
          <w:sz w:val="20"/>
          <w:szCs w:val="20"/>
          <w:color w:val="auto"/>
        </w:rPr>
      </w:pPr>
    </w:p>
    <w:p>
      <w:pPr>
        <w:ind w:left="8" w:right="40" w:firstLine="216"/>
        <w:spacing w:after="0" w:line="279"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our disclosure controls and procedures as of the end of the period covered by this Annual Report on Form 10-K. Based upon this evaluation, our Chief Executive Officer and Chief Financial Officer concluded that our disclosure controls and procedures were effective at the reasonable assurance level as of December 31, 2024.</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Remediation of Previously Identified Material Weakness</w:t>
      </w:r>
    </w:p>
    <w:p>
      <w:pPr>
        <w:spacing w:after="0" w:line="71" w:lineRule="exact"/>
        <w:rPr>
          <w:sz w:val="20"/>
          <w:szCs w:val="20"/>
          <w:color w:val="auto"/>
        </w:rPr>
      </w:pPr>
    </w:p>
    <w:p>
      <w:pPr>
        <w:ind w:left="8" w:right="20" w:firstLine="216"/>
        <w:spacing w:after="0" w:line="257" w:lineRule="auto"/>
        <w:rPr>
          <w:sz w:val="20"/>
          <w:szCs w:val="20"/>
          <w:color w:val="auto"/>
        </w:rPr>
      </w:pPr>
      <w:r>
        <w:rPr>
          <w:rFonts w:ascii="Times New Roman" w:cs="Times New Roman" w:eastAsia="Times New Roman" w:hAnsi="Times New Roman"/>
          <w:sz w:val="12"/>
          <w:szCs w:val="12"/>
          <w:color w:val="auto"/>
        </w:rPr>
        <w:t>We previously reported a material weakness, identified in 2023, in our internal controls specifically related to the documentation of the assumptions supporting the valuation of the in-process research and development intangible assets acquired in connection with the Old Cartesian material business combination and the initial and on-going contingent value right obligation issued at that time to legacy Selecta stockholders. This material weakness included a lack of sufficient documentation to provide evidence of the associated management review controls.</w:t>
      </w:r>
    </w:p>
    <w:p>
      <w:pPr>
        <w:spacing w:after="0" w:line="43" w:lineRule="exact"/>
        <w:rPr>
          <w:sz w:val="20"/>
          <w:szCs w:val="20"/>
          <w:color w:val="auto"/>
        </w:rPr>
      </w:pPr>
    </w:p>
    <w:p>
      <w:pPr>
        <w:ind w:left="8" w:right="80" w:firstLine="216"/>
        <w:spacing w:after="0" w:line="276" w:lineRule="auto"/>
        <w:rPr>
          <w:sz w:val="20"/>
          <w:szCs w:val="20"/>
          <w:color w:val="auto"/>
        </w:rPr>
      </w:pPr>
      <w:r>
        <w:rPr>
          <w:rFonts w:ascii="Times New Roman" w:cs="Times New Roman" w:eastAsia="Times New Roman" w:hAnsi="Times New Roman"/>
          <w:sz w:val="11"/>
          <w:szCs w:val="11"/>
          <w:color w:val="auto"/>
        </w:rPr>
        <w:t>Although we have not entered into any business combination transactions since November 2023, the annual impairment testing required for our in-process research and development intangible assets necessitates similar valuation processes and controls. For example, both could require the development of sophisticated long-range cash flow forecasts, by indication and market, appropriately adjusted for probability of success, which include but are not limited to:</w:t>
      </w:r>
    </w:p>
    <w:p>
      <w:pPr>
        <w:jc w:val="both"/>
        <w:ind w:left="8" w:right="420" w:hanging="8"/>
        <w:spacing w:after="0" w:line="246" w:lineRule="auto"/>
        <w:tabs>
          <w:tab w:leader="none" w:pos="151"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from product sales and/or royalties; (ii) expenses, including costs of goods sold, research and development, general and administrative and sales and marketing; (iii) expectations of long-term effective tax rates; (iv) consideration of capital expenditures which may be required in order to achieve revenue; and (v) working capital requirements. The resulting forecasts are then subjected to a discounted cash flow analysis in order to arrive at an estimate of fair value. A similar cash flow forecasting process and discounted cash flow analysis is utilized at each reporting period to determine the estimated fair value of the contingent value right obligation.</w:t>
      </w:r>
    </w:p>
    <w:p>
      <w:pPr>
        <w:spacing w:after="0" w:line="50" w:lineRule="exact"/>
        <w:rPr>
          <w:sz w:val="20"/>
          <w:szCs w:val="20"/>
          <w:color w:val="auto"/>
        </w:rPr>
      </w:pPr>
    </w:p>
    <w:p>
      <w:pPr>
        <w:ind w:left="8" w:right="60" w:firstLine="216"/>
        <w:spacing w:after="0" w:line="249" w:lineRule="auto"/>
        <w:rPr>
          <w:sz w:val="20"/>
          <w:szCs w:val="20"/>
          <w:color w:val="auto"/>
        </w:rPr>
      </w:pPr>
      <w:r>
        <w:rPr>
          <w:rFonts w:ascii="Times New Roman" w:cs="Times New Roman" w:eastAsia="Times New Roman" w:hAnsi="Times New Roman"/>
          <w:sz w:val="12"/>
          <w:szCs w:val="12"/>
          <w:color w:val="auto"/>
        </w:rPr>
        <w:t>For the Company’s required annual impairment testing (performed as of October 1, 2024) of its in-process research and development intangible assets, management documented and reviewed the significant inputs and assumptions used in the purchase accounting for the Old Cartesian material business combination. As proscribed in “ASC 350 – Intangibles – Goodwill and Other,” management began with a qualitative assessment to determine whether it was necessary to perform the quantitative testing. Management’s qualitative assessment resulted in a determination that it was not more likely than not that the Company’s in-process research and development assets were impaired. Therefore, quantitative testing was not required to be performed.</w:t>
      </w:r>
    </w:p>
    <w:p>
      <w:pPr>
        <w:spacing w:after="0" w:line="48" w:lineRule="exact"/>
        <w:rPr>
          <w:sz w:val="20"/>
          <w:szCs w:val="20"/>
          <w:color w:val="auto"/>
        </w:rPr>
      </w:pPr>
    </w:p>
    <w:p>
      <w:pPr>
        <w:ind w:left="8" w:firstLine="216"/>
        <w:spacing w:after="0" w:line="257" w:lineRule="auto"/>
        <w:rPr>
          <w:sz w:val="20"/>
          <w:szCs w:val="20"/>
          <w:color w:val="auto"/>
        </w:rPr>
      </w:pPr>
      <w:r>
        <w:rPr>
          <w:rFonts w:ascii="Times New Roman" w:cs="Times New Roman" w:eastAsia="Times New Roman" w:hAnsi="Times New Roman"/>
          <w:sz w:val="12"/>
          <w:szCs w:val="12"/>
          <w:color w:val="auto"/>
        </w:rPr>
        <w:t>At each reporting period during fiscal 2024, management documented and reviewed the significant inputs and assumptions used by the Company’s third-party valuation firm to determine the estimated fair value of the contingent value right obligation. Cash flow forecasts were prepared by management, along with the necessary documentation and memoranda evidencing that the required controls were in place and operating effectively. These cash flow forecasts were then subjected to discounted cash flow analysis to determine the estimated fair value of the contingent value right obligation.</w:t>
      </w:r>
    </w:p>
    <w:p>
      <w:pPr>
        <w:spacing w:after="0" w:line="43" w:lineRule="exact"/>
        <w:rPr>
          <w:sz w:val="20"/>
          <w:szCs w:val="20"/>
          <w:color w:val="auto"/>
        </w:rPr>
      </w:pPr>
    </w:p>
    <w:p>
      <w:pPr>
        <w:ind w:left="8" w:right="160" w:firstLine="216"/>
        <w:spacing w:after="0" w:line="279" w:lineRule="auto"/>
        <w:rPr>
          <w:sz w:val="20"/>
          <w:szCs w:val="20"/>
          <w:color w:val="auto"/>
        </w:rPr>
      </w:pPr>
      <w:r>
        <w:rPr>
          <w:rFonts w:ascii="Times New Roman" w:cs="Times New Roman" w:eastAsia="Times New Roman" w:hAnsi="Times New Roman"/>
          <w:sz w:val="12"/>
          <w:szCs w:val="12"/>
          <w:color w:val="auto"/>
        </w:rPr>
        <w:t>Based upon management’s assessment, we have concluded that our disclosure controls and procedures were designed and operating effectively as of December 31, 2024 and, therefore, the previously identified material weakness was remediated.</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82" w:lineRule="exact"/>
        <w:rPr>
          <w:sz w:val="20"/>
          <w:szCs w:val="20"/>
          <w:color w:val="auto"/>
        </w:rPr>
      </w:pPr>
    </w:p>
    <w:p>
      <w:pPr>
        <w:ind w:left="8" w:right="40" w:firstLine="216"/>
        <w:spacing w:after="0" w:line="244"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Exchange Act Rules 13a-15(f) and 15d-15(f), to provide reasonable assurance regarding the reliability of our financial reporting and the preparation of financial statements for external purposes in accordance with U.S. GAAP. Internal control over financial reporting includes our policies and procedures, such as our Code of Business Conduct and Ethics, which (i) require our employees, officers and directors to adhere to certain ethical standards; (ii) require the maintenance of records, in reasonable detail, to help to ensure that our transactions, assets and liabilities are accurately and fairly recorded; (iii) provide reasonable assurance that transactions are authorized by our management and directors and are recorded as necessary to allow for the accurate preparation of financial statements in accordance with U.S. GAAP; and (iv) provide reasonable assurance regarding the safeguarding of our assets and the prevention or timely detection of the unauthorized acquisition, use or disposition of our assets, which could have a material effect on the financial statements. Internal control over financial reporting includes the controls themselves, management’s monitoring of those controls, actions taken to correct any deficiencies identified and oversight of our internal control environment by the Audit Committee of our Board of Directors. Any system of internal control has inherent limitations and therefore may not prevent or detect misstatements. Projections of any evaluation of the effectiveness of internal control over financial reporting to future periods are subject to the risk that controls may become inadequate over time because of changes in conditions, or that the degree of compliance with the policies or procedures may deteriorate.</w:t>
      </w: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Our management assessed the effectiveness of our internal control over financial reporting as of the end of our fiscal year 2024 and has reviewed the results of this assessment with the Audit Committee of our Board of Directors. Management based its assessment on criteria established in “Internal Control - Integrated Framework (2013)” issued by the Committee of Sponsoring Organizations of the Treadway Commission. Based upon this assessment, our management concluded that our internal control over financial reporting was effective as of December 31,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82" w:lineRule="exact"/>
        <w:rPr>
          <w:sz w:val="20"/>
          <w:szCs w:val="20"/>
          <w:color w:val="auto"/>
        </w:rPr>
      </w:pPr>
    </w:p>
    <w:p>
      <w:pPr>
        <w:ind w:firstLine="216"/>
        <w:spacing w:after="0" w:line="264" w:lineRule="auto"/>
        <w:rPr>
          <w:sz w:val="20"/>
          <w:szCs w:val="20"/>
          <w:color w:val="auto"/>
        </w:rPr>
      </w:pPr>
      <w:r>
        <w:rPr>
          <w:rFonts w:ascii="Times New Roman" w:cs="Times New Roman" w:eastAsia="Times New Roman" w:hAnsi="Times New Roman"/>
          <w:sz w:val="12"/>
          <w:szCs w:val="12"/>
          <w:color w:val="auto"/>
        </w:rPr>
        <w:t>Except as described above under “—Remediation of Previously Identified Material Weakness,” there have been no changes in our internal control over financial reporting (as defined in Exchange Act Rules 13a-15(f) and 15d-15(f)) during the fiscal quarter ended December 31, 2024 that have materially affected, or are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Attestation Report of the Registered Public Accounting Firm</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This Annual Report on Form 10-K does not include an attestation report of our registered public accounting firm due to an exemption established for “smaller reporting companies.”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82" w:lineRule="exact"/>
        <w:rPr>
          <w:sz w:val="20"/>
          <w:szCs w:val="20"/>
          <w:color w:val="auto"/>
        </w:rPr>
      </w:pPr>
    </w:p>
    <w:p>
      <w:pPr>
        <w:ind w:right="180" w:firstLine="216"/>
        <w:spacing w:after="0" w:line="257" w:lineRule="auto"/>
        <w:rPr>
          <w:sz w:val="20"/>
          <w:szCs w:val="20"/>
          <w:color w:val="auto"/>
        </w:rPr>
      </w:pPr>
      <w:r>
        <w:rPr>
          <w:rFonts w:ascii="Times New Roman" w:cs="Times New Roman" w:eastAsia="Times New Roman" w:hAnsi="Times New Roman"/>
          <w:sz w:val="12"/>
          <w:szCs w:val="12"/>
          <w:color w:val="auto"/>
        </w:rPr>
        <w:t>On December 23, 2024, Christopher Jewell, our Chief Scientific Officer, adopted a trading plan intended to satisfy the conditions under Rule 10b5-1(c) of the Exchange Act. Dr. Jewell’s plan provides for the exercise of vested stock options and the potential associated sale of up to 15,000 shares of our common stock until and including December 31, 2025. The foregoing exercises or sales, if any, will be made in accordance with the prices and formulas set forth in the plan and such plan terminates on the earlier of the date all the shares under the plan are sold and December 31, 2025.</w:t>
      </w:r>
    </w:p>
    <w:p>
      <w:pPr>
        <w:spacing w:after="0" w:line="43" w:lineRule="exact"/>
        <w:rPr>
          <w:sz w:val="20"/>
          <w:szCs w:val="20"/>
          <w:color w:val="auto"/>
        </w:rPr>
      </w:pPr>
    </w:p>
    <w:p>
      <w:pPr>
        <w:ind w:right="80" w:firstLine="216"/>
        <w:spacing w:after="0" w:line="264" w:lineRule="auto"/>
        <w:rPr>
          <w:sz w:val="20"/>
          <w:szCs w:val="20"/>
          <w:color w:val="auto"/>
        </w:rPr>
      </w:pPr>
      <w:r>
        <w:rPr>
          <w:rFonts w:ascii="Times New Roman" w:cs="Times New Roman" w:eastAsia="Times New Roman" w:hAnsi="Times New Roman"/>
          <w:sz w:val="12"/>
          <w:szCs w:val="12"/>
          <w:color w:val="auto"/>
        </w:rPr>
        <w:t>During the fiscal quarter ended December 31, 2024, no other officer or director, as defined in Rule 16a-1(f) of the Exchange Act, informed us of the adoption, modification or termination of any “Rule 10b5-1 trading arrangement” or a “non-Rule 10b5-1 trading arrangement,” as those terms are defined in Item 408 of Regulation S-K .</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9C. Disclosure Regarding Foreign Jurisdictions that Prevent Inspections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14. Principal Accountant Fees and Services</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Incorporated by reference from the information in our Proxy Statement for our 2025 Annual Meeting of Stockholders, which we will file with the SEC within 120 days of the end of the fiscal year to which this Annual Report on Form 10-K relates.</w:t>
      </w: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29"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15. Exhibits, Financial Statement Schedules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(a)(1) Financial Statements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the “Index to Consolidated Financial Statements” on page F-1 below for the list of financial statements filed as part of this report.</w:t>
      </w: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(a)(2) Financial Statement Schedules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All financial schedules have been omitted because the required information is either presented in the consolidated financial statements filed as part of this Annual Report on Form 10-K or the notes thereto or is not required.</w:t>
      </w: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(a)(3)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is a list of exhibits filed as part of this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0"/>
                <w:szCs w:val="10"/>
                <w:b w:val="1"/>
                <w:bCs w:val="1"/>
                <w:color w:val="auto"/>
              </w:rPr>
              <w:t>Incorporated by Reference</w:t>
            </w: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100" w:type="dxa"/>
            <w:vAlign w:val="bottom"/>
            <w:gridSpan w:val="8"/>
          </w:tcPr>
          <w:p>
            <w:pPr>
              <w:jc w:val="center"/>
              <w:ind w:right="80"/>
              <w:spacing w:after="0" w:line="90" w:lineRule="exact"/>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40" w:type="dxa"/>
            <w:vAlign w:val="bottom"/>
            <w:gridSpan w:val="17"/>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100" w:type="dxa"/>
            <w:vAlign w:val="bottom"/>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Form</w:t>
            </w: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File No.</w:t>
            </w:r>
          </w:p>
        </w:tc>
        <w:tc>
          <w:tcPr>
            <w:tcW w:w="1000" w:type="dxa"/>
            <w:vAlign w:val="bottom"/>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300" w:type="dxa"/>
            <w:vAlign w:val="bottom"/>
          </w:tcPr>
          <w:p>
            <w:pPr>
              <w:jc w:val="center"/>
              <w:ind w:left="1"/>
              <w:spacing w:after="0" w:line="90" w:lineRule="exact"/>
              <w:rPr>
                <w:sz w:val="20"/>
                <w:szCs w:val="20"/>
                <w:color w:val="auto"/>
              </w:rPr>
            </w:pPr>
            <w:r>
              <w:rPr>
                <w:rFonts w:ascii="Times New Roman" w:cs="Times New Roman" w:eastAsia="Times New Roman" w:hAnsi="Times New Roman"/>
                <w:sz w:val="10"/>
                <w:szCs w:val="10"/>
                <w:b w:val="1"/>
                <w:bCs w:val="1"/>
                <w:color w:val="auto"/>
                <w:w w:val="95"/>
              </w:rPr>
              <w:t>Filing</w:t>
            </w:r>
          </w:p>
        </w:tc>
        <w:tc>
          <w:tcPr>
            <w:tcW w:w="0" w:type="dxa"/>
            <w:vAlign w:val="bottom"/>
          </w:tcPr>
          <w:p>
            <w:pPr>
              <w:spacing w:after="0"/>
              <w:rPr>
                <w:sz w:val="1"/>
                <w:szCs w:val="1"/>
                <w:color w:val="auto"/>
              </w:rPr>
            </w:pPr>
          </w:p>
        </w:tc>
      </w:tr>
      <w:tr>
        <w:trPr>
          <w:trHeight w:val="125"/>
        </w:trPr>
        <w:tc>
          <w:tcPr>
            <w:tcW w:w="1100" w:type="dxa"/>
            <w:vAlign w:val="bottom"/>
            <w:gridSpan w:val="8"/>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40" w:type="dxa"/>
            <w:vAlign w:val="bottom"/>
            <w:gridSpan w:val="17"/>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300" w:type="dxa"/>
            <w:vAlign w:val="bottom"/>
          </w:tcPr>
          <w:p>
            <w:pPr>
              <w:jc w:val="center"/>
              <w:ind w:left="1"/>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0" w:type="dxa"/>
            <w:vAlign w:val="bottom"/>
          </w:tcPr>
          <w:p>
            <w:pPr>
              <w:spacing w:after="0"/>
              <w:rPr>
                <w:sz w:val="1"/>
                <w:szCs w:val="1"/>
                <w:color w:val="auto"/>
              </w:rPr>
            </w:pPr>
          </w:p>
        </w:tc>
      </w:tr>
      <w:tr>
        <w:trPr>
          <w:trHeight w:val="145"/>
        </w:trPr>
        <w:tc>
          <w:tcPr>
            <w:tcW w:w="640" w:type="dxa"/>
            <w:vAlign w:val="bottom"/>
            <w:tcBorders>
              <w:top w:val="single" w:sz="8" w:color="auto"/>
            </w:tcBorders>
            <w:gridSpan w:val="6"/>
          </w:tcPr>
          <w:p>
            <w:pPr>
              <w:jc w:val="center"/>
              <w:ind w:left="322"/>
              <w:spacing w:after="0" w:line="125" w:lineRule="exact"/>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2.</w:t>
              </w:r>
              <w:r>
                <w:rPr>
                  <w:rFonts w:ascii="Times New Roman" w:cs="Times New Roman" w:eastAsia="Times New Roman" w:hAnsi="Times New Roman"/>
                  <w:sz w:val="12"/>
                  <w:szCs w:val="12"/>
                  <w:u w:val="single" w:color="auto"/>
                  <w:color w:val="0000FF"/>
                </w:rPr>
                <w:t>1*</w:t>
              </w:r>
            </w:hyperlink>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0" w:type="dxa"/>
            <w:vAlign w:val="bottom"/>
            <w:tcBorders>
              <w:top w:val="single" w:sz="8" w:color="auto"/>
            </w:tcBorders>
            <w:gridSpan w:val="22"/>
          </w:tcPr>
          <w:p>
            <w:pPr>
              <w:spacing w:after="0" w:line="125" w:lineRule="exact"/>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Agreement and Plan of Merger, dated November 13, 2023, by and among Selecta Biosciences, Inc., Sakura Merger</w:t>
              </w:r>
            </w:hyperlink>
          </w:p>
        </w:tc>
        <w:tc>
          <w:tcPr>
            <w:tcW w:w="100" w:type="dxa"/>
            <w:vAlign w:val="bottom"/>
          </w:tcPr>
          <w:p>
            <w:pPr>
              <w:spacing w:after="0"/>
              <w:rPr>
                <w:sz w:val="12"/>
                <w:szCs w:val="12"/>
                <w:color w:val="auto"/>
              </w:rPr>
            </w:pPr>
          </w:p>
        </w:tc>
        <w:tc>
          <w:tcPr>
            <w:tcW w:w="9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3"/>
              </w:rPr>
              <w:t>2.1</w:t>
            </w:r>
          </w:p>
        </w:tc>
        <w:tc>
          <w:tcPr>
            <w:tcW w:w="13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8"/>
              </w:rPr>
              <w:t>11/13/2023</w:t>
            </w:r>
          </w:p>
        </w:tc>
        <w:tc>
          <w:tcPr>
            <w:tcW w:w="0" w:type="dxa"/>
            <w:vAlign w:val="bottom"/>
          </w:tcPr>
          <w:p>
            <w:pPr>
              <w:spacing w:after="0"/>
              <w:rPr>
                <w:sz w:val="1"/>
                <w:szCs w:val="1"/>
                <w:color w:val="auto"/>
              </w:rPr>
            </w:pPr>
          </w:p>
        </w:tc>
      </w:tr>
      <w:tr>
        <w:trPr>
          <w:trHeight w:val="77"/>
        </w:trPr>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00" w:type="dxa"/>
            <w:vAlign w:val="bottom"/>
            <w:tcBorders>
              <w:top w:val="single" w:sz="8" w:color="0000FF"/>
              <w:bottom w:val="single" w:sz="8" w:color="0000FF"/>
            </w:tcBorders>
            <w:gridSpan w:val="11"/>
          </w:tcPr>
          <w:p>
            <w:pPr>
              <w:spacing w:after="0" w:line="77" w:lineRule="exact"/>
              <w:rPr>
                <w:rFonts w:ascii="Times New Roman" w:cs="Times New Roman" w:eastAsia="Times New Roman" w:hAnsi="Times New Roman"/>
                <w:sz w:val="8"/>
                <w:szCs w:val="8"/>
                <w:color w:val="0000FF"/>
              </w:rPr>
            </w:pPr>
            <w:hyperlink r:id="rId93">
              <w:r>
                <w:rPr>
                  <w:rFonts w:ascii="Times New Roman" w:cs="Times New Roman" w:eastAsia="Times New Roman" w:hAnsi="Times New Roman"/>
                  <w:sz w:val="8"/>
                  <w:szCs w:val="8"/>
                  <w:color w:val="0000FF"/>
                </w:rPr>
                <w:t>Sub I, Inc., Sakura Merger Sub II, LLC, and Cartesian Therapeutics, Inc.</w:t>
              </w:r>
            </w:hyperlink>
          </w:p>
        </w:tc>
        <w:tc>
          <w:tcPr>
            <w:tcW w:w="2020" w:type="dxa"/>
            <w:vAlign w:val="bottom"/>
            <w:tcBorders>
              <w:top w:val="single" w:sz="8" w:color="0000FF"/>
            </w:tcBorders>
            <w:gridSpan w:val="7"/>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740" w:type="dxa"/>
            <w:vAlign w:val="bottom"/>
            <w:gridSpan w:val="7"/>
          </w:tcPr>
          <w:p>
            <w:pPr>
              <w:jc w:val="center"/>
              <w:ind w:right="460"/>
              <w:spacing w:after="0"/>
              <w:rPr>
                <w:rFonts w:ascii="Times New Roman" w:cs="Times New Roman" w:eastAsia="Times New Roman" w:hAnsi="Times New Roman"/>
                <w:sz w:val="12"/>
                <w:szCs w:val="12"/>
                <w:color w:val="0000FF"/>
                <w:w w:val="98"/>
              </w:rPr>
            </w:pPr>
            <w:hyperlink r:id="rId94">
              <w:r>
                <w:rPr>
                  <w:rFonts w:ascii="Times New Roman" w:cs="Times New Roman" w:eastAsia="Times New Roman" w:hAnsi="Times New Roman"/>
                  <w:sz w:val="12"/>
                  <w:szCs w:val="12"/>
                  <w:color w:val="0000FF"/>
                  <w:w w:val="98"/>
                </w:rPr>
                <w:t>3.</w:t>
              </w:r>
              <w:r>
                <w:rPr>
                  <w:rFonts w:ascii="Times New Roman" w:cs="Times New Roman" w:eastAsia="Times New Roman" w:hAnsi="Times New Roman"/>
                  <w:sz w:val="12"/>
                  <w:szCs w:val="12"/>
                  <w:u w:val="single" w:color="auto"/>
                  <w:color w:val="0000FF"/>
                  <w:w w:val="98"/>
                </w:rPr>
                <w:t>1(a)</w:t>
              </w:r>
            </w:hyperlink>
          </w:p>
        </w:tc>
        <w:tc>
          <w:tcPr>
            <w:tcW w:w="20" w:type="dxa"/>
            <w:vAlign w:val="bottom"/>
          </w:tcPr>
          <w:p>
            <w:pPr>
              <w:spacing w:after="0"/>
              <w:rPr>
                <w:sz w:val="12"/>
                <w:szCs w:val="12"/>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Restated Certificate of Incorporation of Selecta Biosciences, Inc.</w:t>
              </w:r>
            </w:hyperlink>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130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8"/>
              </w:rPr>
              <w:t>6/29/2016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rPr>
                <w:sz w:val="11"/>
                <w:szCs w:val="11"/>
                <w:color w:val="auto"/>
              </w:rPr>
            </w:pPr>
          </w:p>
        </w:tc>
        <w:tc>
          <w:tcPr>
            <w:tcW w:w="740" w:type="dxa"/>
            <w:vAlign w:val="bottom"/>
            <w:gridSpan w:val="7"/>
          </w:tcPr>
          <w:p>
            <w:pPr>
              <w:jc w:val="center"/>
              <w:ind w:right="440"/>
              <w:spacing w:after="0" w:line="133" w:lineRule="exact"/>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1(b)</w:t>
              </w:r>
            </w:hyperlink>
          </w:p>
        </w:tc>
        <w:tc>
          <w:tcPr>
            <w:tcW w:w="20" w:type="dxa"/>
            <w:vAlign w:val="bottom"/>
          </w:tcPr>
          <w:p>
            <w:pPr>
              <w:spacing w:after="0"/>
              <w:rPr>
                <w:sz w:val="11"/>
                <w:szCs w:val="11"/>
                <w:color w:val="auto"/>
              </w:rPr>
            </w:pPr>
          </w:p>
        </w:tc>
        <w:tc>
          <w:tcPr>
            <w:tcW w:w="5600" w:type="dxa"/>
            <w:vAlign w:val="bottom"/>
            <w:gridSpan w:val="22"/>
          </w:tcPr>
          <w:p>
            <w:pPr>
              <w:spacing w:after="0" w:line="133" w:lineRule="exact"/>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Certificate of Amendment to the Restated Certificate of Incorporation of Selecta Biosciences, Inc., dated June 21,</w:t>
              </w:r>
            </w:hyperlink>
          </w:p>
        </w:tc>
        <w:tc>
          <w:tcPr>
            <w:tcW w:w="1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3.1</w:t>
            </w:r>
          </w:p>
        </w:tc>
        <w:tc>
          <w:tcPr>
            <w:tcW w:w="1300" w:type="dxa"/>
            <w:vAlign w:val="bottom"/>
          </w:tcPr>
          <w:p>
            <w:pPr>
              <w:jc w:val="center"/>
              <w:ind w:left="1"/>
              <w:spacing w:after="0" w:line="133" w:lineRule="exact"/>
              <w:rPr>
                <w:sz w:val="20"/>
                <w:szCs w:val="20"/>
                <w:color w:val="auto"/>
              </w:rPr>
            </w:pPr>
            <w:r>
              <w:rPr>
                <w:rFonts w:ascii="Times New Roman" w:cs="Times New Roman" w:eastAsia="Times New Roman" w:hAnsi="Times New Roman"/>
                <w:sz w:val="12"/>
                <w:szCs w:val="12"/>
                <w:color w:val="auto"/>
                <w:w w:val="98"/>
              </w:rPr>
              <w:t>6/21/2022</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w w:val="99"/>
              </w:rPr>
            </w:pPr>
            <w:hyperlink r:id="rId95">
              <w:r>
                <w:rPr>
                  <w:rFonts w:ascii="Times New Roman" w:cs="Times New Roman" w:eastAsia="Times New Roman" w:hAnsi="Times New Roman"/>
                  <w:sz w:val="11"/>
                  <w:szCs w:val="11"/>
                  <w:color w:val="0000FF"/>
                  <w:w w:val="99"/>
                </w:rPr>
                <w:t>2022</w:t>
              </w:r>
            </w:hyperlink>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108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740" w:type="dxa"/>
            <w:vAlign w:val="bottom"/>
            <w:gridSpan w:val="7"/>
          </w:tcPr>
          <w:p>
            <w:pPr>
              <w:jc w:val="center"/>
              <w:ind w:right="460"/>
              <w:spacing w:after="0"/>
              <w:rPr>
                <w:rFonts w:ascii="Times New Roman" w:cs="Times New Roman" w:eastAsia="Times New Roman" w:hAnsi="Times New Roman"/>
                <w:sz w:val="12"/>
                <w:szCs w:val="12"/>
                <w:color w:val="0000FF"/>
                <w:w w:val="98"/>
              </w:rPr>
            </w:pPr>
            <w:hyperlink r:id="rId96">
              <w:r>
                <w:rPr>
                  <w:rFonts w:ascii="Times New Roman" w:cs="Times New Roman" w:eastAsia="Times New Roman" w:hAnsi="Times New Roman"/>
                  <w:sz w:val="12"/>
                  <w:szCs w:val="12"/>
                  <w:color w:val="0000FF"/>
                  <w:w w:val="98"/>
                </w:rPr>
                <w:t>3.</w:t>
              </w:r>
              <w:r>
                <w:rPr>
                  <w:rFonts w:ascii="Times New Roman" w:cs="Times New Roman" w:eastAsia="Times New Roman" w:hAnsi="Times New Roman"/>
                  <w:sz w:val="12"/>
                  <w:szCs w:val="12"/>
                  <w:u w:val="single" w:color="auto"/>
                  <w:color w:val="0000FF"/>
                  <w:w w:val="98"/>
                </w:rPr>
                <w:t>1(c)</w:t>
              </w:r>
            </w:hyperlink>
          </w:p>
        </w:tc>
        <w:tc>
          <w:tcPr>
            <w:tcW w:w="20" w:type="dxa"/>
            <w:vAlign w:val="bottom"/>
          </w:tcPr>
          <w:p>
            <w:pPr>
              <w:spacing w:after="0"/>
              <w:rPr>
                <w:sz w:val="12"/>
                <w:szCs w:val="12"/>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Certificate of Amendment to the Restated Certificate of Incorporation of Selecta Biosciences, Inc., dated November</w:t>
              </w:r>
            </w:hyperlink>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3.3</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11/13/2023</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13, 2023</w:t>
              </w:r>
            </w:hyperlink>
          </w:p>
        </w:tc>
        <w:tc>
          <w:tcPr>
            <w:tcW w:w="660" w:type="dxa"/>
            <w:vAlign w:val="bottom"/>
            <w:tcBorders>
              <w:top w:val="single" w:sz="8" w:color="0000FF"/>
            </w:tcBorders>
          </w:tcPr>
          <w:p>
            <w:pPr>
              <w:spacing w:after="0"/>
              <w:rPr>
                <w:sz w:val="8"/>
                <w:szCs w:val="8"/>
                <w:color w:val="auto"/>
              </w:rPr>
            </w:pPr>
          </w:p>
        </w:tc>
        <w:tc>
          <w:tcPr>
            <w:tcW w:w="108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740" w:type="dxa"/>
            <w:vAlign w:val="bottom"/>
            <w:gridSpan w:val="7"/>
          </w:tcPr>
          <w:p>
            <w:pPr>
              <w:jc w:val="center"/>
              <w:ind w:right="440"/>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1(d)</w:t>
              </w:r>
            </w:hyperlink>
          </w:p>
        </w:tc>
        <w:tc>
          <w:tcPr>
            <w:tcW w:w="20" w:type="dxa"/>
            <w:vAlign w:val="bottom"/>
          </w:tcPr>
          <w:p>
            <w:pPr>
              <w:spacing w:after="0"/>
              <w:rPr>
                <w:sz w:val="12"/>
                <w:szCs w:val="12"/>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Certificate of Amendment to the Restated Certificate of Incorporation, as amended, of Cartesian Therapeutics, Inc.,</w:t>
              </w:r>
            </w:hyperlink>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3.2</w:t>
            </w:r>
          </w:p>
        </w:tc>
        <w:tc>
          <w:tcPr>
            <w:tcW w:w="130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8"/>
              </w:rPr>
              <w:t>3/28/2024</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540" w:type="dxa"/>
            <w:vAlign w:val="bottom"/>
            <w:tcBorders>
              <w:top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97">
              <w:r>
                <w:rPr>
                  <w:rFonts w:ascii="Times New Roman" w:cs="Times New Roman" w:eastAsia="Times New Roman" w:hAnsi="Times New Roman"/>
                  <w:sz w:val="11"/>
                  <w:szCs w:val="11"/>
                  <w:color w:val="0000FF"/>
                </w:rPr>
                <w:t>dated March 28, 2024.</w:t>
              </w:r>
            </w:hyperlink>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gridSpan w:val="4"/>
          </w:tcPr>
          <w:p>
            <w:pPr>
              <w:jc w:val="center"/>
              <w:ind w:left="382"/>
              <w:spacing w:after="0"/>
              <w:rPr>
                <w:rFonts w:ascii="Times New Roman" w:cs="Times New Roman" w:eastAsia="Times New Roman" w:hAnsi="Times New Roman"/>
                <w:sz w:val="12"/>
                <w:szCs w:val="12"/>
                <w:color w:val="0000FF"/>
                <w:w w:val="92"/>
              </w:rPr>
            </w:pPr>
            <w:hyperlink r:id="rId98">
              <w:r>
                <w:rPr>
                  <w:rFonts w:ascii="Times New Roman" w:cs="Times New Roman" w:eastAsia="Times New Roman" w:hAnsi="Times New Roman"/>
                  <w:sz w:val="12"/>
                  <w:szCs w:val="12"/>
                  <w:color w:val="0000FF"/>
                  <w:w w:val="92"/>
                </w:rPr>
                <w:t>3.</w:t>
              </w:r>
              <w:r>
                <w:rPr>
                  <w:rFonts w:ascii="Times New Roman" w:cs="Times New Roman" w:eastAsia="Times New Roman" w:hAnsi="Times New Roman"/>
                  <w:sz w:val="12"/>
                  <w:szCs w:val="12"/>
                  <w:u w:val="single" w:color="auto"/>
                  <w:color w:val="0000FF"/>
                  <w:w w:val="92"/>
                </w:rPr>
                <w:t>2</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Amended and Restated By-laws of Cartesian Therapeutics, Inc.</w:t>
              </w:r>
            </w:hyperlink>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3.2</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11/13/2023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0" w:type="dxa"/>
            <w:vAlign w:val="bottom"/>
            <w:gridSpan w:val="4"/>
          </w:tcPr>
          <w:p>
            <w:pPr>
              <w:jc w:val="center"/>
              <w:ind w:left="382"/>
              <w:spacing w:after="0" w:line="133" w:lineRule="exact"/>
              <w:rPr>
                <w:sz w:val="20"/>
                <w:szCs w:val="20"/>
                <w:color w:val="auto"/>
              </w:rPr>
            </w:pPr>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Specimen Stock Certificate evidencing the shares of common stock</w:t>
            </w:r>
          </w:p>
        </w:tc>
        <w:tc>
          <w:tcPr>
            <w:tcW w:w="1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Filed herewith</w:t>
            </w: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0" w:type="dxa"/>
            <w:vAlign w:val="bottom"/>
            <w:gridSpan w:val="4"/>
          </w:tcPr>
          <w:p>
            <w:pPr>
              <w:jc w:val="center"/>
              <w:ind w:left="382"/>
              <w:spacing w:after="0" w:line="133" w:lineRule="exact"/>
              <w:rPr>
                <w:rFonts w:ascii="Times New Roman" w:cs="Times New Roman" w:eastAsia="Times New Roman" w:hAnsi="Times New Roman"/>
                <w:sz w:val="12"/>
                <w:szCs w:val="12"/>
                <w:color w:val="0000FF"/>
                <w:w w:val="92"/>
              </w:rPr>
            </w:pPr>
            <w:hyperlink r:id="rId99">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22"/>
          </w:tcPr>
          <w:p>
            <w:pPr>
              <w:spacing w:after="0" w:line="133" w:lineRule="exact"/>
              <w:rPr>
                <w:rFonts w:ascii="Times New Roman" w:cs="Times New Roman" w:eastAsia="Times New Roman" w:hAnsi="Times New Roman"/>
                <w:sz w:val="12"/>
                <w:szCs w:val="12"/>
                <w:color w:val="0000FF"/>
                <w:w w:val="99"/>
              </w:rPr>
            </w:pPr>
            <w:hyperlink r:id="rId99">
              <w:r>
                <w:rPr>
                  <w:rFonts w:ascii="Times New Roman" w:cs="Times New Roman" w:eastAsia="Times New Roman" w:hAnsi="Times New Roman"/>
                  <w:sz w:val="12"/>
                  <w:szCs w:val="12"/>
                  <w:color w:val="0000FF"/>
                  <w:w w:val="99"/>
                </w:rPr>
                <w:t>Form of Warrant to Purchase Shares of Series E Preferred Stock, dated December 31, 2015, issued by the Registrant</w:t>
              </w:r>
            </w:hyperlink>
          </w:p>
        </w:tc>
        <w:tc>
          <w:tcPr>
            <w:tcW w:w="100" w:type="dxa"/>
            <w:vAlign w:val="bottom"/>
          </w:tcPr>
          <w:p>
            <w:pPr>
              <w:spacing w:after="0"/>
              <w:rPr>
                <w:sz w:val="13"/>
                <w:szCs w:val="13"/>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S-1</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333-211555</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4.6</w:t>
            </w:r>
          </w:p>
        </w:tc>
        <w:tc>
          <w:tcPr>
            <w:tcW w:w="1300" w:type="dxa"/>
            <w:vAlign w:val="bottom"/>
          </w:tcPr>
          <w:p>
            <w:pPr>
              <w:jc w:val="center"/>
              <w:ind w:left="1"/>
              <w:spacing w:after="0" w:line="133" w:lineRule="exact"/>
              <w:rPr>
                <w:sz w:val="20"/>
                <w:szCs w:val="20"/>
                <w:color w:val="auto"/>
              </w:rPr>
            </w:pPr>
            <w:r>
              <w:rPr>
                <w:rFonts w:ascii="Times New Roman" w:cs="Times New Roman" w:eastAsia="Times New Roman" w:hAnsi="Times New Roman"/>
                <w:sz w:val="12"/>
                <w:szCs w:val="12"/>
                <w:color w:val="auto"/>
                <w:w w:val="98"/>
              </w:rPr>
              <w:t>5/24/2016</w:t>
            </w:r>
          </w:p>
        </w:tc>
        <w:tc>
          <w:tcPr>
            <w:tcW w:w="0" w:type="dxa"/>
            <w:vAlign w:val="bottom"/>
          </w:tcPr>
          <w:p>
            <w:pPr>
              <w:spacing w:after="0"/>
              <w:rPr>
                <w:sz w:val="1"/>
                <w:szCs w:val="1"/>
                <w:color w:val="auto"/>
              </w:rPr>
            </w:pPr>
          </w:p>
        </w:tc>
      </w:tr>
      <w:tr>
        <w:trPr>
          <w:trHeight w:val="77"/>
        </w:trPr>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360" w:type="dxa"/>
            <w:vAlign w:val="bottom"/>
            <w:tcBorders>
              <w:top w:val="single" w:sz="8" w:color="0000FF"/>
              <w:bottom w:val="single" w:sz="8" w:color="0000FF"/>
            </w:tcBorders>
            <w:gridSpan w:val="12"/>
          </w:tcPr>
          <w:p>
            <w:pPr>
              <w:spacing w:after="0" w:line="77" w:lineRule="exact"/>
              <w:rPr>
                <w:rFonts w:ascii="Times New Roman" w:cs="Times New Roman" w:eastAsia="Times New Roman" w:hAnsi="Times New Roman"/>
                <w:sz w:val="8"/>
                <w:szCs w:val="8"/>
                <w:color w:val="0000FF"/>
              </w:rPr>
            </w:pPr>
            <w:hyperlink r:id="rId99">
              <w:r>
                <w:rPr>
                  <w:rFonts w:ascii="Times New Roman" w:cs="Times New Roman" w:eastAsia="Times New Roman" w:hAnsi="Times New Roman"/>
                  <w:sz w:val="8"/>
                  <w:szCs w:val="8"/>
                  <w:color w:val="0000FF"/>
                </w:rPr>
                <w:t>to Oxford Finance LLC and Square One Bank, together with a schedule of warrant holders</w:t>
              </w:r>
            </w:hyperlink>
          </w:p>
        </w:tc>
        <w:tc>
          <w:tcPr>
            <w:tcW w:w="1220" w:type="dxa"/>
            <w:vAlign w:val="bottom"/>
            <w:tcBorders>
              <w:top w:val="single" w:sz="8" w:color="0000FF"/>
            </w:tcBorders>
            <w:gridSpan w:val="9"/>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0" w:type="dxa"/>
            <w:vAlign w:val="bottom"/>
            <w:gridSpan w:val="4"/>
          </w:tcPr>
          <w:p>
            <w:pPr>
              <w:jc w:val="center"/>
              <w:ind w:left="382"/>
              <w:spacing w:after="0"/>
              <w:rPr>
                <w:rFonts w:ascii="Times New Roman" w:cs="Times New Roman" w:eastAsia="Times New Roman" w:hAnsi="Times New Roman"/>
                <w:sz w:val="12"/>
                <w:szCs w:val="12"/>
                <w:color w:val="0000FF"/>
                <w:w w:val="92"/>
              </w:rPr>
            </w:pPr>
            <w:hyperlink r:id="rId100">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3</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Registration Rights Agreement, dated as of June 11, 2020, by and between the Registrant and Swedish Orphan</w:t>
              </w:r>
            </w:hyperlink>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4.1</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8/6/2020</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00">
              <w:r>
                <w:rPr>
                  <w:rFonts w:ascii="Times New Roman" w:cs="Times New Roman" w:eastAsia="Times New Roman" w:hAnsi="Times New Roman"/>
                  <w:sz w:val="11"/>
                  <w:szCs w:val="11"/>
                  <w:color w:val="0000FF"/>
                </w:rPr>
                <w:t>Biovitrum AB (Publ)</w:t>
              </w:r>
            </w:hyperlink>
          </w:p>
        </w:tc>
        <w:tc>
          <w:tcPr>
            <w:tcW w:w="4220" w:type="dxa"/>
            <w:vAlign w:val="bottom"/>
            <w:tcBorders>
              <w:top w:val="single" w:sz="8" w:color="0000FF"/>
            </w:tcBorders>
            <w:gridSpan w:val="10"/>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20" w:type="dxa"/>
            <w:vAlign w:val="bottom"/>
            <w:gridSpan w:val="5"/>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80" w:type="dxa"/>
            <w:vAlign w:val="bottom"/>
            <w:gridSpan w:val="4"/>
          </w:tcPr>
          <w:p>
            <w:pPr>
              <w:jc w:val="center"/>
              <w:ind w:left="382"/>
              <w:spacing w:after="0"/>
              <w:rPr>
                <w:rFonts w:ascii="Times New Roman" w:cs="Times New Roman" w:eastAsia="Times New Roman" w:hAnsi="Times New Roman"/>
                <w:sz w:val="12"/>
                <w:szCs w:val="12"/>
                <w:color w:val="0000FF"/>
                <w:w w:val="92"/>
              </w:rPr>
            </w:pPr>
            <w:hyperlink r:id="rId101">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4</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Registration Rights Agreement, dated as of June 11, 2020, by and between the Registrant and Swedish Orphan</w:t>
              </w:r>
            </w:hyperlink>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4.2</w:t>
            </w:r>
          </w:p>
        </w:tc>
        <w:tc>
          <w:tcPr>
            <w:tcW w:w="130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8"/>
              </w:rPr>
              <w:t>11/5/2020</w:t>
            </w:r>
          </w:p>
        </w:tc>
        <w:tc>
          <w:tcPr>
            <w:tcW w:w="0" w:type="dxa"/>
            <w:vAlign w:val="bottom"/>
          </w:tcPr>
          <w:p>
            <w:pPr>
              <w:spacing w:after="0"/>
              <w:rPr>
                <w:sz w:val="1"/>
                <w:szCs w:val="1"/>
                <w:color w:val="auto"/>
              </w:rPr>
            </w:pPr>
          </w:p>
        </w:tc>
      </w:tr>
      <w:tr>
        <w:trPr>
          <w:trHeight w:val="77"/>
        </w:trPr>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720" w:type="dxa"/>
            <w:vAlign w:val="bottom"/>
            <w:tcBorders>
              <w:top w:val="single" w:sz="8" w:color="0000FF"/>
              <w:bottom w:val="single" w:sz="8" w:color="0000FF"/>
            </w:tcBorders>
            <w:gridSpan w:val="6"/>
          </w:tcPr>
          <w:p>
            <w:pPr>
              <w:spacing w:after="0" w:line="77" w:lineRule="exact"/>
              <w:rPr>
                <w:rFonts w:ascii="Times New Roman" w:cs="Times New Roman" w:eastAsia="Times New Roman" w:hAnsi="Times New Roman"/>
                <w:sz w:val="8"/>
                <w:szCs w:val="8"/>
                <w:color w:val="0000FF"/>
              </w:rPr>
            </w:pPr>
            <w:hyperlink r:id="rId101">
              <w:r>
                <w:rPr>
                  <w:rFonts w:ascii="Times New Roman" w:cs="Times New Roman" w:eastAsia="Times New Roman" w:hAnsi="Times New Roman"/>
                  <w:sz w:val="8"/>
                  <w:szCs w:val="8"/>
                  <w:color w:val="0000FF"/>
                </w:rPr>
                <w:t>Biovitrum AB (Publ), as amended on November 4, 2020</w:t>
              </w:r>
            </w:hyperlink>
          </w:p>
        </w:tc>
        <w:tc>
          <w:tcPr>
            <w:tcW w:w="2580" w:type="dxa"/>
            <w:vAlign w:val="bottom"/>
            <w:tcBorders>
              <w:top w:val="single" w:sz="8" w:color="0000FF"/>
            </w:tcBorders>
            <w:gridSpan w:val="8"/>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20" w:type="dxa"/>
            <w:vAlign w:val="bottom"/>
            <w:gridSpan w:val="5"/>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80" w:type="dxa"/>
            <w:vAlign w:val="bottom"/>
            <w:gridSpan w:val="4"/>
          </w:tcPr>
          <w:p>
            <w:pPr>
              <w:jc w:val="center"/>
              <w:ind w:left="382"/>
              <w:spacing w:after="0"/>
              <w:rPr>
                <w:rFonts w:ascii="Times New Roman" w:cs="Times New Roman" w:eastAsia="Times New Roman" w:hAnsi="Times New Roman"/>
                <w:sz w:val="12"/>
                <w:szCs w:val="12"/>
                <w:color w:val="0000FF"/>
                <w:w w:val="92"/>
              </w:rPr>
            </w:pPr>
            <w:hyperlink r:id="rId102">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5</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Form of Warrant to Purchase Stock, dated August 31, 2020, issued by Selecta Biosciences, Inc. to Oxford Finance</w:t>
              </w:r>
            </w:hyperlink>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4.1</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9/3/2020</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60" w:type="dxa"/>
            <w:vAlign w:val="bottom"/>
            <w:tcBorders>
              <w:top w:val="single" w:sz="8" w:color="0000FF"/>
              <w:bottom w:val="single" w:sz="8" w:color="0000FF"/>
            </w:tcBorders>
            <w:gridSpan w:val="10"/>
          </w:tcPr>
          <w:p>
            <w:pPr>
              <w:spacing w:after="0" w:line="97"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LLC and Silicon Valley Bank, together with a schedule of warrants.</w:t>
              </w:r>
            </w:hyperlink>
          </w:p>
        </w:tc>
        <w:tc>
          <w:tcPr>
            <w:tcW w:w="2220" w:type="dxa"/>
            <w:vAlign w:val="bottom"/>
            <w:tcBorders>
              <w:top w:val="single" w:sz="8" w:color="0000FF"/>
            </w:tcBorders>
            <w:gridSpan w:val="7"/>
          </w:tcPr>
          <w:p>
            <w:pPr>
              <w:spacing w:after="0"/>
              <w:rPr>
                <w:sz w:val="8"/>
                <w:szCs w:val="8"/>
                <w:color w:val="auto"/>
              </w:rPr>
            </w:pPr>
          </w:p>
        </w:tc>
        <w:tc>
          <w:tcPr>
            <w:tcW w:w="120" w:type="dxa"/>
            <w:vAlign w:val="bottom"/>
            <w:gridSpan w:val="5"/>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80" w:type="dxa"/>
            <w:vAlign w:val="bottom"/>
            <w:gridSpan w:val="4"/>
          </w:tcPr>
          <w:p>
            <w:pPr>
              <w:jc w:val="center"/>
              <w:ind w:left="382"/>
              <w:spacing w:after="0"/>
              <w:rPr>
                <w:rFonts w:ascii="Times New Roman" w:cs="Times New Roman" w:eastAsia="Times New Roman" w:hAnsi="Times New Roman"/>
                <w:sz w:val="12"/>
                <w:szCs w:val="12"/>
                <w:color w:val="0000FF"/>
                <w:w w:val="92"/>
              </w:rPr>
            </w:pPr>
            <w:hyperlink r:id="rId103">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6</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gridSpan w:val="22"/>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Form of Common Stock Purchase Warrant, dated April 11, 2022</w:t>
              </w:r>
            </w:hyperlink>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4.1</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4/6/2022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0" w:type="dxa"/>
            <w:vAlign w:val="bottom"/>
            <w:gridSpan w:val="4"/>
          </w:tcPr>
          <w:p>
            <w:pPr>
              <w:jc w:val="center"/>
              <w:ind w:left="382"/>
              <w:spacing w:after="0" w:line="133" w:lineRule="exact"/>
              <w:rPr>
                <w:rFonts w:ascii="Times New Roman" w:cs="Times New Roman" w:eastAsia="Times New Roman" w:hAnsi="Times New Roman"/>
                <w:sz w:val="12"/>
                <w:szCs w:val="12"/>
                <w:color w:val="0000FF"/>
                <w:w w:val="92"/>
              </w:rPr>
            </w:pPr>
            <w:hyperlink r:id="rId93">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7</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gridSpan w:val="22"/>
          </w:tcPr>
          <w:p>
            <w:pPr>
              <w:spacing w:after="0" w:line="133" w:lineRule="exact"/>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Form of Contingent Value Rights Agreement</w:t>
              </w:r>
            </w:hyperlink>
          </w:p>
        </w:tc>
        <w:tc>
          <w:tcPr>
            <w:tcW w:w="1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2.1</w:t>
            </w:r>
          </w:p>
        </w:tc>
        <w:tc>
          <w:tcPr>
            <w:tcW w:w="13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11/13/2023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0" w:type="dxa"/>
            <w:vAlign w:val="bottom"/>
            <w:gridSpan w:val="4"/>
          </w:tcPr>
          <w:p>
            <w:pPr>
              <w:jc w:val="center"/>
              <w:ind w:left="382"/>
              <w:spacing w:after="0" w:line="133" w:lineRule="exact"/>
              <w:rPr>
                <w:rFonts w:ascii="Times New Roman" w:cs="Times New Roman" w:eastAsia="Times New Roman" w:hAnsi="Times New Roman"/>
                <w:sz w:val="12"/>
                <w:szCs w:val="12"/>
                <w:color w:val="0000FF"/>
                <w:w w:val="92"/>
              </w:rPr>
            </w:pPr>
            <w:hyperlink r:id="rId104">
              <w:r>
                <w:rPr>
                  <w:rFonts w:ascii="Times New Roman" w:cs="Times New Roman" w:eastAsia="Times New Roman" w:hAnsi="Times New Roman"/>
                  <w:sz w:val="12"/>
                  <w:szCs w:val="12"/>
                  <w:color w:val="0000FF"/>
                  <w:w w:val="92"/>
                </w:rPr>
                <w:t>4.</w:t>
              </w:r>
              <w:r>
                <w:rPr>
                  <w:rFonts w:ascii="Times New Roman" w:cs="Times New Roman" w:eastAsia="Times New Roman" w:hAnsi="Times New Roman"/>
                  <w:sz w:val="12"/>
                  <w:szCs w:val="12"/>
                  <w:u w:val="single" w:color="auto"/>
                  <w:color w:val="0000FF"/>
                  <w:w w:val="92"/>
                </w:rPr>
                <w:t>8</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gridSpan w:val="22"/>
          </w:tcPr>
          <w:p>
            <w:pPr>
              <w:spacing w:after="0" w:line="133" w:lineRule="exact"/>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Registration Rights Agreement, by and among Selecta Biosciences, Inc. and certain purchasers party thereto</w:t>
              </w:r>
            </w:hyperlink>
          </w:p>
        </w:tc>
        <w:tc>
          <w:tcPr>
            <w:tcW w:w="1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10.2</w:t>
            </w:r>
          </w:p>
        </w:tc>
        <w:tc>
          <w:tcPr>
            <w:tcW w:w="13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11/13/2023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rPr>
                <w:sz w:val="11"/>
                <w:szCs w:val="11"/>
                <w:color w:val="auto"/>
              </w:rPr>
            </w:pPr>
          </w:p>
        </w:tc>
        <w:tc>
          <w:tcPr>
            <w:tcW w:w="740" w:type="dxa"/>
            <w:vAlign w:val="bottom"/>
            <w:gridSpan w:val="7"/>
          </w:tcPr>
          <w:p>
            <w:pPr>
              <w:jc w:val="center"/>
              <w:ind w:right="460"/>
              <w:spacing w:after="0" w:line="133" w:lineRule="exact"/>
              <w:rPr>
                <w:rFonts w:ascii="Times New Roman" w:cs="Times New Roman" w:eastAsia="Times New Roman" w:hAnsi="Times New Roman"/>
                <w:sz w:val="12"/>
                <w:szCs w:val="12"/>
                <w:color w:val="0000FF"/>
                <w:w w:val="98"/>
              </w:rPr>
            </w:pPr>
            <w:hyperlink r:id="rId105">
              <w:r>
                <w:rPr>
                  <w:rFonts w:ascii="Times New Roman" w:cs="Times New Roman" w:eastAsia="Times New Roman" w:hAnsi="Times New Roman"/>
                  <w:sz w:val="12"/>
                  <w:szCs w:val="12"/>
                  <w:color w:val="0000FF"/>
                  <w:w w:val="98"/>
                </w:rPr>
                <w:t>4.</w:t>
              </w:r>
              <w:r>
                <w:rPr>
                  <w:rFonts w:ascii="Times New Roman" w:cs="Times New Roman" w:eastAsia="Times New Roman" w:hAnsi="Times New Roman"/>
                  <w:sz w:val="12"/>
                  <w:szCs w:val="12"/>
                  <w:u w:val="single" w:color="auto"/>
                  <w:color w:val="0000FF"/>
                  <w:w w:val="98"/>
                </w:rPr>
                <w:t>9(a)</w:t>
              </w:r>
            </w:hyperlink>
          </w:p>
        </w:tc>
        <w:tc>
          <w:tcPr>
            <w:tcW w:w="20" w:type="dxa"/>
            <w:vAlign w:val="bottom"/>
          </w:tcPr>
          <w:p>
            <w:pPr>
              <w:spacing w:after="0"/>
              <w:rPr>
                <w:sz w:val="11"/>
                <w:szCs w:val="11"/>
                <w:color w:val="auto"/>
              </w:rPr>
            </w:pPr>
          </w:p>
        </w:tc>
        <w:tc>
          <w:tcPr>
            <w:tcW w:w="5600" w:type="dxa"/>
            <w:vAlign w:val="bottom"/>
            <w:gridSpan w:val="22"/>
          </w:tcPr>
          <w:p>
            <w:pPr>
              <w:spacing w:after="0" w:line="133" w:lineRule="exact"/>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Certificate of Designation of Preferences, Rights and Limitations of Series A Non-Voting Convertible Preferred</w:t>
              </w:r>
            </w:hyperlink>
          </w:p>
        </w:tc>
        <w:tc>
          <w:tcPr>
            <w:tcW w:w="10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001-37798</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3.4</w:t>
            </w:r>
          </w:p>
        </w:tc>
        <w:tc>
          <w:tcPr>
            <w:tcW w:w="13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11/13/2023</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Stock</w:t>
              </w:r>
            </w:hyperlink>
          </w:p>
        </w:tc>
        <w:tc>
          <w:tcPr>
            <w:tcW w:w="5080" w:type="dxa"/>
            <w:vAlign w:val="bottom"/>
            <w:tcBorders>
              <w:top w:val="single" w:sz="8" w:color="0000FF"/>
            </w:tcBorders>
            <w:gridSpan w:val="13"/>
          </w:tcPr>
          <w:p>
            <w:pPr>
              <w:spacing w:after="0"/>
              <w:rPr>
                <w:sz w:val="8"/>
                <w:szCs w:val="8"/>
                <w:color w:val="auto"/>
              </w:rPr>
            </w:pPr>
          </w:p>
        </w:tc>
        <w:tc>
          <w:tcPr>
            <w:tcW w:w="240" w:type="dxa"/>
            <w:vAlign w:val="bottom"/>
            <w:gridSpan w:val="7"/>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20" w:type="dxa"/>
            <w:vAlign w:val="bottom"/>
            <w:gridSpan w:val="14"/>
          </w:tcPr>
          <w:p>
            <w:pPr>
              <w:jc w:val="right"/>
              <w:ind w:right="620"/>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74"/>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6"/>
          </w:tcPr>
          <w:p>
            <w:pPr>
              <w:jc w:val="center"/>
              <w:ind w:right="180"/>
              <w:spacing w:after="0"/>
              <w:rPr>
                <w:rFonts w:ascii="Times New Roman" w:cs="Times New Roman" w:eastAsia="Times New Roman" w:hAnsi="Times New Roman"/>
                <w:sz w:val="12"/>
                <w:szCs w:val="12"/>
                <w:color w:val="0000FF"/>
                <w:w w:val="89"/>
              </w:rPr>
            </w:pPr>
            <w:hyperlink r:id="rId108">
              <w:r>
                <w:rPr>
                  <w:rFonts w:ascii="Times New Roman" w:cs="Times New Roman" w:eastAsia="Times New Roman" w:hAnsi="Times New Roman"/>
                  <w:sz w:val="12"/>
                  <w:szCs w:val="12"/>
                  <w:color w:val="0000FF"/>
                  <w:w w:val="89"/>
                </w:rPr>
                <w:t>4.</w:t>
              </w:r>
              <w:r>
                <w:rPr>
                  <w:rFonts w:ascii="Times New Roman" w:cs="Times New Roman" w:eastAsia="Times New Roman" w:hAnsi="Times New Roman"/>
                  <w:sz w:val="12"/>
                  <w:szCs w:val="12"/>
                  <w:u w:val="single" w:color="auto"/>
                  <w:color w:val="0000FF"/>
                  <w:w w:val="89"/>
                </w:rPr>
                <w:t>9(b)</w:t>
              </w:r>
            </w:hyperlink>
          </w:p>
        </w:tc>
        <w:tc>
          <w:tcPr>
            <w:tcW w:w="280" w:type="dxa"/>
            <w:vAlign w:val="bottom"/>
          </w:tcPr>
          <w:p>
            <w:pPr>
              <w:spacing w:after="0"/>
              <w:rPr>
                <w:sz w:val="24"/>
                <w:szCs w:val="24"/>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Certificate of Amendment to the Certificate of Designation of Series A Non-Voting Convertible Preferred Stock,</w:t>
              </w:r>
            </w:hyperlink>
          </w:p>
        </w:tc>
      </w:tr>
      <w:tr>
        <w:trPr>
          <w:trHeight w:val="97"/>
        </w:trPr>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20" w:type="dxa"/>
            <w:vAlign w:val="bottom"/>
            <w:tcBorders>
              <w:top w:val="single" w:sz="8" w:color="0000FF"/>
            </w:tcBorders>
            <w:gridSpan w:val="27"/>
          </w:tcPr>
          <w:p>
            <w:pPr>
              <w:spacing w:after="0" w:line="97"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dated March 26, 2024.</w:t>
              </w:r>
            </w:hyperlink>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640" w:type="dxa"/>
            <w:vAlign w:val="bottom"/>
            <w:gridSpan w:val="4"/>
          </w:tcPr>
          <w:p>
            <w:pPr>
              <w:jc w:val="center"/>
              <w:ind w:left="320"/>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4.</w:t>
              </w:r>
              <w:r>
                <w:rPr>
                  <w:rFonts w:ascii="Times New Roman" w:cs="Times New Roman" w:eastAsia="Times New Roman" w:hAnsi="Times New Roman"/>
                  <w:sz w:val="12"/>
                  <w:szCs w:val="12"/>
                  <w:u w:val="single" w:color="auto"/>
                  <w:color w:val="0000FF"/>
                </w:rPr>
                <w:t>10</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Certificate of Designation of Preferences, Rights and Limitations of Series B Non-Voting Convertible Preferred</w:t>
              </w:r>
            </w:hyperlink>
          </w:p>
        </w:tc>
      </w:tr>
      <w:tr>
        <w:trPr>
          <w:trHeight w:val="97"/>
        </w:trPr>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Stock</w:t>
              </w:r>
            </w:hyperlink>
          </w:p>
        </w:tc>
        <w:tc>
          <w:tcPr>
            <w:tcW w:w="5080" w:type="dxa"/>
            <w:vAlign w:val="bottom"/>
            <w:tcBorders>
              <w:top w:val="single" w:sz="8" w:color="0000FF"/>
            </w:tcBorders>
            <w:gridSpan w:val="2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2"/>
        </w:trPr>
        <w:tc>
          <w:tcPr>
            <w:tcW w:w="600" w:type="dxa"/>
            <w:vAlign w:val="bottom"/>
            <w:gridSpan w:val="3"/>
          </w:tcPr>
          <w:p>
            <w:pPr>
              <w:jc w:val="center"/>
              <w:ind w:left="340"/>
              <w:spacing w:after="0"/>
              <w:rPr>
                <w:rFonts w:ascii="Times New Roman" w:cs="Times New Roman" w:eastAsia="Times New Roman" w:hAnsi="Times New Roman"/>
                <w:sz w:val="12"/>
                <w:szCs w:val="12"/>
                <w:color w:val="0000FF"/>
                <w:w w:val="94"/>
              </w:rPr>
            </w:pPr>
            <w:hyperlink r:id="rId110">
              <w:r>
                <w:rPr>
                  <w:rFonts w:ascii="Times New Roman" w:cs="Times New Roman" w:eastAsia="Times New Roman" w:hAnsi="Times New Roman"/>
                  <w:sz w:val="12"/>
                  <w:szCs w:val="12"/>
                  <w:color w:val="0000FF"/>
                  <w:w w:val="94"/>
                </w:rPr>
                <w:t>4.</w:t>
              </w:r>
              <w:r>
                <w:rPr>
                  <w:rFonts w:ascii="Times New Roman" w:cs="Times New Roman" w:eastAsia="Times New Roman" w:hAnsi="Times New Roman"/>
                  <w:sz w:val="12"/>
                  <w:szCs w:val="12"/>
                  <w:u w:val="single" w:color="auto"/>
                  <w:color w:val="0000FF"/>
                  <w:w w:val="94"/>
                </w:rPr>
                <w:t>11</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Form of Registration Rights Agreement, dated as of July 2, 2024, by and among the Registrant and the Investors</w:t>
              </w:r>
            </w:hyperlink>
          </w:p>
        </w:tc>
      </w:tr>
      <w:tr>
        <w:trPr>
          <w:trHeight w:val="97"/>
        </w:trPr>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named therein.</w:t>
              </w:r>
            </w:hyperlink>
          </w:p>
        </w:tc>
        <w:tc>
          <w:tcPr>
            <w:tcW w:w="4680" w:type="dxa"/>
            <w:vAlign w:val="bottom"/>
            <w:tcBorders>
              <w:top w:val="single" w:sz="8" w:color="0000FF"/>
            </w:tcBorders>
            <w:gridSpan w:val="22"/>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2"/>
        </w:trPr>
        <w:tc>
          <w:tcPr>
            <w:tcW w:w="400" w:type="dxa"/>
            <w:vAlign w:val="bottom"/>
            <w:gridSpan w:val="2"/>
          </w:tcPr>
          <w:p>
            <w:pPr>
              <w:spacing w:after="0"/>
              <w:rPr>
                <w:sz w:val="12"/>
                <w:szCs w:val="12"/>
                <w:color w:val="auto"/>
              </w:rPr>
            </w:pPr>
          </w:p>
        </w:tc>
        <w:tc>
          <w:tcPr>
            <w:tcW w:w="240" w:type="dxa"/>
            <w:vAlign w:val="bottom"/>
            <w:tcBorders>
              <w:bottom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2"/>
                <w:szCs w:val="12"/>
                <w:color w:val="0000FF"/>
              </w:rPr>
              <w:t>4.</w:t>
            </w:r>
            <w:r>
              <w:rPr>
                <w:rFonts w:ascii="Times New Roman" w:cs="Times New Roman" w:eastAsia="Times New Roman" w:hAnsi="Times New Roman"/>
                <w:sz w:val="12"/>
                <w:szCs w:val="12"/>
                <w:u w:val="single" w:color="auto"/>
                <w:color w:val="0000FF"/>
              </w:rPr>
              <w:t>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8"/>
              </w:rPr>
              <w:t>Description of Securities</w:t>
            </w:r>
          </w:p>
        </w:tc>
        <w:tc>
          <w:tcPr>
            <w:tcW w:w="4400" w:type="dxa"/>
            <w:vAlign w:val="bottom"/>
            <w:gridSpan w:val="28"/>
          </w:tcPr>
          <w:p>
            <w:pPr>
              <w:spacing w:after="0"/>
              <w:rPr>
                <w:sz w:val="12"/>
                <w:szCs w:val="12"/>
                <w:color w:val="auto"/>
              </w:rPr>
            </w:pPr>
          </w:p>
        </w:tc>
      </w:tr>
      <w:tr>
        <w:trPr>
          <w:trHeight w:val="133"/>
        </w:trPr>
        <w:tc>
          <w:tcPr>
            <w:tcW w:w="400" w:type="dxa"/>
            <w:vAlign w:val="bottom"/>
            <w:gridSpan w:val="2"/>
          </w:tcPr>
          <w:p>
            <w:pPr>
              <w:spacing w:after="0"/>
              <w:rPr>
                <w:sz w:val="11"/>
                <w:szCs w:val="11"/>
                <w:color w:val="auto"/>
              </w:rPr>
            </w:pPr>
          </w:p>
        </w:tc>
        <w:tc>
          <w:tcPr>
            <w:tcW w:w="240" w:type="dxa"/>
            <w:vAlign w:val="bottom"/>
            <w:gridSpan w:val="2"/>
          </w:tcPr>
          <w:p>
            <w:pPr>
              <w:jc w:val="center"/>
              <w:spacing w:after="0" w:line="133" w:lineRule="exact"/>
              <w:rPr>
                <w:rFonts w:ascii="Times New Roman" w:cs="Times New Roman" w:eastAsia="Times New Roman" w:hAnsi="Times New Roman"/>
                <w:sz w:val="12"/>
                <w:szCs w:val="12"/>
                <w:color w:val="0000FF"/>
                <w:w w:val="88"/>
              </w:rPr>
            </w:pPr>
            <w:hyperlink r:id="rId111">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1#</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0" w:type="dxa"/>
            <w:vAlign w:val="bottom"/>
            <w:gridSpan w:val="34"/>
          </w:tcPr>
          <w:p>
            <w:pPr>
              <w:spacing w:after="0" w:line="133" w:lineRule="exact"/>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Amended and Restated 2016 Incentive Award Plan and form of award agreements thereunder</w:t>
              </w:r>
            </w:hyperlink>
          </w:p>
        </w:tc>
      </w:tr>
      <w:tr>
        <w:trPr>
          <w:trHeight w:val="133"/>
        </w:trPr>
        <w:tc>
          <w:tcPr>
            <w:tcW w:w="400" w:type="dxa"/>
            <w:vAlign w:val="bottom"/>
            <w:gridSpan w:val="2"/>
          </w:tcPr>
          <w:p>
            <w:pPr>
              <w:spacing w:after="0"/>
              <w:rPr>
                <w:sz w:val="11"/>
                <w:szCs w:val="11"/>
                <w:color w:val="auto"/>
              </w:rPr>
            </w:pPr>
          </w:p>
        </w:tc>
        <w:tc>
          <w:tcPr>
            <w:tcW w:w="240" w:type="dxa"/>
            <w:vAlign w:val="bottom"/>
            <w:tcBorders>
              <w:top w:val="single" w:sz="8" w:color="0000FF"/>
            </w:tcBorders>
            <w:gridSpan w:val="2"/>
          </w:tcPr>
          <w:p>
            <w:pPr>
              <w:jc w:val="center"/>
              <w:spacing w:after="0" w:line="133" w:lineRule="exact"/>
              <w:rPr>
                <w:rFonts w:ascii="Times New Roman" w:cs="Times New Roman" w:eastAsia="Times New Roman" w:hAnsi="Times New Roman"/>
                <w:sz w:val="12"/>
                <w:szCs w:val="12"/>
                <w:color w:val="0000FF"/>
                <w:w w:val="88"/>
              </w:rPr>
            </w:pPr>
            <w:hyperlink r:id="rId112">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2#</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80" w:type="dxa"/>
            <w:vAlign w:val="bottom"/>
            <w:tcBorders>
              <w:top w:val="single" w:sz="8" w:color="0000FF"/>
            </w:tcBorders>
            <w:gridSpan w:val="14"/>
          </w:tcPr>
          <w:p>
            <w:pPr>
              <w:spacing w:after="0" w:line="133" w:lineRule="exact"/>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2016 Employee Stock Purchase Plan</w:t>
              </w:r>
            </w:hyperlink>
          </w:p>
        </w:tc>
        <w:tc>
          <w:tcPr>
            <w:tcW w:w="1120" w:type="dxa"/>
            <w:vAlign w:val="bottom"/>
            <w:gridSpan w:val="20"/>
          </w:tcPr>
          <w:p>
            <w:pPr>
              <w:spacing w:after="0"/>
              <w:rPr>
                <w:sz w:val="11"/>
                <w:szCs w:val="11"/>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00" w:type="dxa"/>
            <w:vAlign w:val="bottom"/>
            <w:gridSpan w:val="2"/>
          </w:tcPr>
          <w:p>
            <w:pPr>
              <w:spacing w:after="0"/>
              <w:rPr>
                <w:sz w:val="11"/>
                <w:szCs w:val="11"/>
                <w:color w:val="auto"/>
              </w:rPr>
            </w:pPr>
          </w:p>
        </w:tc>
        <w:tc>
          <w:tcPr>
            <w:tcW w:w="2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0" w:type="dxa"/>
            <w:vAlign w:val="bottom"/>
            <w:gridSpan w:val="34"/>
          </w:tcPr>
          <w:p>
            <w:pPr>
              <w:spacing w:after="0" w:line="133" w:lineRule="exact"/>
              <w:rPr>
                <w:sz w:val="20"/>
                <w:szCs w:val="20"/>
                <w:color w:val="auto"/>
              </w:rPr>
            </w:pPr>
            <w:r>
              <w:rPr>
                <w:rFonts w:ascii="Times New Roman" w:cs="Times New Roman" w:eastAsia="Times New Roman" w:hAnsi="Times New Roman"/>
                <w:sz w:val="12"/>
                <w:szCs w:val="12"/>
                <w:color w:val="0000FF"/>
              </w:rPr>
              <w:t>Amended and Restated Cartesian Therapeutics, Inc. 2018 Employment Inducement Incentive Award Plan, and</w:t>
            </w:r>
          </w:p>
        </w:tc>
      </w:tr>
      <w:tr>
        <w:trPr>
          <w:trHeight w:val="97"/>
        </w:trPr>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Borders>
              <w:top w:val="single" w:sz="8" w:color="0000FF"/>
              <w:bottom w:val="single" w:sz="8" w:color="0000FF"/>
            </w:tcBorders>
            <w:gridSpan w:val="10"/>
          </w:tcPr>
          <w:p>
            <w:pPr>
              <w:spacing w:after="0" w:line="97" w:lineRule="exact"/>
              <w:rPr>
                <w:sz w:val="20"/>
                <w:szCs w:val="20"/>
                <w:color w:val="auto"/>
              </w:rPr>
            </w:pPr>
            <w:r>
              <w:rPr>
                <w:rFonts w:ascii="Times New Roman" w:cs="Times New Roman" w:eastAsia="Times New Roman" w:hAnsi="Times New Roman"/>
                <w:sz w:val="11"/>
                <w:szCs w:val="11"/>
                <w:color w:val="0000FF"/>
              </w:rPr>
              <w:t>forms of award agreements thereunder</w:t>
            </w:r>
          </w:p>
        </w:tc>
        <w:tc>
          <w:tcPr>
            <w:tcW w:w="3440" w:type="dxa"/>
            <w:vAlign w:val="bottom"/>
            <w:tcBorders>
              <w:top w:val="single" w:sz="8" w:color="0000FF"/>
            </w:tcBorders>
            <w:gridSpan w:val="13"/>
          </w:tcPr>
          <w:p>
            <w:pPr>
              <w:spacing w:after="0"/>
              <w:rPr>
                <w:sz w:val="8"/>
                <w:szCs w:val="8"/>
                <w:color w:val="auto"/>
              </w:rPr>
            </w:pPr>
          </w:p>
        </w:tc>
        <w:tc>
          <w:tcPr>
            <w:tcW w:w="80" w:type="dxa"/>
            <w:vAlign w:val="bottom"/>
            <w:gridSpan w:val="2"/>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2"/>
        </w:trPr>
        <w:tc>
          <w:tcPr>
            <w:tcW w:w="400" w:type="dxa"/>
            <w:vAlign w:val="bottom"/>
            <w:gridSpan w:val="2"/>
          </w:tcPr>
          <w:p>
            <w:pPr>
              <w:spacing w:after="0"/>
              <w:rPr>
                <w:sz w:val="12"/>
                <w:szCs w:val="12"/>
                <w:color w:val="auto"/>
              </w:rPr>
            </w:pPr>
          </w:p>
        </w:tc>
        <w:tc>
          <w:tcPr>
            <w:tcW w:w="240" w:type="dxa"/>
            <w:vAlign w:val="bottom"/>
            <w:tcBorders>
              <w:bottom w:val="single" w:sz="8" w:color="0000FF"/>
            </w:tcBorders>
            <w:gridSpan w:val="2"/>
          </w:tcPr>
          <w:p>
            <w:pPr>
              <w:jc w:val="center"/>
              <w:spacing w:after="0"/>
              <w:rPr>
                <w:rFonts w:ascii="Times New Roman" w:cs="Times New Roman" w:eastAsia="Times New Roman" w:hAnsi="Times New Roman"/>
                <w:sz w:val="12"/>
                <w:szCs w:val="12"/>
                <w:color w:val="0000FF"/>
                <w:w w:val="88"/>
              </w:rPr>
            </w:pPr>
            <w:hyperlink r:id="rId113">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4#</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60" w:type="dxa"/>
            <w:vAlign w:val="bottom"/>
            <w:tcBorders>
              <w:bottom w:val="single" w:sz="8" w:color="0000FF"/>
            </w:tcBorders>
            <w:gridSpan w:val="15"/>
          </w:tcPr>
          <w:p>
            <w:pPr>
              <w:spacing w:after="0"/>
              <w:rPr>
                <w:rFonts w:ascii="Times New Roman" w:cs="Times New Roman" w:eastAsia="Times New Roman" w:hAnsi="Times New Roman"/>
                <w:sz w:val="12"/>
                <w:szCs w:val="12"/>
                <w:color w:val="0000FF"/>
                <w:w w:val="99"/>
              </w:rPr>
            </w:pPr>
            <w:hyperlink r:id="rId113">
              <w:r>
                <w:rPr>
                  <w:rFonts w:ascii="Times New Roman" w:cs="Times New Roman" w:eastAsia="Times New Roman" w:hAnsi="Times New Roman"/>
                  <w:sz w:val="12"/>
                  <w:szCs w:val="12"/>
                  <w:color w:val="0000FF"/>
                  <w:w w:val="99"/>
                </w:rPr>
                <w:t>Cartesian Therapeutics, Inc. 2016 Stock Incentive Plan, and forms of award agreements thereunder</w:t>
              </w:r>
            </w:hyperlink>
          </w:p>
        </w:tc>
        <w:tc>
          <w:tcPr>
            <w:tcW w:w="840" w:type="dxa"/>
            <w:vAlign w:val="bottom"/>
            <w:gridSpan w:val="19"/>
          </w:tcPr>
          <w:p>
            <w:pPr>
              <w:spacing w:after="0"/>
              <w:rPr>
                <w:sz w:val="12"/>
                <w:szCs w:val="12"/>
                <w:color w:val="auto"/>
              </w:rPr>
            </w:pPr>
          </w:p>
        </w:tc>
      </w:tr>
      <w:tr>
        <w:trPr>
          <w:trHeight w:val="133"/>
        </w:trPr>
        <w:tc>
          <w:tcPr>
            <w:tcW w:w="400" w:type="dxa"/>
            <w:vAlign w:val="bottom"/>
            <w:gridSpan w:val="2"/>
          </w:tcPr>
          <w:p>
            <w:pPr>
              <w:spacing w:after="0"/>
              <w:rPr>
                <w:sz w:val="11"/>
                <w:szCs w:val="11"/>
                <w:color w:val="auto"/>
              </w:rPr>
            </w:pPr>
          </w:p>
        </w:tc>
        <w:tc>
          <w:tcPr>
            <w:tcW w:w="2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0" w:type="dxa"/>
            <w:vAlign w:val="bottom"/>
            <w:gridSpan w:val="34"/>
          </w:tcPr>
          <w:p>
            <w:pPr>
              <w:spacing w:after="0" w:line="133" w:lineRule="exact"/>
              <w:rPr>
                <w:sz w:val="20"/>
                <w:szCs w:val="20"/>
                <w:color w:val="auto"/>
              </w:rPr>
            </w:pPr>
            <w:r>
              <w:rPr>
                <w:rFonts w:ascii="Times New Roman" w:cs="Times New Roman" w:eastAsia="Times New Roman" w:hAnsi="Times New Roman"/>
                <w:sz w:val="12"/>
                <w:szCs w:val="12"/>
                <w:color w:val="0000FF"/>
              </w:rPr>
              <w:t>Non-Employee Director Compensation Program</w:t>
            </w:r>
          </w:p>
        </w:tc>
      </w:tr>
      <w:tr>
        <w:trPr>
          <w:trHeight w:val="20"/>
        </w:trPr>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400" w:type="dxa"/>
            <w:vAlign w:val="bottom"/>
            <w:gridSpan w:val="2"/>
          </w:tcPr>
          <w:p>
            <w:pPr>
              <w:spacing w:after="0"/>
              <w:rPr>
                <w:sz w:val="11"/>
                <w:szCs w:val="11"/>
                <w:color w:val="auto"/>
              </w:rPr>
            </w:pPr>
          </w:p>
        </w:tc>
        <w:tc>
          <w:tcPr>
            <w:tcW w:w="240" w:type="dxa"/>
            <w:vAlign w:val="bottom"/>
            <w:tcBorders>
              <w:bottom w:val="single" w:sz="8" w:color="0000FF"/>
            </w:tcBorders>
            <w:gridSpan w:val="2"/>
          </w:tcPr>
          <w:p>
            <w:pPr>
              <w:jc w:val="center"/>
              <w:spacing w:after="0" w:line="133" w:lineRule="exact"/>
              <w:rPr>
                <w:rFonts w:ascii="Times New Roman" w:cs="Times New Roman" w:eastAsia="Times New Roman" w:hAnsi="Times New Roman"/>
                <w:sz w:val="12"/>
                <w:szCs w:val="12"/>
                <w:color w:val="0000FF"/>
                <w:w w:val="88"/>
              </w:rPr>
            </w:pPr>
            <w:hyperlink r:id="rId114">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6#</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20" w:type="dxa"/>
            <w:vAlign w:val="bottom"/>
            <w:tcBorders>
              <w:bottom w:val="single" w:sz="8" w:color="0000FF"/>
            </w:tcBorders>
            <w:gridSpan w:val="13"/>
          </w:tcPr>
          <w:p>
            <w:pPr>
              <w:spacing w:after="0" w:line="133" w:lineRule="exact"/>
              <w:rPr>
                <w:rFonts w:ascii="Times New Roman" w:cs="Times New Roman" w:eastAsia="Times New Roman" w:hAnsi="Times New Roman"/>
                <w:sz w:val="12"/>
                <w:szCs w:val="12"/>
                <w:color w:val="0000FF"/>
                <w:w w:val="99"/>
              </w:rPr>
            </w:pPr>
            <w:hyperlink r:id="rId114">
              <w:r>
                <w:rPr>
                  <w:rFonts w:ascii="Times New Roman" w:cs="Times New Roman" w:eastAsia="Times New Roman" w:hAnsi="Times New Roman"/>
                  <w:sz w:val="12"/>
                  <w:szCs w:val="12"/>
                  <w:color w:val="0000FF"/>
                  <w:w w:val="99"/>
                </w:rPr>
                <w:t>Form of Indemnification Agreement for Directors and Officers</w:t>
              </w:r>
            </w:hyperlink>
          </w:p>
        </w:tc>
        <w:tc>
          <w:tcPr>
            <w:tcW w:w="2580" w:type="dxa"/>
            <w:vAlign w:val="bottom"/>
            <w:gridSpan w:val="21"/>
          </w:tcPr>
          <w:p>
            <w:pPr>
              <w:spacing w:after="0"/>
              <w:rPr>
                <w:sz w:val="11"/>
                <w:szCs w:val="11"/>
                <w:color w:val="auto"/>
              </w:rPr>
            </w:pPr>
          </w:p>
        </w:tc>
      </w:tr>
      <w:tr>
        <w:trPr>
          <w:trHeight w:val="153"/>
        </w:trPr>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6"/>
          </w:tcPr>
          <w:p>
            <w:pPr>
              <w:jc w:val="center"/>
              <w:ind w:right="200"/>
              <w:spacing w:after="0" w:line="133" w:lineRule="exact"/>
              <w:rPr>
                <w:rFonts w:ascii="Times New Roman" w:cs="Times New Roman" w:eastAsia="Times New Roman" w:hAnsi="Times New Roman"/>
                <w:sz w:val="12"/>
                <w:szCs w:val="12"/>
                <w:color w:val="0000FF"/>
                <w:w w:val="88"/>
              </w:rPr>
            </w:pPr>
            <w:hyperlink r:id="rId115">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7†</w:t>
              </w:r>
            </w:hyperlink>
          </w:p>
        </w:tc>
        <w:tc>
          <w:tcPr>
            <w:tcW w:w="280" w:type="dxa"/>
            <w:vAlign w:val="bottom"/>
          </w:tcPr>
          <w:p>
            <w:pPr>
              <w:spacing w:after="0"/>
              <w:rPr>
                <w:sz w:val="13"/>
                <w:szCs w:val="13"/>
                <w:color w:val="auto"/>
              </w:rPr>
            </w:pPr>
          </w:p>
        </w:tc>
        <w:tc>
          <w:tcPr>
            <w:tcW w:w="5600" w:type="dxa"/>
            <w:vAlign w:val="bottom"/>
            <w:gridSpan w:val="34"/>
          </w:tcPr>
          <w:p>
            <w:pPr>
              <w:spacing w:after="0" w:line="133" w:lineRule="exact"/>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Amended and Restated License Agreement, dated as of May 31, 2017, by and between the Registrant and Shenyang</w:t>
              </w:r>
            </w:hyperlink>
          </w:p>
        </w:tc>
      </w:tr>
      <w:tr>
        <w:trPr>
          <w:trHeight w:val="77"/>
        </w:trPr>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580" w:type="dxa"/>
            <w:vAlign w:val="bottom"/>
            <w:tcBorders>
              <w:top w:val="single" w:sz="8" w:color="0000FF"/>
            </w:tcBorders>
            <w:gridSpan w:val="33"/>
          </w:tcPr>
          <w:p>
            <w:pPr>
              <w:spacing w:after="0" w:line="77" w:lineRule="exact"/>
              <w:rPr>
                <w:rFonts w:ascii="Times New Roman" w:cs="Times New Roman" w:eastAsia="Times New Roman" w:hAnsi="Times New Roman"/>
                <w:sz w:val="8"/>
                <w:szCs w:val="8"/>
                <w:color w:val="0000FF"/>
              </w:rPr>
            </w:pPr>
            <w:hyperlink r:id="rId115">
              <w:r>
                <w:rPr>
                  <w:rFonts w:ascii="Times New Roman" w:cs="Times New Roman" w:eastAsia="Times New Roman" w:hAnsi="Times New Roman"/>
                  <w:sz w:val="8"/>
                  <w:szCs w:val="8"/>
                  <w:color w:val="0000FF"/>
                </w:rPr>
                <w:t>Sunshine Pharmaceutical Co., Ltd.</w:t>
              </w:r>
            </w:hyperlink>
          </w:p>
        </w:tc>
        <w:tc>
          <w:tcPr>
            <w:tcW w:w="20" w:type="dxa"/>
            <w:vAlign w:val="bottom"/>
          </w:tcPr>
          <w:p>
            <w:pPr>
              <w:spacing w:after="0"/>
              <w:rPr>
                <w:sz w:val="6"/>
                <w:szCs w:val="6"/>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6"/>
          </w:tcPr>
          <w:p>
            <w:pPr>
              <w:jc w:val="center"/>
              <w:ind w:right="200"/>
              <w:spacing w:after="0"/>
              <w:rPr>
                <w:rFonts w:ascii="Times New Roman" w:cs="Times New Roman" w:eastAsia="Times New Roman" w:hAnsi="Times New Roman"/>
                <w:sz w:val="12"/>
                <w:szCs w:val="12"/>
                <w:color w:val="0000FF"/>
                <w:w w:val="88"/>
              </w:rPr>
            </w:pPr>
            <w:hyperlink r:id="rId116">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8†</w:t>
              </w:r>
            </w:hyperlink>
          </w:p>
        </w:tc>
        <w:tc>
          <w:tcPr>
            <w:tcW w:w="280" w:type="dxa"/>
            <w:vAlign w:val="bottom"/>
          </w:tcPr>
          <w:p>
            <w:pPr>
              <w:spacing w:after="0"/>
              <w:rPr>
                <w:sz w:val="12"/>
                <w:szCs w:val="12"/>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Manufacturing Services Agreement, dated as of August 1, 2014, by and between the Registrant and Shenyang</w:t>
              </w:r>
            </w:hyperlink>
          </w:p>
        </w:tc>
      </w:tr>
      <w:tr>
        <w:trPr>
          <w:trHeight w:val="97"/>
        </w:trPr>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8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Sunshine Pharmaceutical Co., Ltd.</w:t>
              </w:r>
            </w:hyperlink>
          </w:p>
        </w:tc>
        <w:tc>
          <w:tcPr>
            <w:tcW w:w="100" w:type="dxa"/>
            <w:vAlign w:val="bottom"/>
            <w:gridSpan w:val="3"/>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0000FF"/>
            </w:tcBorders>
            <w:gridSpan w:val="4"/>
          </w:tcPr>
          <w:p>
            <w:pPr>
              <w:jc w:val="center"/>
              <w:ind w:right="60"/>
              <w:spacing w:after="0"/>
              <w:rPr>
                <w:rFonts w:ascii="Times New Roman" w:cs="Times New Roman" w:eastAsia="Times New Roman" w:hAnsi="Times New Roman"/>
                <w:sz w:val="12"/>
                <w:szCs w:val="12"/>
                <w:color w:val="0000FF"/>
                <w:w w:val="81"/>
              </w:rPr>
            </w:pPr>
            <w:hyperlink r:id="rId117">
              <w:r>
                <w:rPr>
                  <w:rFonts w:ascii="Times New Roman" w:cs="Times New Roman" w:eastAsia="Times New Roman" w:hAnsi="Times New Roman"/>
                  <w:sz w:val="12"/>
                  <w:szCs w:val="12"/>
                  <w:color w:val="0000FF"/>
                  <w:w w:val="81"/>
                </w:rPr>
                <w:t>10.</w:t>
              </w:r>
              <w:r>
                <w:rPr>
                  <w:rFonts w:ascii="Times New Roman" w:cs="Times New Roman" w:eastAsia="Times New Roman" w:hAnsi="Times New Roman"/>
                  <w:sz w:val="12"/>
                  <w:szCs w:val="12"/>
                  <w:u w:val="single" w:color="auto"/>
                  <w:color w:val="0000FF"/>
                  <w:w w:val="81"/>
                </w:rPr>
                <w:t>9(a)</w:t>
              </w:r>
            </w:hyperlink>
          </w:p>
        </w:tc>
        <w:tc>
          <w:tcPr>
            <w:tcW w:w="10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5200" w:type="dxa"/>
            <w:vAlign w:val="bottom"/>
            <w:tcBorders>
              <w:bottom w:val="single" w:sz="8" w:color="0000FF"/>
            </w:tcBorders>
            <w:gridSpan w:val="21"/>
          </w:tcPr>
          <w:p>
            <w:pPr>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Lease Agreement by and between BRE-BMR Grove LLC and Selecta Biosciences, Inc. dated July 23, 2019</w:t>
              </w:r>
            </w:hyperlink>
          </w:p>
        </w:tc>
        <w:tc>
          <w:tcPr>
            <w:tcW w:w="400" w:type="dxa"/>
            <w:vAlign w:val="bottom"/>
            <w:gridSpan w:val="13"/>
          </w:tcPr>
          <w:p>
            <w:pPr>
              <w:spacing w:after="0"/>
              <w:rPr>
                <w:sz w:val="12"/>
                <w:szCs w:val="12"/>
                <w:color w:val="auto"/>
              </w:rPr>
            </w:pPr>
          </w:p>
        </w:tc>
      </w:tr>
      <w:tr>
        <w:trPr>
          <w:trHeight w:val="133"/>
        </w:trPr>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6"/>
          </w:tcPr>
          <w:p>
            <w:pPr>
              <w:jc w:val="center"/>
              <w:ind w:right="160"/>
              <w:spacing w:after="0" w:line="133" w:lineRule="exact"/>
              <w:rPr>
                <w:rFonts w:ascii="Times New Roman" w:cs="Times New Roman" w:eastAsia="Times New Roman" w:hAnsi="Times New Roman"/>
                <w:sz w:val="12"/>
                <w:szCs w:val="12"/>
                <w:color w:val="0000FF"/>
                <w:w w:val="79"/>
              </w:rPr>
            </w:pPr>
            <w:hyperlink r:id="rId118">
              <w:r>
                <w:rPr>
                  <w:rFonts w:ascii="Times New Roman" w:cs="Times New Roman" w:eastAsia="Times New Roman" w:hAnsi="Times New Roman"/>
                  <w:sz w:val="12"/>
                  <w:szCs w:val="12"/>
                  <w:color w:val="0000FF"/>
                  <w:w w:val="79"/>
                </w:rPr>
                <w:t>10.</w:t>
              </w:r>
            </w:hyperlink>
            <w:r>
              <w:rPr>
                <w:rFonts w:ascii="Times New Roman" w:cs="Times New Roman" w:eastAsia="Times New Roman" w:hAnsi="Times New Roman"/>
                <w:sz w:val="12"/>
                <w:szCs w:val="12"/>
                <w:u w:val="single" w:color="auto"/>
                <w:color w:val="0000FF"/>
                <w:w w:val="79"/>
              </w:rPr>
              <w:t>9(b)</w:t>
            </w:r>
          </w:p>
        </w:tc>
        <w:tc>
          <w:tcPr>
            <w:tcW w:w="280" w:type="dxa"/>
            <w:vAlign w:val="bottom"/>
          </w:tcPr>
          <w:p>
            <w:pPr>
              <w:spacing w:after="0"/>
              <w:rPr>
                <w:sz w:val="11"/>
                <w:szCs w:val="11"/>
                <w:color w:val="auto"/>
              </w:rPr>
            </w:pPr>
          </w:p>
        </w:tc>
        <w:tc>
          <w:tcPr>
            <w:tcW w:w="5600" w:type="dxa"/>
            <w:vAlign w:val="bottom"/>
            <w:gridSpan w:val="34"/>
          </w:tcPr>
          <w:p>
            <w:pPr>
              <w:spacing w:after="0" w:line="133" w:lineRule="exact"/>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First Amendment to Lease by and between BRE-BMR Grove LLC and Selecta Biosciences, Inc. dated September</w:t>
              </w:r>
            </w:hyperlink>
          </w:p>
        </w:tc>
      </w:tr>
      <w:tr>
        <w:trPr>
          <w:trHeight w:val="97"/>
        </w:trPr>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1, 2022</w:t>
              </w:r>
            </w:hyperlink>
          </w:p>
        </w:tc>
        <w:tc>
          <w:tcPr>
            <w:tcW w:w="36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14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2"/>
        </w:trPr>
        <w:tc>
          <w:tcPr>
            <w:tcW w:w="280" w:type="dxa"/>
            <w:vAlign w:val="bottom"/>
          </w:tcPr>
          <w:p>
            <w:pPr>
              <w:spacing w:after="0"/>
              <w:rPr>
                <w:sz w:val="12"/>
                <w:szCs w:val="12"/>
                <w:color w:val="auto"/>
              </w:rPr>
            </w:pPr>
          </w:p>
        </w:tc>
        <w:tc>
          <w:tcPr>
            <w:tcW w:w="560" w:type="dxa"/>
            <w:vAlign w:val="bottom"/>
            <w:gridSpan w:val="7"/>
          </w:tcPr>
          <w:p>
            <w:pPr>
              <w:jc w:val="center"/>
              <w:ind w:right="100"/>
              <w:spacing w:after="0"/>
              <w:rPr>
                <w:rFonts w:ascii="Times New Roman" w:cs="Times New Roman" w:eastAsia="Times New Roman" w:hAnsi="Times New Roman"/>
                <w:sz w:val="12"/>
                <w:szCs w:val="12"/>
                <w:color w:val="0000FF"/>
                <w:w w:val="99"/>
              </w:rPr>
            </w:pPr>
            <w:hyperlink r:id="rId119">
              <w:r>
                <w:rPr>
                  <w:rFonts w:ascii="Times New Roman" w:cs="Times New Roman" w:eastAsia="Times New Roman" w:hAnsi="Times New Roman"/>
                  <w:sz w:val="12"/>
                  <w:szCs w:val="12"/>
                  <w:color w:val="0000FF"/>
                  <w:w w:val="99"/>
                </w:rPr>
                <w:t>10.</w:t>
              </w:r>
              <w:r>
                <w:rPr>
                  <w:rFonts w:ascii="Times New Roman" w:cs="Times New Roman" w:eastAsia="Times New Roman" w:hAnsi="Times New Roman"/>
                  <w:sz w:val="12"/>
                  <w:szCs w:val="12"/>
                  <w:u w:val="single" w:color="auto"/>
                  <w:color w:val="0000FF"/>
                  <w:w w:val="99"/>
                </w:rPr>
                <w:t>10(a)†</w:t>
              </w:r>
            </w:hyperlink>
          </w:p>
        </w:tc>
        <w:tc>
          <w:tcPr>
            <w:tcW w:w="280" w:type="dxa"/>
            <w:vAlign w:val="bottom"/>
          </w:tcPr>
          <w:p>
            <w:pPr>
              <w:spacing w:after="0"/>
              <w:rPr>
                <w:sz w:val="12"/>
                <w:szCs w:val="12"/>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Lease Agreement by and between 704 Quince Orchard Owner, LLC and Cartesian Therapeutics, Inc. dated May 11,</w:t>
              </w:r>
            </w:hyperlink>
          </w:p>
        </w:tc>
      </w:tr>
      <w:tr>
        <w:trPr>
          <w:trHeight w:val="97"/>
        </w:trPr>
        <w:tc>
          <w:tcPr>
            <w:tcW w:w="280" w:type="dxa"/>
            <w:vAlign w:val="bottom"/>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w w:val="99"/>
              </w:rPr>
            </w:pPr>
            <w:hyperlink r:id="rId119">
              <w:r>
                <w:rPr>
                  <w:rFonts w:ascii="Times New Roman" w:cs="Times New Roman" w:eastAsia="Times New Roman" w:hAnsi="Times New Roman"/>
                  <w:sz w:val="11"/>
                  <w:szCs w:val="11"/>
                  <w:color w:val="0000FF"/>
                  <w:w w:val="99"/>
                </w:rPr>
                <w:t>2018</w:t>
              </w:r>
            </w:hyperlink>
          </w:p>
        </w:tc>
        <w:tc>
          <w:tcPr>
            <w:tcW w:w="4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14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2"/>
        </w:trPr>
        <w:tc>
          <w:tcPr>
            <w:tcW w:w="280" w:type="dxa"/>
            <w:vAlign w:val="bottom"/>
          </w:tcPr>
          <w:p>
            <w:pPr>
              <w:spacing w:after="0"/>
              <w:rPr>
                <w:sz w:val="12"/>
                <w:szCs w:val="12"/>
                <w:color w:val="auto"/>
              </w:rPr>
            </w:pPr>
          </w:p>
        </w:tc>
        <w:tc>
          <w:tcPr>
            <w:tcW w:w="560" w:type="dxa"/>
            <w:vAlign w:val="bottom"/>
            <w:gridSpan w:val="7"/>
          </w:tcPr>
          <w:p>
            <w:pPr>
              <w:jc w:val="center"/>
              <w:ind w:right="100"/>
              <w:spacing w:after="0"/>
              <w:rPr>
                <w:rFonts w:ascii="Times New Roman" w:cs="Times New Roman" w:eastAsia="Times New Roman" w:hAnsi="Times New Roman"/>
                <w:sz w:val="12"/>
                <w:szCs w:val="12"/>
                <w:color w:val="0000FF"/>
                <w:w w:val="97"/>
              </w:rPr>
            </w:pPr>
            <w:hyperlink r:id="rId120">
              <w:r>
                <w:rPr>
                  <w:rFonts w:ascii="Times New Roman" w:cs="Times New Roman" w:eastAsia="Times New Roman" w:hAnsi="Times New Roman"/>
                  <w:sz w:val="12"/>
                  <w:szCs w:val="12"/>
                  <w:color w:val="0000FF"/>
                  <w:w w:val="97"/>
                </w:rPr>
                <w:t>10.</w:t>
              </w:r>
              <w:r>
                <w:rPr>
                  <w:rFonts w:ascii="Times New Roman" w:cs="Times New Roman" w:eastAsia="Times New Roman" w:hAnsi="Times New Roman"/>
                  <w:sz w:val="12"/>
                  <w:szCs w:val="12"/>
                  <w:u w:val="single" w:color="auto"/>
                  <w:color w:val="0000FF"/>
                  <w:w w:val="97"/>
                </w:rPr>
                <w:t>10(b)†</w:t>
              </w:r>
            </w:hyperlink>
          </w:p>
        </w:tc>
        <w:tc>
          <w:tcPr>
            <w:tcW w:w="280" w:type="dxa"/>
            <w:vAlign w:val="bottom"/>
          </w:tcPr>
          <w:p>
            <w:pPr>
              <w:spacing w:after="0"/>
              <w:rPr>
                <w:sz w:val="12"/>
                <w:szCs w:val="12"/>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First Amendment to Lease Agreement by and between 704 Quince Orchard Owner, LLC and Cartesian</w:t>
              </w:r>
            </w:hyperlink>
          </w:p>
        </w:tc>
      </w:tr>
      <w:tr>
        <w:trPr>
          <w:trHeight w:val="97"/>
        </w:trPr>
        <w:tc>
          <w:tcPr>
            <w:tcW w:w="280" w:type="dxa"/>
            <w:vAlign w:val="bottom"/>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960" w:type="dxa"/>
            <w:vAlign w:val="bottom"/>
            <w:tcBorders>
              <w:top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Therapeutics, Inc. dated March 22, 2021</w:t>
              </w:r>
            </w:hyperlink>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5"/>
          </w:tcPr>
          <w:p>
            <w:pPr>
              <w:spacing w:after="0"/>
              <w:rPr>
                <w:sz w:val="8"/>
                <w:szCs w:val="8"/>
                <w:color w:val="auto"/>
              </w:rPr>
            </w:pPr>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42"/>
        </w:trPr>
        <w:tc>
          <w:tcPr>
            <w:tcW w:w="280" w:type="dxa"/>
            <w:vAlign w:val="bottom"/>
          </w:tcPr>
          <w:p>
            <w:pPr>
              <w:spacing w:after="0"/>
              <w:rPr>
                <w:sz w:val="12"/>
                <w:szCs w:val="12"/>
                <w:color w:val="auto"/>
              </w:rPr>
            </w:pPr>
          </w:p>
        </w:tc>
        <w:tc>
          <w:tcPr>
            <w:tcW w:w="560" w:type="dxa"/>
            <w:vAlign w:val="bottom"/>
            <w:gridSpan w:val="7"/>
          </w:tcPr>
          <w:p>
            <w:pPr>
              <w:jc w:val="center"/>
              <w:ind w:right="100"/>
              <w:spacing w:after="0"/>
              <w:rPr>
                <w:rFonts w:ascii="Times New Roman" w:cs="Times New Roman" w:eastAsia="Times New Roman" w:hAnsi="Times New Roman"/>
                <w:sz w:val="12"/>
                <w:szCs w:val="12"/>
                <w:color w:val="0000FF"/>
                <w:w w:val="99"/>
              </w:rPr>
            </w:pPr>
            <w:hyperlink r:id="rId121">
              <w:r>
                <w:rPr>
                  <w:rFonts w:ascii="Times New Roman" w:cs="Times New Roman" w:eastAsia="Times New Roman" w:hAnsi="Times New Roman"/>
                  <w:sz w:val="12"/>
                  <w:szCs w:val="12"/>
                  <w:color w:val="0000FF"/>
                  <w:w w:val="99"/>
                </w:rPr>
                <w:t>10.</w:t>
              </w:r>
              <w:r>
                <w:rPr>
                  <w:rFonts w:ascii="Times New Roman" w:cs="Times New Roman" w:eastAsia="Times New Roman" w:hAnsi="Times New Roman"/>
                  <w:sz w:val="12"/>
                  <w:szCs w:val="12"/>
                  <w:u w:val="single" w:color="auto"/>
                  <w:color w:val="0000FF"/>
                  <w:w w:val="99"/>
                </w:rPr>
                <w:t>10(c)†</w:t>
              </w:r>
            </w:hyperlink>
          </w:p>
        </w:tc>
        <w:tc>
          <w:tcPr>
            <w:tcW w:w="280" w:type="dxa"/>
            <w:vAlign w:val="bottom"/>
          </w:tcPr>
          <w:p>
            <w:pPr>
              <w:spacing w:after="0"/>
              <w:rPr>
                <w:sz w:val="12"/>
                <w:szCs w:val="12"/>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Second Amendment to Lease Agreement by and between 704 Quince Orchard Owner, LLC and Cartesian</w:t>
              </w:r>
            </w:hyperlink>
          </w:p>
        </w:tc>
      </w:tr>
      <w:tr>
        <w:trPr>
          <w:trHeight w:val="97"/>
        </w:trPr>
        <w:tc>
          <w:tcPr>
            <w:tcW w:w="280" w:type="dxa"/>
            <w:vAlign w:val="bottom"/>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Borders>
              <w:top w:val="single" w:sz="8" w:color="0000FF"/>
              <w:bottom w:val="single" w:sz="8" w:color="0000FF"/>
            </w:tcBorders>
            <w:gridSpan w:val="9"/>
          </w:tcPr>
          <w:p>
            <w:pPr>
              <w:spacing w:after="0" w:line="97"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Therapeutics, Inc. dated May 3, 2021</w:t>
              </w:r>
            </w:hyperlink>
          </w:p>
        </w:tc>
        <w:tc>
          <w:tcPr>
            <w:tcW w:w="3280" w:type="dxa"/>
            <w:vAlign w:val="bottom"/>
            <w:tcBorders>
              <w:top w:val="single" w:sz="8" w:color="0000FF"/>
            </w:tcBorders>
            <w:gridSpan w:val="9"/>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5"/>
          </w:tcPr>
          <w:p>
            <w:pPr>
              <w:spacing w:after="0"/>
              <w:rPr>
                <w:sz w:val="8"/>
                <w:szCs w:val="8"/>
                <w:color w:val="auto"/>
              </w:rPr>
            </w:pPr>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r>
      <w:tr>
        <w:trPr>
          <w:trHeight w:val="142"/>
        </w:trPr>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4"/>
          </w:tcPr>
          <w:p>
            <w:pPr>
              <w:jc w:val="center"/>
              <w:spacing w:after="0"/>
              <w:rPr>
                <w:rFonts w:ascii="Times New Roman" w:cs="Times New Roman" w:eastAsia="Times New Roman" w:hAnsi="Times New Roman"/>
                <w:sz w:val="12"/>
                <w:szCs w:val="12"/>
                <w:color w:val="0000FF"/>
                <w:w w:val="73"/>
              </w:rPr>
            </w:pPr>
            <w:hyperlink r:id="rId122">
              <w:r>
                <w:rPr>
                  <w:rFonts w:ascii="Times New Roman" w:cs="Times New Roman" w:eastAsia="Times New Roman" w:hAnsi="Times New Roman"/>
                  <w:sz w:val="12"/>
                  <w:szCs w:val="12"/>
                  <w:color w:val="0000FF"/>
                  <w:w w:val="73"/>
                </w:rPr>
                <w:t>10.</w:t>
              </w:r>
              <w:r>
                <w:rPr>
                  <w:rFonts w:ascii="Times New Roman" w:cs="Times New Roman" w:eastAsia="Times New Roman" w:hAnsi="Times New Roman"/>
                  <w:sz w:val="12"/>
                  <w:szCs w:val="12"/>
                  <w:u w:val="single" w:color="auto"/>
                  <w:color w:val="0000FF"/>
                  <w:w w:val="73"/>
                </w:rPr>
                <w:t>11(a)†</w:t>
              </w:r>
            </w:hyperlink>
          </w:p>
        </w:tc>
        <w:tc>
          <w:tcPr>
            <w:tcW w:w="10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5600" w:type="dxa"/>
            <w:vAlign w:val="bottom"/>
            <w:gridSpan w:val="34"/>
          </w:tcPr>
          <w:p>
            <w:pPr>
              <w:spacing w:after="0"/>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Lease Agreement by and between 7495 RP, LLC and Cartesian Therapeutics, Inc. dated February 28, 2024</w:t>
              </w:r>
            </w:hyperlink>
          </w:p>
        </w:tc>
      </w:tr>
      <w:tr>
        <w:trPr>
          <w:trHeight w:val="20"/>
        </w:trPr>
        <w:tc>
          <w:tcPr>
            <w:tcW w:w="2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780" w:type="dxa"/>
            <w:vAlign w:val="bottom"/>
            <w:gridSpan w:val="1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460" w:type="dxa"/>
            <w:vAlign w:val="bottom"/>
            <w:tcBorders>
              <w:bottom w:val="single" w:sz="8" w:color="0000FF"/>
            </w:tcBorders>
            <w:gridSpan w:val="5"/>
          </w:tcPr>
          <w:p>
            <w:pPr>
              <w:jc w:val="center"/>
              <w:spacing w:after="0" w:line="133" w:lineRule="exact"/>
              <w:rPr>
                <w:rFonts w:ascii="Times New Roman" w:cs="Times New Roman" w:eastAsia="Times New Roman" w:hAnsi="Times New Roman"/>
                <w:sz w:val="12"/>
                <w:szCs w:val="12"/>
                <w:color w:val="0000FF"/>
                <w:w w:val="97"/>
              </w:rPr>
            </w:pPr>
            <w:hyperlink r:id="rId123">
              <w:r>
                <w:rPr>
                  <w:rFonts w:ascii="Times New Roman" w:cs="Times New Roman" w:eastAsia="Times New Roman" w:hAnsi="Times New Roman"/>
                  <w:sz w:val="12"/>
                  <w:szCs w:val="12"/>
                  <w:color w:val="0000FF"/>
                  <w:w w:val="97"/>
                </w:rPr>
                <w:t>10.</w:t>
              </w:r>
              <w:r>
                <w:rPr>
                  <w:rFonts w:ascii="Times New Roman" w:cs="Times New Roman" w:eastAsia="Times New Roman" w:hAnsi="Times New Roman"/>
                  <w:sz w:val="12"/>
                  <w:szCs w:val="12"/>
                  <w:u w:val="single" w:color="auto"/>
                  <w:color w:val="0000FF"/>
                  <w:w w:val="97"/>
                </w:rPr>
                <w:t>11(b)†</w:t>
              </w:r>
            </w:hyperlink>
          </w:p>
        </w:tc>
        <w:tc>
          <w:tcPr>
            <w:tcW w:w="1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180" w:type="dxa"/>
            <w:vAlign w:val="bottom"/>
            <w:tcBorders>
              <w:bottom w:val="single" w:sz="8" w:color="0000FF"/>
            </w:tcBorders>
            <w:gridSpan w:val="20"/>
          </w:tcPr>
          <w:p>
            <w:pPr>
              <w:spacing w:after="0" w:line="133" w:lineRule="exact"/>
              <w:rPr>
                <w:rFonts w:ascii="Times New Roman" w:cs="Times New Roman" w:eastAsia="Times New Roman" w:hAnsi="Times New Roman"/>
                <w:sz w:val="12"/>
                <w:szCs w:val="12"/>
                <w:color w:val="0000FF"/>
                <w:w w:val="99"/>
              </w:rPr>
            </w:pPr>
            <w:hyperlink r:id="rId123">
              <w:r>
                <w:rPr>
                  <w:rFonts w:ascii="Times New Roman" w:cs="Times New Roman" w:eastAsia="Times New Roman" w:hAnsi="Times New Roman"/>
                  <w:sz w:val="12"/>
                  <w:szCs w:val="12"/>
                  <w:color w:val="0000FF"/>
                  <w:w w:val="99"/>
                </w:rPr>
                <w:t>First Amendment to Lease Agreement by and between 7495 RP, LLC and the Registrant dated May 7, 2024</w:t>
              </w:r>
            </w:hyperlink>
          </w:p>
        </w:tc>
        <w:tc>
          <w:tcPr>
            <w:tcW w:w="420" w:type="dxa"/>
            <w:vAlign w:val="bottom"/>
            <w:gridSpan w:val="14"/>
          </w:tcPr>
          <w:p>
            <w:pPr>
              <w:spacing w:after="0"/>
              <w:rPr>
                <w:sz w:val="11"/>
                <w:szCs w:val="11"/>
                <w:color w:val="auto"/>
              </w:rPr>
            </w:pPr>
          </w:p>
        </w:tc>
      </w:tr>
      <w:tr>
        <w:trPr>
          <w:trHeight w:val="133"/>
        </w:trPr>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0000FF"/>
            </w:tcBorders>
            <w:gridSpan w:val="4"/>
          </w:tcPr>
          <w:p>
            <w:pPr>
              <w:jc w:val="center"/>
              <w:spacing w:after="0" w:line="133" w:lineRule="exact"/>
              <w:rPr>
                <w:rFonts w:ascii="Times New Roman" w:cs="Times New Roman" w:eastAsia="Times New Roman" w:hAnsi="Times New Roman"/>
                <w:sz w:val="12"/>
                <w:szCs w:val="12"/>
                <w:color w:val="0000FF"/>
                <w:w w:val="73"/>
              </w:rPr>
            </w:pPr>
            <w:hyperlink r:id="rId124">
              <w:r>
                <w:rPr>
                  <w:rFonts w:ascii="Times New Roman" w:cs="Times New Roman" w:eastAsia="Times New Roman" w:hAnsi="Times New Roman"/>
                  <w:sz w:val="12"/>
                  <w:szCs w:val="12"/>
                  <w:color w:val="0000FF"/>
                  <w:w w:val="73"/>
                </w:rPr>
                <w:t>10.</w:t>
              </w:r>
              <w:r>
                <w:rPr>
                  <w:rFonts w:ascii="Times New Roman" w:cs="Times New Roman" w:eastAsia="Times New Roman" w:hAnsi="Times New Roman"/>
                  <w:sz w:val="12"/>
                  <w:szCs w:val="12"/>
                  <w:u w:val="single" w:color="auto"/>
                  <w:color w:val="0000FF"/>
                  <w:w w:val="73"/>
                </w:rPr>
                <w:t>11(c)†</w:t>
              </w:r>
            </w:hyperlink>
          </w:p>
        </w:tc>
        <w:tc>
          <w:tcPr>
            <w:tcW w:w="1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500" w:type="dxa"/>
            <w:vAlign w:val="bottom"/>
            <w:tcBorders>
              <w:bottom w:val="single" w:sz="8" w:color="0000FF"/>
            </w:tcBorders>
            <w:gridSpan w:val="29"/>
          </w:tcPr>
          <w:p>
            <w:pPr>
              <w:spacing w:after="0" w:line="133" w:lineRule="exact"/>
              <w:rPr>
                <w:rFonts w:ascii="Times New Roman" w:cs="Times New Roman" w:eastAsia="Times New Roman" w:hAnsi="Times New Roman"/>
                <w:sz w:val="12"/>
                <w:szCs w:val="12"/>
                <w:color w:val="0000FF"/>
                <w:w w:val="99"/>
              </w:rPr>
            </w:pPr>
            <w:hyperlink r:id="rId124">
              <w:r>
                <w:rPr>
                  <w:rFonts w:ascii="Times New Roman" w:cs="Times New Roman" w:eastAsia="Times New Roman" w:hAnsi="Times New Roman"/>
                  <w:sz w:val="12"/>
                  <w:szCs w:val="12"/>
                  <w:color w:val="0000FF"/>
                  <w:w w:val="99"/>
                </w:rPr>
                <w:t>Second Amendment to Lease Agreement by and between 7495 RP, LLC and the Registrant dated August 30, 2024</w:t>
              </w:r>
            </w:hyperlink>
          </w:p>
        </w:tc>
        <w:tc>
          <w:tcPr>
            <w:tcW w:w="100" w:type="dxa"/>
            <w:vAlign w:val="bottom"/>
            <w:gridSpan w:val="5"/>
          </w:tcPr>
          <w:p>
            <w:pPr>
              <w:spacing w:after="0"/>
              <w:rPr>
                <w:sz w:val="11"/>
                <w:szCs w:val="11"/>
                <w:color w:val="auto"/>
              </w:rPr>
            </w:pPr>
          </w:p>
        </w:tc>
      </w:tr>
      <w:tr>
        <w:trPr>
          <w:trHeight w:val="133"/>
        </w:trPr>
        <w:tc>
          <w:tcPr>
            <w:tcW w:w="400" w:type="dxa"/>
            <w:vAlign w:val="bottom"/>
            <w:gridSpan w:val="2"/>
          </w:tcPr>
          <w:p>
            <w:pPr>
              <w:spacing w:after="0"/>
              <w:rPr>
                <w:sz w:val="11"/>
                <w:szCs w:val="11"/>
                <w:color w:val="auto"/>
              </w:rPr>
            </w:pPr>
          </w:p>
        </w:tc>
        <w:tc>
          <w:tcPr>
            <w:tcW w:w="340" w:type="dxa"/>
            <w:vAlign w:val="bottom"/>
            <w:tcBorders>
              <w:bottom w:val="single" w:sz="8" w:color="0000FF"/>
            </w:tcBorders>
            <w:gridSpan w:val="4"/>
          </w:tcPr>
          <w:p>
            <w:pPr>
              <w:jc w:val="center"/>
              <w:ind w:right="60"/>
              <w:spacing w:after="0" w:line="133" w:lineRule="exact"/>
              <w:rPr>
                <w:rFonts w:ascii="Times New Roman" w:cs="Times New Roman" w:eastAsia="Times New Roman" w:hAnsi="Times New Roman"/>
                <w:sz w:val="12"/>
                <w:szCs w:val="12"/>
                <w:color w:val="0000FF"/>
                <w:w w:val="84"/>
              </w:rPr>
            </w:pPr>
            <w:hyperlink r:id="rId125">
              <w:r>
                <w:rPr>
                  <w:rFonts w:ascii="Times New Roman" w:cs="Times New Roman" w:eastAsia="Times New Roman" w:hAnsi="Times New Roman"/>
                  <w:sz w:val="12"/>
                  <w:szCs w:val="12"/>
                  <w:color w:val="0000FF"/>
                  <w:w w:val="84"/>
                </w:rPr>
                <w:t>10.</w:t>
              </w:r>
              <w:r>
                <w:rPr>
                  <w:rFonts w:ascii="Times New Roman" w:cs="Times New Roman" w:eastAsia="Times New Roman" w:hAnsi="Times New Roman"/>
                  <w:sz w:val="12"/>
                  <w:szCs w:val="12"/>
                  <w:u w:val="single" w:color="auto"/>
                  <w:color w:val="0000FF"/>
                  <w:w w:val="84"/>
                </w:rPr>
                <w:t>12#</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540" w:type="dxa"/>
            <w:vAlign w:val="bottom"/>
            <w:tcBorders>
              <w:bottom w:val="single" w:sz="8" w:color="0000FF"/>
            </w:tcBorders>
            <w:gridSpan w:val="31"/>
          </w:tcPr>
          <w:p>
            <w:pPr>
              <w:spacing w:after="0" w:line="133" w:lineRule="exact"/>
              <w:rPr>
                <w:rFonts w:ascii="Times New Roman" w:cs="Times New Roman" w:eastAsia="Times New Roman" w:hAnsi="Times New Roman"/>
                <w:sz w:val="12"/>
                <w:szCs w:val="12"/>
                <w:color w:val="0000FF"/>
                <w:w w:val="99"/>
              </w:rPr>
            </w:pPr>
            <w:hyperlink r:id="rId125">
              <w:r>
                <w:rPr>
                  <w:rFonts w:ascii="Times New Roman" w:cs="Times New Roman" w:eastAsia="Times New Roman" w:hAnsi="Times New Roman"/>
                  <w:sz w:val="12"/>
                  <w:szCs w:val="12"/>
                  <w:color w:val="0000FF"/>
                  <w:w w:val="99"/>
                </w:rPr>
                <w:t>Employment Agreement, dated as of September 25, 2018, by and between the Registrant and Carsten Brunn, Ph.D.</w:t>
              </w:r>
            </w:hyperlink>
          </w:p>
        </w:tc>
        <w:tc>
          <w:tcPr>
            <w:tcW w:w="60" w:type="dxa"/>
            <w:vAlign w:val="bottom"/>
            <w:gridSpan w:val="3"/>
          </w:tcPr>
          <w:p>
            <w:pPr>
              <w:spacing w:after="0"/>
              <w:rPr>
                <w:sz w:val="11"/>
                <w:szCs w:val="11"/>
                <w:color w:val="auto"/>
              </w:rPr>
            </w:pPr>
          </w:p>
        </w:tc>
      </w:tr>
      <w:tr>
        <w:trPr>
          <w:trHeight w:val="133"/>
        </w:trPr>
        <w:tc>
          <w:tcPr>
            <w:tcW w:w="400" w:type="dxa"/>
            <w:vAlign w:val="bottom"/>
            <w:gridSpan w:val="2"/>
          </w:tcPr>
          <w:p>
            <w:pPr>
              <w:spacing w:after="0"/>
              <w:rPr>
                <w:sz w:val="11"/>
                <w:szCs w:val="11"/>
                <w:color w:val="auto"/>
              </w:rPr>
            </w:pPr>
          </w:p>
        </w:tc>
        <w:tc>
          <w:tcPr>
            <w:tcW w:w="340" w:type="dxa"/>
            <w:vAlign w:val="bottom"/>
            <w:tcBorders>
              <w:bottom w:val="single" w:sz="8" w:color="0000FF"/>
            </w:tcBorders>
            <w:gridSpan w:val="4"/>
          </w:tcPr>
          <w:p>
            <w:pPr>
              <w:jc w:val="center"/>
              <w:ind w:right="60"/>
              <w:spacing w:after="0" w:line="133" w:lineRule="exact"/>
              <w:rPr>
                <w:rFonts w:ascii="Times New Roman" w:cs="Times New Roman" w:eastAsia="Times New Roman" w:hAnsi="Times New Roman"/>
                <w:sz w:val="12"/>
                <w:szCs w:val="12"/>
                <w:color w:val="0000FF"/>
                <w:w w:val="84"/>
              </w:rPr>
            </w:pPr>
            <w:hyperlink r:id="rId126">
              <w:r>
                <w:rPr>
                  <w:rFonts w:ascii="Times New Roman" w:cs="Times New Roman" w:eastAsia="Times New Roman" w:hAnsi="Times New Roman"/>
                  <w:sz w:val="12"/>
                  <w:szCs w:val="12"/>
                  <w:color w:val="0000FF"/>
                  <w:w w:val="84"/>
                </w:rPr>
                <w:t>10.</w:t>
              </w:r>
              <w:r>
                <w:rPr>
                  <w:rFonts w:ascii="Times New Roman" w:cs="Times New Roman" w:eastAsia="Times New Roman" w:hAnsi="Times New Roman"/>
                  <w:sz w:val="12"/>
                  <w:szCs w:val="12"/>
                  <w:u w:val="single" w:color="auto"/>
                  <w:color w:val="0000FF"/>
                  <w:w w:val="84"/>
                </w:rPr>
                <w:t>13#</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60" w:type="dxa"/>
            <w:vAlign w:val="bottom"/>
            <w:tcBorders>
              <w:bottom w:val="single" w:sz="8" w:color="0000FF"/>
            </w:tcBorders>
            <w:gridSpan w:val="17"/>
          </w:tcPr>
          <w:p>
            <w:pPr>
              <w:spacing w:after="0" w:line="133" w:lineRule="exact"/>
              <w:rPr>
                <w:rFonts w:ascii="Times New Roman" w:cs="Times New Roman" w:eastAsia="Times New Roman" w:hAnsi="Times New Roman"/>
                <w:sz w:val="12"/>
                <w:szCs w:val="12"/>
                <w:color w:val="0000FF"/>
                <w:w w:val="99"/>
              </w:rPr>
            </w:pPr>
            <w:hyperlink r:id="rId126">
              <w:r>
                <w:rPr>
                  <w:rFonts w:ascii="Times New Roman" w:cs="Times New Roman" w:eastAsia="Times New Roman" w:hAnsi="Times New Roman"/>
                  <w:sz w:val="12"/>
                  <w:szCs w:val="12"/>
                  <w:color w:val="0000FF"/>
                  <w:w w:val="99"/>
                </w:rPr>
                <w:t>Employment Agreement, dated as of November 9, 2022, by and between the Registrant and Blaine Davis</w:t>
              </w:r>
            </w:hyperlink>
          </w:p>
        </w:tc>
        <w:tc>
          <w:tcPr>
            <w:tcW w:w="540" w:type="dxa"/>
            <w:vAlign w:val="bottom"/>
            <w:gridSpan w:val="17"/>
          </w:tcPr>
          <w:p>
            <w:pPr>
              <w:spacing w:after="0"/>
              <w:rPr>
                <w:sz w:val="11"/>
                <w:szCs w:val="11"/>
                <w:color w:val="auto"/>
              </w:rPr>
            </w:pPr>
          </w:p>
        </w:tc>
      </w:tr>
      <w:tr>
        <w:trPr>
          <w:trHeight w:val="133"/>
        </w:trPr>
        <w:tc>
          <w:tcPr>
            <w:tcW w:w="740" w:type="dxa"/>
            <w:vAlign w:val="bottom"/>
            <w:gridSpan w:val="6"/>
          </w:tcPr>
          <w:p>
            <w:pPr>
              <w:jc w:val="center"/>
              <w:ind w:left="220"/>
              <w:spacing w:after="0" w:line="133" w:lineRule="exact"/>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14#</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0" w:type="dxa"/>
            <w:vAlign w:val="bottom"/>
            <w:gridSpan w:val="34"/>
          </w:tcPr>
          <w:p>
            <w:pPr>
              <w:spacing w:after="0" w:line="133" w:lineRule="exact"/>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Employment Agreement, dates as of March 26, 2024, by and between the Registrant and Christopher Jewell, Ph.D.</w:t>
              </w:r>
            </w:hyperlink>
          </w:p>
        </w:tc>
      </w:tr>
      <w:tr>
        <w:trPr>
          <w:trHeight w:val="20"/>
        </w:trPr>
        <w:tc>
          <w:tcPr>
            <w:tcW w:w="40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100" w:type="dxa"/>
            <w:vAlign w:val="bottom"/>
            <w:gridSpan w:val="23"/>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3"/>
        </w:trPr>
        <w:tc>
          <w:tcPr>
            <w:tcW w:w="660" w:type="dxa"/>
            <w:vAlign w:val="bottom"/>
            <w:gridSpan w:val="5"/>
          </w:tcPr>
          <w:p>
            <w:pPr>
              <w:jc w:val="right"/>
              <w:spacing w:after="0" w:line="133" w:lineRule="exact"/>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10.</w:t>
              </w:r>
            </w:hyperlink>
            <w:r>
              <w:rPr>
                <w:rFonts w:ascii="Times New Roman" w:cs="Times New Roman" w:eastAsia="Times New Roman" w:hAnsi="Times New Roman"/>
                <w:sz w:val="12"/>
                <w:szCs w:val="12"/>
                <w:u w:val="single" w:color="auto"/>
                <w:color w:val="0000FF"/>
              </w:rPr>
              <w:t>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0" w:type="dxa"/>
            <w:vAlign w:val="bottom"/>
            <w:gridSpan w:val="34"/>
          </w:tcPr>
          <w:p>
            <w:pPr>
              <w:spacing w:after="0" w:line="133" w:lineRule="exact"/>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Employment Agreement, dates as of March 28, 2024, by and between the Registrant and Metin Kurtoglu, M.D.,</w:t>
              </w:r>
            </w:hyperlink>
          </w:p>
        </w:tc>
      </w:tr>
      <w:tr>
        <w:trPr>
          <w:trHeight w:val="77"/>
        </w:trPr>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Borders>
              <w:top w:val="single" w:sz="8" w:color="0000FF"/>
              <w:bottom w:val="single" w:sz="8" w:color="0000FF"/>
            </w:tcBorders>
            <w:gridSpan w:val="2"/>
          </w:tcPr>
          <w:p>
            <w:pPr>
              <w:spacing w:after="0" w:line="77" w:lineRule="exact"/>
              <w:rPr>
                <w:rFonts w:ascii="Times New Roman" w:cs="Times New Roman" w:eastAsia="Times New Roman" w:hAnsi="Times New Roman"/>
                <w:sz w:val="8"/>
                <w:szCs w:val="8"/>
                <w:color w:val="0000FF"/>
              </w:rPr>
            </w:pPr>
            <w:hyperlink r:id="rId128">
              <w:r>
                <w:rPr>
                  <w:rFonts w:ascii="Times New Roman" w:cs="Times New Roman" w:eastAsia="Times New Roman" w:hAnsi="Times New Roman"/>
                  <w:sz w:val="8"/>
                  <w:szCs w:val="8"/>
                  <w:color w:val="0000FF"/>
                </w:rPr>
                <w:t>Ph.D.</w:t>
              </w:r>
            </w:hyperlink>
          </w:p>
        </w:tc>
        <w:tc>
          <w:tcPr>
            <w:tcW w:w="5100" w:type="dxa"/>
            <w:vAlign w:val="bottom"/>
            <w:tcBorders>
              <w:top w:val="single" w:sz="8" w:color="0000FF"/>
            </w:tcBorders>
            <w:gridSpan w:val="23"/>
          </w:tcPr>
          <w:p>
            <w:pPr>
              <w:spacing w:after="0"/>
              <w:rPr>
                <w:sz w:val="6"/>
                <w:szCs w:val="6"/>
                <w:color w:val="auto"/>
              </w:rPr>
            </w:pPr>
          </w:p>
        </w:tc>
        <w:tc>
          <w:tcPr>
            <w:tcW w:w="220" w:type="dxa"/>
            <w:vAlign w:val="bottom"/>
            <w:gridSpan w:val="9"/>
          </w:tcPr>
          <w:p>
            <w:pPr>
              <w:spacing w:after="0"/>
              <w:rPr>
                <w:sz w:val="6"/>
                <w:szCs w:val="6"/>
                <w:color w:val="auto"/>
              </w:rPr>
            </w:pPr>
          </w:p>
        </w:tc>
      </w:tr>
      <w:tr>
        <w:trPr>
          <w:trHeight w:val="574"/>
        </w:trPr>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16"/>
          </w:tcPr>
          <w:p>
            <w:pPr>
              <w:jc w:val="right"/>
              <w:ind w:right="180"/>
              <w:spacing w:after="0"/>
              <w:rPr>
                <w:sz w:val="20"/>
                <w:szCs w:val="20"/>
                <w:color w:val="auto"/>
              </w:rPr>
            </w:pPr>
            <w:r>
              <w:rPr>
                <w:rFonts w:ascii="Times New Roman" w:cs="Times New Roman" w:eastAsia="Times New Roman" w:hAnsi="Times New Roman"/>
                <w:sz w:val="12"/>
                <w:szCs w:val="12"/>
                <w:color w:val="auto"/>
              </w:rPr>
              <w:t>73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3/28/2024</w:t>
            </w:r>
          </w:p>
        </w:tc>
      </w:tr>
      <w:tr>
        <w:trPr>
          <w:trHeight w:val="279"/>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7/2/2024</w:t>
            </w:r>
          </w:p>
        </w:tc>
      </w:tr>
      <w:tr>
        <w:trPr>
          <w:trHeight w:val="279"/>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7/2/2024</w:t>
            </w:r>
          </w:p>
        </w:tc>
      </w:tr>
      <w:tr>
        <w:trPr>
          <w:trHeight w:val="277"/>
        </w:trPr>
        <w:tc>
          <w:tcPr>
            <w:tcW w:w="64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7"/>
              </w:rPr>
              <w:t>Filed herewith</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333-281204</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8/2/2024</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333-211555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6/8/2016</w:t>
            </w:r>
          </w:p>
        </w:tc>
      </w:tr>
      <w:tr>
        <w:trPr>
          <w:trHeight w:val="155"/>
        </w:trPr>
        <w:tc>
          <w:tcPr>
            <w:tcW w:w="64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7"/>
              </w:rPr>
              <w:t>Filed herewith</w:t>
            </w:r>
          </w:p>
        </w:tc>
      </w:tr>
      <w:tr>
        <w:trPr>
          <w:trHeight w:val="277"/>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333-276486</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1/12/2024</w:t>
            </w:r>
          </w:p>
        </w:tc>
      </w:tr>
      <w:tr>
        <w:trPr>
          <w:trHeight w:val="153"/>
        </w:trPr>
        <w:tc>
          <w:tcPr>
            <w:tcW w:w="64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7"/>
              </w:rPr>
              <w:t>Filed herewith</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333-211555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10.5</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5/24/2016</w:t>
            </w:r>
          </w:p>
        </w:tc>
      </w:tr>
      <w:tr>
        <w:trPr>
          <w:trHeight w:val="155"/>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10.6</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8/11/2017</w:t>
            </w:r>
          </w:p>
        </w:tc>
      </w:tr>
      <w:tr>
        <w:trPr>
          <w:trHeight w:val="279"/>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333-211555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10.10</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5/24/2016</w:t>
            </w:r>
          </w:p>
        </w:tc>
      </w:tr>
      <w:tr>
        <w:trPr>
          <w:trHeight w:val="277"/>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11/8/2019</w:t>
            </w:r>
          </w:p>
        </w:tc>
      </w:tr>
      <w:tr>
        <w:trPr>
          <w:trHeight w:val="155"/>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11/3/2022</w:t>
            </w:r>
          </w:p>
        </w:tc>
      </w:tr>
      <w:tr>
        <w:trPr>
          <w:trHeight w:val="279"/>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10.11(a)</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3/7/2024</w:t>
            </w:r>
          </w:p>
        </w:tc>
      </w:tr>
      <w:tr>
        <w:trPr>
          <w:trHeight w:val="279"/>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10.11(b)</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3/7/2024</w:t>
            </w:r>
          </w:p>
        </w:tc>
      </w:tr>
      <w:tr>
        <w:trPr>
          <w:trHeight w:val="279"/>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10.11(c)</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3/7/2024</w:t>
            </w:r>
          </w:p>
        </w:tc>
      </w:tr>
      <w:tr>
        <w:trPr>
          <w:trHeight w:val="277"/>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10.12</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3/7/2024</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10.3(b)</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5/8/2024</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11/7/2024</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8"/>
              </w:rPr>
              <w:t>9/27/2018</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10.15</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3/2/2023</w:t>
            </w:r>
          </w:p>
        </w:tc>
      </w:tr>
      <w:tr>
        <w:trPr>
          <w:trHeight w:val="153"/>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4/1/2024</w:t>
            </w:r>
          </w:p>
        </w:tc>
      </w:tr>
      <w:tr>
        <w:trPr>
          <w:trHeight w:val="155"/>
        </w:trPr>
        <w:tc>
          <w:tcPr>
            <w:tcW w:w="64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10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8"/>
              </w:rPr>
              <w:t>4/1/2024</w:t>
            </w:r>
          </w:p>
        </w:tc>
      </w:tr>
    </w:tbl>
    <w:p>
      <w:pPr>
        <w:sectPr>
          <w:pgSz w:w="11900" w:h="16838" w:orient="portrait"/>
          <w:cols w:equalWidth="0" w:num="2">
            <w:col w:w="6700" w:space="400"/>
            <w:col w:w="3920"/>
          </w:cols>
          <w:pgMar w:left="300" w:top="119" w:right="5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280"/>
        <w:spacing w:after="0"/>
        <w:rPr>
          <w:rFonts w:ascii="Times New Roman" w:cs="Times New Roman" w:eastAsia="Times New Roman" w:hAnsi="Times New Roman"/>
          <w:sz w:val="12"/>
          <w:szCs w:val="12"/>
          <w:u w:val="single" w:color="auto"/>
          <w:color w:val="0000FF"/>
        </w:rPr>
      </w:pPr>
      <w:hyperlink r:id="rId130">
        <w:r>
          <w:rPr>
            <w:rFonts w:ascii="Times New Roman" w:cs="Times New Roman" w:eastAsia="Times New Roman" w:hAnsi="Times New Roman"/>
            <w:sz w:val="12"/>
            <w:szCs w:val="12"/>
            <w:u w:val="single" w:color="auto"/>
            <w:color w:val="0000FF"/>
          </w:rPr>
          <w:t>10.16(a)†</w:t>
        </w:r>
      </w:hyperlink>
    </w:p>
    <w:p>
      <w:pPr>
        <w:spacing w:after="0" w:line="141" w:lineRule="exact"/>
        <w:rPr>
          <w:sz w:val="20"/>
          <w:szCs w:val="20"/>
          <w:color w:val="auto"/>
        </w:rPr>
      </w:pPr>
    </w:p>
    <w:p>
      <w:pPr>
        <w:jc w:val="center"/>
        <w:ind w:left="160"/>
        <w:spacing w:after="0"/>
        <w:rPr>
          <w:rFonts w:ascii="Times New Roman" w:cs="Times New Roman" w:eastAsia="Times New Roman" w:hAnsi="Times New Roman"/>
          <w:sz w:val="12"/>
          <w:szCs w:val="12"/>
          <w:u w:val="single" w:color="auto"/>
          <w:color w:val="0000FF"/>
        </w:rPr>
      </w:pPr>
      <w:hyperlink r:id="rId131">
        <w:r>
          <w:rPr>
            <w:rFonts w:ascii="Times New Roman" w:cs="Times New Roman" w:eastAsia="Times New Roman" w:hAnsi="Times New Roman"/>
            <w:sz w:val="12"/>
            <w:szCs w:val="12"/>
            <w:u w:val="single" w:color="auto"/>
            <w:color w:val="0000FF"/>
          </w:rPr>
          <w:t>10.16(b)†</w:t>
        </w:r>
      </w:hyperlink>
    </w:p>
    <w:p>
      <w:pPr>
        <w:spacing w:after="0" w:line="141" w:lineRule="exact"/>
        <w:rPr>
          <w:sz w:val="20"/>
          <w:szCs w:val="20"/>
          <w:color w:val="auto"/>
        </w:rPr>
      </w:pPr>
    </w:p>
    <w:p>
      <w:pPr>
        <w:ind w:left="340"/>
        <w:spacing w:after="0"/>
        <w:rPr>
          <w:rFonts w:ascii="Times New Roman" w:cs="Times New Roman" w:eastAsia="Times New Roman" w:hAnsi="Times New Roman"/>
          <w:sz w:val="12"/>
          <w:szCs w:val="12"/>
          <w:u w:val="single" w:color="auto"/>
          <w:color w:val="0000FF"/>
        </w:rPr>
      </w:pPr>
      <w:hyperlink r:id="rId132">
        <w:r>
          <w:rPr>
            <w:rFonts w:ascii="Times New Roman" w:cs="Times New Roman" w:eastAsia="Times New Roman" w:hAnsi="Times New Roman"/>
            <w:sz w:val="12"/>
            <w:szCs w:val="12"/>
            <w:u w:val="single" w:color="auto"/>
            <w:color w:val="0000FF"/>
          </w:rPr>
          <w:t>10.17†</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right="220"/>
        <w:spacing w:after="0" w:line="236" w:lineRule="auto"/>
        <w:rPr>
          <w:rFonts w:ascii="Times New Roman" w:cs="Times New Roman" w:eastAsia="Times New Roman" w:hAnsi="Times New Roman"/>
          <w:sz w:val="12"/>
          <w:szCs w:val="12"/>
          <w:u w:val="single" w:color="auto"/>
          <w:color w:val="0000FF"/>
        </w:rPr>
      </w:pPr>
      <w:hyperlink r:id="rId130">
        <w:r>
          <w:rPr>
            <w:rFonts w:ascii="Times New Roman" w:cs="Times New Roman" w:eastAsia="Times New Roman" w:hAnsi="Times New Roman"/>
            <w:sz w:val="12"/>
            <w:szCs w:val="12"/>
            <w:u w:val="single" w:color="auto"/>
            <w:color w:val="0000FF"/>
          </w:rPr>
          <w:t>License and Development Agreement, dated as of June 11, 2020, by and between the Registrant and Swedish</w:t>
        </w:r>
      </w:hyperlink>
      <w:r>
        <w:rPr>
          <w:rFonts w:ascii="Times New Roman" w:cs="Times New Roman" w:eastAsia="Times New Roman" w:hAnsi="Times New Roman"/>
          <w:sz w:val="12"/>
          <w:szCs w:val="12"/>
          <w:u w:val="single" w:color="auto"/>
          <w:color w:val="0000FF"/>
        </w:rPr>
        <w:t xml:space="preserve"> </w:t>
      </w:r>
      <w:hyperlink r:id="rId130">
        <w:r>
          <w:rPr>
            <w:rFonts w:ascii="Times New Roman" w:cs="Times New Roman" w:eastAsia="Times New Roman" w:hAnsi="Times New Roman"/>
            <w:sz w:val="12"/>
            <w:szCs w:val="12"/>
            <w:u w:val="single" w:color="auto"/>
            <w:color w:val="0000FF"/>
          </w:rPr>
          <w:t>Orphan Biovitrum AB (Publ)</w:t>
        </w:r>
      </w:hyperlink>
    </w:p>
    <w:p>
      <w:pPr>
        <w:spacing w:after="0" w:line="8" w:lineRule="exact"/>
        <w:rPr>
          <w:sz w:val="20"/>
          <w:szCs w:val="20"/>
          <w:color w:val="auto"/>
        </w:rPr>
      </w:pPr>
    </w:p>
    <w:p>
      <w:pPr>
        <w:ind w:right="160"/>
        <w:spacing w:after="0" w:line="236" w:lineRule="auto"/>
        <w:rPr>
          <w:rFonts w:ascii="Times New Roman" w:cs="Times New Roman" w:eastAsia="Times New Roman" w:hAnsi="Times New Roman"/>
          <w:sz w:val="12"/>
          <w:szCs w:val="12"/>
          <w:u w:val="single" w:color="auto"/>
          <w:color w:val="0000FF"/>
        </w:rPr>
      </w:pPr>
      <w:hyperlink r:id="rId131">
        <w:r>
          <w:rPr>
            <w:rFonts w:ascii="Times New Roman" w:cs="Times New Roman" w:eastAsia="Times New Roman" w:hAnsi="Times New Roman"/>
            <w:sz w:val="12"/>
            <w:szCs w:val="12"/>
            <w:u w:val="single" w:color="auto"/>
            <w:color w:val="0000FF"/>
          </w:rPr>
          <w:t>Amendment No. 1 to License and Development Agreement, dated as of October 31, 2023, by and between the</w:t>
        </w:r>
      </w:hyperlink>
      <w:r>
        <w:rPr>
          <w:rFonts w:ascii="Times New Roman" w:cs="Times New Roman" w:eastAsia="Times New Roman" w:hAnsi="Times New Roman"/>
          <w:sz w:val="12"/>
          <w:szCs w:val="12"/>
          <w:u w:val="single" w:color="auto"/>
          <w:color w:val="0000FF"/>
        </w:rPr>
        <w:t xml:space="preserve"> </w:t>
      </w:r>
      <w:hyperlink r:id="rId131">
        <w:r>
          <w:rPr>
            <w:rFonts w:ascii="Times New Roman" w:cs="Times New Roman" w:eastAsia="Times New Roman" w:hAnsi="Times New Roman"/>
            <w:sz w:val="12"/>
            <w:szCs w:val="12"/>
            <w:u w:val="single" w:color="auto"/>
            <w:color w:val="0000FF"/>
          </w:rPr>
          <w:t>Registrant and Swedish Orphan Biovitrum AB (Publ)</w:t>
        </w:r>
      </w:hyperlink>
    </w:p>
    <w:p>
      <w:pPr>
        <w:spacing w:after="0" w:line="80" w:lineRule="exact"/>
        <w:rPr>
          <w:sz w:val="20"/>
          <w:szCs w:val="20"/>
          <w:color w:val="auto"/>
        </w:rPr>
      </w:pPr>
    </w:p>
    <w:p>
      <w:pPr>
        <w:spacing w:after="0" w:line="225" w:lineRule="auto"/>
        <w:rPr>
          <w:rFonts w:ascii="Times New Roman" w:cs="Times New Roman" w:eastAsia="Times New Roman" w:hAnsi="Times New Roman"/>
          <w:sz w:val="12"/>
          <w:szCs w:val="12"/>
          <w:u w:val="single" w:color="auto"/>
          <w:color w:val="0000FF"/>
        </w:rPr>
      </w:pPr>
      <w:hyperlink r:id="rId132">
        <w:r>
          <w:rPr>
            <w:rFonts w:ascii="Times New Roman" w:cs="Times New Roman" w:eastAsia="Times New Roman" w:hAnsi="Times New Roman"/>
            <w:sz w:val="12"/>
            <w:szCs w:val="12"/>
            <w:u w:val="single" w:color="auto"/>
            <w:color w:val="0000FF"/>
          </w:rPr>
          <w:t>Patent License Agreement, between Cartesian Therapeutics, Inc. and the U.S. Department of Health and Human</w:t>
        </w:r>
      </w:hyperlink>
      <w:r>
        <w:rPr>
          <w:rFonts w:ascii="Times New Roman" w:cs="Times New Roman" w:eastAsia="Times New Roman" w:hAnsi="Times New Roman"/>
          <w:sz w:val="12"/>
          <w:szCs w:val="12"/>
          <w:u w:val="single" w:color="auto"/>
          <w:color w:val="0000FF"/>
        </w:rPr>
        <w:t xml:space="preserve"> </w:t>
      </w:r>
      <w:hyperlink r:id="rId132">
        <w:r>
          <w:rPr>
            <w:rFonts w:ascii="Times New Roman" w:cs="Times New Roman" w:eastAsia="Times New Roman" w:hAnsi="Times New Roman"/>
            <w:sz w:val="12"/>
            <w:szCs w:val="12"/>
            <w:u w:val="single" w:color="auto"/>
            <w:color w:val="0000FF"/>
          </w:rPr>
          <w:t>Services, as represented by the National Cancer Institute of the National Institutes of Health, dated September 16,</w:t>
        </w:r>
      </w:hyperlink>
      <w:r>
        <w:rPr>
          <w:rFonts w:ascii="Times New Roman" w:cs="Times New Roman" w:eastAsia="Times New Roman" w:hAnsi="Times New Roman"/>
          <w:sz w:val="12"/>
          <w:szCs w:val="12"/>
          <w:u w:val="single" w:color="auto"/>
          <w:color w:val="0000FF"/>
        </w:rPr>
        <w:t xml:space="preserve"> </w:t>
      </w:r>
      <w:hyperlink r:id="rId132">
        <w:r>
          <w:rPr>
            <w:rFonts w:ascii="Times New Roman" w:cs="Times New Roman" w:eastAsia="Times New Roman" w:hAnsi="Times New Roman"/>
            <w:sz w:val="12"/>
            <w:szCs w:val="12"/>
            <w:u w:val="single" w:color="auto"/>
            <w:color w:val="0000FF"/>
          </w:rPr>
          <w:t>2019</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br w:type="column"/>
      </w:r>
    </w:p>
    <w:p>
      <w:pPr>
        <w:spacing w:after="0" w:line="200" w:lineRule="exact"/>
        <w:rPr>
          <w:rFonts w:ascii="Times New Roman" w:cs="Times New Roman" w:eastAsia="Times New Roman" w:hAnsi="Times New Roman"/>
          <w:sz w:val="12"/>
          <w:szCs w:val="12"/>
          <w:u w:val="single" w:color="auto"/>
          <w:color w:val="0000FF"/>
        </w:rPr>
      </w:pPr>
    </w:p>
    <w:p>
      <w:pPr>
        <w:spacing w:after="0" w:line="374" w:lineRule="exact"/>
        <w:rPr>
          <w:rFonts w:ascii="Times New Roman" w:cs="Times New Roman" w:eastAsia="Times New Roman" w:hAnsi="Times New Roman"/>
          <w:sz w:val="12"/>
          <w:szCs w:val="12"/>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55"/>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10-Q</w:t>
            </w:r>
          </w:p>
        </w:tc>
        <w:tc>
          <w:tcPr>
            <w:tcW w:w="12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001-37798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8/6/2020</w:t>
            </w:r>
          </w:p>
        </w:tc>
      </w:tr>
      <w:tr>
        <w:trPr>
          <w:trHeight w:val="279"/>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10-K</w:t>
            </w:r>
          </w:p>
        </w:tc>
        <w:tc>
          <w:tcPr>
            <w:tcW w:w="12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001-37798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10.15(b)</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3/7/2024</w:t>
            </w:r>
          </w:p>
        </w:tc>
      </w:tr>
      <w:tr>
        <w:trPr>
          <w:trHeight w:val="279"/>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10-K</w:t>
            </w:r>
          </w:p>
        </w:tc>
        <w:tc>
          <w:tcPr>
            <w:tcW w:w="122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001-37798</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10.16</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3/7/2024</w:t>
            </w:r>
          </w:p>
        </w:tc>
      </w:tr>
    </w:tbl>
    <w:p>
      <w:pPr>
        <w:spacing w:after="0" w:line="375" w:lineRule="exact"/>
        <w:rPr>
          <w:rFonts w:ascii="Times New Roman" w:cs="Times New Roman" w:eastAsia="Times New Roman" w:hAnsi="Times New Roman"/>
          <w:sz w:val="12"/>
          <w:szCs w:val="12"/>
          <w:u w:val="single" w:color="auto"/>
          <w:color w:val="0000FF"/>
        </w:rPr>
      </w:pPr>
    </w:p>
    <w:p>
      <w:pPr>
        <w:sectPr>
          <w:pgSz w:w="11900" w:h="16838" w:orient="portrait"/>
          <w:cols w:equalWidth="0" w:num="3">
            <w:col w:w="840" w:space="280"/>
            <w:col w:w="5460" w:space="540"/>
            <w:col w:w="4040"/>
          </w:cols>
          <w:pgMar w:left="300" w:top="129" w:right="439" w:bottom="1440" w:gutter="0" w:footer="0" w:header="0"/>
        </w:sectPr>
      </w:pPr>
    </w:p>
    <w:tbl>
      <w:tblPr>
        <w:tblLayout w:type="fixed"/>
        <w:tblInd w:w="28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780" w:type="dxa"/>
            <w:vAlign w:val="bottom"/>
            <w:gridSpan w:val="8"/>
          </w:tcPr>
          <w:p>
            <w:pPr>
              <w:jc w:val="center"/>
              <w:ind w:right="460"/>
              <w:spacing w:after="0"/>
              <w:rPr>
                <w:rFonts w:ascii="Times New Roman" w:cs="Times New Roman" w:eastAsia="Times New Roman" w:hAnsi="Times New Roman"/>
                <w:sz w:val="12"/>
                <w:szCs w:val="12"/>
                <w:color w:val="0000FF"/>
                <w:w w:val="96"/>
              </w:rPr>
            </w:pPr>
            <w:hyperlink r:id="rId133">
              <w:r>
                <w:rPr>
                  <w:rFonts w:ascii="Times New Roman" w:cs="Times New Roman" w:eastAsia="Times New Roman" w:hAnsi="Times New Roman"/>
                  <w:sz w:val="12"/>
                  <w:szCs w:val="12"/>
                  <w:color w:val="0000FF"/>
                  <w:w w:val="96"/>
                </w:rPr>
                <w:t>10.</w:t>
              </w:r>
            </w:hyperlink>
            <w:r>
              <w:rPr>
                <w:rFonts w:ascii="Times New Roman" w:cs="Times New Roman" w:eastAsia="Times New Roman" w:hAnsi="Times New Roman"/>
                <w:sz w:val="12"/>
                <w:szCs w:val="12"/>
                <w:u w:val="single" w:color="auto"/>
                <w:color w:val="0000FF"/>
                <w:w w:val="96"/>
              </w:rPr>
              <w:t>18†</w:t>
            </w:r>
          </w:p>
        </w:tc>
        <w:tc>
          <w:tcPr>
            <w:tcW w:w="5600" w:type="dxa"/>
            <w:vAlign w:val="bottom"/>
            <w:gridSpan w:val="17"/>
            <w:vMerge w:val="restart"/>
          </w:tcPr>
          <w:p>
            <w:pPr>
              <w:spacing w:after="0"/>
              <w:rPr>
                <w:rFonts w:ascii="Times New Roman" w:cs="Times New Roman" w:eastAsia="Times New Roman" w:hAnsi="Times New Roman"/>
                <w:sz w:val="12"/>
                <w:szCs w:val="12"/>
                <w:color w:val="0000FF"/>
              </w:rPr>
            </w:pPr>
            <w:hyperlink r:id="rId133">
              <w:r>
                <w:rPr>
                  <w:rFonts w:ascii="Times New Roman" w:cs="Times New Roman" w:eastAsia="Times New Roman" w:hAnsi="Times New Roman"/>
                  <w:sz w:val="12"/>
                  <w:szCs w:val="12"/>
                  <w:color w:val="0000FF"/>
                </w:rPr>
                <w:t>Patent License Agreement by and between Biogen MA, Inc. and Cartesian Therapeutics, Inc., dated September 8,</w:t>
              </w:r>
            </w:hyperlink>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560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w w:val="99"/>
              </w:rPr>
            </w:pPr>
            <w:hyperlink r:id="rId133">
              <w:r>
                <w:rPr>
                  <w:rFonts w:ascii="Times New Roman" w:cs="Times New Roman" w:eastAsia="Times New Roman" w:hAnsi="Times New Roman"/>
                  <w:sz w:val="11"/>
                  <w:szCs w:val="11"/>
                  <w:color w:val="0000FF"/>
                  <w:w w:val="99"/>
                </w:rPr>
                <w:t>2023</w:t>
              </w:r>
            </w:hyperlink>
          </w:p>
        </w:tc>
        <w:tc>
          <w:tcPr>
            <w:tcW w:w="130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20" w:type="dxa"/>
            <w:vAlign w:val="bottom"/>
            <w:tcBorders>
              <w:bottom w:val="single" w:sz="8" w:color="0000FF"/>
            </w:tcBorders>
            <w:gridSpan w:val="7"/>
          </w:tcPr>
          <w:p>
            <w:pPr>
              <w:jc w:val="center"/>
              <w:spacing w:after="0"/>
              <w:rPr>
                <w:rFonts w:ascii="Times New Roman" w:cs="Times New Roman" w:eastAsia="Times New Roman" w:hAnsi="Times New Roman"/>
                <w:sz w:val="12"/>
                <w:szCs w:val="12"/>
                <w:color w:val="0000FF"/>
                <w:w w:val="96"/>
              </w:rPr>
            </w:pPr>
            <w:hyperlink r:id="rId134">
              <w:r>
                <w:rPr>
                  <w:rFonts w:ascii="Times New Roman" w:cs="Times New Roman" w:eastAsia="Times New Roman" w:hAnsi="Times New Roman"/>
                  <w:sz w:val="12"/>
                  <w:szCs w:val="12"/>
                  <w:color w:val="0000FF"/>
                  <w:w w:val="96"/>
                </w:rPr>
                <w:t>10.</w:t>
              </w:r>
            </w:hyperlink>
            <w:r>
              <w:rPr>
                <w:rFonts w:ascii="Times New Roman" w:cs="Times New Roman" w:eastAsia="Times New Roman" w:hAnsi="Times New Roman"/>
                <w:sz w:val="12"/>
                <w:szCs w:val="12"/>
                <w:u w:val="single" w:color="auto"/>
                <w:color w:val="0000FF"/>
                <w:w w:val="96"/>
              </w:rPr>
              <w:t>19#</w:t>
            </w:r>
          </w:p>
        </w:tc>
        <w:tc>
          <w:tcPr>
            <w:tcW w:w="460" w:type="dxa"/>
            <w:vAlign w:val="bottom"/>
          </w:tcPr>
          <w:p>
            <w:pPr>
              <w:spacing w:after="0"/>
              <w:rPr>
                <w:sz w:val="18"/>
                <w:szCs w:val="18"/>
                <w:color w:val="auto"/>
              </w:rPr>
            </w:pPr>
          </w:p>
        </w:tc>
        <w:tc>
          <w:tcPr>
            <w:tcW w:w="1540" w:type="dxa"/>
            <w:vAlign w:val="bottom"/>
            <w:tcBorders>
              <w:bottom w:val="single" w:sz="8" w:color="0000FF"/>
            </w:tcBorders>
            <w:gridSpan w:val="2"/>
          </w:tcPr>
          <w:p>
            <w:pPr>
              <w:spacing w:after="0"/>
              <w:rPr>
                <w:rFonts w:ascii="Times New Roman" w:cs="Times New Roman" w:eastAsia="Times New Roman" w:hAnsi="Times New Roman"/>
                <w:sz w:val="12"/>
                <w:szCs w:val="12"/>
                <w:color w:val="0000FF"/>
                <w:w w:val="98"/>
              </w:rPr>
            </w:pPr>
            <w:hyperlink r:id="rId134">
              <w:r>
                <w:rPr>
                  <w:rFonts w:ascii="Times New Roman" w:cs="Times New Roman" w:eastAsia="Times New Roman" w:hAnsi="Times New Roman"/>
                  <w:sz w:val="12"/>
                  <w:szCs w:val="12"/>
                  <w:color w:val="0000FF"/>
                  <w:w w:val="98"/>
                </w:rPr>
                <w:t>Form of Retention Bonus Letter</w:t>
              </w:r>
            </w:hyperlink>
          </w:p>
        </w:tc>
        <w:tc>
          <w:tcPr>
            <w:tcW w:w="40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0" w:type="dxa"/>
            <w:vAlign w:val="bottom"/>
            <w:gridSpan w:val="8"/>
          </w:tcPr>
          <w:p>
            <w:pPr>
              <w:jc w:val="center"/>
              <w:ind w:left="20"/>
              <w:spacing w:after="0" w:line="133" w:lineRule="exact"/>
              <w:rPr>
                <w:rFonts w:ascii="Times New Roman" w:cs="Times New Roman" w:eastAsia="Times New Roman" w:hAnsi="Times New Roman"/>
                <w:sz w:val="12"/>
                <w:szCs w:val="12"/>
                <w:color w:val="0000FF"/>
                <w:w w:val="96"/>
              </w:rPr>
            </w:pPr>
            <w:hyperlink r:id="rId135">
              <w:r>
                <w:rPr>
                  <w:rFonts w:ascii="Times New Roman" w:cs="Times New Roman" w:eastAsia="Times New Roman" w:hAnsi="Times New Roman"/>
                  <w:sz w:val="12"/>
                  <w:szCs w:val="12"/>
                  <w:color w:val="0000FF"/>
                  <w:w w:val="96"/>
                </w:rPr>
                <w:t>10.</w:t>
              </w:r>
            </w:hyperlink>
            <w:r>
              <w:rPr>
                <w:rFonts w:ascii="Times New Roman" w:cs="Times New Roman" w:eastAsia="Times New Roman" w:hAnsi="Times New Roman"/>
                <w:sz w:val="12"/>
                <w:szCs w:val="12"/>
                <w:u w:val="single" w:color="auto"/>
                <w:color w:val="0000FF"/>
                <w:w w:val="96"/>
              </w:rPr>
              <w:t>20</w:t>
            </w:r>
          </w:p>
        </w:tc>
        <w:tc>
          <w:tcPr>
            <w:tcW w:w="460" w:type="dxa"/>
            <w:vAlign w:val="bottom"/>
          </w:tcPr>
          <w:p>
            <w:pPr>
              <w:spacing w:after="0"/>
              <w:rPr>
                <w:sz w:val="13"/>
                <w:szCs w:val="13"/>
                <w:color w:val="auto"/>
              </w:rPr>
            </w:pPr>
          </w:p>
        </w:tc>
        <w:tc>
          <w:tcPr>
            <w:tcW w:w="5600" w:type="dxa"/>
            <w:vAlign w:val="bottom"/>
            <w:gridSpan w:val="17"/>
          </w:tcPr>
          <w:p>
            <w:pPr>
              <w:spacing w:after="0" w:line="133" w:lineRule="exact"/>
              <w:rPr>
                <w:rFonts w:ascii="Times New Roman" w:cs="Times New Roman" w:eastAsia="Times New Roman" w:hAnsi="Times New Roman"/>
                <w:sz w:val="12"/>
                <w:szCs w:val="12"/>
                <w:color w:val="0000FF"/>
              </w:rPr>
            </w:pPr>
            <w:hyperlink r:id="rId135">
              <w:r>
                <w:rPr>
                  <w:rFonts w:ascii="Times New Roman" w:cs="Times New Roman" w:eastAsia="Times New Roman" w:hAnsi="Times New Roman"/>
                  <w:sz w:val="12"/>
                  <w:szCs w:val="12"/>
                  <w:color w:val="0000FF"/>
                </w:rPr>
                <w:t>Securities Purchase Agreement, dated as of November 13, 2023, by and among Selecta Biosciences, Inc. and each</w:t>
              </w:r>
            </w:hyperlink>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940" w:type="dxa"/>
            <w:vAlign w:val="bottom"/>
            <w:tcBorders>
              <w:top w:val="single" w:sz="8" w:color="0000FF"/>
              <w:bottom w:val="single" w:sz="8" w:color="0000FF"/>
            </w:tcBorders>
            <w:gridSpan w:val="3"/>
          </w:tcPr>
          <w:p>
            <w:pPr>
              <w:spacing w:after="0" w:line="77" w:lineRule="exact"/>
              <w:rPr>
                <w:rFonts w:ascii="Times New Roman" w:cs="Times New Roman" w:eastAsia="Times New Roman" w:hAnsi="Times New Roman"/>
                <w:sz w:val="8"/>
                <w:szCs w:val="8"/>
                <w:color w:val="0000FF"/>
              </w:rPr>
            </w:pPr>
            <w:hyperlink r:id="rId135">
              <w:r>
                <w:rPr>
                  <w:rFonts w:ascii="Times New Roman" w:cs="Times New Roman" w:eastAsia="Times New Roman" w:hAnsi="Times New Roman"/>
                  <w:sz w:val="8"/>
                  <w:szCs w:val="8"/>
                  <w:color w:val="0000FF"/>
                </w:rPr>
                <w:t>purchaser identified on Annex A thereto</w:t>
              </w:r>
            </w:hyperlink>
          </w:p>
        </w:tc>
        <w:tc>
          <w:tcPr>
            <w:tcW w:w="3540" w:type="dxa"/>
            <w:vAlign w:val="bottom"/>
            <w:tcBorders>
              <w:top w:val="single" w:sz="8" w:color="0000FF"/>
            </w:tcBorders>
            <w:gridSpan w:val="11"/>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0" w:type="dxa"/>
            <w:vAlign w:val="bottom"/>
            <w:gridSpan w:val="2"/>
          </w:tcPr>
          <w:p>
            <w:pPr>
              <w:spacing w:after="0"/>
              <w:rPr>
                <w:sz w:val="12"/>
                <w:szCs w:val="12"/>
                <w:color w:val="auto"/>
              </w:rPr>
            </w:pPr>
          </w:p>
        </w:tc>
        <w:tc>
          <w:tcPr>
            <w:tcW w:w="280" w:type="dxa"/>
            <w:vAlign w:val="bottom"/>
            <w:gridSpan w:val="5"/>
          </w:tcPr>
          <w:p>
            <w:pPr>
              <w:jc w:val="center"/>
              <w:spacing w:after="0"/>
              <w:rPr>
                <w:rFonts w:ascii="Times New Roman" w:cs="Times New Roman" w:eastAsia="Times New Roman" w:hAnsi="Times New Roman"/>
                <w:sz w:val="12"/>
                <w:szCs w:val="12"/>
                <w:color w:val="0000FF"/>
                <w:w w:val="96"/>
              </w:rPr>
            </w:pPr>
            <w:hyperlink r:id="rId136">
              <w:r>
                <w:rPr>
                  <w:rFonts w:ascii="Times New Roman" w:cs="Times New Roman" w:eastAsia="Times New Roman" w:hAnsi="Times New Roman"/>
                  <w:sz w:val="12"/>
                  <w:szCs w:val="12"/>
                  <w:color w:val="0000FF"/>
                  <w:w w:val="96"/>
                </w:rPr>
                <w:t>10.</w:t>
              </w:r>
              <w:r>
                <w:rPr>
                  <w:rFonts w:ascii="Times New Roman" w:cs="Times New Roman" w:eastAsia="Times New Roman" w:hAnsi="Times New Roman"/>
                  <w:sz w:val="12"/>
                  <w:szCs w:val="12"/>
                  <w:u w:val="single" w:color="auto"/>
                  <w:color w:val="0000FF"/>
                  <w:w w:val="96"/>
                </w:rPr>
                <w:t>21</w:t>
              </w:r>
            </w:hyperlink>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0" w:type="dxa"/>
            <w:vAlign w:val="bottom"/>
            <w:gridSpan w:val="17"/>
          </w:tcPr>
          <w:p>
            <w:pPr>
              <w:spacing w:after="0"/>
              <w:rPr>
                <w:rFonts w:ascii="Times New Roman" w:cs="Times New Roman" w:eastAsia="Times New Roman" w:hAnsi="Times New Roman"/>
                <w:sz w:val="12"/>
                <w:szCs w:val="12"/>
                <w:color w:val="0000FF"/>
              </w:rPr>
            </w:pPr>
            <w:hyperlink r:id="rId136">
              <w:r>
                <w:rPr>
                  <w:rFonts w:ascii="Times New Roman" w:cs="Times New Roman" w:eastAsia="Times New Roman" w:hAnsi="Times New Roman"/>
                  <w:sz w:val="12"/>
                  <w:szCs w:val="12"/>
                  <w:color w:val="0000FF"/>
                </w:rPr>
                <w:t>Sales Agreement, dated as of December 13, 2024, by and between the Registrant and Leerink Partners LLC</w:t>
              </w:r>
            </w:hyperlink>
          </w:p>
        </w:tc>
        <w:tc>
          <w:tcPr>
            <w:tcW w:w="0" w:type="dxa"/>
            <w:vAlign w:val="bottom"/>
          </w:tcPr>
          <w:p>
            <w:pPr>
              <w:spacing w:after="0"/>
              <w:rPr>
                <w:sz w:val="1"/>
                <w:szCs w:val="1"/>
                <w:color w:val="auto"/>
              </w:rPr>
            </w:pPr>
          </w:p>
        </w:tc>
      </w:tr>
      <w:tr>
        <w:trPr>
          <w:trHeight w:val="133"/>
        </w:trPr>
        <w:tc>
          <w:tcPr>
            <w:tcW w:w="80" w:type="dxa"/>
            <w:vAlign w:val="bottom"/>
            <w:gridSpan w:val="2"/>
          </w:tcPr>
          <w:p>
            <w:pPr>
              <w:spacing w:after="0"/>
              <w:rPr>
                <w:sz w:val="11"/>
                <w:szCs w:val="11"/>
                <w:color w:val="auto"/>
              </w:rPr>
            </w:pPr>
          </w:p>
        </w:tc>
        <w:tc>
          <w:tcPr>
            <w:tcW w:w="80" w:type="dxa"/>
            <w:vAlign w:val="bottom"/>
            <w:tcBorders>
              <w:top w:val="single" w:sz="8" w:color="0000FF"/>
            </w:tcBorders>
            <w:gridSpan w:val="2"/>
          </w:tcPr>
          <w:p>
            <w:pPr>
              <w:spacing w:after="0"/>
              <w:rPr>
                <w:sz w:val="11"/>
                <w:szCs w:val="11"/>
                <w:color w:val="auto"/>
              </w:rPr>
            </w:pPr>
          </w:p>
        </w:tc>
        <w:tc>
          <w:tcPr>
            <w:tcW w:w="180" w:type="dxa"/>
            <w:vAlign w:val="bottom"/>
            <w:tcBorders>
              <w:top w:val="single" w:sz="8" w:color="0000FF"/>
              <w:bottom w:val="single" w:sz="8" w:color="0000FF"/>
            </w:tcBorders>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85"/>
              </w:rPr>
              <w:t>19.</w:t>
            </w:r>
            <w:r>
              <w:rPr>
                <w:rFonts w:ascii="Times New Roman" w:cs="Times New Roman" w:eastAsia="Times New Roman" w:hAnsi="Times New Roman"/>
                <w:sz w:val="12"/>
                <w:szCs w:val="12"/>
                <w:u w:val="single" w:color="auto"/>
                <w:color w:val="0000FF"/>
                <w:w w:val="85"/>
              </w:rPr>
              <w:t>1</w:t>
            </w: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60" w:type="dxa"/>
            <w:vAlign w:val="bottom"/>
            <w:tcBorders>
              <w:top w:val="single" w:sz="8" w:color="0000FF"/>
              <w:bottom w:val="single" w:sz="8" w:color="0000FF"/>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FF"/>
                <w:w w:val="99"/>
              </w:rPr>
              <w:t>Cartesian Therapeutics, Inc. Insider Trading Policy</w:t>
            </w:r>
          </w:p>
        </w:tc>
        <w:tc>
          <w:tcPr>
            <w:tcW w:w="2700" w:type="dxa"/>
            <w:vAlign w:val="bottom"/>
            <w:tcBorders>
              <w:top w:val="single" w:sz="8" w:color="0000FF"/>
            </w:tcBorders>
            <w:gridSpan w:val="7"/>
          </w:tcPr>
          <w:p>
            <w:pPr>
              <w:spacing w:after="0"/>
              <w:rPr>
                <w:sz w:val="11"/>
                <w:szCs w:val="11"/>
                <w:color w:val="auto"/>
              </w:rPr>
            </w:pPr>
          </w:p>
        </w:tc>
        <w:tc>
          <w:tcPr>
            <w:tcW w:w="4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gridSpan w:val="4"/>
          </w:tcPr>
          <w:p>
            <w:pPr>
              <w:spacing w:after="0"/>
              <w:rPr>
                <w:sz w:val="11"/>
                <w:szCs w:val="11"/>
                <w:color w:val="auto"/>
              </w:rPr>
            </w:pPr>
          </w:p>
        </w:tc>
        <w:tc>
          <w:tcPr>
            <w:tcW w:w="180" w:type="dxa"/>
            <w:vAlign w:val="bottom"/>
            <w:tcBorders>
              <w:bottom w:val="single" w:sz="8" w:color="0000FF"/>
            </w:tcBorders>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85"/>
              </w:rPr>
              <w:t>21.</w:t>
            </w:r>
            <w:r>
              <w:rPr>
                <w:rFonts w:ascii="Times New Roman" w:cs="Times New Roman" w:eastAsia="Times New Roman" w:hAnsi="Times New Roman"/>
                <w:sz w:val="12"/>
                <w:szCs w:val="12"/>
                <w:u w:val="single" w:color="auto"/>
                <w:color w:val="0000FF"/>
                <w:w w:val="85"/>
              </w:rPr>
              <w:t>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Borders>
              <w:bottom w:val="single" w:sz="8" w:color="0000FF"/>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FF"/>
                <w:w w:val="99"/>
              </w:rPr>
              <w:t>Subsidiaries of Cartesian Therapeutics, Inc.</w:t>
            </w:r>
          </w:p>
        </w:tc>
        <w:tc>
          <w:tcPr>
            <w:tcW w:w="350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gridSpan w:val="4"/>
          </w:tcPr>
          <w:p>
            <w:pPr>
              <w:spacing w:after="0"/>
              <w:rPr>
                <w:sz w:val="11"/>
                <w:szCs w:val="11"/>
                <w:color w:val="auto"/>
              </w:rPr>
            </w:pPr>
          </w:p>
        </w:tc>
        <w:tc>
          <w:tcPr>
            <w:tcW w:w="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85"/>
              </w:rPr>
              <w:t>23.</w:t>
            </w:r>
            <w:r>
              <w:rPr>
                <w:rFonts w:ascii="Times New Roman" w:cs="Times New Roman" w:eastAsia="Times New Roman" w:hAnsi="Times New Roman"/>
                <w:sz w:val="12"/>
                <w:szCs w:val="12"/>
                <w:u w:val="single" w:color="auto"/>
                <w:color w:val="0000FF"/>
                <w:w w:val="85"/>
              </w:rPr>
              <w:t>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0" w:type="dxa"/>
            <w:vAlign w:val="bottom"/>
            <w:gridSpan w:val="4"/>
          </w:tcPr>
          <w:p>
            <w:pPr>
              <w:spacing w:after="0"/>
              <w:rPr>
                <w:sz w:val="11"/>
                <w:szCs w:val="11"/>
                <w:color w:val="auto"/>
              </w:rPr>
            </w:pPr>
          </w:p>
        </w:tc>
        <w:tc>
          <w:tcPr>
            <w:tcW w:w="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85"/>
              </w:rPr>
              <w:t>31.</w:t>
            </w:r>
            <w:r>
              <w:rPr>
                <w:rFonts w:ascii="Times New Roman" w:cs="Times New Roman" w:eastAsia="Times New Roman" w:hAnsi="Times New Roman"/>
                <w:sz w:val="12"/>
                <w:szCs w:val="12"/>
                <w:u w:val="single" w:color="auto"/>
                <w:color w:val="0000FF"/>
                <w:w w:val="85"/>
              </w:rPr>
              <w:t>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rPr>
              <w:t>Certification of Principal Executive Officer pursuant to Rule 13a-14(a) or Rule 15d-14(a) of the Securities</w:t>
            </w: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520" w:type="dxa"/>
            <w:vAlign w:val="bottom"/>
            <w:tcBorders>
              <w:top w:val="single" w:sz="8" w:color="0000FF"/>
              <w:bottom w:val="single" w:sz="8" w:color="0000FF"/>
            </w:tcBorders>
            <w:gridSpan w:val="10"/>
          </w:tcPr>
          <w:p>
            <w:pPr>
              <w:spacing w:after="0" w:line="97" w:lineRule="exact"/>
              <w:rPr>
                <w:sz w:val="20"/>
                <w:szCs w:val="20"/>
                <w:color w:val="auto"/>
              </w:rPr>
            </w:pPr>
            <w:r>
              <w:rPr>
                <w:rFonts w:ascii="Times New Roman" w:cs="Times New Roman" w:eastAsia="Times New Roman" w:hAnsi="Times New Roman"/>
                <w:sz w:val="11"/>
                <w:szCs w:val="11"/>
                <w:color w:val="0000FF"/>
              </w:rPr>
              <w:t>Exchange Act of 1934, as adopted pursuant to Section 302 of the Sarbanes-Oxley Act of 2002</w:t>
            </w:r>
          </w:p>
        </w:tc>
        <w:tc>
          <w:tcPr>
            <w:tcW w:w="580" w:type="dxa"/>
            <w:vAlign w:val="bottom"/>
            <w:tcBorders>
              <w:top w:val="single" w:sz="8" w:color="0000FF"/>
            </w:tcBorders>
          </w:tcPr>
          <w:p>
            <w:pPr>
              <w:spacing w:after="0"/>
              <w:rPr>
                <w:sz w:val="8"/>
                <w:szCs w:val="8"/>
                <w:color w:val="auto"/>
              </w:rPr>
            </w:pPr>
          </w:p>
        </w:tc>
        <w:tc>
          <w:tcPr>
            <w:tcW w:w="40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40" w:type="dxa"/>
            <w:vAlign w:val="bottom"/>
            <w:gridSpan w:val="6"/>
          </w:tcPr>
          <w:p>
            <w:pPr>
              <w:jc w:val="center"/>
              <w:ind w:left="60"/>
              <w:spacing w:after="0"/>
              <w:rPr>
                <w:sz w:val="20"/>
                <w:szCs w:val="20"/>
                <w:color w:val="auto"/>
              </w:rPr>
            </w:pPr>
            <w:r>
              <w:rPr>
                <w:rFonts w:ascii="Times New Roman" w:cs="Times New Roman" w:eastAsia="Times New Roman" w:hAnsi="Times New Roman"/>
                <w:sz w:val="12"/>
                <w:szCs w:val="12"/>
                <w:color w:val="0000FF"/>
              </w:rPr>
              <w:t>31.</w:t>
            </w:r>
            <w:r>
              <w:rPr>
                <w:rFonts w:ascii="Times New Roman" w:cs="Times New Roman" w:eastAsia="Times New Roman" w:hAnsi="Times New Roman"/>
                <w:sz w:val="12"/>
                <w:szCs w:val="12"/>
                <w:u w:val="single" w:color="auto"/>
                <w:color w:val="0000FF"/>
              </w:rPr>
              <w:t>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Certification of Principal Financial Officer pursuant to Rule 13a-14(a) or Rule 15d-14(a) of the Securities Exchange</w:t>
            </w: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20" w:type="dxa"/>
            <w:vAlign w:val="bottom"/>
            <w:tcBorders>
              <w:top w:val="single" w:sz="8" w:color="0000FF"/>
              <w:bottom w:val="single" w:sz="8" w:color="0000FF"/>
            </w:tcBorders>
            <w:gridSpan w:val="9"/>
          </w:tcPr>
          <w:p>
            <w:pPr>
              <w:spacing w:after="0" w:line="97" w:lineRule="exact"/>
              <w:rPr>
                <w:sz w:val="20"/>
                <w:szCs w:val="20"/>
                <w:color w:val="auto"/>
              </w:rPr>
            </w:pPr>
            <w:r>
              <w:rPr>
                <w:rFonts w:ascii="Times New Roman" w:cs="Times New Roman" w:eastAsia="Times New Roman" w:hAnsi="Times New Roman"/>
                <w:sz w:val="11"/>
                <w:szCs w:val="11"/>
                <w:color w:val="0000FF"/>
              </w:rPr>
              <w:t>Act of 1934, as adopted pursuant to Section 302 of the Sarbanes-Oxley Act of 2002</w:t>
            </w:r>
          </w:p>
        </w:tc>
        <w:tc>
          <w:tcPr>
            <w:tcW w:w="1560" w:type="dxa"/>
            <w:vAlign w:val="bottom"/>
            <w:tcBorders>
              <w:top w:val="single" w:sz="8" w:color="0000FF"/>
            </w:tcBorders>
            <w:gridSpan w:val="7"/>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40" w:type="dxa"/>
            <w:vAlign w:val="bottom"/>
            <w:gridSpan w:val="6"/>
          </w:tcPr>
          <w:p>
            <w:pPr>
              <w:jc w:val="center"/>
              <w:ind w:left="60"/>
              <w:spacing w:after="0"/>
              <w:rPr>
                <w:sz w:val="20"/>
                <w:szCs w:val="20"/>
                <w:color w:val="auto"/>
              </w:rPr>
            </w:pPr>
            <w:r>
              <w:rPr>
                <w:rFonts w:ascii="Times New Roman" w:cs="Times New Roman" w:eastAsia="Times New Roman" w:hAnsi="Times New Roman"/>
                <w:sz w:val="12"/>
                <w:szCs w:val="12"/>
                <w:color w:val="0000FF"/>
              </w:rPr>
              <w:t>32.</w:t>
            </w:r>
            <w:r>
              <w:rPr>
                <w:rFonts w:ascii="Times New Roman" w:cs="Times New Roman" w:eastAsia="Times New Roman" w:hAnsi="Times New Roman"/>
                <w:sz w:val="12"/>
                <w:szCs w:val="12"/>
                <w:u w:val="single" w:color="auto"/>
                <w:color w:val="0000FF"/>
              </w:rPr>
              <w:t>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60" w:type="dxa"/>
            <w:vAlign w:val="bottom"/>
            <w:tcBorders>
              <w:top w:val="single" w:sz="8" w:color="0000FF"/>
              <w:bottom w:val="single" w:sz="8" w:color="0000FF"/>
            </w:tcBorders>
            <w:gridSpan w:val="7"/>
          </w:tcPr>
          <w:p>
            <w:pPr>
              <w:spacing w:after="0" w:line="77" w:lineRule="exact"/>
              <w:rPr>
                <w:sz w:val="20"/>
                <w:szCs w:val="20"/>
                <w:color w:val="auto"/>
              </w:rPr>
            </w:pPr>
            <w:r>
              <w:rPr>
                <w:rFonts w:ascii="Times New Roman" w:cs="Times New Roman" w:eastAsia="Times New Roman" w:hAnsi="Times New Roman"/>
                <w:sz w:val="8"/>
                <w:szCs w:val="8"/>
                <w:color w:val="0000FF"/>
              </w:rPr>
              <w:t>adopted pursuant to Section 906 of the Sarbanes-Oxley Act of 2002</w:t>
            </w:r>
          </w:p>
        </w:tc>
        <w:tc>
          <w:tcPr>
            <w:tcW w:w="2240" w:type="dxa"/>
            <w:vAlign w:val="bottom"/>
            <w:tcBorders>
              <w:top w:val="single" w:sz="8" w:color="0000FF"/>
            </w:tcBorders>
            <w:gridSpan w:val="8"/>
          </w:tcPr>
          <w:p>
            <w:pPr>
              <w:spacing w:after="0"/>
              <w:rPr>
                <w:sz w:val="6"/>
                <w:szCs w:val="6"/>
                <w:color w:val="auto"/>
              </w:rPr>
            </w:pP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60" w:type="dxa"/>
            <w:vAlign w:val="bottom"/>
            <w:gridSpan w:val="4"/>
          </w:tcPr>
          <w:p>
            <w:pPr>
              <w:spacing w:after="0"/>
              <w:rPr>
                <w:sz w:val="12"/>
                <w:szCs w:val="12"/>
                <w:color w:val="auto"/>
              </w:rPr>
            </w:pPr>
          </w:p>
        </w:tc>
        <w:tc>
          <w:tcPr>
            <w:tcW w:w="120" w:type="dxa"/>
            <w:vAlign w:val="bottom"/>
            <w:tcBorders>
              <w:bottom w:val="single" w:sz="8" w:color="0000FF"/>
            </w:tcBorders>
          </w:tcPr>
          <w:p>
            <w:pPr>
              <w:jc w:val="center"/>
              <w:spacing w:after="0"/>
              <w:rPr>
                <w:rFonts w:ascii="Times New Roman" w:cs="Times New Roman" w:eastAsia="Times New Roman" w:hAnsi="Times New Roman"/>
                <w:sz w:val="12"/>
                <w:szCs w:val="12"/>
                <w:color w:val="0000FF"/>
                <w:w w:val="99"/>
              </w:rPr>
            </w:pPr>
            <w:hyperlink r:id="rId137">
              <w:r>
                <w:rPr>
                  <w:rFonts w:ascii="Times New Roman" w:cs="Times New Roman" w:eastAsia="Times New Roman" w:hAnsi="Times New Roman"/>
                  <w:sz w:val="12"/>
                  <w:szCs w:val="12"/>
                  <w:color w:val="0000FF"/>
                  <w:w w:val="99"/>
                </w:rPr>
                <w:t>97</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20" w:type="dxa"/>
            <w:vAlign w:val="bottom"/>
            <w:tcBorders>
              <w:bottom w:val="single" w:sz="8" w:color="0000FF"/>
            </w:tcBorders>
            <w:gridSpan w:val="6"/>
          </w:tcPr>
          <w:p>
            <w:pPr>
              <w:spacing w:after="0"/>
              <w:rPr>
                <w:rFonts w:ascii="Times New Roman" w:cs="Times New Roman" w:eastAsia="Times New Roman" w:hAnsi="Times New Roman"/>
                <w:sz w:val="12"/>
                <w:szCs w:val="12"/>
                <w:color w:val="0000FF"/>
                <w:w w:val="99"/>
              </w:rPr>
            </w:pPr>
            <w:hyperlink r:id="rId137">
              <w:r>
                <w:rPr>
                  <w:rFonts w:ascii="Times New Roman" w:cs="Times New Roman" w:eastAsia="Times New Roman" w:hAnsi="Times New Roman"/>
                  <w:sz w:val="12"/>
                  <w:szCs w:val="12"/>
                  <w:color w:val="0000FF"/>
                  <w:w w:val="99"/>
                </w:rPr>
                <w:t>Cartesian Therapeutics, Inc. Compensation Clawback Policy</w:t>
              </w:r>
            </w:hyperlink>
          </w:p>
        </w:tc>
        <w:tc>
          <w:tcPr>
            <w:tcW w:w="268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gridSpan w:val="9"/>
          </w:tcPr>
          <w:p>
            <w:pPr>
              <w:jc w:val="center"/>
              <w:ind w:right="400"/>
              <w:spacing w:after="0" w:line="124" w:lineRule="exact"/>
              <w:rPr>
                <w:sz w:val="20"/>
                <w:szCs w:val="20"/>
                <w:color w:val="auto"/>
              </w:rPr>
            </w:pPr>
            <w:r>
              <w:rPr>
                <w:rFonts w:ascii="Times New Roman" w:cs="Times New Roman" w:eastAsia="Times New Roman" w:hAnsi="Times New Roman"/>
                <w:sz w:val="12"/>
                <w:szCs w:val="12"/>
                <w:color w:val="auto"/>
                <w:w w:val="99"/>
              </w:rPr>
              <w:t>101.INS</w:t>
            </w:r>
          </w:p>
        </w:tc>
        <w:tc>
          <w:tcPr>
            <w:tcW w:w="5600" w:type="dxa"/>
            <w:vAlign w:val="bottom"/>
            <w:gridSpan w:val="17"/>
          </w:tcPr>
          <w:p>
            <w:pPr>
              <w:spacing w:after="0" w:line="124" w:lineRule="exact"/>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XBRL tags are embedded within the Inline XBRL Document</w:t>
            </w:r>
          </w:p>
        </w:tc>
        <w:tc>
          <w:tcPr>
            <w:tcW w:w="0" w:type="dxa"/>
            <w:vAlign w:val="bottom"/>
          </w:tcPr>
          <w:p>
            <w:pPr>
              <w:spacing w:after="0"/>
              <w:rPr>
                <w:sz w:val="1"/>
                <w:szCs w:val="1"/>
                <w:color w:val="auto"/>
              </w:rPr>
            </w:pPr>
          </w:p>
        </w:tc>
      </w:tr>
      <w:tr>
        <w:trPr>
          <w:trHeight w:val="158"/>
        </w:trPr>
        <w:tc>
          <w:tcPr>
            <w:tcW w:w="840" w:type="dxa"/>
            <w:vAlign w:val="bottom"/>
            <w:gridSpan w:val="9"/>
          </w:tcPr>
          <w:p>
            <w:pPr>
              <w:jc w:val="center"/>
              <w:ind w:right="400"/>
              <w:spacing w:after="0"/>
              <w:rPr>
                <w:sz w:val="20"/>
                <w:szCs w:val="20"/>
                <w:color w:val="auto"/>
              </w:rPr>
            </w:pPr>
            <w:r>
              <w:rPr>
                <w:rFonts w:ascii="Times New Roman" w:cs="Times New Roman" w:eastAsia="Times New Roman" w:hAnsi="Times New Roman"/>
                <w:sz w:val="12"/>
                <w:szCs w:val="12"/>
                <w:color w:val="auto"/>
                <w:w w:val="99"/>
              </w:rPr>
              <w:t>101.SCH</w:t>
            </w: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c>
          <w:tcPr>
            <w:tcW w:w="0" w:type="dxa"/>
            <w:vAlign w:val="bottom"/>
          </w:tcPr>
          <w:p>
            <w:pPr>
              <w:spacing w:after="0"/>
              <w:rPr>
                <w:sz w:val="1"/>
                <w:szCs w:val="1"/>
                <w:color w:val="auto"/>
              </w:rPr>
            </w:pPr>
          </w:p>
        </w:tc>
      </w:tr>
      <w:tr>
        <w:trPr>
          <w:trHeight w:val="153"/>
        </w:trPr>
        <w:tc>
          <w:tcPr>
            <w:tcW w:w="840" w:type="dxa"/>
            <w:vAlign w:val="bottom"/>
            <w:gridSpan w:val="9"/>
          </w:tcPr>
          <w:p>
            <w:pPr>
              <w:jc w:val="center"/>
              <w:ind w:right="380"/>
              <w:spacing w:after="0"/>
              <w:rPr>
                <w:sz w:val="20"/>
                <w:szCs w:val="20"/>
                <w:color w:val="auto"/>
              </w:rPr>
            </w:pPr>
            <w:r>
              <w:rPr>
                <w:rFonts w:ascii="Times New Roman" w:cs="Times New Roman" w:eastAsia="Times New Roman" w:hAnsi="Times New Roman"/>
                <w:sz w:val="12"/>
                <w:szCs w:val="12"/>
                <w:color w:val="auto"/>
              </w:rPr>
              <w:t>101.CAL</w:t>
            </w: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153"/>
        </w:trPr>
        <w:tc>
          <w:tcPr>
            <w:tcW w:w="840" w:type="dxa"/>
            <w:vAlign w:val="bottom"/>
            <w:gridSpan w:val="9"/>
          </w:tcPr>
          <w:p>
            <w:pPr>
              <w:jc w:val="center"/>
              <w:ind w:right="400"/>
              <w:spacing w:after="0"/>
              <w:rPr>
                <w:sz w:val="20"/>
                <w:szCs w:val="20"/>
                <w:color w:val="auto"/>
              </w:rPr>
            </w:pPr>
            <w:r>
              <w:rPr>
                <w:rFonts w:ascii="Times New Roman" w:cs="Times New Roman" w:eastAsia="Times New Roman" w:hAnsi="Times New Roman"/>
                <w:sz w:val="12"/>
                <w:szCs w:val="12"/>
                <w:color w:val="auto"/>
              </w:rPr>
              <w:t>101.DEF</w:t>
            </w: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153"/>
        </w:trPr>
        <w:tc>
          <w:tcPr>
            <w:tcW w:w="840" w:type="dxa"/>
            <w:vAlign w:val="bottom"/>
            <w:gridSpan w:val="9"/>
          </w:tcPr>
          <w:p>
            <w:pPr>
              <w:jc w:val="center"/>
              <w:ind w:right="380"/>
              <w:spacing w:after="0"/>
              <w:rPr>
                <w:sz w:val="20"/>
                <w:szCs w:val="20"/>
                <w:color w:val="auto"/>
              </w:rPr>
            </w:pPr>
            <w:r>
              <w:rPr>
                <w:rFonts w:ascii="Times New Roman" w:cs="Times New Roman" w:eastAsia="Times New Roman" w:hAnsi="Times New Roman"/>
                <w:sz w:val="12"/>
                <w:szCs w:val="12"/>
                <w:color w:val="auto"/>
              </w:rPr>
              <w:t>101.LAB</w:t>
            </w: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155"/>
        </w:trPr>
        <w:tc>
          <w:tcPr>
            <w:tcW w:w="840" w:type="dxa"/>
            <w:vAlign w:val="bottom"/>
            <w:gridSpan w:val="9"/>
          </w:tcPr>
          <w:p>
            <w:pPr>
              <w:jc w:val="center"/>
              <w:ind w:right="380"/>
              <w:spacing w:after="0"/>
              <w:rPr>
                <w:sz w:val="20"/>
                <w:szCs w:val="20"/>
                <w:color w:val="auto"/>
              </w:rPr>
            </w:pPr>
            <w:r>
              <w:rPr>
                <w:rFonts w:ascii="Times New Roman" w:cs="Times New Roman" w:eastAsia="Times New Roman" w:hAnsi="Times New Roman"/>
                <w:sz w:val="12"/>
                <w:szCs w:val="12"/>
                <w:color w:val="auto"/>
                <w:w w:val="97"/>
              </w:rPr>
              <w:t>101.PRE</w:t>
            </w:r>
          </w:p>
        </w:tc>
        <w:tc>
          <w:tcPr>
            <w:tcW w:w="560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c>
          <w:tcPr>
            <w:tcW w:w="0" w:type="dxa"/>
            <w:vAlign w:val="bottom"/>
          </w:tcPr>
          <w:p>
            <w:pPr>
              <w:spacing w:after="0"/>
              <w:rPr>
                <w:sz w:val="1"/>
                <w:szCs w:val="1"/>
                <w:color w:val="auto"/>
              </w:rPr>
            </w:pPr>
          </w:p>
        </w:tc>
      </w:tr>
    </w:tbl>
    <w:p>
      <w:pPr>
        <w:ind w:left="1120" w:hanging="705"/>
        <w:spacing w:after="0"/>
        <w:tabs>
          <w:tab w:leader="none" w:pos="11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contained in Exhibit 101)</w:t>
      </w:r>
    </w:p>
    <w:p>
      <w:pPr>
        <w:spacing w:after="0" w:line="85"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Indicates management contract or compensatory plan.</w:t>
      </w: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60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3/7/2024</w:t>
            </w:r>
          </w:p>
        </w:tc>
      </w:tr>
      <w:tr>
        <w:trPr>
          <w:trHeight w:val="421"/>
        </w:trPr>
        <w:tc>
          <w:tcPr>
            <w:tcW w:w="60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11/13/2023</w:t>
            </w:r>
          </w:p>
        </w:tc>
      </w:tr>
      <w:tr>
        <w:trPr>
          <w:trHeight w:val="155"/>
        </w:trPr>
        <w:tc>
          <w:tcPr>
            <w:tcW w:w="60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11/13/2023</w:t>
            </w:r>
          </w:p>
        </w:tc>
      </w:tr>
      <w:tr>
        <w:trPr>
          <w:trHeight w:val="277"/>
        </w:trPr>
        <w:tc>
          <w:tcPr>
            <w:tcW w:w="60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S-3</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333-283803</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1.2</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12/13/2024</w:t>
            </w:r>
          </w:p>
        </w:tc>
      </w:tr>
      <w:tr>
        <w:trPr>
          <w:trHeight w:val="153"/>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3"/>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3"/>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5"/>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279"/>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279"/>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Furnished herewith</w:t>
            </w:r>
          </w:p>
        </w:tc>
      </w:tr>
      <w:tr>
        <w:trPr>
          <w:trHeight w:val="277"/>
        </w:trPr>
        <w:tc>
          <w:tcPr>
            <w:tcW w:w="60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001-37798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97</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3/7/2024</w:t>
            </w:r>
          </w:p>
        </w:tc>
      </w:tr>
      <w:tr>
        <w:trPr>
          <w:trHeight w:val="155"/>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277"/>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3"/>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3"/>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3"/>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3"/>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r>
        <w:trPr>
          <w:trHeight w:val="155"/>
        </w:trPr>
        <w:tc>
          <w:tcPr>
            <w:tcW w:w="6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Filed herewith</w:t>
            </w:r>
          </w:p>
        </w:tc>
      </w:tr>
    </w:tbl>
    <w:p>
      <w:pPr>
        <w:sectPr>
          <w:pgSz w:w="11900" w:h="16838" w:orient="portrait"/>
          <w:cols w:equalWidth="0" w:num="2">
            <w:col w:w="6700" w:space="420"/>
            <w:col w:w="4040"/>
          </w:cols>
          <w:pgMar w:left="300" w:top="129" w:right="4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left="1120" w:right="180"/>
        <w:spacing w:after="0" w:line="236" w:lineRule="auto"/>
        <w:tabs>
          <w:tab w:leader="none" w:pos="121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80" w:lineRule="exact"/>
        <w:rPr>
          <w:sz w:val="20"/>
          <w:szCs w:val="20"/>
          <w:color w:val="auto"/>
        </w:rPr>
      </w:pPr>
    </w:p>
    <w:p>
      <w:pPr>
        <w:ind w:left="1120"/>
        <w:spacing w:after="0" w:line="236" w:lineRule="auto"/>
        <w:tabs>
          <w:tab w:leader="none" w:pos="121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confidential information contained in this exhibit, marked by brackets and asterisks, has been omitted pursuant to Item 601(b)(10)(iv) of Regulation S-K because the information (i) is not material and (ii) is the type of information that the Company both customarily and actually treats as private and confidential.</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20" w:type="dxa"/>
            <w:vAlign w:val="bottom"/>
          </w:tcPr>
          <w:p>
            <w:pPr>
              <w:spacing w:after="0"/>
              <w:rPr>
                <w:sz w:val="13"/>
                <w:szCs w:val="13"/>
                <w:color w:val="auto"/>
              </w:rPr>
            </w:pPr>
          </w:p>
        </w:tc>
        <w:tc>
          <w:tcPr>
            <w:tcW w:w="7160" w:type="dxa"/>
            <w:vAlign w:val="bottom"/>
            <w:gridSpan w:val="2"/>
          </w:tcPr>
          <w:p>
            <w:pPr>
              <w:ind w:left="3060"/>
              <w:spacing w:after="0"/>
              <w:rPr>
                <w:sz w:val="20"/>
                <w:szCs w:val="20"/>
                <w:color w:val="auto"/>
              </w:rPr>
            </w:pPr>
            <w:r>
              <w:rPr>
                <w:rFonts w:ascii="Times New Roman" w:cs="Times New Roman" w:eastAsia="Times New Roman" w:hAnsi="Times New Roman"/>
                <w:sz w:val="12"/>
                <w:szCs w:val="12"/>
                <w:b w:val="1"/>
                <w:bCs w:val="1"/>
                <w:color w:val="auto"/>
              </w:rPr>
              <w:t>CARTESIAN THERAPEUTICS, INC.</w:t>
            </w:r>
          </w:p>
        </w:tc>
      </w:tr>
      <w:tr>
        <w:trPr>
          <w:trHeight w:val="306"/>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Date: March 13, 2025</w:t>
            </w:r>
          </w:p>
        </w:tc>
        <w:tc>
          <w:tcPr>
            <w:tcW w:w="3540" w:type="dxa"/>
            <w:vAlign w:val="bottom"/>
          </w:tcPr>
          <w:p>
            <w:pPr>
              <w:ind w:left="3060"/>
              <w:spacing w:after="0"/>
              <w:rPr>
                <w:sz w:val="20"/>
                <w:szCs w:val="20"/>
                <w:color w:val="auto"/>
              </w:rPr>
            </w:pPr>
            <w:r>
              <w:rPr>
                <w:rFonts w:ascii="Times New Roman" w:cs="Times New Roman" w:eastAsia="Times New Roman" w:hAnsi="Times New Roman"/>
                <w:sz w:val="12"/>
                <w:szCs w:val="12"/>
                <w:color w:val="auto"/>
              </w:rPr>
              <w:t>By:</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4"/>
        </w:trPr>
        <w:tc>
          <w:tcPr>
            <w:tcW w:w="4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Carsten Brunn, Ph.D.</w:t>
            </w:r>
          </w:p>
        </w:tc>
      </w:tr>
    </w:tbl>
    <w:p>
      <w:pPr>
        <w:ind w:left="8560"/>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by the following persons on behalf of the registrant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Signature</w:t>
            </w:r>
          </w:p>
        </w:tc>
        <w:tc>
          <w:tcPr>
            <w:tcW w:w="120" w:type="dxa"/>
            <w:vAlign w:val="bottom"/>
          </w:tcPr>
          <w:p>
            <w:pPr>
              <w:spacing w:after="0"/>
              <w:rPr>
                <w:sz w:val="13"/>
                <w:szCs w:val="13"/>
                <w:color w:val="auto"/>
              </w:rPr>
            </w:pP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120" w:type="dxa"/>
            <w:vAlign w:val="bottom"/>
          </w:tcPr>
          <w:p>
            <w:pPr>
              <w:spacing w:after="0"/>
              <w:rPr>
                <w:sz w:val="13"/>
                <w:szCs w:val="13"/>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31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Carsten Brunn, Ph.D.</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President and Chief Executive Officer, and 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Carsten Brunn, Ph.D.</w:t>
            </w:r>
          </w:p>
        </w:tc>
        <w:tc>
          <w:tcPr>
            <w:tcW w:w="120" w:type="dxa"/>
            <w:vAlign w:val="bottom"/>
          </w:tcPr>
          <w:p>
            <w:pPr>
              <w:spacing w:after="0"/>
              <w:rPr>
                <w:sz w:val="12"/>
                <w:szCs w:val="12"/>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(Principal Executive Officer)</w:t>
            </w: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Blaine Davis</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Chief Financial Officer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Blaine Davis</w:t>
            </w:r>
          </w:p>
        </w:tc>
        <w:tc>
          <w:tcPr>
            <w:tcW w:w="120" w:type="dxa"/>
            <w:vAlign w:val="bottom"/>
          </w:tcPr>
          <w:p>
            <w:pPr>
              <w:spacing w:after="0"/>
              <w:rPr>
                <w:sz w:val="12"/>
                <w:szCs w:val="12"/>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(Principal Financial and Accounting Officer)</w:t>
            </w: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Carrie S. Cox</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Carrie S. Cox</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Timothy C. Barabe</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Timothy C. Barabe</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Nishan de Silva, M.D.</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Nishan de Silva, M.D.</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Murat Kalayoglu, M.D., Ph.D.</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Murat Kalayoglu, M.D., Ph.D.</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Kemal Malik MBBS</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Kemal Malik, MBBS</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Michael Singer, M.D., Ph.D.</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Michael Singer, M.D., Ph.D.</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Timothy Springer, Ph.D.</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Timothy Springer, Ph.D.</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Patrick Zenner</w:t>
            </w:r>
          </w:p>
        </w:tc>
        <w:tc>
          <w:tcPr>
            <w:tcW w:w="120" w:type="dxa"/>
            <w:vAlign w:val="bottom"/>
          </w:tcPr>
          <w:p>
            <w:pPr>
              <w:spacing w:after="0"/>
              <w:rPr>
                <w:sz w:val="24"/>
                <w:szCs w:val="24"/>
                <w:color w:val="auto"/>
              </w:rPr>
            </w:pPr>
          </w:p>
        </w:tc>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March 13, 2025</w:t>
            </w:r>
          </w:p>
        </w:tc>
      </w:tr>
      <w:tr>
        <w:trPr>
          <w:trHeight w:val="144"/>
        </w:trPr>
        <w:tc>
          <w:tcPr>
            <w:tcW w:w="3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Patrick Zenner</w:t>
            </w:r>
          </w:p>
        </w:tc>
        <w:tc>
          <w:tcPr>
            <w:tcW w:w="1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38"/>
        </w:trPr>
        <w:tc>
          <w:tcPr>
            <w:tcW w:w="8300" w:type="dxa"/>
            <w:vAlign w:val="bottom"/>
            <w:gridSpan w:val="8"/>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5"/>
        </w:trPr>
        <w:tc>
          <w:tcPr>
            <w:tcW w:w="5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gridSpan w:val="3"/>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9"/>
              </w:rPr>
              <w:t>Cartesian Therapeutics, Inc. and Subsidiaries</w:t>
            </w: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9"/>
        </w:trPr>
        <w:tc>
          <w:tcPr>
            <w:tcW w:w="540" w:type="dxa"/>
            <w:vAlign w:val="bottom"/>
          </w:tcPr>
          <w:p>
            <w:pPr>
              <w:spacing w:after="0"/>
              <w:rPr>
                <w:sz w:val="24"/>
                <w:szCs w:val="24"/>
                <w:color w:val="auto"/>
              </w:rPr>
            </w:pPr>
          </w:p>
        </w:tc>
        <w:tc>
          <w:tcPr>
            <w:tcW w:w="7760" w:type="dxa"/>
            <w:vAlign w:val="bottom"/>
            <w:gridSpan w:val="7"/>
            <w:vMerge w:val="restart"/>
          </w:tcPr>
          <w:p>
            <w:pPr>
              <w:spacing w:after="0"/>
              <w:rPr>
                <w:sz w:val="20"/>
                <w:szCs w:val="20"/>
                <w:color w:val="auto"/>
              </w:rPr>
            </w:pPr>
            <w:r>
              <w:rPr>
                <w:rFonts w:ascii="Times New Roman" w:cs="Times New Roman" w:eastAsia="Times New Roman" w:hAnsi="Times New Roman"/>
                <w:sz w:val="12"/>
                <w:szCs w:val="12"/>
                <w:color w:val="auto"/>
              </w:rPr>
              <w:t>Index to Consolidated Financial Statements</w:t>
            </w:r>
          </w:p>
        </w:tc>
        <w:tc>
          <w:tcPr>
            <w:tcW w:w="300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Pages</w:t>
            </w:r>
          </w:p>
        </w:tc>
        <w:tc>
          <w:tcPr>
            <w:tcW w:w="0" w:type="dxa"/>
            <w:vAlign w:val="bottom"/>
          </w:tcPr>
          <w:p>
            <w:pPr>
              <w:spacing w:after="0"/>
              <w:rPr>
                <w:sz w:val="1"/>
                <w:szCs w:val="1"/>
                <w:color w:val="auto"/>
              </w:rPr>
            </w:pPr>
          </w:p>
        </w:tc>
      </w:tr>
      <w:tr>
        <w:trPr>
          <w:trHeight w:val="66"/>
        </w:trPr>
        <w:tc>
          <w:tcPr>
            <w:tcW w:w="540" w:type="dxa"/>
            <w:vAlign w:val="bottom"/>
          </w:tcPr>
          <w:p>
            <w:pPr>
              <w:spacing w:after="0"/>
              <w:rPr>
                <w:sz w:val="5"/>
                <w:szCs w:val="5"/>
                <w:color w:val="auto"/>
              </w:rPr>
            </w:pPr>
          </w:p>
        </w:tc>
        <w:tc>
          <w:tcPr>
            <w:tcW w:w="7760" w:type="dxa"/>
            <w:vAlign w:val="bottom"/>
            <w:gridSpan w:val="7"/>
            <w:vMerge w:val="continue"/>
          </w:tcPr>
          <w:p>
            <w:pPr>
              <w:spacing w:after="0"/>
              <w:rPr>
                <w:sz w:val="5"/>
                <w:szCs w:val="5"/>
                <w:color w:val="auto"/>
              </w:rPr>
            </w:pPr>
          </w:p>
        </w:tc>
        <w:tc>
          <w:tcPr>
            <w:tcW w:w="2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7760" w:type="dxa"/>
            <w:vAlign w:val="bottom"/>
            <w:gridSpan w:val="7"/>
          </w:tcPr>
          <w:p>
            <w:pPr>
              <w:spacing w:after="0" w:line="132" w:lineRule="exact"/>
              <w:rPr>
                <w:sz w:val="20"/>
                <w:szCs w:val="20"/>
                <w:color w:val="auto"/>
              </w:rPr>
            </w:pPr>
            <w:r>
              <w:rPr>
                <w:rFonts w:ascii="Times New Roman" w:cs="Times New Roman" w:eastAsia="Times New Roman" w:hAnsi="Times New Roman"/>
                <w:sz w:val="12"/>
                <w:szCs w:val="12"/>
                <w:b w:val="1"/>
                <w:bCs w:val="1"/>
                <w:color w:val="0000FF"/>
              </w:rPr>
              <w:t xml:space="preserve">Report of Independent Registered Public Accounting Firm </w:t>
            </w:r>
            <w:r>
              <w:rPr>
                <w:rFonts w:ascii="Times New Roman" w:cs="Times New Roman" w:eastAsia="Times New Roman" w:hAnsi="Times New Roman"/>
                <w:sz w:val="12"/>
                <w:szCs w:val="12"/>
                <w:color w:val="000000"/>
              </w:rPr>
              <w:t>(PCAOB ID: 42)</w:t>
            </w:r>
          </w:p>
        </w:tc>
        <w:tc>
          <w:tcPr>
            <w:tcW w:w="2260" w:type="dxa"/>
            <w:vAlign w:val="bottom"/>
          </w:tcPr>
          <w:p>
            <w:pPr>
              <w:spacing w:after="0"/>
              <w:rPr>
                <w:sz w:val="11"/>
                <w:szCs w:val="11"/>
                <w:color w:val="auto"/>
              </w:rPr>
            </w:pPr>
          </w:p>
        </w:tc>
        <w:tc>
          <w:tcPr>
            <w:tcW w:w="740" w:type="dxa"/>
            <w:vAlign w:val="bottom"/>
            <w:gridSpan w:val="2"/>
          </w:tcPr>
          <w:p>
            <w:pPr>
              <w:jc w:val="right"/>
              <w:ind w:right="560"/>
              <w:spacing w:after="0" w:line="132" w:lineRule="exact"/>
              <w:rPr>
                <w:sz w:val="20"/>
                <w:szCs w:val="20"/>
                <w:color w:val="auto"/>
              </w:rPr>
            </w:pPr>
            <w:r>
              <w:rPr>
                <w:rFonts w:ascii="Times New Roman" w:cs="Times New Roman" w:eastAsia="Times New Roman" w:hAnsi="Times New Roman"/>
                <w:sz w:val="12"/>
                <w:szCs w:val="12"/>
                <w:b w:val="1"/>
                <w:bCs w:val="1"/>
                <w:color w:val="0000FF"/>
                <w:w w:val="92"/>
              </w:rPr>
              <w:t>F-2</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3100" w:type="dxa"/>
            <w:vAlign w:val="bottom"/>
            <w:tcBorders>
              <w:top w:val="single" w:sz="8" w:color="0000FF"/>
              <w:bottom w:val="single" w:sz="8" w:color="0000FF"/>
            </w:tcBorders>
            <w:gridSpan w:val="4"/>
          </w:tcPr>
          <w:p>
            <w:pPr>
              <w:spacing w:after="0" w:line="133" w:lineRule="exact"/>
              <w:rPr>
                <w:sz w:val="20"/>
                <w:szCs w:val="20"/>
                <w:color w:val="auto"/>
              </w:rPr>
            </w:pPr>
            <w:r>
              <w:rPr>
                <w:rFonts w:ascii="Times New Roman" w:cs="Times New Roman" w:eastAsia="Times New Roman" w:hAnsi="Times New Roman"/>
                <w:sz w:val="12"/>
                <w:szCs w:val="12"/>
                <w:b w:val="1"/>
                <w:bCs w:val="1"/>
                <w:color w:val="0000FF"/>
                <w:w w:val="99"/>
              </w:rPr>
              <w:t>Consolidated Balance Sheets at December 31, 2024 and 2023</w:t>
            </w:r>
          </w:p>
        </w:tc>
        <w:tc>
          <w:tcPr>
            <w:tcW w:w="1420" w:type="dxa"/>
            <w:vAlign w:val="bottom"/>
            <w:tcBorders>
              <w:bottom w:val="single" w:sz="8" w:color="0000FF"/>
            </w:tcBorders>
          </w:tcPr>
          <w:p>
            <w:pPr>
              <w:spacing w:after="0"/>
              <w:rPr>
                <w:sz w:val="11"/>
                <w:szCs w:val="11"/>
                <w:color w:val="auto"/>
              </w:rPr>
            </w:pPr>
          </w:p>
        </w:tc>
        <w:tc>
          <w:tcPr>
            <w:tcW w:w="3240" w:type="dxa"/>
            <w:vAlign w:val="bottom"/>
            <w:gridSpan w:val="2"/>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Borders>
              <w:top w:val="single" w:sz="8" w:color="0000FF"/>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0000FF"/>
                <w:w w:val="92"/>
              </w:rPr>
              <w:t>F-4</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7760" w:type="dxa"/>
            <w:vAlign w:val="bottom"/>
            <w:gridSpan w:val="7"/>
          </w:tcPr>
          <w:p>
            <w:pPr>
              <w:spacing w:after="0" w:line="133" w:lineRule="exact"/>
              <w:rPr>
                <w:sz w:val="20"/>
                <w:szCs w:val="20"/>
                <w:color w:val="auto"/>
              </w:rPr>
            </w:pPr>
            <w:r>
              <w:rPr>
                <w:rFonts w:ascii="Times New Roman" w:cs="Times New Roman" w:eastAsia="Times New Roman" w:hAnsi="Times New Roman"/>
                <w:sz w:val="12"/>
                <w:szCs w:val="12"/>
                <w:b w:val="1"/>
                <w:bCs w:val="1"/>
                <w:color w:val="0000FF"/>
              </w:rPr>
              <w:t>Consolidated Statements of Operations and Comprehensive Loss for the years ended December 31, 2024 and 2023</w:t>
            </w:r>
          </w:p>
        </w:tc>
        <w:tc>
          <w:tcPr>
            <w:tcW w:w="2260" w:type="dxa"/>
            <w:vAlign w:val="bottom"/>
          </w:tcPr>
          <w:p>
            <w:pPr>
              <w:spacing w:after="0"/>
              <w:rPr>
                <w:sz w:val="11"/>
                <w:szCs w:val="11"/>
                <w:color w:val="auto"/>
              </w:rPr>
            </w:pPr>
          </w:p>
        </w:tc>
        <w:tc>
          <w:tcPr>
            <w:tcW w:w="740" w:type="dxa"/>
            <w:vAlign w:val="bottom"/>
            <w:gridSpan w:val="2"/>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0000FF"/>
                <w:w w:val="92"/>
              </w:rPr>
              <w:t>F-5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40" w:type="dxa"/>
            <w:vAlign w:val="bottom"/>
          </w:tcPr>
          <w:p>
            <w:pPr>
              <w:spacing w:after="0"/>
              <w:rPr>
                <w:sz w:val="11"/>
                <w:szCs w:val="11"/>
                <w:color w:val="auto"/>
              </w:rPr>
            </w:pPr>
          </w:p>
        </w:tc>
        <w:tc>
          <w:tcPr>
            <w:tcW w:w="7760" w:type="dxa"/>
            <w:vAlign w:val="bottom"/>
            <w:tcBorders>
              <w:bottom w:val="single" w:sz="8" w:color="0000FF"/>
            </w:tcBorders>
            <w:gridSpan w:val="7"/>
          </w:tcPr>
          <w:p>
            <w:pPr>
              <w:spacing w:after="0" w:line="133" w:lineRule="exact"/>
              <w:rPr>
                <w:sz w:val="20"/>
                <w:szCs w:val="20"/>
                <w:color w:val="auto"/>
              </w:rPr>
            </w:pPr>
            <w:r>
              <w:rPr>
                <w:rFonts w:ascii="Times New Roman" w:cs="Times New Roman" w:eastAsia="Times New Roman" w:hAnsi="Times New Roman"/>
                <w:sz w:val="12"/>
                <w:szCs w:val="12"/>
                <w:b w:val="1"/>
                <w:bCs w:val="1"/>
                <w:color w:val="0000FF"/>
                <w:w w:val="99"/>
              </w:rPr>
              <w:t>Consolidated Statements of Changes in Convertible Preferred Stock and Stockholders' Equity (Deficit) for the years ended December 31, 2024 and 2023</w:t>
            </w:r>
          </w:p>
        </w:tc>
        <w:tc>
          <w:tcPr>
            <w:tcW w:w="2260" w:type="dxa"/>
            <w:vAlign w:val="bottom"/>
          </w:tcPr>
          <w:p>
            <w:pPr>
              <w:spacing w:after="0"/>
              <w:rPr>
                <w:sz w:val="11"/>
                <w:szCs w:val="11"/>
                <w:color w:val="auto"/>
              </w:rPr>
            </w:pPr>
          </w:p>
        </w:tc>
        <w:tc>
          <w:tcPr>
            <w:tcW w:w="18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0000FF"/>
                <w:w w:val="92"/>
              </w:rPr>
              <w:t>F-6</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7760" w:type="dxa"/>
            <w:vAlign w:val="bottom"/>
            <w:gridSpan w:val="7"/>
          </w:tcPr>
          <w:p>
            <w:pPr>
              <w:spacing w:after="0" w:line="133" w:lineRule="exact"/>
              <w:rPr>
                <w:sz w:val="20"/>
                <w:szCs w:val="20"/>
                <w:color w:val="auto"/>
              </w:rPr>
            </w:pPr>
            <w:r>
              <w:rPr>
                <w:rFonts w:ascii="Times New Roman" w:cs="Times New Roman" w:eastAsia="Times New Roman" w:hAnsi="Times New Roman"/>
                <w:sz w:val="12"/>
                <w:szCs w:val="12"/>
                <w:b w:val="1"/>
                <w:bCs w:val="1"/>
                <w:color w:val="0000FF"/>
              </w:rPr>
              <w:t>Consolidated Statements of Cash Flows for the years ended December 31, 2024 and 2023</w:t>
            </w:r>
          </w:p>
        </w:tc>
        <w:tc>
          <w:tcPr>
            <w:tcW w:w="2260" w:type="dxa"/>
            <w:vAlign w:val="bottom"/>
          </w:tcPr>
          <w:p>
            <w:pPr>
              <w:spacing w:after="0"/>
              <w:rPr>
                <w:sz w:val="11"/>
                <w:szCs w:val="11"/>
                <w:color w:val="auto"/>
              </w:rPr>
            </w:pPr>
          </w:p>
        </w:tc>
        <w:tc>
          <w:tcPr>
            <w:tcW w:w="740" w:type="dxa"/>
            <w:vAlign w:val="bottom"/>
            <w:gridSpan w:val="2"/>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0000FF"/>
                <w:w w:val="92"/>
              </w:rPr>
              <w:t>F-7</w:t>
            </w: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4520" w:type="dxa"/>
            <w:vAlign w:val="bottom"/>
            <w:tcBorders>
              <w:top w:val="single" w:sz="8" w:color="0000FF"/>
            </w:tcBorders>
            <w:gridSpan w:val="5"/>
          </w:tcPr>
          <w:p>
            <w:pPr>
              <w:spacing w:after="0" w:line="133" w:lineRule="exact"/>
              <w:rPr>
                <w:sz w:val="20"/>
                <w:szCs w:val="20"/>
                <w:color w:val="auto"/>
              </w:rPr>
            </w:pPr>
            <w:r>
              <w:rPr>
                <w:rFonts w:ascii="Times New Roman" w:cs="Times New Roman" w:eastAsia="Times New Roman" w:hAnsi="Times New Roman"/>
                <w:sz w:val="12"/>
                <w:szCs w:val="12"/>
                <w:b w:val="1"/>
                <w:bCs w:val="1"/>
                <w:color w:val="0000FF"/>
              </w:rPr>
              <w:t>Notes to Consolidated Financial Statements</w:t>
            </w:r>
          </w:p>
        </w:tc>
        <w:tc>
          <w:tcPr>
            <w:tcW w:w="3240" w:type="dxa"/>
            <w:vAlign w:val="bottom"/>
            <w:gridSpan w:val="2"/>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Borders>
              <w:top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0000FF"/>
                <w:w w:val="92"/>
              </w:rPr>
              <w:t>F-8</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5"/>
        </w:trPr>
        <w:tc>
          <w:tcPr>
            <w:tcW w:w="5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40" w:type="dxa"/>
            <w:vAlign w:val="bottom"/>
            <w:gridSpan w:val="2"/>
          </w:tcPr>
          <w:p>
            <w:pPr>
              <w:jc w:val="center"/>
              <w:ind w:right="2080"/>
              <w:spacing w:after="0"/>
              <w:rPr>
                <w:sz w:val="20"/>
                <w:szCs w:val="20"/>
                <w:color w:val="auto"/>
              </w:rPr>
            </w:pPr>
            <w:r>
              <w:rPr>
                <w:rFonts w:ascii="Times New Roman" w:cs="Times New Roman" w:eastAsia="Times New Roman" w:hAnsi="Times New Roman"/>
                <w:sz w:val="12"/>
                <w:szCs w:val="12"/>
                <w:color w:val="auto"/>
                <w:w w:val="95"/>
              </w:rPr>
              <w:t>F-1</w:t>
            </w:r>
          </w:p>
        </w:tc>
        <w:tc>
          <w:tcPr>
            <w:tcW w:w="22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the Board of Directors of Cartesian Therapeutics, Inc.</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82"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Cartesian Therapeutics, Inc. and subsidiaries (the Company) as of December 31, 2024 and 2023, the related consolidated statements of operations and comprehensive loss, changes in convertible preferred stock and stockholders’ equity (deficit)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82"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7" w:lineRule="exact"/>
        <w:rPr>
          <w:sz w:val="20"/>
          <w:szCs w:val="20"/>
          <w:color w:val="auto"/>
        </w:rPr>
      </w:pPr>
    </w:p>
    <w:p>
      <w:pPr>
        <w:ind w:right="300" w:firstLine="216"/>
        <w:spacing w:after="0" w:line="300" w:lineRule="auto"/>
        <w:rPr>
          <w:sz w:val="20"/>
          <w:szCs w:val="20"/>
          <w:color w:val="auto"/>
        </w:rPr>
      </w:pPr>
      <w:r>
        <w:rPr>
          <w:rFonts w:ascii="Times New Roman" w:cs="Times New Roman" w:eastAsia="Times New Roman" w:hAnsi="Times New Roman"/>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w:t>
      </w:r>
    </w:p>
    <w:p>
      <w:pPr>
        <w:spacing w:after="0" w:line="8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Valuation of contingent value right</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As described in Note 3, the Company estimates the fair value of the Contingent Value Right (“CVR”) using a Monte Carlo simulation to estimate future cash flows associated with the legacy assets, including the expected milestone and royalty payments under the Sobi License, net of deductions. Changes in the fair value of the liability are presented in the consolidated statements of operations and comprehensive loss. The liability value is calculated based on significant inputs that are not observable in the market such as estimated cash flows, estimated probabilities of success, and expected volatilities of revenues, which represent a Level 3 measurement within the fair value hierarchy. For the year ended December 31, 2024, the Company recorded the change in the fair value of the contingent value right liability of $(36.9 million). As of December 31, 2024, the Company recorded the contingent value right liability and the contingent value right liability, net of current portion of $7.8 million and $387.7 million, respectively.</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Auditing the fair value of the CVR liability was complex due to the significant judgment required in estimating the fair value. In particular, the fair value estimate required the use of valuation methodologies that were sensitive to significant assumptions including expected milestone and royalty payments and discount rate which are based on estimates of future market or economic conditions.</w:t>
      </w:r>
    </w:p>
    <w:p>
      <w:pPr>
        <w:spacing w:after="0" w:line="2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To test the fair value of the CVR liability, our audit procedures included, among others, assessing the appropriateness of the valuation methodology and testing the significant assumptions and the completeness and accuracy of the underlying data used by the Company. We compared the assumptions for expected milestone and royalty payments to projected industry revenue growth rates and other factors considered by management in developing the model. We involved our valuation specialist to assist in evaluating the valuation methodologies and discount rate used to value the CVR liability. We also performed sensitivity analyses to evaluate the changes in the fair value of the CVR liability that would result from changes in the significant assumptions.</w:t>
      </w:r>
    </w:p>
    <w:p>
      <w:pPr>
        <w:spacing w:after="0" w:line="653" w:lineRule="exact"/>
        <w:rPr>
          <w:sz w:val="20"/>
          <w:szCs w:val="20"/>
          <w:color w:val="auto"/>
        </w:rPr>
      </w:pPr>
    </w:p>
    <w:p>
      <w:pPr>
        <w:sectPr>
          <w:pgSz w:w="11900" w:h="16838" w:orient="portrait"/>
          <w:cols w:equalWidth="0" w:num="2">
            <w:col w:w="1580" w:space="260"/>
            <w:col w:w="9440"/>
          </w:cols>
          <w:pgMar w:left="300" w:top="129" w:right="31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2009.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Boston, Massachusetts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13, 2025</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Cartesian Therapeutics,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(Amounts in thousands, except share data and par value)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10"/>
                <w:szCs w:val="10"/>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43"/>
        </w:trPr>
        <w:tc>
          <w:tcPr>
            <w:tcW w:w="85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Current assets: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212,610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76,911</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Accounts receivable</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5,870</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Unbilled receivables</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2,981</w:t>
            </w:r>
          </w:p>
        </w:tc>
        <w:tc>
          <w:tcPr>
            <w:tcW w:w="0" w:type="dxa"/>
            <w:vAlign w:val="bottom"/>
          </w:tcPr>
          <w:p>
            <w:pPr>
              <w:spacing w:after="0"/>
              <w:rPr>
                <w:sz w:val="1"/>
                <w:szCs w:val="1"/>
                <w:color w:val="auto"/>
              </w:rPr>
            </w:pPr>
          </w:p>
        </w:tc>
      </w:tr>
      <w:tr>
        <w:trPr>
          <w:trHeight w:val="1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3,144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4,967</w:t>
            </w:r>
          </w:p>
        </w:tc>
        <w:tc>
          <w:tcPr>
            <w:tcW w:w="0" w:type="dxa"/>
            <w:vAlign w:val="bottom"/>
          </w:tcPr>
          <w:p>
            <w:pPr>
              <w:spacing w:after="0"/>
              <w:rPr>
                <w:sz w:val="1"/>
                <w:szCs w:val="1"/>
                <w:color w:val="auto"/>
              </w:rPr>
            </w:pPr>
          </w:p>
        </w:tc>
      </w:tr>
      <w:tr>
        <w:trPr>
          <w:trHeight w:val="130"/>
        </w:trPr>
        <w:tc>
          <w:tcPr>
            <w:tcW w:w="85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current assets</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216,626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90,729</w:t>
            </w:r>
          </w:p>
        </w:tc>
        <w:tc>
          <w:tcPr>
            <w:tcW w:w="0" w:type="dxa"/>
            <w:vAlign w:val="bottom"/>
          </w:tcPr>
          <w:p>
            <w:pPr>
              <w:spacing w:after="0"/>
              <w:rPr>
                <w:sz w:val="1"/>
                <w:szCs w:val="1"/>
                <w:color w:val="auto"/>
              </w:rPr>
            </w:pPr>
          </w:p>
        </w:tc>
      </w:tr>
      <w:tr>
        <w:trPr>
          <w:trHeight w:val="130"/>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Non-current assets: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9,912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2,113</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Right-of-use asset, net</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10,068</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In-process research and development assets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Goodwill</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48,163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48,163</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Long-term restricted cash</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1,377</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Investments</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3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assets</w:t>
            </w:r>
          </w:p>
        </w:tc>
        <w:tc>
          <w:tcPr>
            <w:tcW w:w="22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6"/>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Total assets</w:t>
            </w: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435,023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305,050</w:t>
            </w:r>
          </w:p>
        </w:tc>
        <w:tc>
          <w:tcPr>
            <w:tcW w:w="0" w:type="dxa"/>
            <w:vAlign w:val="bottom"/>
          </w:tcPr>
          <w:p>
            <w:pPr>
              <w:spacing w:after="0"/>
              <w:rPr>
                <w:sz w:val="1"/>
                <w:szCs w:val="1"/>
                <w:color w:val="auto"/>
              </w:rPr>
            </w:pPr>
          </w:p>
        </w:tc>
      </w:tr>
      <w:tr>
        <w:trPr>
          <w:trHeight w:val="13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convertible preferred stock, and stockholders’ deficit</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Current liabilities: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Accounts payable</w:t>
            </w: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3,150</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Accrued expenses and other current liabilities</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12,076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15,572</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Lease liability</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2,166</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revenue</w:t>
            </w:r>
          </w:p>
        </w:tc>
        <w:tc>
          <w:tcPr>
            <w:tcW w:w="22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2,311</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Warrant liabilities</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Contingent value right liability</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7,761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Forward contract liabilities</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28,307</w:t>
            </w:r>
          </w:p>
        </w:tc>
        <w:tc>
          <w:tcPr>
            <w:tcW w:w="0" w:type="dxa"/>
            <w:vAlign w:val="bottom"/>
          </w:tcPr>
          <w:p>
            <w:pPr>
              <w:spacing w:after="0"/>
              <w:rPr>
                <w:sz w:val="1"/>
                <w:szCs w:val="1"/>
                <w:color w:val="auto"/>
              </w:rPr>
            </w:pPr>
          </w:p>
        </w:tc>
      </w:tr>
      <w:tr>
        <w:trPr>
          <w:trHeight w:val="118"/>
        </w:trPr>
        <w:tc>
          <w:tcPr>
            <w:tcW w:w="856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color w:val="auto"/>
              </w:rPr>
              <w:t>Total current liabilities</w:t>
            </w: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22,976</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68,209</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Lease liability, net of current portion</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11,133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8,789</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revenue, net of current portion</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3,538</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 liabilities, net of current portion</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5,674</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Contingent value right liability, net of current portion</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387,739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342,617</w:t>
            </w:r>
          </w:p>
        </w:tc>
        <w:tc>
          <w:tcPr>
            <w:tcW w:w="0" w:type="dxa"/>
            <w:vAlign w:val="bottom"/>
          </w:tcPr>
          <w:p>
            <w:pPr>
              <w:spacing w:after="0"/>
              <w:rPr>
                <w:sz w:val="1"/>
                <w:szCs w:val="1"/>
                <w:color w:val="auto"/>
              </w:rPr>
            </w:pPr>
          </w:p>
        </w:tc>
      </w:tr>
      <w:tr>
        <w:trPr>
          <w:trHeight w:val="1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Deferred tax liabilities, net</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16,141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15,853</w:t>
            </w:r>
          </w:p>
        </w:tc>
        <w:tc>
          <w:tcPr>
            <w:tcW w:w="0" w:type="dxa"/>
            <w:vAlign w:val="bottom"/>
          </w:tcPr>
          <w:p>
            <w:pPr>
              <w:spacing w:after="0"/>
              <w:rPr>
                <w:sz w:val="1"/>
                <w:szCs w:val="1"/>
                <w:color w:val="auto"/>
              </w:rPr>
            </w:pPr>
          </w:p>
        </w:tc>
      </w:tr>
      <w:tr>
        <w:trPr>
          <w:trHeight w:val="130"/>
        </w:trPr>
        <w:tc>
          <w:tcPr>
            <w:tcW w:w="85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liabilities</w:t>
            </w:r>
          </w:p>
        </w:tc>
        <w:tc>
          <w:tcPr>
            <w:tcW w:w="22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441,825</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444,680</w:t>
            </w:r>
          </w:p>
        </w:tc>
        <w:tc>
          <w:tcPr>
            <w:tcW w:w="0" w:type="dxa"/>
            <w:vAlign w:val="bottom"/>
          </w:tcPr>
          <w:p>
            <w:pPr>
              <w:spacing w:after="0"/>
              <w:rPr>
                <w:sz w:val="1"/>
                <w:szCs w:val="1"/>
                <w:color w:val="auto"/>
              </w:rPr>
            </w:pPr>
          </w:p>
        </w:tc>
      </w:tr>
      <w:tr>
        <w:trPr>
          <w:trHeight w:val="109"/>
        </w:trPr>
        <w:tc>
          <w:tcPr>
            <w:tcW w:w="856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Commitments and contingencies (Note 19)</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560" w:type="dxa"/>
            <w:vAlign w:val="bottom"/>
            <w:shd w:val="clear" w:color="auto" w:fill="CCEEFF"/>
          </w:tcPr>
          <w:p>
            <w:pPr>
              <w:ind w:left="20"/>
              <w:spacing w:after="0" w:line="96" w:lineRule="exact"/>
              <w:rPr>
                <w:sz w:val="20"/>
                <w:szCs w:val="20"/>
                <w:color w:val="auto"/>
              </w:rPr>
            </w:pPr>
            <w:r>
              <w:rPr>
                <w:rFonts w:ascii="Times New Roman" w:cs="Times New Roman" w:eastAsia="Times New Roman" w:hAnsi="Times New Roman"/>
                <w:sz w:val="10"/>
                <w:szCs w:val="10"/>
                <w:color w:val="auto"/>
                <w:w w:val="97"/>
              </w:rPr>
              <w:t>Series A Preferred Stock, $0.0001 par value; no and 548,375 shares authorized as of December 31, 2024 and December 31, 2023, respectively; no and 435,120.513 shares issued and outstanding as of December 31, 2024</w:t>
            </w:r>
          </w:p>
        </w:tc>
        <w:tc>
          <w:tcPr>
            <w:tcW w:w="22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296,851</w:t>
            </w:r>
          </w:p>
        </w:tc>
        <w:tc>
          <w:tcPr>
            <w:tcW w:w="0" w:type="dxa"/>
            <w:vAlign w:val="bottom"/>
          </w:tcPr>
          <w:p>
            <w:pPr>
              <w:spacing w:after="0"/>
              <w:rPr>
                <w:sz w:val="1"/>
                <w:szCs w:val="1"/>
                <w:color w:val="auto"/>
              </w:rPr>
            </w:pPr>
          </w:p>
        </w:tc>
      </w:tr>
      <w:tr>
        <w:trPr>
          <w:trHeight w:val="13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and December 31, 2023, respectively</w:t>
            </w:r>
          </w:p>
        </w:tc>
        <w:tc>
          <w:tcPr>
            <w:tcW w:w="22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Options for Series A Preferred Stock</w:t>
            </w:r>
          </w:p>
        </w:tc>
        <w:tc>
          <w:tcPr>
            <w:tcW w:w="22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3,703</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56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auto"/>
                <w:w w:val="97"/>
              </w:rPr>
              <w:t>Series A Preferred Stock, $0.0001 par value; 134,904.563 and no shares authorized as of December 31, 2024 and December 31, 2023, respectively; 120,790.402 and no shares issued and outstanding as of December 31,</w:t>
            </w:r>
          </w:p>
        </w:tc>
        <w:tc>
          <w:tcPr>
            <w:tcW w:w="220" w:type="dxa"/>
            <w:vAlign w:val="bottom"/>
          </w:tcPr>
          <w:p>
            <w:pPr>
              <w:spacing w:after="0"/>
              <w:rPr>
                <w:sz w:val="7"/>
                <w:szCs w:val="7"/>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2024 and December 31, 2023, respectively</w:t>
            </w: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8560" w:type="dxa"/>
            <w:vAlign w:val="bottom"/>
            <w:shd w:val="clear" w:color="auto" w:fill="CCEEFF"/>
          </w:tcPr>
          <w:p>
            <w:pPr>
              <w:ind w:left="20"/>
              <w:spacing w:after="0" w:line="96" w:lineRule="exact"/>
              <w:rPr>
                <w:sz w:val="20"/>
                <w:szCs w:val="20"/>
                <w:color w:val="auto"/>
              </w:rPr>
            </w:pPr>
            <w:r>
              <w:rPr>
                <w:rFonts w:ascii="Times New Roman" w:cs="Times New Roman" w:eastAsia="Times New Roman" w:hAnsi="Times New Roman"/>
                <w:sz w:val="10"/>
                <w:szCs w:val="10"/>
                <w:color w:val="auto"/>
                <w:w w:val="97"/>
              </w:rPr>
              <w:t>Series B Preferred Stock, $0.0001 par value; 437,927 and no shares authorized as of December 31, 2024 and December 31, 2023, respectively; 437,927 and no shares issued and outstanding as of December 31, 2024 and</w:t>
            </w:r>
          </w:p>
        </w:tc>
        <w:tc>
          <w:tcPr>
            <w:tcW w:w="22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December 31, 2023, respectively</w:t>
            </w:r>
          </w:p>
        </w:tc>
        <w:tc>
          <w:tcPr>
            <w:tcW w:w="22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856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auto"/>
                <w:w w:val="96"/>
              </w:rPr>
              <w:t>Preferred stock, $0.0001 par value; 9,427,168.437 and 9,451,625 shares authorized as of December 31, 2024 and December 31, 2023, respectively; no shares issued and outstanding as of December 31, 2024 and December</w:t>
            </w:r>
          </w:p>
        </w:tc>
        <w:tc>
          <w:tcPr>
            <w:tcW w:w="220" w:type="dxa"/>
            <w:vAlign w:val="bottom"/>
          </w:tcPr>
          <w:p>
            <w:pPr>
              <w:spacing w:after="0"/>
              <w:rPr>
                <w:sz w:val="7"/>
                <w:szCs w:val="7"/>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7"/>
                <w:szCs w:val="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31, 2023</w:t>
            </w: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8560" w:type="dxa"/>
            <w:vAlign w:val="bottom"/>
            <w:shd w:val="clear" w:color="auto" w:fill="CCEEFF"/>
          </w:tcPr>
          <w:p>
            <w:pPr>
              <w:ind w:left="20"/>
              <w:spacing w:after="0" w:line="96" w:lineRule="exact"/>
              <w:rPr>
                <w:sz w:val="20"/>
                <w:szCs w:val="20"/>
                <w:color w:val="auto"/>
              </w:rPr>
            </w:pPr>
            <w:r>
              <w:rPr>
                <w:rFonts w:ascii="Times New Roman" w:cs="Times New Roman" w:eastAsia="Times New Roman" w:hAnsi="Times New Roman"/>
                <w:sz w:val="10"/>
                <w:szCs w:val="10"/>
                <w:color w:val="auto"/>
                <w:w w:val="97"/>
              </w:rPr>
              <w:t>Common stock, $0.0001 par value; 350,000,000 shares authorized as of December 31, 2024 and December 31, 2023; 25,767,369 and 5,397,597 shares issued and outstanding as of December 31, 2024 and December 31,</w:t>
            </w:r>
          </w:p>
        </w:tc>
        <w:tc>
          <w:tcPr>
            <w:tcW w:w="22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2023, respectively</w:t>
            </w:r>
          </w:p>
        </w:tc>
        <w:tc>
          <w:tcPr>
            <w:tcW w:w="22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689,887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179,062</w:t>
            </w:r>
          </w:p>
        </w:tc>
        <w:tc>
          <w:tcPr>
            <w:tcW w:w="0" w:type="dxa"/>
            <w:vAlign w:val="bottom"/>
          </w:tcPr>
          <w:p>
            <w:pPr>
              <w:spacing w:after="0"/>
              <w:rPr>
                <w:sz w:val="1"/>
                <w:szCs w:val="1"/>
                <w:color w:val="auto"/>
              </w:rPr>
            </w:pPr>
          </w:p>
        </w:tc>
      </w:tr>
      <w:tr>
        <w:trPr>
          <w:trHeight w:val="14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Accumulated deficit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(692,071)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(614,647)</w:t>
            </w:r>
          </w:p>
        </w:tc>
        <w:tc>
          <w:tcPr>
            <w:tcW w:w="0" w:type="dxa"/>
            <w:vAlign w:val="bottom"/>
          </w:tcPr>
          <w:p>
            <w:pPr>
              <w:spacing w:after="0"/>
              <w:rPr>
                <w:sz w:val="1"/>
                <w:szCs w:val="1"/>
                <w:color w:val="auto"/>
              </w:rPr>
            </w:pPr>
          </w:p>
        </w:tc>
      </w:tr>
      <w:tr>
        <w:trPr>
          <w:trHeight w:val="1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(4,621)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(4,600)</w:t>
            </w:r>
          </w:p>
        </w:tc>
        <w:tc>
          <w:tcPr>
            <w:tcW w:w="0" w:type="dxa"/>
            <w:vAlign w:val="bottom"/>
          </w:tcPr>
          <w:p>
            <w:pPr>
              <w:spacing w:after="0"/>
              <w:rPr>
                <w:sz w:val="1"/>
                <w:szCs w:val="1"/>
                <w:color w:val="auto"/>
              </w:rPr>
            </w:pPr>
          </w:p>
        </w:tc>
      </w:tr>
      <w:tr>
        <w:trPr>
          <w:trHeight w:val="124"/>
        </w:trPr>
        <w:tc>
          <w:tcPr>
            <w:tcW w:w="856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stockholders’ deficit</w:t>
            </w:r>
          </w:p>
        </w:tc>
        <w:tc>
          <w:tcPr>
            <w:tcW w:w="2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(6,802)</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(440,184)</w:t>
            </w:r>
          </w:p>
        </w:tc>
        <w:tc>
          <w:tcPr>
            <w:tcW w:w="0" w:type="dxa"/>
            <w:vAlign w:val="bottom"/>
          </w:tcPr>
          <w:p>
            <w:pPr>
              <w:spacing w:after="0"/>
              <w:rPr>
                <w:sz w:val="1"/>
                <w:szCs w:val="1"/>
                <w:color w:val="auto"/>
              </w:rPr>
            </w:pPr>
          </w:p>
        </w:tc>
      </w:tr>
      <w:tr>
        <w:trPr>
          <w:trHeight w:val="130"/>
        </w:trPr>
        <w:tc>
          <w:tcPr>
            <w:tcW w:w="8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liabilities, convertible preferred stock, and stockholders’ deficit</w:t>
            </w: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435,023</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305,050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Cartesian Therapeutics,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 and Comprehensive Loss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(Amounts in thousands, except share and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900" w:type="dxa"/>
            <w:vAlign w:val="bottom"/>
            <w:tcBorders>
              <w:bottom w:val="single" w:sz="8" w:color="auto"/>
            </w:tcBorders>
          </w:tcPr>
          <w:p>
            <w:pPr>
              <w:spacing w:after="0"/>
              <w:rPr>
                <w:sz w:val="11"/>
                <w:szCs w:val="11"/>
                <w:color w:val="auto"/>
              </w:rPr>
            </w:pPr>
          </w:p>
        </w:tc>
      </w:tr>
      <w:tr>
        <w:trPr>
          <w:trHeight w:val="128"/>
        </w:trPr>
        <w:tc>
          <w:tcPr>
            <w:tcW w:w="83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0"/>
        </w:trPr>
        <w:tc>
          <w:tcPr>
            <w:tcW w:w="8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Revenue:</w:t>
            </w: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9"/>
        </w:trPr>
        <w:tc>
          <w:tcPr>
            <w:tcW w:w="8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Collaboration and license revenue</w:t>
            </w:r>
          </w:p>
        </w:tc>
        <w:tc>
          <w:tcPr>
            <w:tcW w:w="9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38,275</w:t>
            </w:r>
          </w:p>
        </w:tc>
        <w:tc>
          <w:tcPr>
            <w:tcW w:w="120" w:type="dxa"/>
            <w:vAlign w:val="bottom"/>
          </w:tcPr>
          <w:p>
            <w:pPr>
              <w:spacing w:after="0"/>
              <w:rPr>
                <w:sz w:val="11"/>
                <w:szCs w:val="11"/>
                <w:color w:val="auto"/>
              </w:rPr>
            </w:pPr>
          </w:p>
        </w:tc>
        <w:tc>
          <w:tcPr>
            <w:tcW w:w="540" w:type="dxa"/>
            <w:vAlign w:val="bottom"/>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26,004</w:t>
            </w:r>
          </w:p>
        </w:tc>
      </w:tr>
      <w:tr>
        <w:trPr>
          <w:trHeight w:val="14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Grant revenue</w:t>
            </w: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638</w:t>
            </w:r>
          </w:p>
        </w:tc>
        <w:tc>
          <w:tcPr>
            <w:tcW w:w="1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8"/>
        </w:trPr>
        <w:tc>
          <w:tcPr>
            <w:tcW w:w="83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revenue</w:t>
            </w:r>
          </w:p>
        </w:tc>
        <w:tc>
          <w:tcPr>
            <w:tcW w:w="9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38,913</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26,004</w:t>
            </w:r>
          </w:p>
        </w:tc>
      </w:tr>
      <w:tr>
        <w:trPr>
          <w:trHeight w:val="14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expenses:</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29"/>
        </w:trPr>
        <w:tc>
          <w:tcPr>
            <w:tcW w:w="8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Research and development</w:t>
            </w:r>
          </w:p>
        </w:tc>
        <w:tc>
          <w:tcPr>
            <w:tcW w:w="9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45,105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71,260</w:t>
            </w:r>
          </w:p>
        </w:tc>
      </w:tr>
      <w:tr>
        <w:trPr>
          <w:trHeight w:val="14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30,126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40,450</w:t>
            </w:r>
          </w:p>
        </w:tc>
      </w:tr>
      <w:tr>
        <w:trPr>
          <w:trHeight w:val="129"/>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Impairment of long-lived assets</w:t>
            </w:r>
          </w:p>
        </w:tc>
        <w:tc>
          <w:tcPr>
            <w:tcW w:w="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7,579</w:t>
            </w: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710</w:t>
            </w:r>
          </w:p>
        </w:tc>
      </w:tr>
      <w:tr>
        <w:trPr>
          <w:trHeight w:val="130"/>
        </w:trPr>
        <w:tc>
          <w:tcPr>
            <w:tcW w:w="83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9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82,810</w:t>
            </w:r>
          </w:p>
        </w:tc>
        <w:tc>
          <w:tcPr>
            <w:tcW w:w="12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112,420</w:t>
            </w:r>
          </w:p>
        </w:tc>
      </w:tr>
      <w:tr>
        <w:trPr>
          <w:trHeight w:val="118"/>
        </w:trPr>
        <w:tc>
          <w:tcPr>
            <w:tcW w:w="83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Operating loss</w:t>
            </w:r>
          </w:p>
        </w:tc>
        <w:tc>
          <w:tcPr>
            <w:tcW w:w="9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(43,897)</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(86,416)</w:t>
            </w:r>
          </w:p>
        </w:tc>
      </w:tr>
      <w:tr>
        <w:trPr>
          <w:trHeight w:val="14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income</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4,964</w:t>
            </w:r>
          </w:p>
        </w:tc>
      </w:tr>
      <w:tr>
        <w:trPr>
          <w:trHeight w:val="129"/>
        </w:trPr>
        <w:tc>
          <w:tcPr>
            <w:tcW w:w="8300" w:type="dxa"/>
            <w:vAlign w:val="bottom"/>
          </w:tcPr>
          <w:p>
            <w:pPr>
              <w:spacing w:after="0"/>
              <w:rPr>
                <w:sz w:val="20"/>
                <w:szCs w:val="20"/>
                <w:color w:val="auto"/>
              </w:rPr>
            </w:pPr>
            <w:r>
              <w:rPr>
                <w:rFonts w:ascii="Times New Roman" w:cs="Times New Roman" w:eastAsia="Times New Roman" w:hAnsi="Times New Roman"/>
                <w:sz w:val="10"/>
                <w:szCs w:val="10"/>
                <w:color w:val="auto"/>
              </w:rPr>
              <w:t>Foreign currency transaction, net</w:t>
            </w:r>
          </w:p>
        </w:tc>
        <w:tc>
          <w:tcPr>
            <w:tcW w:w="9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r>
      <w:tr>
        <w:trPr>
          <w:trHeight w:val="14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(2,833)</w:t>
            </w:r>
          </w:p>
        </w:tc>
      </w:tr>
      <w:tr>
        <w:trPr>
          <w:trHeight w:val="129"/>
        </w:trPr>
        <w:tc>
          <w:tcPr>
            <w:tcW w:w="8300" w:type="dxa"/>
            <w:vAlign w:val="bottom"/>
          </w:tcPr>
          <w:p>
            <w:pPr>
              <w:spacing w:after="0"/>
              <w:rPr>
                <w:sz w:val="20"/>
                <w:szCs w:val="20"/>
                <w:color w:val="auto"/>
              </w:rPr>
            </w:pPr>
            <w:r>
              <w:rPr>
                <w:rFonts w:ascii="Times New Roman" w:cs="Times New Roman" w:eastAsia="Times New Roman" w:hAnsi="Times New Roman"/>
                <w:sz w:val="10"/>
                <w:szCs w:val="10"/>
                <w:color w:val="auto"/>
              </w:rPr>
              <w:t>Change in fair value of warrant liabilities</w:t>
            </w:r>
          </w:p>
        </w:tc>
        <w:tc>
          <w:tcPr>
            <w:tcW w:w="9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12,746</w:t>
            </w:r>
          </w:p>
        </w:tc>
      </w:tr>
      <w:tr>
        <w:trPr>
          <w:trHeight w:val="14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fair value of contingent value right liability</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(36,900)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(18,300)</w:t>
            </w:r>
          </w:p>
        </w:tc>
      </w:tr>
      <w:tr>
        <w:trPr>
          <w:trHeight w:val="129"/>
        </w:trPr>
        <w:tc>
          <w:tcPr>
            <w:tcW w:w="8300" w:type="dxa"/>
            <w:vAlign w:val="bottom"/>
          </w:tcPr>
          <w:p>
            <w:pPr>
              <w:spacing w:after="0"/>
              <w:rPr>
                <w:sz w:val="20"/>
                <w:szCs w:val="20"/>
                <w:color w:val="auto"/>
              </w:rPr>
            </w:pPr>
            <w:r>
              <w:rPr>
                <w:rFonts w:ascii="Times New Roman" w:cs="Times New Roman" w:eastAsia="Times New Roman" w:hAnsi="Times New Roman"/>
                <w:sz w:val="10"/>
                <w:szCs w:val="10"/>
                <w:color w:val="auto"/>
              </w:rPr>
              <w:t>Change in fair value of forward contract liabilities</w:t>
            </w:r>
          </w:p>
        </w:tc>
        <w:tc>
          <w:tcPr>
            <w:tcW w:w="9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(149,600)</w:t>
            </w:r>
          </w:p>
        </w:tc>
      </w:tr>
      <w:tr>
        <w:trPr>
          <w:trHeight w:val="14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net</w:t>
            </w: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606</w:t>
            </w:r>
          </w:p>
        </w:tc>
        <w:tc>
          <w:tcPr>
            <w:tcW w:w="1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w:t>
            </w:r>
          </w:p>
        </w:tc>
      </w:tr>
      <w:tr>
        <w:trPr>
          <w:trHeight w:val="118"/>
        </w:trPr>
        <w:tc>
          <w:tcPr>
            <w:tcW w:w="83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Loss before income taxes</w:t>
            </w:r>
          </w:p>
        </w:tc>
        <w:tc>
          <w:tcPr>
            <w:tcW w:w="9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(77,137)</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(238,710)</w:t>
            </w:r>
          </w:p>
        </w:tc>
      </w:tr>
      <w:tr>
        <w:trPr>
          <w:trHeight w:val="14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 (expense) benefit</w:t>
            </w: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w:t>
            </w:r>
          </w:p>
        </w:tc>
        <w:tc>
          <w:tcPr>
            <w:tcW w:w="1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19,000</w:t>
            </w:r>
          </w:p>
        </w:tc>
      </w:tr>
      <w:tr>
        <w:trPr>
          <w:trHeight w:val="118"/>
        </w:trPr>
        <w:tc>
          <w:tcPr>
            <w:tcW w:w="830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Net loss</w:t>
            </w:r>
          </w:p>
        </w:tc>
        <w:tc>
          <w:tcPr>
            <w:tcW w:w="9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(77,424)</w:t>
            </w:r>
          </w:p>
        </w:tc>
        <w:tc>
          <w:tcPr>
            <w:tcW w:w="1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(219,710)</w:t>
            </w:r>
          </w:p>
        </w:tc>
      </w:tr>
      <w:tr>
        <w:trPr>
          <w:trHeight w:val="130"/>
        </w:trPr>
        <w:tc>
          <w:tcPr>
            <w:tcW w:w="8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29"/>
        </w:trPr>
        <w:tc>
          <w:tcPr>
            <w:tcW w:w="830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currency translation adjustment</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w:t>
            </w:r>
          </w:p>
        </w:tc>
      </w:tr>
      <w:tr>
        <w:trPr>
          <w:trHeight w:val="129"/>
        </w:trPr>
        <w:tc>
          <w:tcPr>
            <w:tcW w:w="8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Unrealized gain on marketable securities</w:t>
            </w:r>
          </w:p>
        </w:tc>
        <w:tc>
          <w:tcPr>
            <w:tcW w:w="9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46"/>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comprehensive loss</w:t>
            </w:r>
          </w:p>
        </w:tc>
        <w:tc>
          <w:tcPr>
            <w:tcW w:w="90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(77,445)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(219,752)</w:t>
            </w:r>
          </w:p>
        </w:tc>
      </w:tr>
      <w:tr>
        <w:trPr>
          <w:trHeight w:val="126"/>
        </w:trPr>
        <w:tc>
          <w:tcPr>
            <w:tcW w:w="8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 per share allocable to common stockholders:</w:t>
            </w: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1"/>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Basic</w:t>
            </w:r>
          </w:p>
        </w:tc>
        <w:tc>
          <w:tcPr>
            <w:tcW w:w="9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(4.48)</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(49.76)</w:t>
            </w:r>
          </w:p>
        </w:tc>
      </w:tr>
      <w:tr>
        <w:trPr>
          <w:trHeight w:val="155"/>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Diluted</w:t>
            </w:r>
          </w:p>
        </w:tc>
        <w:tc>
          <w:tcPr>
            <w:tcW w:w="9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(49.76)</w:t>
            </w:r>
          </w:p>
        </w:tc>
      </w:tr>
      <w:tr>
        <w:trPr>
          <w:trHeight w:val="107"/>
        </w:trPr>
        <w:tc>
          <w:tcPr>
            <w:tcW w:w="83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Weighted-average common shares outstanding:</w:t>
            </w: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57"/>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Basic</w:t>
            </w: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17,276,822</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5,170,319</w:t>
            </w:r>
          </w:p>
        </w:tc>
      </w:tr>
      <w:tr>
        <w:trPr>
          <w:trHeight w:val="135"/>
        </w:trPr>
        <w:tc>
          <w:tcPr>
            <w:tcW w:w="8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Diluted</w:t>
            </w:r>
          </w:p>
        </w:tc>
        <w:tc>
          <w:tcPr>
            <w:tcW w:w="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17,357,943</w:t>
            </w:r>
          </w:p>
        </w:tc>
        <w:tc>
          <w:tcPr>
            <w:tcW w:w="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5,170,319</w:t>
            </w:r>
          </w:p>
        </w:tc>
      </w:tr>
      <w:tr>
        <w:trPr>
          <w:trHeight w:val="20"/>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6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1"/>
          <w:szCs w:val="11"/>
          <w:b w:val="1"/>
          <w:bCs w:val="1"/>
          <w:color w:val="auto"/>
        </w:rPr>
        <w:t>Cartesian Therapeutics, Inc. and Subsidiaries</w:t>
      </w:r>
    </w:p>
    <w:p>
      <w:pPr>
        <w:spacing w:after="0" w:line="4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1"/>
          <w:szCs w:val="11"/>
          <w:b w:val="1"/>
          <w:bCs w:val="1"/>
          <w:color w:val="auto"/>
        </w:rPr>
        <w:t>Consolidated Statements of Changes in Convertible Preferred Stock and Stockholders’ Equity (Deficit)</w:t>
      </w:r>
    </w:p>
    <w:p>
      <w:pPr>
        <w:spacing w:after="0" w:line="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1"/>
          <w:szCs w:val="11"/>
          <w:b w:val="1"/>
          <w:bCs w:val="1"/>
          <w:color w:val="auto"/>
        </w:rPr>
        <w:t>(Amounts in thousands, except share data)</w:t>
      </w:r>
    </w:p>
    <w:p>
      <w:pPr>
        <w:spacing w:after="0" w:line="65" w:lineRule="exact"/>
        <w:rPr>
          <w:sz w:val="20"/>
          <w:szCs w:val="20"/>
          <w:color w:val="auto"/>
        </w:rPr>
      </w:pPr>
    </w:p>
    <w:tbl>
      <w:tblPr>
        <w:tblLayout w:type="fixed"/>
        <w:tblInd w:w="320" w:type="dxa"/>
        <w:tblCellMar>
          <w:top w:w="0" w:type="dxa"/>
          <w:left w:w="0" w:type="dxa"/>
          <w:bottom w:w="0" w:type="dxa"/>
          <w:right w:w="0" w:type="dxa"/>
        </w:tblCellMar>
      </w:tblPr>
      <w:tr>
        <w:trPr>
          <w:trHeight w:val="128"/>
        </w:trPr>
        <w:tc>
          <w:tcPr>
            <w:tcW w:w="2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w w:val="97"/>
              </w:rPr>
              <w:t>Options for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5"/>
        </w:trPr>
        <w:tc>
          <w:tcPr>
            <w:tcW w:w="2680" w:type="dxa"/>
            <w:vAlign w:val="bottom"/>
          </w:tcPr>
          <w:p>
            <w:pPr>
              <w:spacing w:after="0"/>
              <w:rPr>
                <w:sz w:val="10"/>
                <w:szCs w:val="10"/>
                <w:color w:val="auto"/>
              </w:rPr>
            </w:pP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Series A</w:t>
            </w:r>
          </w:p>
        </w:tc>
        <w:tc>
          <w:tcPr>
            <w:tcW w:w="60" w:type="dxa"/>
            <w:vAlign w:val="bottom"/>
          </w:tcPr>
          <w:p>
            <w:pPr>
              <w:spacing w:after="0"/>
              <w:rPr>
                <w:sz w:val="10"/>
                <w:szCs w:val="10"/>
                <w:color w:val="auto"/>
              </w:rPr>
            </w:pPr>
          </w:p>
        </w:tc>
        <w:tc>
          <w:tcPr>
            <w:tcW w:w="680" w:type="dxa"/>
            <w:vAlign w:val="bottom"/>
            <w:tcBorders>
              <w:right w:val="single" w:sz="8" w:color="auto"/>
            </w:tcBorders>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96"/>
              </w:rPr>
              <w:t>Series A</w:t>
            </w: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Series A</w:t>
            </w: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Series B</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60" w:type="dxa"/>
            <w:vAlign w:val="bottom"/>
          </w:tcPr>
          <w:p>
            <w:pPr>
              <w:spacing w:after="0"/>
              <w:rPr>
                <w:sz w:val="10"/>
                <w:szCs w:val="10"/>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r>
      <w:tr>
        <w:trPr>
          <w:trHeight w:val="141"/>
        </w:trPr>
        <w:tc>
          <w:tcPr>
            <w:tcW w:w="2680" w:type="dxa"/>
            <w:vAlign w:val="bottom"/>
          </w:tcPr>
          <w:p>
            <w:pPr>
              <w:spacing w:after="0"/>
              <w:rPr>
                <w:sz w:val="12"/>
                <w:szCs w:val="12"/>
                <w:color w:val="auto"/>
              </w:rPr>
            </w:pP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60" w:type="dxa"/>
            <w:vAlign w:val="bottom"/>
          </w:tcPr>
          <w:p>
            <w:pPr>
              <w:spacing w:after="0"/>
              <w:rPr>
                <w:sz w:val="12"/>
                <w:szCs w:val="12"/>
                <w:color w:val="auto"/>
              </w:rPr>
            </w:pPr>
          </w:p>
        </w:tc>
        <w:tc>
          <w:tcPr>
            <w:tcW w:w="680" w:type="dxa"/>
            <w:vAlign w:val="bottom"/>
            <w:tcBorders>
              <w:right w:val="single" w:sz="8" w:color="auto"/>
            </w:tcBorders>
          </w:tcPr>
          <w:p>
            <w:pPr>
              <w:jc w:val="center"/>
              <w:ind w:right="37"/>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112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 w:type="dxa"/>
            <w:vAlign w:val="bottom"/>
          </w:tcPr>
          <w:p>
            <w:pPr>
              <w:spacing w:after="0"/>
              <w:rPr>
                <w:sz w:val="12"/>
                <w:szCs w:val="12"/>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1"/>
              </w:rPr>
              <w:t>paid-in</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comprehensive</w:t>
            </w:r>
          </w:p>
        </w:tc>
        <w:tc>
          <w:tcPr>
            <w:tcW w:w="60" w:type="dxa"/>
            <w:vAlign w:val="bottom"/>
          </w:tcPr>
          <w:p>
            <w:pPr>
              <w:spacing w:after="0"/>
              <w:rPr>
                <w:sz w:val="12"/>
                <w:szCs w:val="12"/>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97"/>
              </w:rPr>
              <w:t>equity</w:t>
            </w:r>
          </w:p>
        </w:tc>
      </w:tr>
      <w:tr>
        <w:trPr>
          <w:trHeight w:val="130"/>
        </w:trPr>
        <w:tc>
          <w:tcPr>
            <w:tcW w:w="2680" w:type="dxa"/>
            <w:vAlign w:val="bottom"/>
          </w:tcPr>
          <w:p>
            <w:pPr>
              <w:spacing w:after="0"/>
              <w:rPr>
                <w:sz w:val="11"/>
                <w:szCs w:val="11"/>
                <w:color w:val="auto"/>
              </w:rPr>
            </w:pPr>
          </w:p>
        </w:tc>
        <w:tc>
          <w:tcPr>
            <w:tcW w:w="5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5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1"/>
                <w:szCs w:val="11"/>
                <w:color w:val="auto"/>
              </w:rPr>
            </w:pPr>
          </w:p>
        </w:tc>
        <w:tc>
          <w:tcPr>
            <w:tcW w:w="5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Pr>
          <w:p>
            <w:pPr>
              <w:spacing w:after="0"/>
              <w:rPr>
                <w:sz w:val="11"/>
                <w:szCs w:val="11"/>
                <w:color w:val="auto"/>
              </w:rPr>
            </w:pPr>
          </w:p>
        </w:tc>
        <w:tc>
          <w:tcPr>
            <w:tcW w:w="5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120" w:type="dxa"/>
            <w:vAlign w:val="bottom"/>
          </w:tcPr>
          <w:p>
            <w:pPr>
              <w:spacing w:after="0"/>
              <w:rPr>
                <w:sz w:val="11"/>
                <w:szCs w:val="11"/>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deficit</w:t>
            </w:r>
          </w:p>
        </w:tc>
        <w:tc>
          <w:tcPr>
            <w:tcW w:w="6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89"/>
              </w:rPr>
              <w:t>loss</w:t>
            </w:r>
          </w:p>
        </w:tc>
        <w:tc>
          <w:tcPr>
            <w:tcW w:w="60" w:type="dxa"/>
            <w:vAlign w:val="bottom"/>
          </w:tcPr>
          <w:p>
            <w:pPr>
              <w:spacing w:after="0"/>
              <w:rPr>
                <w:sz w:val="11"/>
                <w:szCs w:val="11"/>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89"/>
              </w:rPr>
              <w:t>(deficit)</w:t>
            </w:r>
          </w:p>
        </w:tc>
      </w:tr>
      <w:tr>
        <w:trPr>
          <w:trHeight w:val="11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at December 31,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tcBorders>
              <w:top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5,101,459</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493,322</w:t>
            </w: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(394,937)</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(4,558)</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93,828</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Issuance of Series A Preferred Stock in private placement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619.627</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9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Series A Preferred Stock in connection with the Merger and</w:t>
            </w: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9"/>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settlement of related forward contract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384,930.724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261,753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88"/>
        </w:trPr>
        <w:tc>
          <w:tcPr>
            <w:tcW w:w="2680" w:type="dxa"/>
            <w:vAlign w:val="bottom"/>
          </w:tcPr>
          <w:p>
            <w:pPr>
              <w:spacing w:after="0" w:line="89" w:lineRule="exact"/>
              <w:rPr>
                <w:sz w:val="20"/>
                <w:szCs w:val="20"/>
                <w:color w:val="auto"/>
              </w:rPr>
            </w:pPr>
            <w:r>
              <w:rPr>
                <w:rFonts w:ascii="Times New Roman" w:cs="Times New Roman" w:eastAsia="Times New Roman" w:hAnsi="Times New Roman"/>
                <w:sz w:val="8"/>
                <w:szCs w:val="8"/>
                <w:color w:val="auto"/>
              </w:rPr>
              <w:t>Issuance of Series A Preferred Stock in connection with private placement and</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13"/>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settlement of related forward contract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49,570.162</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34,848</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12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common stock under Employee Stock Purchase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6,171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231</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Issuance of vested restricted 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21,226</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1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common stock forward in connection with the Merger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2,713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2,713</w:t>
            </w:r>
          </w:p>
        </w:tc>
      </w:tr>
      <w:tr>
        <w:trPr>
          <w:trHeight w:val="88"/>
        </w:trPr>
        <w:tc>
          <w:tcPr>
            <w:tcW w:w="2680" w:type="dxa"/>
            <w:vAlign w:val="bottom"/>
          </w:tcPr>
          <w:p>
            <w:pPr>
              <w:spacing w:after="0" w:line="89" w:lineRule="exact"/>
              <w:rPr>
                <w:sz w:val="20"/>
                <w:szCs w:val="20"/>
                <w:color w:val="auto"/>
              </w:rPr>
            </w:pPr>
            <w:r>
              <w:rPr>
                <w:rFonts w:ascii="Times New Roman" w:cs="Times New Roman" w:eastAsia="Times New Roman" w:hAnsi="Times New Roman"/>
                <w:sz w:val="8"/>
                <w:szCs w:val="8"/>
                <w:color w:val="auto"/>
              </w:rPr>
              <w:t>Issuance of common stock in connection with the Merger and settlement of</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13"/>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related forward contract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224,099</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12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replacement options in Merger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3,643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6,801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6,801</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Issuance of common stock, license agreement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44,642</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1,500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1,500</w:t>
            </w:r>
          </w:p>
        </w:tc>
      </w:tr>
      <w:tr>
        <w:trPr>
          <w:trHeight w:val="1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Settlement of outstanding equity awards at Merger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(6,169)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(6,169)</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Distribution of contingent value rights</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(340,300)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(340,300)</w:t>
            </w:r>
          </w:p>
        </w:tc>
      </w:tr>
      <w:tr>
        <w:trPr>
          <w:trHeight w:val="1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Stock-based compensation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20,964</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20,964</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Currency translation adjustment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w:t>
            </w:r>
          </w:p>
        </w:tc>
      </w:tr>
      <w:tr>
        <w:trPr>
          <w:trHeight w:val="1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Unrealized gain on marketable securities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11</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(219,710)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(219,710)</w:t>
            </w:r>
          </w:p>
        </w:tc>
      </w:tr>
      <w:tr>
        <w:trPr>
          <w:trHeight w:val="131"/>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at December 31, 2023</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435,120.513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296,851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tcBorders>
              <w:top w:val="single" w:sz="8" w:color="auto"/>
              <w:bottom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3,703</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5,397,597</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179,062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(614,647)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(4,600)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(440,184)</w:t>
            </w:r>
          </w:p>
        </w:tc>
      </w:tr>
      <w:tr>
        <w:trPr>
          <w:trHeight w:val="66"/>
        </w:trPr>
        <w:tc>
          <w:tcPr>
            <w:tcW w:w="2680" w:type="dxa"/>
            <w:vAlign w:val="bottom"/>
          </w:tcPr>
          <w:p>
            <w:pPr>
              <w:spacing w:after="0" w:line="67" w:lineRule="exact"/>
              <w:rPr>
                <w:sz w:val="20"/>
                <w:szCs w:val="20"/>
                <w:color w:val="auto"/>
              </w:rPr>
            </w:pPr>
            <w:r>
              <w:rPr>
                <w:rFonts w:ascii="Times New Roman" w:cs="Times New Roman" w:eastAsia="Times New Roman" w:hAnsi="Times New Roman"/>
                <w:sz w:val="7"/>
                <w:szCs w:val="7"/>
                <w:color w:val="auto"/>
              </w:rPr>
              <w:t>Issuance of Series A Preferred Stock in connection with private placement and</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113"/>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settlement of related forward contract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99,140.326</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75,197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9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Transfer of Series A Preferred Stock and options for Series A Preferred Stock</w:t>
            </w: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9"/>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to permanent equity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(534,260.839)</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(372,048)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(3,703)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534,260.839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375,751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375,751</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Conversion of Series A Preferred Stock to common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(413,470.437)</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13,782,324</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9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Series B Preferred Stock and common stock in connection with</w:t>
            </w: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9"/>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private placement, net of issuance costs of $5,585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2,937,903</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3,563,247</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124,438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124,438</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Conversion of Series B Preferred Stock to common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(2,499,976)</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2,499,976</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w:t>
            </w:r>
          </w:p>
        </w:tc>
      </w:tr>
      <w:tr>
        <w:trPr>
          <w:trHeight w:val="1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common stock upon exercise of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458,544</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1,179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1,179</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Issuance of common stock upon exercise of warrants</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65,681</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2,877</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2,877</w:t>
            </w:r>
          </w:p>
        </w:tc>
      </w:tr>
      <w:tr>
        <w:trPr>
          <w:trHeight w:val="1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Stock-based compensation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6,582</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6,582</w:t>
            </w:r>
          </w:p>
        </w:tc>
      </w:tr>
      <w:tr>
        <w:trPr>
          <w:trHeight w:val="112"/>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Currency translation adjustment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w:t>
            </w:r>
          </w:p>
        </w:tc>
      </w:tr>
      <w:tr>
        <w:trPr>
          <w:trHeight w:val="1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Net loss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(77,424)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(77,424)</w:t>
            </w:r>
          </w:p>
        </w:tc>
      </w:tr>
      <w:tr>
        <w:trPr>
          <w:trHeight w:val="106"/>
        </w:trPr>
        <w:tc>
          <w:tcPr>
            <w:tcW w:w="2680" w:type="dxa"/>
            <w:vAlign w:val="bottom"/>
          </w:tcPr>
          <w:p>
            <w:pPr>
              <w:spacing w:after="0"/>
              <w:rPr>
                <w:sz w:val="20"/>
                <w:szCs w:val="20"/>
                <w:color w:val="auto"/>
              </w:rPr>
            </w:pPr>
            <w:r>
              <w:rPr>
                <w:rFonts w:ascii="Times New Roman" w:cs="Times New Roman" w:eastAsia="Times New Roman" w:hAnsi="Times New Roman"/>
                <w:sz w:val="8"/>
                <w:szCs w:val="8"/>
                <w:color w:val="auto"/>
              </w:rPr>
              <w:t>Balance at December 31,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tcBorders>
              <w:top w:val="single" w:sz="8" w:color="auto"/>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120,790.402</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437,927</w:t>
            </w: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25,767,369</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689,887</w:t>
            </w:r>
          </w:p>
        </w:tc>
        <w:tc>
          <w:tcPr>
            <w:tcW w:w="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(692,071)</w:t>
            </w:r>
          </w:p>
        </w:tc>
        <w:tc>
          <w:tcPr>
            <w:tcW w:w="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(4,621)</w:t>
            </w:r>
          </w:p>
        </w:tc>
        <w:tc>
          <w:tcPr>
            <w:tcW w:w="4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(6,802)</w:t>
            </w:r>
          </w:p>
        </w:tc>
      </w:tr>
      <w:tr>
        <w:trPr>
          <w:trHeight w:val="20"/>
        </w:trPr>
        <w:tc>
          <w:tcPr>
            <w:tcW w:w="2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1"/>
          <w:szCs w:val="11"/>
          <w:color w:val="auto"/>
        </w:rPr>
        <w:t>On April 4, 2024, the Company effected a 1-for-30 reverse split of its issued and outstanding shares of common stock, or the Reverse Stock Split. As a result of the Reverse Stock Split, all figures in this Annual Report on Form 10-K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00"/>
          </w:cols>
          <w:pgMar w:left="300" w:top="129" w:right="5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Cartesian Therapeutics, Inc. and Subsidiaries</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8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760" w:type="dxa"/>
            <w:vAlign w:val="bottom"/>
            <w:tcBorders>
              <w:bottom w:val="single" w:sz="8" w:color="auto"/>
            </w:tcBorders>
          </w:tcPr>
          <w:p>
            <w:pPr>
              <w:spacing w:after="0"/>
              <w:rPr>
                <w:sz w:val="11"/>
                <w:szCs w:val="11"/>
                <w:color w:val="auto"/>
              </w:rPr>
            </w:pPr>
          </w:p>
        </w:tc>
      </w:tr>
      <w:tr>
        <w:trPr>
          <w:trHeight w:val="128"/>
        </w:trPr>
        <w:tc>
          <w:tcPr>
            <w:tcW w:w="834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w w:val="89"/>
              </w:rPr>
              <w:t>2023</w:t>
            </w:r>
          </w:p>
        </w:tc>
      </w:tr>
      <w:tr>
        <w:trPr>
          <w:trHeight w:val="141"/>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0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(Amounts in thousands)</w:t>
            </w:r>
          </w:p>
        </w:tc>
        <w:tc>
          <w:tcPr>
            <w:tcW w:w="760" w:type="dxa"/>
            <w:vAlign w:val="bottom"/>
          </w:tcPr>
          <w:p>
            <w:pPr>
              <w:spacing w:after="0"/>
              <w:rPr>
                <w:sz w:val="12"/>
                <w:szCs w:val="12"/>
                <w:color w:val="auto"/>
              </w:rPr>
            </w:pPr>
          </w:p>
        </w:tc>
      </w:tr>
      <w:tr>
        <w:trPr>
          <w:trHeight w:val="14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8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(77,424)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(219,710)</w:t>
            </w: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1"/>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843</w:t>
            </w:r>
          </w:p>
        </w:tc>
      </w:tr>
      <w:tr>
        <w:trPr>
          <w:trHeight w:val="129"/>
        </w:trPr>
        <w:tc>
          <w:tcPr>
            <w:tcW w:w="83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Amortization of premiums and discounts on marketable securities</w:t>
            </w:r>
          </w:p>
        </w:tc>
        <w:tc>
          <w:tcPr>
            <w:tcW w:w="8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w:t>
            </w:r>
          </w:p>
        </w:tc>
      </w:tr>
      <w:tr>
        <w:trPr>
          <w:trHeight w:val="141"/>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Non-cash lease expense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1,754</w:t>
            </w:r>
          </w:p>
        </w:tc>
      </w:tr>
      <w:tr>
        <w:trPr>
          <w:trHeight w:val="129"/>
        </w:trPr>
        <w:tc>
          <w:tcPr>
            <w:tcW w:w="83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Impairment of long-lived assets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7,579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710</w:t>
            </w:r>
          </w:p>
        </w:tc>
      </w:tr>
      <w:tr>
        <w:trPr>
          <w:trHeight w:val="141"/>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Loss on disposal of property and equipment</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477</w:t>
            </w:r>
          </w:p>
        </w:tc>
      </w:tr>
      <w:tr>
        <w:trPr>
          <w:trHeight w:val="129"/>
        </w:trPr>
        <w:tc>
          <w:tcPr>
            <w:tcW w:w="83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6,582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22,524</w:t>
            </w:r>
          </w:p>
        </w:tc>
      </w:tr>
      <w:tr>
        <w:trPr>
          <w:trHeight w:val="141"/>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Non-cash interest expense</w:t>
            </w: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455</w:t>
            </w:r>
          </w:p>
        </w:tc>
      </w:tr>
      <w:tr>
        <w:trPr>
          <w:trHeight w:val="129"/>
        </w:trPr>
        <w:tc>
          <w:tcPr>
            <w:tcW w:w="83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Warrant liabilities revaluation</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(12,746)</w:t>
            </w:r>
          </w:p>
        </w:tc>
      </w:tr>
      <w:tr>
        <w:trPr>
          <w:trHeight w:val="141"/>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Contingent value right liability revaluation</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18,300</w:t>
            </w:r>
          </w:p>
        </w:tc>
      </w:tr>
      <w:tr>
        <w:trPr>
          <w:trHeight w:val="129"/>
        </w:trPr>
        <w:tc>
          <w:tcPr>
            <w:tcW w:w="83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Forward contract liabilities revaluation</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149,600</w:t>
            </w:r>
          </w:p>
        </w:tc>
      </w:tr>
      <w:tr>
        <w:trPr>
          <w:trHeight w:val="141"/>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Loss on extinguishment of debt</w:t>
            </w: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740</w:t>
            </w:r>
          </w:p>
        </w:tc>
      </w:tr>
      <w:tr>
        <w:trPr>
          <w:trHeight w:val="129"/>
        </w:trPr>
        <w:tc>
          <w:tcPr>
            <w:tcW w:w="83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Provision (benefit) for deferred taxes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(19,000)</w:t>
            </w:r>
          </w:p>
        </w:tc>
      </w:tr>
      <w:tr>
        <w:trPr>
          <w:trHeight w:val="141"/>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29"/>
        </w:trPr>
        <w:tc>
          <w:tcPr>
            <w:tcW w:w="83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Accounts receivable</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w:t>
            </w:r>
          </w:p>
        </w:tc>
      </w:tr>
      <w:tr>
        <w:trPr>
          <w:trHeight w:val="141"/>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Unbilled receivable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w:t>
            </w:r>
          </w:p>
        </w:tc>
      </w:tr>
      <w:tr>
        <w:trPr>
          <w:trHeight w:val="129"/>
        </w:trPr>
        <w:tc>
          <w:tcPr>
            <w:tcW w:w="83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Prepaid expenses, deposits and other assets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(1,265)</w:t>
            </w:r>
          </w:p>
        </w:tc>
      </w:tr>
      <w:tr>
        <w:trPr>
          <w:trHeight w:val="141"/>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Accounts payable</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2,834</w:t>
            </w:r>
          </w:p>
        </w:tc>
      </w:tr>
      <w:tr>
        <w:trPr>
          <w:trHeight w:val="129"/>
        </w:trPr>
        <w:tc>
          <w:tcPr>
            <w:tcW w:w="834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Deferred revenue</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5,256</w:t>
            </w:r>
          </w:p>
        </w:tc>
      </w:tr>
      <w:tr>
        <w:trPr>
          <w:trHeight w:val="141"/>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Accrued expenses and other liabilities</w:t>
            </w:r>
          </w:p>
        </w:tc>
        <w:tc>
          <w:tcPr>
            <w:tcW w:w="8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(6,741)</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(2,761)</w:t>
            </w:r>
          </w:p>
        </w:tc>
      </w:tr>
      <w:tr>
        <w:trPr>
          <w:trHeight w:val="118"/>
        </w:trPr>
        <w:tc>
          <w:tcPr>
            <w:tcW w:w="8340" w:type="dxa"/>
            <w:vAlign w:val="bottom"/>
            <w:tcBorders>
              <w:bottom w:val="single" w:sz="8" w:color="CCEEFF"/>
            </w:tcBorders>
          </w:tcPr>
          <w:p>
            <w:pPr>
              <w:ind w:left="500"/>
              <w:spacing w:after="0" w:line="107"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8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(23,674)</w:t>
            </w: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(51,161)</w:t>
            </w:r>
          </w:p>
        </w:tc>
      </w:tr>
      <w:tr>
        <w:trPr>
          <w:trHeight w:val="130"/>
        </w:trPr>
        <w:tc>
          <w:tcPr>
            <w:tcW w:w="834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assumed in acquisition of Old Cartesian</w:t>
            </w:r>
          </w:p>
        </w:tc>
        <w:tc>
          <w:tcPr>
            <w:tcW w:w="8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6,561</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maturities of marketable securities</w:t>
            </w: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28,254</w:t>
            </w: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property and equipment</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(9,093)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the sale of property and equipment</w:t>
            </w:r>
          </w:p>
        </w:tc>
        <w:tc>
          <w:tcPr>
            <w:tcW w:w="8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351</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18"/>
        </w:trPr>
        <w:tc>
          <w:tcPr>
            <w:tcW w:w="8340" w:type="dxa"/>
            <w:vAlign w:val="bottom"/>
            <w:tcBorders>
              <w:bottom w:val="single" w:sz="8" w:color="CCEEFF"/>
            </w:tcBorders>
          </w:tcPr>
          <w:p>
            <w:pPr>
              <w:ind w:left="500"/>
              <w:spacing w:after="0" w:line="107" w:lineRule="exact"/>
              <w:rPr>
                <w:sz w:val="20"/>
                <w:szCs w:val="20"/>
                <w:color w:val="auto"/>
              </w:rPr>
            </w:pPr>
            <w:r>
              <w:rPr>
                <w:rFonts w:ascii="Times New Roman" w:cs="Times New Roman" w:eastAsia="Times New Roman" w:hAnsi="Times New Roman"/>
                <w:sz w:val="10"/>
                <w:szCs w:val="10"/>
                <w:color w:val="auto"/>
              </w:rPr>
              <w:t>Net cash (used in) provided by investing activities</w:t>
            </w:r>
          </w:p>
        </w:tc>
        <w:tc>
          <w:tcPr>
            <w:tcW w:w="8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(8,742)</w:t>
            </w: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34,609</w:t>
            </w:r>
          </w:p>
        </w:tc>
      </w:tr>
      <w:tr>
        <w:trPr>
          <w:trHeight w:val="130"/>
        </w:trPr>
        <w:tc>
          <w:tcPr>
            <w:tcW w:w="834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issuance of Series A Preferred Stock, gross in private placement</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20,250</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Repayments of principal, final payment fee, and prepayment penalty on debt</w:t>
            </w: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(27,457)</w:t>
            </w: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proceeds from issuance of common stock and Series B Preferred Stock in private placement</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124,438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 offering costs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exercise of common warrants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Settlement of outstanding equity awards at Merger</w:t>
            </w: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(6,169)</w:t>
            </w: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exercise of stock options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issuance of common stock under Employee Stock Purchase Plan</w:t>
            </w: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w:t>
            </w:r>
          </w:p>
        </w:tc>
      </w:tr>
      <w:tr>
        <w:trPr>
          <w:trHeight w:val="118"/>
        </w:trPr>
        <w:tc>
          <w:tcPr>
            <w:tcW w:w="8340" w:type="dxa"/>
            <w:vAlign w:val="bottom"/>
            <w:tcBorders>
              <w:bottom w:val="single" w:sz="8" w:color="CCEEFF"/>
            </w:tcBorders>
          </w:tcPr>
          <w:p>
            <w:pPr>
              <w:ind w:left="500"/>
              <w:spacing w:after="0" w:line="107" w:lineRule="exact"/>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8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168,428</w:t>
            </w: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(13,145)</w:t>
            </w:r>
          </w:p>
        </w:tc>
      </w:tr>
      <w:tr>
        <w:trPr>
          <w:trHeight w:val="130"/>
        </w:trPr>
        <w:tc>
          <w:tcPr>
            <w:tcW w:w="834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 exchange rate changes on cash</w:t>
            </w: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w:t>
            </w: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change in cash, cash equivalents, and restricted cash</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135,991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(29,750)</w:t>
            </w:r>
          </w:p>
        </w:tc>
      </w:tr>
      <w:tr>
        <w:trPr>
          <w:trHeight w:val="13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cash equivalents, and restricted cash at beginning of period</w:t>
            </w:r>
          </w:p>
        </w:tc>
        <w:tc>
          <w:tcPr>
            <w:tcW w:w="8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78,288</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108,038</w:t>
            </w:r>
          </w:p>
        </w:tc>
      </w:tr>
      <w:tr>
        <w:trPr>
          <w:trHeight w:val="146"/>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Cash, cash equivalents, and restricted cash at end of period</w:t>
            </w:r>
          </w:p>
        </w:tc>
        <w:tc>
          <w:tcPr>
            <w:tcW w:w="8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214,279</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78,288</w:t>
            </w:r>
          </w:p>
        </w:tc>
      </w:tr>
      <w:tr>
        <w:trPr>
          <w:trHeight w:val="13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 cash flow information</w:t>
            </w: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paid for interest</w:t>
            </w:r>
          </w:p>
        </w:tc>
        <w:tc>
          <w:tcPr>
            <w:tcW w:w="8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4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1,853</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Non-cash investing and financing activities</w:t>
            </w: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29"/>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common stock, license agreement in stock-based compensation expense</w:t>
            </w:r>
          </w:p>
        </w:tc>
        <w:tc>
          <w:tcPr>
            <w:tcW w:w="8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4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property and equipment not yet paid</w:t>
            </w:r>
          </w:p>
        </w:tc>
        <w:tc>
          <w:tcPr>
            <w:tcW w:w="8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w:t>
            </w:r>
          </w:p>
        </w:tc>
      </w:tr>
      <w:tr>
        <w:trPr>
          <w:trHeight w:val="123"/>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 offering costs in accrued liabilities</w:t>
            </w:r>
          </w:p>
        </w:tc>
        <w:tc>
          <w:tcPr>
            <w:tcW w:w="8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w:t>
            </w:r>
          </w:p>
        </w:tc>
        <w:tc>
          <w:tcPr>
            <w:tcW w:w="100" w:type="dxa"/>
            <w:vAlign w:val="bottom"/>
          </w:tcPr>
          <w:p>
            <w:pPr>
              <w:spacing w:after="0"/>
              <w:rPr>
                <w:sz w:val="10"/>
                <w:szCs w:val="10"/>
                <w:color w:val="auto"/>
              </w:rPr>
            </w:pPr>
          </w:p>
        </w:tc>
        <w:tc>
          <w:tcPr>
            <w:tcW w:w="560" w:type="dxa"/>
            <w:vAlign w:val="bottom"/>
          </w:tcPr>
          <w:p>
            <w:pPr>
              <w:jc w:val="right"/>
              <w:ind w:right="4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r>
        <w:rPr>
          <w:rFonts w:ascii="Times New Roman" w:cs="Times New Roman" w:eastAsia="Times New Roman" w:hAnsi="Times New Roman"/>
          <w:sz w:val="11"/>
          <w:szCs w:val="11"/>
          <w:color w:val="auto"/>
        </w:rPr>
        <w: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Cartesian Therapeutics,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the Business</w:t>
      </w:r>
    </w:p>
    <w:p>
      <w:pPr>
        <w:spacing w:after="0" w:line="8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 xml:space="preserve">Cartesian Therapeutics, Inc., or the Company, (formerly known as Selecta Biosciences, Inc., or Selecta) </w:t>
      </w:r>
      <w:r>
        <w:rPr>
          <w:rFonts w:ascii="Times New Roman" w:cs="Times New Roman" w:eastAsia="Times New Roman" w:hAnsi="Times New Roman"/>
          <w:sz w:val="12"/>
          <w:szCs w:val="12"/>
          <w:color w:val="231F20"/>
        </w:rPr>
        <w:t>was</w:t>
      </w:r>
      <w:r>
        <w:rPr>
          <w:rFonts w:ascii="Times New Roman" w:cs="Times New Roman" w:eastAsia="Times New Roman" w:hAnsi="Times New Roman"/>
          <w:sz w:val="12"/>
          <w:szCs w:val="12"/>
          <w:color w:val="auto"/>
        </w:rPr>
        <w:t xml:space="preserve"> incorporated in Delaware on December 10, 2007, and is headquartered in Frederick, Maryland. The Company is a clinical-stage biotechnology company </w:t>
      </w:r>
      <w:r>
        <w:rPr>
          <w:rFonts w:ascii="Times New Roman" w:cs="Times New Roman" w:eastAsia="Times New Roman" w:hAnsi="Times New Roman"/>
          <w:sz w:val="12"/>
          <w:szCs w:val="12"/>
          <w:color w:val="231F20"/>
        </w:rPr>
        <w:t>pioneering mRNA cell therapy for the treatment of autoimmune diseases leveraging its proprietary technology and manufacturing platform to introduce one or more mRNA molecules into cells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50"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4.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4.</w:t>
      </w:r>
    </w:p>
    <w:p>
      <w:pPr>
        <w:spacing w:after="0" w:line="53"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Merger, the Company entered into a definitive agreement, or the 2023 Securities Purchase Agreement, for a private investment in public equity transaction, or the 2023 Private Placement, with the Investors (as defined below). The 2023 Securities Purchase Agreement provides for the issuance to the Investors of an aggregate of 149,330.115 shares of Series A Preferred Stock for an aggregate purchase price of approximately $60.25 million. For additional information, see Note 11.</w:t>
      </w:r>
    </w:p>
    <w:p>
      <w:pPr>
        <w:spacing w:after="0" w:line="47"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6.</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March 27, 2024, the Company’s stockholders approved the Conversion Proposal (as defined below). For additional information, see Note 11.</w:t>
      </w:r>
    </w:p>
    <w:p>
      <w:pPr>
        <w:spacing w:after="0" w:line="78"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Annual Report on Form 10-K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54"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On July 2, 2024, the Company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On September 20, 2024, the Company’s stockholders approved the Series B Conversion Proposal (as defined below). For additional information, see Note 11.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4" w:name="page85"/>
    <w:bookmarkEnd w:id="84"/>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8" w:right="40" w:firstLine="216"/>
        <w:spacing w:after="0" w:line="265" w:lineRule="auto"/>
        <w:rPr>
          <w:sz w:val="20"/>
          <w:szCs w:val="20"/>
          <w:color w:val="auto"/>
        </w:rPr>
      </w:pPr>
      <w:r>
        <w:rPr>
          <w:rFonts w:ascii="Times New Roman" w:cs="Times New Roman" w:eastAsia="Times New Roman" w:hAnsi="Times New Roman"/>
          <w:sz w:val="12"/>
          <w:szCs w:val="12"/>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47" w:lineRule="exact"/>
        <w:rPr>
          <w:sz w:val="20"/>
          <w:szCs w:val="20"/>
          <w:color w:val="auto"/>
        </w:rPr>
      </w:pPr>
    </w:p>
    <w:p>
      <w:pPr>
        <w:ind w:left="8"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Liquidity and Management’s Plan</w:t>
      </w:r>
    </w:p>
    <w:p>
      <w:pPr>
        <w:spacing w:after="0" w:line="82" w:lineRule="exact"/>
        <w:rPr>
          <w:sz w:val="20"/>
          <w:szCs w:val="20"/>
          <w:color w:val="auto"/>
        </w:rPr>
      </w:pPr>
    </w:p>
    <w:p>
      <w:pPr>
        <w:ind w:left="8" w:right="32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had an accumulated deficit of $692.1 million. The Company anticipates operating losses to continue for the foreseeable future due to, among other things, costs related to research and development of its product candidates and its administrative organization.</w:t>
      </w:r>
    </w:p>
    <w:p>
      <w:pPr>
        <w:spacing w:after="0" w:line="39" w:lineRule="exact"/>
        <w:rPr>
          <w:sz w:val="20"/>
          <w:szCs w:val="20"/>
          <w:color w:val="auto"/>
        </w:rPr>
      </w:pPr>
    </w:p>
    <w:p>
      <w:pPr>
        <w:ind w:left="8" w:firstLine="216"/>
        <w:spacing w:after="0" w:line="255" w:lineRule="auto"/>
        <w:rPr>
          <w:sz w:val="20"/>
          <w:szCs w:val="20"/>
          <w:color w:val="auto"/>
        </w:rPr>
      </w:pPr>
      <w:r>
        <w:rPr>
          <w:rFonts w:ascii="Times New Roman" w:cs="Times New Roman" w:eastAsia="Times New Roman" w:hAnsi="Times New Roman"/>
          <w:sz w:val="12"/>
          <w:szCs w:val="12"/>
          <w:color w:val="auto"/>
        </w:rPr>
        <w:t>As of December 31, 2024, the Company’s cash, cash equivalents, and restricted cash were $214.3 million, of which $1.7 million was restricted cash related to lease commitments. The Company believes the cash, cash equivalents and restricted cash as of December 31, 2024 will enable it to fund its current planned operations for at least the next 12 months from the date of issuance of these financial statements, though it may pursue additional cash resources through public or private equity or debt financings or by establishing collaborations with other companies. However, there is no guarantee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6.</w:t>
      </w:r>
    </w:p>
    <w:p>
      <w:pPr>
        <w:spacing w:after="0" w:line="54" w:lineRule="exact"/>
        <w:rPr>
          <w:sz w:val="20"/>
          <w:szCs w:val="20"/>
          <w:color w:val="auto"/>
        </w:rPr>
      </w:pPr>
    </w:p>
    <w:p>
      <w:pPr>
        <w:ind w:left="8" w:right="400" w:firstLine="216"/>
        <w:spacing w:after="0" w:line="279" w:lineRule="auto"/>
        <w:rPr>
          <w:sz w:val="20"/>
          <w:szCs w:val="20"/>
          <w:color w:val="auto"/>
        </w:rPr>
      </w:pPr>
      <w:r>
        <w:rPr>
          <w:rFonts w:ascii="Times New Roman" w:cs="Times New Roman" w:eastAsia="Times New Roman" w:hAnsi="Times New Roman"/>
          <w:sz w:val="12"/>
          <w:szCs w:val="12"/>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w:t>
      </w:r>
    </w:p>
    <w:p>
      <w:pPr>
        <w:spacing w:after="0" w:line="269" w:lineRule="exact"/>
        <w:rPr>
          <w:sz w:val="20"/>
          <w:szCs w:val="20"/>
          <w:color w:val="auto"/>
        </w:rPr>
      </w:pPr>
    </w:p>
    <w:p>
      <w:pPr>
        <w:ind w:left="8" w:right="9880" w:hanging="8"/>
        <w:spacing w:after="0" w:line="405" w:lineRule="auto"/>
        <w:tabs>
          <w:tab w:leader="none" w:pos="128" w:val="left"/>
        </w:tabs>
        <w:numPr>
          <w:ilvl w:val="0"/>
          <w:numId w:val="3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Basis of Presentation Principles of Consolidation</w:t>
      </w:r>
    </w:p>
    <w:p>
      <w:pPr>
        <w:ind w:left="8" w:right="240" w:firstLine="216"/>
        <w:spacing w:after="0" w:line="249"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the Company and its wholly owned subsidiaries, Selecta (RUS), LLC, or Selecta (RUS), a Russian limited liability corporation, Selecta Biosciences Security Corporation, a Massachusetts securities corporation which the Company dissolved in December 2024, and Cartesian Bio, LLC, a Delaware limited liability company, which is a variable interest entity for which the Company is the primary beneficiary. All significant intercompany accounts and transactions have been eliminated.</w:t>
      </w:r>
    </w:p>
    <w:p>
      <w:pPr>
        <w:spacing w:after="0" w:line="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73" w:lineRule="exact"/>
        <w:rPr>
          <w:sz w:val="20"/>
          <w:szCs w:val="20"/>
          <w:color w:val="auto"/>
        </w:rPr>
      </w:pPr>
    </w:p>
    <w:p>
      <w:pPr>
        <w:ind w:left="8" w:right="20" w:firstLine="216"/>
        <w:spacing w:after="0" w:line="237"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fair value of the intangible assets acquired in connection with the Merger, estimated fair value of the CVRs, deferred income taxes, revenue recognition, estimated accrued research and development expenses, stock-based compensation expense, estimated fair value of the liability-classified warrants, and impairment of long-lived assets. The Company assesses the above estimates on an ongoing basis; however, actual results could materially differ from those estimates.</w:t>
      </w:r>
    </w:p>
    <w:p>
      <w:pPr>
        <w:spacing w:after="0" w:line="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Segment Information</w:t>
      </w:r>
    </w:p>
    <w:p>
      <w:pPr>
        <w:spacing w:after="0" w:line="37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Operating segments are defined as components of an enterprise for which separate and discrete information is available for evaluation by the chief operating decision maker, or the CODM, for the purposes of assessing performance and allocating resources. 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 The Company’s CODM function is fulfilled by its Chief Executive Officer. The CODM function assesses performance for the segment and decides how to allocate resources based on consolidated net loss that is also reported on the consolidated statements of operations and comprehensive loss. The CODM function uses net loss to monitor budget versus actual results to assess performance of the segment. Segment assets are the same as total assets on the Company’s consolidated balance sheets. All long-lived assets are located in the United States. Long-lived assets consist of property and equipment, net, and operating lease right-of-use assets.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Summary of Significant Accounting Policies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Equivalents, Marketable Securities and Investments</w:t>
      </w:r>
    </w:p>
    <w:p>
      <w:pPr>
        <w:spacing w:after="0" w:line="82"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loss. Premiums or discounts from par value are amortized to interest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53"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Company has also in the past invested in equity securities of a company whose securities are not publicly traded and where fair value is not readily available. This investment is recorded using cost minus impairment adjusted for changes in observable prices, depending on our ownership percentage and other factors that suggest we have significant influence. The Company monitors this investment to evaluate whether any increase or decline in its value has occurred, based on the implied value of recent company financings, public market prices of comparable companies and general market conditions. This investment is included in investments in the consolidated balance sheets.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Concentrations of Credit Risk and Off-Balance Sheet Risk</w:t>
      </w:r>
    </w:p>
    <w:p>
      <w:pPr>
        <w:spacing w:after="0" w:line="82"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Financial instruments that potentially subject the Company to concentration of credit risk consist primarily of cash, cash equivalents, short-term deposits, investments, accounts receivable, and unbilled receivables.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of Financial Instruments</w:t>
      </w:r>
    </w:p>
    <w:p>
      <w:pPr>
        <w:spacing w:after="0" w:line="73" w:lineRule="exact"/>
        <w:rPr>
          <w:sz w:val="20"/>
          <w:szCs w:val="20"/>
          <w:color w:val="auto"/>
        </w:rPr>
      </w:pPr>
    </w:p>
    <w:p>
      <w:pPr>
        <w:ind w:right="180" w:firstLine="216"/>
        <w:spacing w:after="0" w:line="249" w:lineRule="auto"/>
        <w:rPr>
          <w:sz w:val="20"/>
          <w:szCs w:val="20"/>
          <w:color w:val="auto"/>
        </w:rPr>
      </w:pPr>
      <w:r>
        <w:rPr>
          <w:rFonts w:ascii="Times New Roman" w:cs="Times New Roman" w:eastAsia="Times New Roman" w:hAnsi="Times New Roman"/>
          <w:sz w:val="12"/>
          <w:szCs w:val="12"/>
          <w:color w:val="auto"/>
        </w:rPr>
        <w:t>The Company’s financial instruments consist mainly of cash equivalents, restricted cash, accounts receivable, accounts payable, accrued expenses and other current liabilities, investments, warrants to purchase common stock, forward contract liabilities, and contingent value rights. The carrying amounts of cash equivalents, restricted cash, accounts receivable, accounts payable, and accrued expenses and other current liabilities approximate their estimated fair value due to their short-term maturities.</w:t>
      </w:r>
    </w:p>
    <w:p>
      <w:pPr>
        <w:spacing w:after="0" w:line="57"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Level 1</w:t>
      </w:r>
      <w:r>
        <w:rPr>
          <w:rFonts w:ascii="Times New Roman" w:cs="Times New Roman" w:eastAsia="Times New Roman" w:hAnsi="Times New Roman"/>
          <w:sz w:val="12"/>
          <w:szCs w:val="12"/>
          <w:color w:val="auto"/>
        </w:rPr>
        <w:t>—Level 1 inputs are quoted prices in active markets for identical assets or liabilities that the reporting entity has the ability to access at the measurement date.</w:t>
      </w:r>
    </w:p>
    <w:p>
      <w:pPr>
        <w:spacing w:after="0" w:line="78" w:lineRule="exact"/>
        <w:rPr>
          <w:sz w:val="20"/>
          <w:szCs w:val="20"/>
          <w:color w:val="auto"/>
        </w:rPr>
      </w:pPr>
    </w:p>
    <w:p>
      <w:pPr>
        <w:ind w:left="420"/>
        <w:spacing w:after="0" w:line="283" w:lineRule="auto"/>
        <w:rPr>
          <w:sz w:val="20"/>
          <w:szCs w:val="20"/>
          <w:color w:val="auto"/>
        </w:rPr>
      </w:pPr>
      <w:r>
        <w:rPr>
          <w:rFonts w:ascii="Times New Roman" w:cs="Times New Roman" w:eastAsia="Times New Roman" w:hAnsi="Times New Roman"/>
          <w:sz w:val="12"/>
          <w:szCs w:val="12"/>
          <w:i w:val="1"/>
          <w:iCs w:val="1"/>
          <w:color w:val="auto"/>
        </w:rPr>
        <w:t>Level 2</w:t>
      </w:r>
      <w:r>
        <w:rPr>
          <w:rFonts w:ascii="Times New Roman" w:cs="Times New Roman" w:eastAsia="Times New Roman" w:hAnsi="Times New Roman"/>
          <w:sz w:val="12"/>
          <w:szCs w:val="12"/>
          <w:color w:val="auto"/>
        </w:rPr>
        <w:t>—Level 2 inputs are inputs other than quoted prices included within Level 1 that are observable for the asset or liability, either directly or indirectly. If the asset or liability has a specified (contractual) term, a Level 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input must be observable for substantially the full term of the asset or liability.</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Level 3</w:t>
      </w:r>
      <w:r>
        <w:rPr>
          <w:rFonts w:ascii="Times New Roman" w:cs="Times New Roman" w:eastAsia="Times New Roman" w:hAnsi="Times New Roman"/>
          <w:sz w:val="12"/>
          <w:szCs w:val="12"/>
          <w:color w:val="auto"/>
        </w:rPr>
        <w:t>—Level 3 inputs are unobservable inputs for the asset or liability in which there is little, if any, market activity for the asset or liability at the measurement date.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380" w:firstLine="216"/>
        <w:spacing w:after="0" w:line="265" w:lineRule="auto"/>
        <w:rPr>
          <w:sz w:val="20"/>
          <w:szCs w:val="20"/>
          <w:color w:val="auto"/>
        </w:rPr>
      </w:pPr>
      <w:r>
        <w:rPr>
          <w:rFonts w:ascii="Times New Roman" w:cs="Times New Roman" w:eastAsia="Times New Roman" w:hAnsi="Times New Roman"/>
          <w:sz w:val="12"/>
          <w:szCs w:val="12"/>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and contingent value rights are determined using Level 3 inputs.</w:t>
      </w:r>
    </w:p>
    <w:p>
      <w:pPr>
        <w:spacing w:after="0" w:line="47"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carrying amounts reflected in the consolidated balance sheet for investments approximate fair value and are assessed for impairment quarterly.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Property and Equipment</w:t>
      </w:r>
    </w:p>
    <w:p>
      <w:pPr>
        <w:spacing w:after="0" w:line="82"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 of Long-Lived Assets</w:t>
      </w:r>
    </w:p>
    <w:p>
      <w:pPr>
        <w:spacing w:after="0" w:line="82" w:lineRule="exact"/>
        <w:rPr>
          <w:sz w:val="20"/>
          <w:szCs w:val="20"/>
          <w:color w:val="auto"/>
        </w:rPr>
      </w:pPr>
    </w:p>
    <w:p>
      <w:pPr>
        <w:ind w:right="40" w:firstLine="216"/>
        <w:spacing w:after="0" w:line="249" w:lineRule="auto"/>
        <w:rPr>
          <w:sz w:val="20"/>
          <w:szCs w:val="20"/>
          <w:color w:val="auto"/>
        </w:rPr>
      </w:pPr>
      <w:r>
        <w:rPr>
          <w:rFonts w:ascii="Times New Roman" w:cs="Times New Roman" w:eastAsia="Times New Roman" w:hAnsi="Times New Roman"/>
          <w:sz w:val="12"/>
          <w:szCs w:val="12"/>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The Company recognized an impairment charge on its right of use assets and related furniture and fixtures during the year ended December 31, 2024 and on a right-of-use asset during the year ended December 31,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Debt Issuance Costs</w:t>
      </w:r>
    </w:p>
    <w:p>
      <w:pPr>
        <w:spacing w:after="0" w:line="82"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Debt issuance costs and fees paid to lenders are recorded as a direct deduction from the face amount of the related debt. Debt issuance costs are amortized over the term of the related debt using the effective interest method and recorded as interest expense.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Accumulated Other Comprehensive Loss</w:t>
      </w:r>
    </w:p>
    <w:p>
      <w:pPr>
        <w:spacing w:after="0" w:line="8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loss consists of: (i) all components of net loss and (ii) all components of comprehensive loss other than net loss, referred to as other comprehensive loss. Other comprehensive loss is comprised of unrealized gains and losses on debt securities and foreign currency translation adjustments.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and License Revenue Recognition</w:t>
      </w:r>
    </w:p>
    <w:p>
      <w:pPr>
        <w:spacing w:after="0" w:line="82" w:lineRule="exact"/>
        <w:rPr>
          <w:sz w:val="20"/>
          <w:szCs w:val="20"/>
          <w:color w:val="auto"/>
        </w:rPr>
      </w:pPr>
    </w:p>
    <w:p>
      <w:pPr>
        <w:ind w:firstLine="216"/>
        <w:spacing w:after="0" w:line="271" w:lineRule="auto"/>
        <w:rPr>
          <w:sz w:val="20"/>
          <w:szCs w:val="20"/>
          <w:color w:val="auto"/>
        </w:rPr>
      </w:pPr>
      <w:r>
        <w:rPr>
          <w:rFonts w:ascii="Times New Roman" w:cs="Times New Roman" w:eastAsia="Times New Roman" w:hAnsi="Times New Roman"/>
          <w:sz w:val="11"/>
          <w:szCs w:val="11"/>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1"/>
          <w:szCs w:val="11"/>
          <w:i w:val="1"/>
          <w:iCs w:val="1"/>
          <w:color w:val="auto"/>
        </w:rPr>
        <w:t>Revenue from Contracts with Customers (ASC 606)</w:t>
      </w:r>
      <w:r>
        <w:rPr>
          <w:rFonts w:ascii="Times New Roman" w:cs="Times New Roman" w:eastAsia="Times New Roman" w:hAnsi="Times New Roman"/>
          <w:sz w:val="11"/>
          <w:szCs w:val="11"/>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Collaboration and License Revenue: </w:t>
      </w:r>
      <w:r>
        <w:rPr>
          <w:rFonts w:ascii="Times New Roman" w:cs="Times New Roman" w:eastAsia="Times New Roman" w:hAnsi="Times New Roman"/>
          <w:sz w:val="12"/>
          <w:szCs w:val="12"/>
          <w:color w:val="auto"/>
        </w:rPr>
        <w:t>The Company currently generates its revenue through collaboration and license agreements with strategic collaborators for the development and commercialization of product candidates.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Collaboration and license agreements with customers are generally accounted for in accordance with ASC 606. The Company analyzes collaboration arrangements by first assessing whether they are within the scope of ASC Topic 808, </w:t>
      </w:r>
      <w:r>
        <w:rPr>
          <w:rFonts w:ascii="Times New Roman" w:cs="Times New Roman" w:eastAsia="Times New Roman" w:hAnsi="Times New Roman"/>
          <w:sz w:val="12"/>
          <w:szCs w:val="12"/>
          <w:i w:val="1"/>
          <w:iCs w:val="1"/>
          <w:color w:val="auto"/>
        </w:rPr>
        <w:t>Collaborative Arrangements (ASC 808</w:t>
      </w:r>
      <w:r>
        <w:rPr>
          <w:rFonts w:ascii="Times New Roman" w:cs="Times New Roman" w:eastAsia="Times New Roman" w:hAnsi="Times New Roman"/>
          <w:sz w:val="12"/>
          <w:szCs w:val="12"/>
          <w:color w:val="auto"/>
        </w:rPr>
        <w:t>), and evaluates whether such arrangements involve joint operating activities performed by parties that are both active participants in the activities and exposed to significant risks and rewards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2"/>
          <w:szCs w:val="12"/>
          <w:i w:val="1"/>
          <w:iCs w:val="1"/>
          <w:color w:val="auto"/>
        </w:rPr>
        <w:t>Research and Development (ASC 730)</w:t>
      </w:r>
      <w:r>
        <w:rPr>
          <w:rFonts w:ascii="Times New Roman" w:cs="Times New Roman" w:eastAsia="Times New Roman" w:hAnsi="Times New Roman"/>
          <w:sz w:val="12"/>
          <w:szCs w:val="12"/>
          <w:color w:val="auto"/>
        </w:rPr>
        <w:t>,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37"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Licenses of Intellectual Property: </w:t>
      </w:r>
      <w:r>
        <w:rPr>
          <w:rFonts w:ascii="Times New Roman" w:cs="Times New Roman" w:eastAsia="Times New Roman" w:hAnsi="Times New Roman"/>
          <w:sz w:val="12"/>
          <w:szCs w:val="12"/>
          <w:color w:val="auto"/>
        </w:rPr>
        <w:t>If the license to the Company’s intellectual property is determined to be distinct from the other promised goods and services identified in the arrangement, the Company recognizes revenues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49"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Milestone Payments: </w:t>
      </w:r>
      <w:r>
        <w:rPr>
          <w:rFonts w:ascii="Times New Roman" w:cs="Times New Roman" w:eastAsia="Times New Roman" w:hAnsi="Times New Roman"/>
          <w:sz w:val="12"/>
          <w:szCs w:val="12"/>
          <w:color w:val="auto"/>
        </w:rPr>
        <w:t>At the inception of each arrangement that includes developmental and regulatory milestone payments, the Company evaluates whether the achievement of each milestone specifically relates to the Company’s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54" w:lineRule="exact"/>
        <w:rPr>
          <w:sz w:val="20"/>
          <w:szCs w:val="20"/>
          <w:color w:val="auto"/>
        </w:rPr>
      </w:pPr>
    </w:p>
    <w:p>
      <w:pPr>
        <w:jc w:val="both"/>
        <w:ind w:right="20" w:firstLine="216"/>
        <w:spacing w:after="0" w:line="330" w:lineRule="auto"/>
        <w:rPr>
          <w:sz w:val="20"/>
          <w:szCs w:val="20"/>
          <w:color w:val="auto"/>
        </w:rPr>
      </w:pPr>
      <w:r>
        <w:rPr>
          <w:rFonts w:ascii="Times New Roman" w:cs="Times New Roman" w:eastAsia="Times New Roman" w:hAnsi="Times New Roman"/>
          <w:sz w:val="11"/>
          <w:szCs w:val="11"/>
          <w:i w:val="1"/>
          <w:iCs w:val="1"/>
          <w:color w:val="auto"/>
        </w:rPr>
        <w:t xml:space="preserve">Manufacturing Supply Services: </w:t>
      </w:r>
      <w:r>
        <w:rPr>
          <w:rFonts w:ascii="Times New Roman" w:cs="Times New Roman" w:eastAsia="Times New Roman" w:hAnsi="Times New Roman"/>
          <w:sz w:val="11"/>
          <w:szCs w:val="11"/>
          <w:color w:val="auto"/>
        </w:rPr>
        <w:t>Arrangements that include a promise for future supply of drug substance or drug product for either clinical development or commercial supply at the customer’s discretion are evaluated to determine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if they are distinct and optional. For optional services that are distinct, the Company assesses if they are priced at a discount, and therefore, provide a material right to the licensee to be accounted for as separate performance obligations.</w:t>
      </w:r>
    </w:p>
    <w:p>
      <w:pPr>
        <w:spacing w:after="0" w:line="12" w:lineRule="exact"/>
        <w:rPr>
          <w:sz w:val="20"/>
          <w:szCs w:val="20"/>
          <w:color w:val="auto"/>
        </w:rPr>
      </w:pPr>
    </w:p>
    <w:p>
      <w:pPr>
        <w:ind w:right="26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Royalties: </w:t>
      </w:r>
      <w:r>
        <w:rPr>
          <w:rFonts w:ascii="Times New Roman" w:cs="Times New Roman" w:eastAsia="Times New Roman" w:hAnsi="Times New Roman"/>
          <w:sz w:val="12"/>
          <w:szCs w:val="12"/>
          <w:color w:val="auto"/>
        </w:rPr>
        <w:t>For arrangements that include sales-based royalties, including milestone payments based on the level of sales, and the license is deemed to be the predominant item to which the royalties relate, the Company will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Grant Revenue</w:t>
      </w:r>
    </w:p>
    <w:p>
      <w:pPr>
        <w:spacing w:after="0" w:line="8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Company has contracts with government-sponsored organizations for research and development related activities that provide for payments for reimbursable costs. The Company recognizes grant revenue from these contracts as it performs services under these arrangements when the funding is committed. Expenses associated with these contracts are recognized when incurred as research and development expense. Grant revenue and related expenses are presented gross in the consolidated statements of operations and comprehensive loss as the Company has determined it is the primary obligor under the arrangements relative to the research and development services it performs as lead technical expert. Amounts incurred that are subject to reimbursement from the sponsor are recorded as accounts receivable on the consolidated balance sheets.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 Costs</w:t>
      </w:r>
    </w:p>
    <w:p>
      <w:pPr>
        <w:spacing w:after="0" w:line="8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Clinical Trial Costs</w:t>
      </w:r>
    </w:p>
    <w:p>
      <w:pPr>
        <w:spacing w:after="0" w:line="82"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Clinical trial expenses are a significant component of research and development expenses, and the Company outsources a significant portion of these costs to third-parties. Third-party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82" w:lineRule="exact"/>
        <w:rPr>
          <w:sz w:val="20"/>
          <w:szCs w:val="20"/>
          <w:color w:val="auto"/>
        </w:rPr>
      </w:pPr>
    </w:p>
    <w:p>
      <w:pPr>
        <w:ind w:right="160" w:firstLine="216"/>
        <w:spacing w:after="0" w:line="327" w:lineRule="auto"/>
        <w:rPr>
          <w:sz w:val="20"/>
          <w:szCs w:val="20"/>
          <w:color w:val="auto"/>
        </w:rPr>
      </w:pPr>
      <w:r>
        <w:rPr>
          <w:rFonts w:ascii="Times New Roman" w:cs="Times New Roman" w:eastAsia="Times New Roman" w:hAnsi="Times New Roman"/>
          <w:sz w:val="11"/>
          <w:szCs w:val="11"/>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5"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Warrants</w:t>
      </w:r>
    </w:p>
    <w:p>
      <w:pPr>
        <w:spacing w:after="0" w:line="80" w:lineRule="exact"/>
        <w:rPr>
          <w:sz w:val="20"/>
          <w:szCs w:val="20"/>
          <w:color w:val="auto"/>
        </w:rPr>
      </w:pPr>
    </w:p>
    <w:p>
      <w:pPr>
        <w:jc w:val="both"/>
        <w:ind w:right="200" w:firstLine="216"/>
        <w:spacing w:after="0" w:line="261" w:lineRule="auto"/>
        <w:rPr>
          <w:sz w:val="20"/>
          <w:szCs w:val="20"/>
          <w:color w:val="auto"/>
        </w:rPr>
      </w:pPr>
      <w:r>
        <w:rPr>
          <w:rFonts w:ascii="Times New Roman" w:cs="Times New Roman" w:eastAsia="Times New Roman" w:hAnsi="Times New Roman"/>
          <w:sz w:val="12"/>
          <w:szCs w:val="12"/>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2"/>
          <w:szCs w:val="12"/>
          <w:i w:val="1"/>
          <w:iCs w:val="1"/>
          <w:color w:val="auto"/>
        </w:rPr>
        <w:t>Accounting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Certain Financial Instruments with Characteristics of both Liabilities and Equity</w:t>
      </w:r>
      <w:r>
        <w:rPr>
          <w:rFonts w:ascii="Times New Roman" w:cs="Times New Roman" w:eastAsia="Times New Roman" w:hAnsi="Times New Roman"/>
          <w:sz w:val="12"/>
          <w:szCs w:val="12"/>
          <w:color w:val="auto"/>
        </w:rPr>
        <w:t>, and then in accordance with ASC 815-40,</w:t>
      </w:r>
      <w:r>
        <w:rPr>
          <w:rFonts w:ascii="Times New Roman" w:cs="Times New Roman" w:eastAsia="Times New Roman" w:hAnsi="Times New Roman"/>
          <w:sz w:val="12"/>
          <w:szCs w:val="12"/>
          <w:i w:val="1"/>
          <w:iCs w:val="1"/>
          <w:color w:val="auto"/>
        </w:rPr>
        <w:t xml:space="preserve"> Accounting for Derivative Financial Instruments Indexed to, and Potentially Settled in, a Company’s Own Stock</w:t>
      </w:r>
      <w:r>
        <w:rPr>
          <w:rFonts w:ascii="Times New Roman" w:cs="Times New Roman" w:eastAsia="Times New Roman" w:hAnsi="Times New Roman"/>
          <w:sz w:val="12"/>
          <w:szCs w:val="12"/>
          <w:color w:val="auto"/>
        </w:rPr>
        <w:t>. Under ASC 480, warrants are considered liability classified if the warrants are mandatorily redeemable, obligate the issuer to settle the warrants or the underlying shares by paying cash or other assets, or must or may require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settlement by issuing variable number of shares.</w:t>
      </w:r>
    </w:p>
    <w:p>
      <w:pPr>
        <w:spacing w:after="0" w:line="50"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Liability classified warrants are required to be accounted for at fair value both on the date of</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8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 Per Share</w:t>
      </w:r>
    </w:p>
    <w:p>
      <w:pPr>
        <w:spacing w:after="0" w:line="73" w:lineRule="exact"/>
        <w:rPr>
          <w:sz w:val="20"/>
          <w:szCs w:val="20"/>
          <w:color w:val="auto"/>
        </w:rPr>
      </w:pPr>
    </w:p>
    <w:p>
      <w:pPr>
        <w:ind w:right="100" w:firstLine="216"/>
        <w:spacing w:after="0" w:line="242" w:lineRule="auto"/>
        <w:rPr>
          <w:sz w:val="20"/>
          <w:szCs w:val="20"/>
          <w:color w:val="auto"/>
        </w:rPr>
      </w:pPr>
      <w:r>
        <w:rPr>
          <w:rFonts w:ascii="Times New Roman" w:cs="Times New Roman" w:eastAsia="Times New Roman" w:hAnsi="Times New Roman"/>
          <w:sz w:val="12"/>
          <w:szCs w:val="12"/>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Series A Preferred Stock, Series B Preferred Stock and 2022 Warrants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6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potentially dilutive common shares. For purposes of this calculation, outstanding options to purchase common stock and Series A Preferred Stock, forward contracts to issue Series A Preferred Stock, restricted stock units, warrants to purchase common stock, employee stock purchase plan stock, contingently issuable shares, Series A Preferred Stock, and Series B Preferred Stock are considered potential dilutive common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Contingent Liabilities</w:t>
      </w:r>
    </w:p>
    <w:p>
      <w:pPr>
        <w:spacing w:after="0" w:line="80" w:lineRule="exact"/>
        <w:rPr>
          <w:sz w:val="20"/>
          <w:szCs w:val="20"/>
          <w:color w:val="auto"/>
        </w:rPr>
      </w:pPr>
    </w:p>
    <w:p>
      <w:pPr>
        <w:jc w:val="both"/>
        <w:ind w:right="20" w:firstLine="216"/>
        <w:spacing w:after="0" w:line="266" w:lineRule="auto"/>
        <w:rPr>
          <w:sz w:val="20"/>
          <w:szCs w:val="20"/>
          <w:color w:val="auto"/>
        </w:rPr>
      </w:pPr>
      <w:r>
        <w:rPr>
          <w:rFonts w:ascii="Times New Roman" w:cs="Times New Roman" w:eastAsia="Times New Roman" w:hAnsi="Times New Roman"/>
          <w:sz w:val="12"/>
          <w:szCs w:val="12"/>
          <w:color w:val="auto"/>
        </w:rPr>
        <w:t xml:space="preserve">The Company accounts for its contingent liabilities in accordance with ASC Topic 450, </w:t>
      </w:r>
      <w:r>
        <w:rPr>
          <w:rFonts w:ascii="Times New Roman" w:cs="Times New Roman" w:eastAsia="Times New Roman" w:hAnsi="Times New Roman"/>
          <w:sz w:val="12"/>
          <w:szCs w:val="12"/>
          <w:i w:val="1"/>
          <w:iCs w:val="1"/>
          <w:color w:val="auto"/>
        </w:rPr>
        <w:t>Contingencies (ASC 450)</w:t>
      </w:r>
      <w:r>
        <w:rPr>
          <w:rFonts w:ascii="Times New Roman" w:cs="Times New Roman" w:eastAsia="Times New Roman" w:hAnsi="Times New Roman"/>
          <w:sz w:val="12"/>
          <w:szCs w:val="12"/>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Leases</w:t>
      </w:r>
    </w:p>
    <w:p>
      <w:pPr>
        <w:spacing w:after="0" w:line="80" w:lineRule="exact"/>
        <w:rPr>
          <w:sz w:val="20"/>
          <w:szCs w:val="20"/>
          <w:color w:val="auto"/>
        </w:rPr>
      </w:pPr>
    </w:p>
    <w:p>
      <w:pPr>
        <w:ind w:right="40" w:firstLine="216"/>
        <w:spacing w:after="0" w:line="258" w:lineRule="auto"/>
        <w:rPr>
          <w:sz w:val="20"/>
          <w:szCs w:val="20"/>
          <w:color w:val="auto"/>
        </w:rPr>
      </w:pPr>
      <w:r>
        <w:rPr>
          <w:rFonts w:ascii="Times New Roman" w:cs="Times New Roman" w:eastAsia="Times New Roman" w:hAnsi="Times New Roman"/>
          <w:sz w:val="12"/>
          <w:szCs w:val="12"/>
          <w:color w:val="auto"/>
        </w:rPr>
        <w:t xml:space="preserve">The Company accounts for its leases in accordance with ASC Topic 842, </w:t>
      </w:r>
      <w:r>
        <w:rPr>
          <w:rFonts w:ascii="Times New Roman" w:cs="Times New Roman" w:eastAsia="Times New Roman" w:hAnsi="Times New Roman"/>
          <w:sz w:val="12"/>
          <w:szCs w:val="12"/>
          <w:i w:val="1"/>
          <w:iCs w:val="1"/>
          <w:color w:val="auto"/>
        </w:rPr>
        <w:t>Leases (ASC 842)</w:t>
      </w:r>
      <w:r>
        <w:rPr>
          <w:rFonts w:ascii="Times New Roman" w:cs="Times New Roman" w:eastAsia="Times New Roman" w:hAnsi="Times New Roman"/>
          <w:sz w:val="12"/>
          <w:szCs w:val="12"/>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5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53"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Company enters into lease agreements with terms generally ranging from two to eight years. Some of the Company’s lease agreements include Company options to either extend and/or early terminate the lease, the costs of which are included in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its operating lease liabilities to the extent that such options are reasonably certain of being exercised. Leases with renewal options allow the Company to extend the lease term typically between one and five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Acquisitions</w:t>
      </w:r>
    </w:p>
    <w:p>
      <w:pPr>
        <w:spacing w:after="0" w:line="82"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 xml:space="preserve">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based on the fair value estimates as of the date of acquisition. In accordance with ASC Topic 805, </w:t>
      </w:r>
      <w:r>
        <w:rPr>
          <w:rFonts w:ascii="Times New Roman" w:cs="Times New Roman" w:eastAsia="Times New Roman" w:hAnsi="Times New Roman"/>
          <w:sz w:val="12"/>
          <w:szCs w:val="12"/>
          <w:i w:val="1"/>
          <w:iCs w:val="1"/>
          <w:color w:val="auto"/>
        </w:rPr>
        <w:t>Business Combinations (ASC 805)</w:t>
      </w:r>
      <w:r>
        <w:rPr>
          <w:rFonts w:ascii="Times New Roman" w:cs="Times New Roman" w:eastAsia="Times New Roman" w:hAnsi="Times New Roman"/>
          <w:sz w:val="12"/>
          <w:szCs w:val="12"/>
          <w:color w:val="auto"/>
        </w:rPr>
        <w:t xml:space="preserve"> the Company recognizes and measures goodwill as of the acquisition date, as the excess of the fair value of the consideration paid over the fair value of the identified net assets acquired.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8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Goodwill represents the amount of consideration paid in excess of the fair value of the identified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and other relevant events. Further testing is only required if the entity determines, based on the qualitative assessment, that it is more likely than not that the fair value of the reporting unit is less than its carrying amount.</w:t>
      </w:r>
    </w:p>
    <w:p>
      <w:pPr>
        <w:spacing w:after="0" w:line="50"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Company evaluates goodwill for impairment at least annually on October 1 and whenever facts and circumstances indicate that their carrying amounts may not be recoverable. For the years ended December 31, 2024 and 2023, the Company determined that there was no impairment to goodwill.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Indefinite-Lived Intangible Assets</w:t>
      </w:r>
    </w:p>
    <w:p>
      <w:pPr>
        <w:spacing w:after="0" w:line="8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Indefinite-lived intangible assets consist of in-process research and development, or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39"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53"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The Company evaluates indefinite-lived intangible assets for impairment at least annually on October 1 and whenever facts and circumstances indicate that their carrying amounts may not be recoverable. For the years ended December 31, 2024 and 2023, the Company determined that there was no impairment to the IPR&amp;D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12" w:lineRule="exact"/>
        <w:rPr>
          <w:sz w:val="20"/>
          <w:szCs w:val="20"/>
          <w:color w:val="auto"/>
        </w:rPr>
      </w:pPr>
    </w:p>
    <w:p>
      <w:pPr>
        <w:ind w:right="60" w:firstLine="216"/>
        <w:spacing w:after="0" w:line="244" w:lineRule="auto"/>
        <w:rPr>
          <w:sz w:val="20"/>
          <w:szCs w:val="20"/>
          <w:color w:val="auto"/>
        </w:rPr>
      </w:pPr>
      <w:r>
        <w:rPr>
          <w:rFonts w:ascii="Times New Roman" w:cs="Times New Roman" w:eastAsia="Times New Roman" w:hAnsi="Times New Roman"/>
          <w:sz w:val="12"/>
          <w:szCs w:val="12"/>
          <w:color w:val="auto"/>
        </w:rPr>
        <w:t>The Company records its convertible preferred stock upon issuance at its fair value. The fair value includes the original issuance price, the settlement of any related forward contract, and is less issuance costs. The Company classifies its convertible preferred stock outside of stockholders’ deficit if the redemption of such shares is outside the Company’s control. For shares classified outside of stockholders’ deficit, the Company does not adjust the carrying value of its convertible preferred stock to redemption value until it is probable of becoming redeemable. As of December 31, 2024, there were no conditions that could have required cash redemption of the convertible preferred stock and therefore, all convertible preferred stock were classified within stockholders’ deficit.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Series A Preferred Stock Options</w:t>
      </w:r>
    </w:p>
    <w:p>
      <w:pPr>
        <w:spacing w:after="0" w:line="82" w:lineRule="exact"/>
        <w:rPr>
          <w:sz w:val="20"/>
          <w:szCs w:val="20"/>
          <w:color w:val="auto"/>
        </w:rPr>
      </w:pPr>
    </w:p>
    <w:p>
      <w:pPr>
        <w:jc w:val="both"/>
        <w:ind w:right="60" w:firstLine="216"/>
        <w:spacing w:after="0" w:line="260" w:lineRule="auto"/>
        <w:rPr>
          <w:sz w:val="20"/>
          <w:szCs w:val="20"/>
          <w:color w:val="auto"/>
        </w:rPr>
      </w:pPr>
      <w:r>
        <w:rPr>
          <w:rFonts w:ascii="Times New Roman" w:cs="Times New Roman" w:eastAsia="Times New Roman" w:hAnsi="Times New Roman"/>
          <w:sz w:val="12"/>
          <w:szCs w:val="12"/>
          <w:color w:val="auto"/>
        </w:rPr>
        <w:t>The Company classifies a portion of the fair value of the vested stock options for Series A Preferred Stock equal to the estimated redemption value on the measurement date outside of stockholders’ deficit, if the redemption of the shares underlying the options are outside the Company’s control. Any fair value in excess of the estimated redemption value is recognized as additional paid-in capital. The estimated redemption value is based on the intrinsic value of the option. The Company does not adjust the carrying value of the stock options for Series A Preferred Stock until the underlying Series A Preferred Stock is probable of becoming redeemable. The Company records the stock options for Series A Preferred Stock based on the intrinsic value of the vested options.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Variable Interest Entities</w:t>
      </w:r>
    </w:p>
    <w:p>
      <w:pPr>
        <w:spacing w:after="0" w:line="8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 evaluates its variable interests in variable interest entities, or VIEs, and consolidates VIEs when the Company is the primary beneficiary. The Company determines whether it is the primary beneficiary of a VIE based on its assessment of whether the Company possesses both (i) the power to direct the activities that most significantly affect the VIE’s economic performance and (ii) the obligation to absorb losses that could be significant to the VIE or the right to receive benefits that could be significant to the VIE. The Company reevaluates the accounting for its VIEs upon the occurrence of events that could change the primary beneficiary conclusion.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Contingent Value Right Liability</w:t>
      </w:r>
    </w:p>
    <w:p>
      <w:pPr>
        <w:spacing w:after="0" w:line="8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 xml:space="preserve">The CVRs distributed by the Company pursuant to the terms of the CVR Agreement (as defined below) represent financial instruments that are accounted for under the fair value option election in ASC Topic 825,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Instruments (ASC 825). </w:t>
      </w:r>
      <w:r>
        <w:rPr>
          <w:rFonts w:ascii="Times New Roman" w:cs="Times New Roman" w:eastAsia="Times New Roman" w:hAnsi="Times New Roman"/>
          <w:sz w:val="12"/>
          <w:szCs w:val="12"/>
          <w:color w:val="auto"/>
        </w:rPr>
        <w:t>Under the fair value option election, the CVRs are initially measured at the aggregate estimated fair value of the CVRs and will be subsequently remeasured at estimated fair value on a recurring basis at each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reporting period date. The estimated fair value of the CVR liability was determined using a discounted cash flow methodology as of December 31, 2023 and a Monte Carlo simulation method as of December 31, 2024 to estimate future cash flows associated with the legacy assets, including the expected milestone and royalty payments under the Sobi License, net of deductions. Changes in fair value of the liability are presented in the consolidated statements of operations and comprehensive loss. The liability value is based on significant inputs not observable in the market such as estimated cash flows, estimated probabilities of success, expected volatilities of revenues (Monte Carlo simulation) and risk-adjustment discount rate (discounted cash flow methodology), which represent a Level 3 measurement within the fair value hierarchy.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Contract Liabilities</w:t>
      </w:r>
    </w:p>
    <w:p>
      <w:pPr>
        <w:spacing w:after="0" w:line="8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Company accounts for contracts related to the future issuance of its convertible preferred stock as a liability if the underlying shares include a redemption feature that may require the Company to settle the instrument by transferring an asset. The forward contract liability is carried at fair value through the date the underlying shares are issued. The fair value of the Series A Preferred Stock forward contract liability was initially measured based on the fair value of the Series A Preferred Stock issued in the 2023 Private Placement (see Note 11), less the purchase price, if any. Subsequent measurement of the fair value of the Series A Preferred Stock forward contract liability was based on the market price of the Company’s common stock, which represented the redemption and conversion value of the Series A Preferred Stock, less the purchase price, if any, on an as-converted basis. The remeasurement of the forward contract liability is based on Level 2 inputs within the fair value hierarchy as it’s based on observable market data. Changes in fair value of the liability are presented within change in fair value of forward contract liabilities in the consolidated statements of operations and comprehensive loss.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Recently Adopted</w:t>
      </w:r>
    </w:p>
    <w:p>
      <w:pPr>
        <w:spacing w:after="0" w:line="78" w:lineRule="exact"/>
        <w:rPr>
          <w:sz w:val="20"/>
          <w:szCs w:val="20"/>
          <w:color w:val="auto"/>
        </w:rPr>
      </w:pPr>
    </w:p>
    <w:p>
      <w:pPr>
        <w:jc w:val="both"/>
        <w:ind w:right="20" w:firstLine="216"/>
        <w:spacing w:after="0" w:line="266" w:lineRule="auto"/>
        <w:rPr>
          <w:sz w:val="20"/>
          <w:szCs w:val="20"/>
          <w:color w:val="auto"/>
        </w:rPr>
      </w:pPr>
      <w:r>
        <w:rPr>
          <w:rFonts w:ascii="Times New Roman" w:cs="Times New Roman" w:eastAsia="Times New Roman" w:hAnsi="Times New Roman"/>
          <w:sz w:val="12"/>
          <w:szCs w:val="12"/>
          <w:color w:val="auto"/>
        </w:rPr>
        <w:t xml:space="preserve">In November 2023, the FASB issued ASU 2023-07, </w:t>
      </w:r>
      <w:r>
        <w:rPr>
          <w:rFonts w:ascii="Times New Roman" w:cs="Times New Roman" w:eastAsia="Times New Roman" w:hAnsi="Times New Roman"/>
          <w:sz w:val="12"/>
          <w:szCs w:val="12"/>
          <w:i w:val="1"/>
          <w:iCs w:val="1"/>
          <w:color w:val="auto"/>
        </w:rPr>
        <w:t>Segment Reporting (Topic 280): Improvements to Reportable Segment Disclosures</w:t>
      </w:r>
      <w:r>
        <w:rPr>
          <w:rFonts w:ascii="Times New Roman" w:cs="Times New Roman" w:eastAsia="Times New Roman" w:hAnsi="Times New Roman"/>
          <w:sz w:val="12"/>
          <w:szCs w:val="12"/>
          <w:color w:val="auto"/>
        </w:rPr>
        <w:t xml:space="preserve"> (ASU 2023-07), which requires an enhanced disclosure of significant segment expenses on an annual and interim basis. This guidance is effective for the annual period beginning the year ended December 31, 2024, and for interim periods beginning January 1, 2025, with early adoption permitted. The Company adopted the new standard during the year ended December 31, 2024 and the amendments have be applied retrospectively to all prior periods presented in the consolidated financial statements. See Note 21 for additional information.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2" w:name="page93"/>
    <w:bookmarkEnd w:id="9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Not Yet Adopted</w:t>
      </w:r>
    </w:p>
    <w:p>
      <w:pPr>
        <w:spacing w:after="0" w:line="69" w:lineRule="exact"/>
        <w:rPr>
          <w:sz w:val="20"/>
          <w:szCs w:val="20"/>
          <w:color w:val="auto"/>
        </w:rPr>
      </w:pPr>
    </w:p>
    <w:p>
      <w:pPr>
        <w:ind w:left="8" w:right="40" w:firstLine="216"/>
        <w:spacing w:after="0" w:line="245" w:lineRule="auto"/>
        <w:rPr>
          <w:sz w:val="20"/>
          <w:szCs w:val="20"/>
          <w:color w:val="auto"/>
        </w:rPr>
      </w:pPr>
      <w:r>
        <w:rPr>
          <w:rFonts w:ascii="Times New Roman" w:cs="Times New Roman" w:eastAsia="Times New Roman" w:hAnsi="Times New Roman"/>
          <w:sz w:val="12"/>
          <w:szCs w:val="12"/>
          <w:color w:val="auto"/>
        </w:rPr>
        <w:t xml:space="preserve">In December 2023, the FASB issued ASU 2023-09, </w:t>
      </w:r>
      <w:r>
        <w:rPr>
          <w:rFonts w:ascii="Times New Roman" w:cs="Times New Roman" w:eastAsia="Times New Roman" w:hAnsi="Times New Roman"/>
          <w:sz w:val="12"/>
          <w:szCs w:val="12"/>
          <w:i w:val="1"/>
          <w:iCs w:val="1"/>
          <w:color w:val="auto"/>
        </w:rPr>
        <w:t>Income Taxes (Topic 740): Improvements to Income Tax Disclosures</w:t>
      </w:r>
      <w:r>
        <w:rPr>
          <w:rFonts w:ascii="Times New Roman" w:cs="Times New Roman" w:eastAsia="Times New Roman" w:hAnsi="Times New Roman"/>
          <w:sz w:val="12"/>
          <w:szCs w:val="12"/>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 beginning the year ended December 31, 2025. Early adoption is permitted. Upon adoption, the guidance can be applied prospectively or retrospectively. The Company is currently in the process of evaluating the impact of the standard’s adoption on its consolidated financial statements and related disclosures</w:t>
      </w:r>
    </w:p>
    <w:p>
      <w:pPr>
        <w:spacing w:after="0" w:line="58" w:lineRule="exact"/>
        <w:rPr>
          <w:sz w:val="20"/>
          <w:szCs w:val="20"/>
          <w:color w:val="auto"/>
        </w:rPr>
      </w:pPr>
    </w:p>
    <w:p>
      <w:pPr>
        <w:ind w:left="8" w:right="40" w:firstLine="216"/>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 Reporting- Comprehensive Income- Expense Disaggregation Disclosures</w:t>
      </w:r>
      <w:r>
        <w:rPr>
          <w:rFonts w:ascii="Times New Roman" w:cs="Times New Roman" w:eastAsia="Times New Roman" w:hAnsi="Times New Roman"/>
          <w:sz w:val="12"/>
          <w:szCs w:val="12"/>
          <w:color w:val="auto"/>
        </w:rPr>
        <w:t xml:space="preserve"> (ASU 2024-03), which requires public companies to disclose, in interim and annual reporting periods, additional information about certain expenses in notes to financial statements, including purchases of inventory, employee compensation, depreciation, amortization of intangible assets, and selling expenses. This guidance will be effective for the annual period beginning the year ended December 31, 2027 and for interim periods beginning January 1, 2028, with early adoption permitted. The Company is currently in the process of evaluating the impact of the standard’s adoption on its consolidated financial statements and related disclosures.</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4. Merger</w:t>
      </w:r>
    </w:p>
    <w:p>
      <w:pPr>
        <w:spacing w:after="0" w:line="82" w:lineRule="exact"/>
        <w:rPr>
          <w:sz w:val="20"/>
          <w:szCs w:val="20"/>
          <w:color w:val="auto"/>
        </w:rPr>
      </w:pPr>
    </w:p>
    <w:p>
      <w:pPr>
        <w:ind w:left="8" w:right="180" w:firstLine="216"/>
        <w:spacing w:after="0" w:line="260" w:lineRule="auto"/>
        <w:rPr>
          <w:sz w:val="20"/>
          <w:szCs w:val="20"/>
          <w:color w:val="auto"/>
        </w:rPr>
      </w:pPr>
      <w:r>
        <w:rPr>
          <w:rFonts w:ascii="Times New Roman" w:cs="Times New Roman" w:eastAsia="Times New Roman" w:hAnsi="Times New Roman"/>
          <w:sz w:val="12"/>
          <w:szCs w:val="12"/>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0" w:lineRule="exact"/>
        <w:rPr>
          <w:sz w:val="20"/>
          <w:szCs w:val="20"/>
          <w:color w:val="auto"/>
        </w:rPr>
      </w:pPr>
    </w:p>
    <w:p>
      <w:pPr>
        <w:ind w:left="8" w:right="320" w:firstLine="216"/>
        <w:spacing w:after="0" w:line="279" w:lineRule="auto"/>
        <w:rPr>
          <w:sz w:val="20"/>
          <w:szCs w:val="20"/>
          <w:color w:val="auto"/>
        </w:rPr>
      </w:pPr>
      <w:r>
        <w:rPr>
          <w:rFonts w:ascii="Times New Roman" w:cs="Times New Roman" w:eastAsia="Times New Roman" w:hAnsi="Times New Roman"/>
          <w:sz w:val="12"/>
          <w:szCs w:val="12"/>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39" w:lineRule="exact"/>
        <w:rPr>
          <w:sz w:val="20"/>
          <w:szCs w:val="20"/>
          <w:color w:val="auto"/>
        </w:rPr>
      </w:pPr>
    </w:p>
    <w:p>
      <w:pPr>
        <w:ind w:left="8" w:firstLine="216"/>
        <w:spacing w:after="0" w:line="279" w:lineRule="auto"/>
        <w:rPr>
          <w:sz w:val="20"/>
          <w:szCs w:val="20"/>
          <w:color w:val="auto"/>
        </w:rPr>
      </w:pPr>
      <w:r>
        <w:rPr>
          <w:rFonts w:ascii="Times New Roman" w:cs="Times New Roman" w:eastAsia="Times New Roman" w:hAnsi="Times New Roman"/>
          <w:sz w:val="12"/>
          <w:szCs w:val="12"/>
          <w:color w:val="auto"/>
        </w:rPr>
        <w:t>The Merger Agreement was unanimously approved by the board of directors, or the Board of Directors, of Selecta and the board of directors of Old Cartesian. The Merger was consummated substantially concurrently with the entry into the Merger Agreement and was not subject to approval of the Company’s stockholders.</w:t>
      </w:r>
    </w:p>
    <w:p>
      <w:pPr>
        <w:spacing w:after="0" w:line="39" w:lineRule="exact"/>
        <w:rPr>
          <w:sz w:val="20"/>
          <w:szCs w:val="20"/>
          <w:color w:val="auto"/>
        </w:rPr>
      </w:pPr>
    </w:p>
    <w:p>
      <w:pPr>
        <w:ind w:left="8" w:right="40" w:firstLine="216"/>
        <w:spacing w:after="0" w:line="256" w:lineRule="auto"/>
        <w:rPr>
          <w:sz w:val="20"/>
          <w:szCs w:val="20"/>
          <w:color w:val="auto"/>
        </w:rPr>
      </w:pPr>
      <w:r>
        <w:rPr>
          <w:rFonts w:ascii="Times New Roman" w:cs="Times New Roman" w:eastAsia="Times New Roman" w:hAnsi="Times New Roman"/>
          <w:sz w:val="12"/>
          <w:szCs w:val="12"/>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6);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53" w:lineRule="exact"/>
        <w:rPr>
          <w:sz w:val="20"/>
          <w:szCs w:val="20"/>
          <w:color w:val="auto"/>
        </w:rPr>
      </w:pPr>
    </w:p>
    <w:p>
      <w:pPr>
        <w:ind w:left="8" w:firstLine="216"/>
        <w:spacing w:after="0" w:line="283" w:lineRule="auto"/>
        <w:rPr>
          <w:sz w:val="20"/>
          <w:szCs w:val="20"/>
          <w:color w:val="auto"/>
        </w:rPr>
      </w:pPr>
      <w:r>
        <w:rPr>
          <w:rFonts w:ascii="Times New Roman" w:cs="Times New Roman" w:eastAsia="Times New Roman" w:hAnsi="Times New Roman"/>
          <w:sz w:val="11"/>
          <w:szCs w:val="11"/>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Charter to increase the number of shares of common stock authorized under the Charter and</w:t>
      </w:r>
    </w:p>
    <w:p>
      <w:pPr>
        <w:spacing w:after="0" w:line="1" w:lineRule="exact"/>
        <w:rPr>
          <w:sz w:val="20"/>
          <w:szCs w:val="20"/>
          <w:color w:val="auto"/>
        </w:rPr>
      </w:pPr>
    </w:p>
    <w:p>
      <w:pPr>
        <w:ind w:left="8" w:right="80" w:hanging="8"/>
        <w:spacing w:after="0" w:line="255" w:lineRule="auto"/>
        <w:tabs>
          <w:tab w:leader="none" w:pos="19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during which the Company’s stockholders approved the Conversion Proposal, among other matters (see Note 11).</w:t>
      </w:r>
    </w:p>
    <w:p>
      <w:pPr>
        <w:spacing w:after="0" w:line="51" w:lineRule="exact"/>
        <w:rPr>
          <w:sz w:val="20"/>
          <w:szCs w:val="20"/>
          <w:color w:val="auto"/>
        </w:rPr>
      </w:pPr>
    </w:p>
    <w:p>
      <w:pPr>
        <w:ind w:left="8" w:right="60" w:firstLine="216"/>
        <w:spacing w:after="0" w:line="261" w:lineRule="auto"/>
        <w:rPr>
          <w:sz w:val="20"/>
          <w:szCs w:val="20"/>
          <w:color w:val="auto"/>
        </w:rPr>
      </w:pPr>
      <w:r>
        <w:rPr>
          <w:rFonts w:ascii="Times New Roman" w:cs="Times New Roman" w:eastAsia="Times New Roman" w:hAnsi="Times New Roman"/>
          <w:sz w:val="12"/>
          <w:szCs w:val="12"/>
          <w:color w:val="auto"/>
        </w:rPr>
        <w:t xml:space="preserve">The Company concluded the acquisition resulted in the Company obtaining a controlling financial interest in a VIE in accordance with ASC Topic 810, </w:t>
      </w:r>
      <w:r>
        <w:rPr>
          <w:rFonts w:ascii="Times New Roman" w:cs="Times New Roman" w:eastAsia="Times New Roman" w:hAnsi="Times New Roman"/>
          <w:sz w:val="12"/>
          <w:szCs w:val="12"/>
          <w:i w:val="1"/>
          <w:iCs w:val="1"/>
          <w:color w:val="auto"/>
        </w:rPr>
        <w:t>Consolidation (ASC 810)</w:t>
      </w:r>
      <w:r>
        <w:rPr>
          <w:rFonts w:ascii="Times New Roman" w:cs="Times New Roman" w:eastAsia="Times New Roman" w:hAnsi="Times New Roman"/>
          <w:sz w:val="12"/>
          <w:szCs w:val="12"/>
          <w:color w:val="auto"/>
        </w:rPr>
        <w:t>.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absorb the losses and right to receive the benefits of Old Cartesian, and the power to direct the activities that most significantly affect the economic performance of Old Cartesian which the Company considers to be its development</w:t>
      </w:r>
    </w:p>
    <w:p>
      <w:pPr>
        <w:spacing w:after="0" w:line="3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9"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activities. Therefore, the Company is the primary beneficiary. Further, the Company concluded the VIE qualified as a business and accounted for the transaction as the acquisition of a business in accordance with ASC 805. As the primary beneficiary, the Company was the acquirer in the transaction.</w:t>
      </w:r>
    </w:p>
    <w:p>
      <w:pPr>
        <w:spacing w:after="0" w:line="39"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total fair value of the consideration of $168.5 million as of the Closing Date is summarized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Forward contract to issue common stock</w:t>
            </w:r>
          </w:p>
        </w:tc>
        <w:tc>
          <w:tcPr>
            <w:tcW w:w="134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0"/>
                <w:szCs w:val="10"/>
                <w:color w:val="auto"/>
                <w:w w:val="7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2,713</w:t>
            </w:r>
          </w:p>
        </w:tc>
      </w:tr>
      <w:tr>
        <w:trPr>
          <w:trHeight w:val="129"/>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Forward contract to issue Series A Preferred Stock</w:t>
            </w:r>
          </w:p>
        </w:tc>
        <w:tc>
          <w:tcPr>
            <w:tcW w:w="1340" w:type="dxa"/>
            <w:vAlign w:val="bottom"/>
          </w:tcPr>
          <w:p>
            <w:pPr>
              <w:spacing w:after="0"/>
              <w:rPr>
                <w:sz w:val="11"/>
                <w:szCs w:val="1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155,308</w:t>
            </w:r>
          </w:p>
        </w:tc>
      </w:tr>
      <w:tr>
        <w:trPr>
          <w:trHeight w:val="13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options allocated to consideration paid</w:t>
            </w:r>
          </w:p>
        </w:tc>
        <w:tc>
          <w:tcPr>
            <w:tcW w:w="134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10,444</w:t>
            </w:r>
          </w:p>
        </w:tc>
      </w:tr>
      <w:tr>
        <w:trPr>
          <w:trHeight w:val="130"/>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Total consideration</w:t>
            </w:r>
          </w:p>
        </w:tc>
        <w:tc>
          <w:tcPr>
            <w:tcW w:w="1340" w:type="dxa"/>
            <w:vAlign w:val="bottom"/>
            <w:tcBorders>
              <w:bottom w:val="single" w:sz="8" w:color="auto"/>
            </w:tcBorders>
          </w:tcPr>
          <w:p>
            <w:pPr>
              <w:jc w:val="right"/>
              <w:ind w:right="1232"/>
              <w:spacing w:after="0"/>
              <w:rPr>
                <w:sz w:val="20"/>
                <w:szCs w:val="20"/>
                <w:color w:val="auto"/>
              </w:rPr>
            </w:pPr>
            <w:r>
              <w:rPr>
                <w:rFonts w:ascii="Times New Roman" w:cs="Times New Roman" w:eastAsia="Times New Roman" w:hAnsi="Times New Roman"/>
                <w:sz w:val="10"/>
                <w:szCs w:val="10"/>
                <w:color w:val="auto"/>
                <w:w w:val="7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168,465</w:t>
            </w:r>
          </w:p>
        </w:tc>
      </w:tr>
      <w:tr>
        <w:trPr>
          <w:trHeight w:val="20"/>
        </w:trPr>
        <w:tc>
          <w:tcPr>
            <w:tcW w:w="8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40" w:type="dxa"/>
            <w:vAlign w:val="bottom"/>
          </w:tcPr>
          <w:p>
            <w:pPr>
              <w:spacing w:after="0"/>
              <w:rPr>
                <w:sz w:val="20"/>
                <w:szCs w:val="20"/>
                <w:color w:val="auto"/>
              </w:rPr>
            </w:pPr>
            <w:r>
              <w:rPr>
                <w:rFonts w:ascii="Times New Roman" w:cs="Times New Roman" w:eastAsia="Times New Roman" w:hAnsi="Times New Roman"/>
                <w:sz w:val="10"/>
                <w:szCs w:val="10"/>
                <w:color w:val="auto"/>
              </w:rPr>
              <w:t>Assets acquired:</w:t>
            </w:r>
          </w:p>
        </w:tc>
        <w:tc>
          <w:tcPr>
            <w:tcW w:w="520" w:type="dxa"/>
            <w:vAlign w:val="bottom"/>
          </w:tcPr>
          <w:p>
            <w:pPr>
              <w:spacing w:after="0"/>
              <w:rPr>
                <w:sz w:val="11"/>
                <w:szCs w:val="11"/>
                <w:color w:val="auto"/>
              </w:rPr>
            </w:pPr>
          </w:p>
        </w:tc>
        <w:tc>
          <w:tcPr>
            <w:tcW w:w="2440" w:type="dxa"/>
            <w:vAlign w:val="bottom"/>
          </w:tcPr>
          <w:p>
            <w:pPr>
              <w:jc w:val="right"/>
              <w:ind w:right="912"/>
              <w:spacing w:after="0"/>
              <w:rPr>
                <w:sz w:val="20"/>
                <w:szCs w:val="20"/>
                <w:color w:val="auto"/>
              </w:rPr>
            </w:pPr>
            <w:r>
              <w:rPr>
                <w:rFonts w:ascii="Times New Roman" w:cs="Times New Roman" w:eastAsia="Times New Roman" w:hAnsi="Times New Roman"/>
                <w:sz w:val="10"/>
                <w:szCs w:val="10"/>
                <w:b w:val="1"/>
                <w:bCs w:val="1"/>
                <w:color w:val="auto"/>
              </w:rPr>
              <w:t>As of November 13, 2023</w:t>
            </w:r>
          </w:p>
        </w:tc>
      </w:tr>
      <w:tr>
        <w:trPr>
          <w:trHeight w:val="143"/>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6,561</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520" w:type="dxa"/>
            <w:vAlign w:val="bottom"/>
          </w:tcPr>
          <w:p>
            <w:pPr>
              <w:spacing w:after="0"/>
              <w:rPr>
                <w:sz w:val="11"/>
                <w:szCs w:val="1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309</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520" w:type="dxa"/>
            <w:vAlign w:val="bottom"/>
            <w:shd w:val="clear" w:color="auto" w:fill="CCEEFF"/>
          </w:tcPr>
          <w:p>
            <w:pPr>
              <w:spacing w:after="0"/>
              <w:rPr>
                <w:sz w:val="12"/>
                <w:szCs w:val="12"/>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Right-of-use asset, net</w:t>
            </w:r>
          </w:p>
        </w:tc>
        <w:tc>
          <w:tcPr>
            <w:tcW w:w="520" w:type="dxa"/>
            <w:vAlign w:val="bottom"/>
          </w:tcPr>
          <w:p>
            <w:pPr>
              <w:spacing w:after="0"/>
              <w:rPr>
                <w:sz w:val="11"/>
                <w:szCs w:val="1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915</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In-process research and development assets</w:t>
            </w:r>
          </w:p>
        </w:tc>
        <w:tc>
          <w:tcPr>
            <w:tcW w:w="520" w:type="dxa"/>
            <w:vAlign w:val="bottom"/>
            <w:shd w:val="clear" w:color="auto" w:fill="CCEEFF"/>
          </w:tcPr>
          <w:p>
            <w:pPr>
              <w:spacing w:after="0"/>
              <w:rPr>
                <w:sz w:val="12"/>
                <w:szCs w:val="12"/>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r>
      <w:tr>
        <w:trPr>
          <w:trHeight w:val="129"/>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Goodwill</w:t>
            </w:r>
          </w:p>
        </w:tc>
        <w:tc>
          <w:tcPr>
            <w:tcW w:w="5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48,163</w:t>
            </w:r>
          </w:p>
        </w:tc>
      </w:tr>
      <w:tr>
        <w:trPr>
          <w:trHeight w:val="148"/>
        </w:trPr>
        <w:tc>
          <w:tcPr>
            <w:tcW w:w="83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206,763</w:t>
            </w:r>
          </w:p>
        </w:tc>
      </w:tr>
      <w:tr>
        <w:trPr>
          <w:trHeight w:val="109"/>
        </w:trPr>
        <w:tc>
          <w:tcPr>
            <w:tcW w:w="834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Liabilities assumed</w:t>
            </w:r>
          </w:p>
        </w:tc>
        <w:tc>
          <w:tcPr>
            <w:tcW w:w="520" w:type="dxa"/>
            <w:vAlign w:val="bottom"/>
          </w:tcPr>
          <w:p>
            <w:pPr>
              <w:spacing w:after="0"/>
              <w:rPr>
                <w:sz w:val="9"/>
                <w:szCs w:val="9"/>
                <w:color w:val="auto"/>
              </w:rPr>
            </w:pPr>
          </w:p>
        </w:tc>
        <w:tc>
          <w:tcPr>
            <w:tcW w:w="2440" w:type="dxa"/>
            <w:vAlign w:val="bottom"/>
          </w:tcPr>
          <w:p>
            <w:pPr>
              <w:spacing w:after="0"/>
              <w:rPr>
                <w:sz w:val="9"/>
                <w:szCs w:val="9"/>
                <w:color w:val="auto"/>
              </w:rPr>
            </w:pP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Accrued expenses and other current liabilities</w:t>
            </w: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2,530</w:t>
            </w:r>
          </w:p>
        </w:tc>
      </w:tr>
      <w:tr>
        <w:trPr>
          <w:trHeight w:val="129"/>
        </w:trPr>
        <w:tc>
          <w:tcPr>
            <w:tcW w:w="83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Lease liability</w:t>
            </w:r>
          </w:p>
        </w:tc>
        <w:tc>
          <w:tcPr>
            <w:tcW w:w="520" w:type="dxa"/>
            <w:vAlign w:val="bottom"/>
          </w:tcPr>
          <w:p>
            <w:pPr>
              <w:spacing w:after="0"/>
              <w:rPr>
                <w:sz w:val="11"/>
                <w:szCs w:val="1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w:t>
            </w:r>
          </w:p>
        </w:tc>
      </w:tr>
      <w:tr>
        <w:trPr>
          <w:trHeight w:val="141"/>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Lease liability, net of current portion</w:t>
            </w:r>
          </w:p>
        </w:tc>
        <w:tc>
          <w:tcPr>
            <w:tcW w:w="520" w:type="dxa"/>
            <w:vAlign w:val="bottom"/>
            <w:shd w:val="clear" w:color="auto" w:fill="CCEEFF"/>
          </w:tcPr>
          <w:p>
            <w:pPr>
              <w:spacing w:after="0"/>
              <w:rPr>
                <w:sz w:val="12"/>
                <w:szCs w:val="12"/>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w:t>
            </w:r>
          </w:p>
        </w:tc>
      </w:tr>
      <w:tr>
        <w:trPr>
          <w:trHeight w:val="129"/>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Deferred tax liability</w:t>
            </w:r>
          </w:p>
        </w:tc>
        <w:tc>
          <w:tcPr>
            <w:tcW w:w="5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34,853</w:t>
            </w:r>
          </w:p>
        </w:tc>
      </w:tr>
      <w:tr>
        <w:trPr>
          <w:trHeight w:val="146"/>
        </w:trPr>
        <w:tc>
          <w:tcPr>
            <w:tcW w:w="83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38,298</w:t>
            </w:r>
          </w:p>
        </w:tc>
      </w:tr>
      <w:tr>
        <w:trPr>
          <w:trHeight w:val="162"/>
        </w:trPr>
        <w:tc>
          <w:tcPr>
            <w:tcW w:w="8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35"/>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assets acquired</w:t>
            </w: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168,465</w:t>
            </w:r>
          </w:p>
        </w:tc>
      </w:tr>
    </w:tbl>
    <w:p>
      <w:pPr>
        <w:spacing w:after="0" w:line="106" w:lineRule="exact"/>
        <w:rPr>
          <w:sz w:val="20"/>
          <w:szCs w:val="20"/>
          <w:color w:val="auto"/>
        </w:rPr>
      </w:pPr>
    </w:p>
    <w:p>
      <w:pPr>
        <w:ind w:right="60" w:firstLine="216"/>
        <w:spacing w:after="0" w:line="274" w:lineRule="auto"/>
        <w:rPr>
          <w:sz w:val="20"/>
          <w:szCs w:val="20"/>
          <w:color w:val="auto"/>
        </w:rPr>
      </w:pPr>
      <w:r>
        <w:rPr>
          <w:rFonts w:ascii="Times New Roman" w:cs="Times New Roman" w:eastAsia="Times New Roman" w:hAnsi="Times New Roman"/>
          <w:sz w:val="11"/>
          <w:szCs w:val="11"/>
          <w:color w:val="auto"/>
        </w:rPr>
        <w:t>The fair value of the IPR&amp;D assets were capitalized as of the Closing Date and are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summarizes the Company’s intangible assets acquired in the Merger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Acquisition Date</w:t>
            </w:r>
          </w:p>
        </w:tc>
      </w:tr>
      <w:tr>
        <w:trPr>
          <w:trHeight w:val="129"/>
        </w:trPr>
        <w:tc>
          <w:tcPr>
            <w:tcW w:w="95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0"/>
                <w:szCs w:val="10"/>
                <w:b w:val="1"/>
                <w:bCs w:val="1"/>
                <w:color w:val="auto"/>
              </w:rPr>
              <w:t>Fair Value</w:t>
            </w:r>
          </w:p>
        </w:tc>
      </w:tr>
      <w:tr>
        <w:trPr>
          <w:trHeight w:val="128"/>
        </w:trPr>
        <w:tc>
          <w:tcPr>
            <w:tcW w:w="95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Descartes-08 for MG</w:t>
            </w:r>
          </w:p>
        </w:tc>
        <w:tc>
          <w:tcPr>
            <w:tcW w:w="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93,900</w:t>
            </w:r>
          </w:p>
        </w:tc>
      </w:tr>
      <w:tr>
        <w:trPr>
          <w:trHeight w:val="129"/>
        </w:trPr>
        <w:tc>
          <w:tcPr>
            <w:tcW w:w="9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Descartes-08 for SLE</w:t>
            </w: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56,700</w:t>
            </w:r>
          </w:p>
        </w:tc>
      </w:tr>
      <w:tr>
        <w:trPr>
          <w:trHeight w:val="146"/>
        </w:trPr>
        <w:tc>
          <w:tcPr>
            <w:tcW w:w="9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in-process research and development assets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150,600</w:t>
            </w:r>
          </w:p>
        </w:tc>
      </w:tr>
    </w:tbl>
    <w:p>
      <w:pPr>
        <w:spacing w:after="0" w:line="124"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The fair value of the intangible assets was estimated using the income approach in which the after-tax cash flows were discounted to present value. The cash flows are based on estimates used to price the transaction, and the discount rates applied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were benchmarked with reference to the implied rate of return from the transaction model as well as the weighted average cost of capital.</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the period from November 13, 2023 to December 31, 2023, Old Cartesian’s revenue and net loss within the consolidated statements of operations and comprehensive loss were $0.0 million and $1.6 million, respectively.</w:t>
      </w:r>
    </w:p>
    <w:p>
      <w:pPr>
        <w:spacing w:after="0" w:line="78"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following unaudited pro forma financial information reflects the consolidated results of operations of the Company as if the Merger had taken place on January 1, 2022. The unaudited pro forma financial information is not necessarily indicative of the results of operations as they would have been had the transactions been effected on the assumed date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9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r>
      <w:tr>
        <w:trPr>
          <w:trHeight w:val="143"/>
        </w:trPr>
        <w:tc>
          <w:tcPr>
            <w:tcW w:w="99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26,004</w:t>
            </w:r>
          </w:p>
        </w:tc>
      </w:tr>
      <w:tr>
        <w:trPr>
          <w:trHeight w:val="123"/>
        </w:trPr>
        <w:tc>
          <w:tcPr>
            <w:tcW w:w="99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(232,259)</w:t>
            </w:r>
          </w:p>
        </w:tc>
      </w:tr>
    </w:tbl>
    <w:p>
      <w:pPr>
        <w:spacing w:after="0" w:line="55" w:lineRule="exact"/>
        <w:rPr>
          <w:sz w:val="20"/>
          <w:szCs w:val="20"/>
          <w:color w:val="auto"/>
        </w:rPr>
      </w:pPr>
    </w:p>
    <w:p>
      <w:pPr>
        <w:ind w:right="60" w:firstLine="216"/>
        <w:spacing w:after="0" w:line="264" w:lineRule="auto"/>
        <w:rPr>
          <w:sz w:val="20"/>
          <w:szCs w:val="20"/>
          <w:color w:val="auto"/>
        </w:rPr>
      </w:pPr>
      <w:r>
        <w:rPr>
          <w:rFonts w:ascii="Times New Roman" w:cs="Times New Roman" w:eastAsia="Times New Roman" w:hAnsi="Times New Roman"/>
          <w:sz w:val="12"/>
          <w:szCs w:val="12"/>
          <w:color w:val="auto"/>
        </w:rPr>
        <w:t>The Company’s transaction costs of $4.9 million were expensed as incurred and included in general and administrative expense in the consolidated statements of operations and comprehensive loss during the year ended December 31, 2023.</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forward contract related to the common stock was recorded as additional paid-in capital as the instrument is indexed to the Company’s common stock. The forward contract related to the Series A Preferred Stock was recorded</w:t>
      </w:r>
    </w:p>
    <w:p>
      <w:pPr>
        <w:spacing w:after="0" w:line="3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as a liability as the underlying Series A Preferred Stock had a redemption feature that may have required the Company to settle the instrument by transferring an asset. The forward contract was measured at fair value through the date of settlement through the issuance of the shares of Series A Preferred Stock on December 5, 2023.</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Net Loss Per Share Allocable to Common Stockholders</w:t>
      </w:r>
    </w:p>
    <w:p>
      <w:pPr>
        <w:spacing w:after="0" w:line="82"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The Company reported a net loss for the years ended December 31, 2024 and 2023. The Company used the treasury stock method to determine the number of dilutive shares for the year ended December 31, 2024. The following table sets forth the computation of basic and diluted net loss per share allocable to common stockholders (in thousands, except share and per-share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5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800" w:type="dxa"/>
            <w:vAlign w:val="bottom"/>
            <w:tcBorders>
              <w:bottom w:val="single" w:sz="8" w:color="auto"/>
            </w:tcBorders>
          </w:tcPr>
          <w:p>
            <w:pPr>
              <w:spacing w:after="0"/>
              <w:rPr>
                <w:sz w:val="11"/>
                <w:szCs w:val="11"/>
                <w:color w:val="auto"/>
              </w:rPr>
            </w:pPr>
          </w:p>
        </w:tc>
      </w:tr>
      <w:tr>
        <w:trPr>
          <w:trHeight w:val="128"/>
        </w:trPr>
        <w:tc>
          <w:tcPr>
            <w:tcW w:w="85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0"/>
        </w:trPr>
        <w:tc>
          <w:tcPr>
            <w:tcW w:w="85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Numerator:</w:t>
            </w:r>
          </w:p>
        </w:tc>
        <w:tc>
          <w:tcPr>
            <w:tcW w:w="8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9"/>
        </w:trPr>
        <w:tc>
          <w:tcPr>
            <w:tcW w:w="8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loss</w:t>
            </w:r>
          </w:p>
        </w:tc>
        <w:tc>
          <w:tcPr>
            <w:tcW w:w="8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(77,424)</w:t>
            </w:r>
          </w:p>
        </w:tc>
        <w:tc>
          <w:tcPr>
            <w:tcW w:w="140" w:type="dxa"/>
            <w:vAlign w:val="bottom"/>
          </w:tcPr>
          <w:p>
            <w:pPr>
              <w:spacing w:after="0"/>
              <w:rPr>
                <w:sz w:val="11"/>
                <w:szCs w:val="11"/>
                <w:color w:val="auto"/>
              </w:rPr>
            </w:pPr>
          </w:p>
        </w:tc>
        <w:tc>
          <w:tcPr>
            <w:tcW w:w="520" w:type="dxa"/>
            <w:vAlign w:val="bottom"/>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(219,710)</w:t>
            </w:r>
          </w:p>
        </w:tc>
      </w:tr>
      <w:tr>
        <w:trPr>
          <w:trHeight w:val="141"/>
        </w:trPr>
        <w:tc>
          <w:tcPr>
            <w:tcW w:w="8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Less: CVR distribution to participating securities</w:t>
            </w:r>
          </w:p>
        </w:tc>
        <w:tc>
          <w:tcPr>
            <w:tcW w:w="8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(37,550)</w:t>
            </w:r>
          </w:p>
        </w:tc>
      </w:tr>
      <w:tr>
        <w:trPr>
          <w:trHeight w:val="118"/>
        </w:trPr>
        <w:tc>
          <w:tcPr>
            <w:tcW w:w="8520" w:type="dxa"/>
            <w:vAlign w:val="bottom"/>
          </w:tcPr>
          <w:p>
            <w:pPr>
              <w:ind w:left="80"/>
              <w:spacing w:after="0" w:line="104" w:lineRule="exact"/>
              <w:rPr>
                <w:sz w:val="20"/>
                <w:szCs w:val="20"/>
                <w:color w:val="auto"/>
              </w:rPr>
            </w:pPr>
            <w:r>
              <w:rPr>
                <w:rFonts w:ascii="Times New Roman" w:cs="Times New Roman" w:eastAsia="Times New Roman" w:hAnsi="Times New Roman"/>
                <w:sz w:val="10"/>
                <w:szCs w:val="10"/>
                <w:color w:val="auto"/>
              </w:rPr>
              <w:t>Net loss allocable to shares of common stock - basic</w:t>
            </w:r>
          </w:p>
        </w:tc>
        <w:tc>
          <w:tcPr>
            <w:tcW w:w="8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(77,424)</w:t>
            </w: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(257,260)</w:t>
            </w:r>
          </w:p>
        </w:tc>
      </w:tr>
      <w:tr>
        <w:trPr>
          <w:trHeight w:val="141"/>
        </w:trPr>
        <w:tc>
          <w:tcPr>
            <w:tcW w:w="8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Less: Change in fair value of forward contract liability settled in February 2024</w:t>
            </w:r>
          </w:p>
        </w:tc>
        <w:tc>
          <w:tcPr>
            <w:tcW w:w="8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(446)</w:t>
            </w:r>
          </w:p>
        </w:tc>
        <w:tc>
          <w:tcPr>
            <w:tcW w:w="1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8520" w:type="dxa"/>
            <w:vAlign w:val="bottom"/>
            <w:tcBorders>
              <w:bottom w:val="single" w:sz="8" w:color="CCEEFF"/>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Net loss allocable to shares of common stock - diluted</w:t>
            </w:r>
          </w:p>
        </w:tc>
        <w:tc>
          <w:tcPr>
            <w:tcW w:w="8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(77,870)</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(257,260)</w:t>
            </w:r>
          </w:p>
        </w:tc>
      </w:tr>
      <w:tr>
        <w:trPr>
          <w:trHeight w:val="113"/>
        </w:trPr>
        <w:tc>
          <w:tcPr>
            <w:tcW w:w="8520" w:type="dxa"/>
            <w:vAlign w:val="bottom"/>
            <w:tcBorders>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Denominator:</w:t>
            </w:r>
          </w:p>
        </w:tc>
        <w:tc>
          <w:tcPr>
            <w:tcW w:w="80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r>
      <w:tr>
        <w:trPr>
          <w:trHeight w:val="129"/>
        </w:trPr>
        <w:tc>
          <w:tcPr>
            <w:tcW w:w="8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Weighted-average common shares outstanding - basic</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17,276,822</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5,170,319</w:t>
            </w:r>
          </w:p>
        </w:tc>
      </w:tr>
      <w:tr>
        <w:trPr>
          <w:trHeight w:val="141"/>
        </w:trPr>
        <w:tc>
          <w:tcPr>
            <w:tcW w:w="8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Plus: Dilutive effect of forward contract liability settled in February 2024</w:t>
            </w:r>
          </w:p>
        </w:tc>
        <w:tc>
          <w:tcPr>
            <w:tcW w:w="8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81,121</w:t>
            </w:r>
          </w:p>
        </w:tc>
        <w:tc>
          <w:tcPr>
            <w:tcW w:w="1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2"/>
        </w:trPr>
        <w:tc>
          <w:tcPr>
            <w:tcW w:w="8520" w:type="dxa"/>
            <w:vAlign w:val="bottom"/>
            <w:tcBorders>
              <w:bottom w:val="single" w:sz="8" w:color="CCEEFF"/>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Weighted-average common shares outstanding - diluted</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17,357,943</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5,170,319</w:t>
            </w:r>
          </w:p>
        </w:tc>
      </w:tr>
      <w:tr>
        <w:trPr>
          <w:trHeight w:val="115"/>
        </w:trPr>
        <w:tc>
          <w:tcPr>
            <w:tcW w:w="85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Net loss per share:</w:t>
            </w:r>
          </w:p>
        </w:tc>
        <w:tc>
          <w:tcPr>
            <w:tcW w:w="8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r>
      <w:tr>
        <w:trPr>
          <w:trHeight w:val="142"/>
        </w:trPr>
        <w:tc>
          <w:tcPr>
            <w:tcW w:w="8520" w:type="dxa"/>
            <w:vAlign w:val="bottom"/>
            <w:tcBorders>
              <w:bottom w:val="single" w:sz="8" w:color="CCEEFF"/>
            </w:tcBorders>
          </w:tcPr>
          <w:p>
            <w:pPr>
              <w:ind w:left="80"/>
              <w:spacing w:after="0" w:line="104" w:lineRule="exact"/>
              <w:rPr>
                <w:sz w:val="20"/>
                <w:szCs w:val="20"/>
                <w:color w:val="auto"/>
              </w:rPr>
            </w:pPr>
            <w:r>
              <w:rPr>
                <w:rFonts w:ascii="Times New Roman" w:cs="Times New Roman" w:eastAsia="Times New Roman" w:hAnsi="Times New Roman"/>
                <w:sz w:val="10"/>
                <w:szCs w:val="10"/>
                <w:color w:val="auto"/>
              </w:rPr>
              <w:t>Basic</w:t>
            </w:r>
          </w:p>
        </w:tc>
        <w:tc>
          <w:tcPr>
            <w:tcW w:w="8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(4.48)</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(49.76)</w:t>
            </w:r>
          </w:p>
        </w:tc>
      </w:tr>
      <w:tr>
        <w:trPr>
          <w:trHeight w:val="149"/>
        </w:trPr>
        <w:tc>
          <w:tcPr>
            <w:tcW w:w="8520" w:type="dxa"/>
            <w:vAlign w:val="bottom"/>
            <w:tcBorders>
              <w:bottom w:val="single" w:sz="8" w:color="CCEEFF"/>
            </w:tcBorders>
            <w:shd w:val="clear" w:color="auto" w:fill="CCEEFF"/>
          </w:tcPr>
          <w:p>
            <w:pPr>
              <w:ind w:left="80"/>
              <w:spacing w:after="0" w:line="104" w:lineRule="exact"/>
              <w:rPr>
                <w:sz w:val="20"/>
                <w:szCs w:val="20"/>
                <w:color w:val="auto"/>
              </w:rPr>
            </w:pPr>
            <w:r>
              <w:rPr>
                <w:rFonts w:ascii="Times New Roman" w:cs="Times New Roman" w:eastAsia="Times New Roman" w:hAnsi="Times New Roman"/>
                <w:sz w:val="10"/>
                <w:szCs w:val="10"/>
                <w:color w:val="auto"/>
              </w:rPr>
              <w:t>Diluted</w:t>
            </w: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(49.76)</w:t>
            </w:r>
          </w:p>
        </w:tc>
      </w:tr>
    </w:tbl>
    <w:p>
      <w:pPr>
        <w:spacing w:after="0" w:line="277"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represents the potential dilutive shares of common stock excluded from the computation of the diluted net loss per share allocable to common stockholders for all periods presented, as the effect would have been anti-dilutive:</w:t>
      </w:r>
    </w:p>
    <w:p>
      <w:pPr>
        <w:spacing w:after="0" w:line="6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52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9"/>
        </w:trPr>
        <w:tc>
          <w:tcPr>
            <w:tcW w:w="85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Common stock options and RSUs</w:t>
            </w: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2,150,273</w:t>
            </w: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776,865</w:t>
            </w:r>
          </w:p>
        </w:tc>
      </w:tr>
      <w:tr>
        <w:trPr>
          <w:trHeight w:val="129"/>
        </w:trPr>
        <w:tc>
          <w:tcPr>
            <w:tcW w:w="9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Warrants to purchase common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692,523</w:t>
            </w: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1,040,813</w:t>
            </w:r>
          </w:p>
        </w:tc>
      </w:tr>
      <w:tr>
        <w:trPr>
          <w:trHeight w:val="141"/>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Series A Preferred Stock</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4,026,346</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14,503,993</w:t>
            </w:r>
          </w:p>
        </w:tc>
      </w:tr>
      <w:tr>
        <w:trPr>
          <w:trHeight w:val="129"/>
        </w:trPr>
        <w:tc>
          <w:tcPr>
            <w:tcW w:w="9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Series B Preferred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437,927</w:t>
            </w: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Forward contract to issue Series A Preferred Stock</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3,304,677</w:t>
            </w:r>
          </w:p>
        </w:tc>
      </w:tr>
      <w:tr>
        <w:trPr>
          <w:trHeight w:val="129"/>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Series A Preferred Stock options</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470,403</w:t>
            </w:r>
          </w:p>
        </w:tc>
      </w:tr>
      <w:tr>
        <w:trPr>
          <w:trHeight w:val="146"/>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w:t>
            </w: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7,307,069</w:t>
            </w:r>
          </w:p>
        </w:tc>
        <w:tc>
          <w:tcPr>
            <w:tcW w:w="14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20,096,751</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Fair Value Measurements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present the Company’s assets and liabilities that are measured at fair value on a recurring basis as of December 31, 2024 and 2023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7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28"/>
        </w:trPr>
        <w:tc>
          <w:tcPr>
            <w:tcW w:w="57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Level 3</w:t>
            </w:r>
          </w:p>
        </w:tc>
      </w:tr>
      <w:tr>
        <w:trPr>
          <w:trHeight w:val="120"/>
        </w:trPr>
        <w:tc>
          <w:tcPr>
            <w:tcW w:w="57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Assets:</w:t>
            </w: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29"/>
        </w:trPr>
        <w:tc>
          <w:tcPr>
            <w:tcW w:w="5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Money market funds (included in cash equivalents)</w:t>
            </w:r>
          </w:p>
        </w:tc>
        <w:tc>
          <w:tcPr>
            <w:tcW w:w="860" w:type="dxa"/>
            <w:vAlign w:val="bottom"/>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39,088</w:t>
            </w:r>
          </w:p>
        </w:tc>
        <w:tc>
          <w:tcPr>
            <w:tcW w:w="80" w:type="dxa"/>
            <w:vAlign w:val="bottom"/>
          </w:tcPr>
          <w:p>
            <w:pPr>
              <w:spacing w:after="0"/>
              <w:rPr>
                <w:sz w:val="11"/>
                <w:szCs w:val="11"/>
                <w:color w:val="auto"/>
              </w:rPr>
            </w:pPr>
          </w:p>
        </w:tc>
        <w:tc>
          <w:tcPr>
            <w:tcW w:w="9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39,088</w:t>
            </w:r>
          </w:p>
        </w:tc>
        <w:tc>
          <w:tcPr>
            <w:tcW w:w="100" w:type="dxa"/>
            <w:vAlign w:val="bottom"/>
          </w:tcPr>
          <w:p>
            <w:pPr>
              <w:spacing w:after="0"/>
              <w:rPr>
                <w:sz w:val="11"/>
                <w:szCs w:val="11"/>
                <w:color w:val="auto"/>
              </w:rPr>
            </w:pPr>
          </w:p>
        </w:tc>
        <w:tc>
          <w:tcPr>
            <w:tcW w:w="100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6"/>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8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39,088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39,088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6"/>
        </w:trPr>
        <w:tc>
          <w:tcPr>
            <w:tcW w:w="5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Liabilities:</w:t>
            </w: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29"/>
        </w:trPr>
        <w:tc>
          <w:tcPr>
            <w:tcW w:w="5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Warrant liabilities</w:t>
            </w:r>
          </w:p>
        </w:tc>
        <w:tc>
          <w:tcPr>
            <w:tcW w:w="860" w:type="dxa"/>
            <w:vAlign w:val="bottom"/>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3,836</w:t>
            </w:r>
          </w:p>
        </w:tc>
        <w:tc>
          <w:tcPr>
            <w:tcW w:w="80" w:type="dxa"/>
            <w:vAlign w:val="bottom"/>
          </w:tcPr>
          <w:p>
            <w:pPr>
              <w:spacing w:after="0"/>
              <w:rPr>
                <w:sz w:val="11"/>
                <w:szCs w:val="11"/>
                <w:color w:val="auto"/>
              </w:rPr>
            </w:pPr>
          </w:p>
        </w:tc>
        <w:tc>
          <w:tcPr>
            <w:tcW w:w="9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3,836</w:t>
            </w:r>
          </w:p>
        </w:tc>
      </w:tr>
      <w:tr>
        <w:trPr>
          <w:trHeight w:val="14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Contingent value right liability</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395,500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395,500</w:t>
            </w:r>
          </w:p>
        </w:tc>
      </w:tr>
      <w:tr>
        <w:trPr>
          <w:trHeight w:val="124"/>
        </w:trPr>
        <w:tc>
          <w:tcPr>
            <w:tcW w:w="5740" w:type="dxa"/>
            <w:vAlign w:val="bottom"/>
          </w:tcPr>
          <w:p>
            <w:pPr>
              <w:spacing w:after="0"/>
              <w:rPr>
                <w:sz w:val="20"/>
                <w:szCs w:val="20"/>
                <w:color w:val="auto"/>
              </w:rPr>
            </w:pPr>
            <w:r>
              <w:rPr>
                <w:rFonts w:ascii="Times New Roman" w:cs="Times New Roman" w:eastAsia="Times New Roman" w:hAnsi="Times New Roman"/>
                <w:sz w:val="10"/>
                <w:szCs w:val="10"/>
                <w:color w:val="auto"/>
              </w:rPr>
              <w:t>Total liabilities</w:t>
            </w:r>
          </w:p>
        </w:tc>
        <w:tc>
          <w:tcPr>
            <w:tcW w:w="8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399,336</w:t>
            </w:r>
          </w:p>
        </w:tc>
        <w:tc>
          <w:tcPr>
            <w:tcW w:w="8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399,336</w:t>
            </w:r>
          </w:p>
        </w:tc>
      </w:tr>
      <w:tr>
        <w:trPr>
          <w:trHeight w:val="20"/>
        </w:trPr>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7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28"/>
        </w:trPr>
        <w:tc>
          <w:tcPr>
            <w:tcW w:w="57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Level 3</w:t>
            </w:r>
          </w:p>
        </w:tc>
      </w:tr>
      <w:tr>
        <w:trPr>
          <w:trHeight w:val="120"/>
        </w:trPr>
        <w:tc>
          <w:tcPr>
            <w:tcW w:w="57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Assets:</w:t>
            </w: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29"/>
        </w:trPr>
        <w:tc>
          <w:tcPr>
            <w:tcW w:w="5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Money market funds (included in cash equivalents)</w:t>
            </w:r>
          </w:p>
        </w:tc>
        <w:tc>
          <w:tcPr>
            <w:tcW w:w="860" w:type="dxa"/>
            <w:vAlign w:val="bottom"/>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41,161</w:t>
            </w:r>
          </w:p>
        </w:tc>
        <w:tc>
          <w:tcPr>
            <w:tcW w:w="80" w:type="dxa"/>
            <w:vAlign w:val="bottom"/>
          </w:tcPr>
          <w:p>
            <w:pPr>
              <w:spacing w:after="0"/>
              <w:rPr>
                <w:sz w:val="11"/>
                <w:szCs w:val="11"/>
                <w:color w:val="auto"/>
              </w:rPr>
            </w:pPr>
          </w:p>
        </w:tc>
        <w:tc>
          <w:tcPr>
            <w:tcW w:w="9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41,161</w:t>
            </w:r>
          </w:p>
        </w:tc>
        <w:tc>
          <w:tcPr>
            <w:tcW w:w="100" w:type="dxa"/>
            <w:vAlign w:val="bottom"/>
          </w:tcPr>
          <w:p>
            <w:pPr>
              <w:spacing w:after="0"/>
              <w:rPr>
                <w:sz w:val="11"/>
                <w:szCs w:val="11"/>
                <w:color w:val="auto"/>
              </w:rPr>
            </w:pPr>
          </w:p>
        </w:tc>
        <w:tc>
          <w:tcPr>
            <w:tcW w:w="920" w:type="dxa"/>
            <w:vAlign w:val="bottom"/>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6"/>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8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41,161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6"/>
        </w:trPr>
        <w:tc>
          <w:tcPr>
            <w:tcW w:w="5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Liabilities:</w:t>
            </w: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29"/>
        </w:trPr>
        <w:tc>
          <w:tcPr>
            <w:tcW w:w="5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Warrant liabilities</w:t>
            </w:r>
          </w:p>
        </w:tc>
        <w:tc>
          <w:tcPr>
            <w:tcW w:w="860" w:type="dxa"/>
            <w:vAlign w:val="bottom"/>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6,394</w:t>
            </w:r>
          </w:p>
        </w:tc>
        <w:tc>
          <w:tcPr>
            <w:tcW w:w="80" w:type="dxa"/>
            <w:vAlign w:val="bottom"/>
          </w:tcPr>
          <w:p>
            <w:pPr>
              <w:spacing w:after="0"/>
              <w:rPr>
                <w:sz w:val="11"/>
                <w:szCs w:val="11"/>
                <w:color w:val="auto"/>
              </w:rPr>
            </w:pPr>
          </w:p>
        </w:tc>
        <w:tc>
          <w:tcPr>
            <w:tcW w:w="900" w:type="dxa"/>
            <w:vAlign w:val="bottom"/>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6,394</w:t>
            </w:r>
          </w:p>
        </w:tc>
      </w:tr>
      <w:tr>
        <w:trPr>
          <w:trHeight w:val="14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Contingent value right liability</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358,600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358,600</w:t>
            </w:r>
          </w:p>
        </w:tc>
      </w:tr>
      <w:tr>
        <w:trPr>
          <w:trHeight w:val="129"/>
        </w:trPr>
        <w:tc>
          <w:tcPr>
            <w:tcW w:w="57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Forward contract liabilities</w:t>
            </w: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28,307</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28,307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6"/>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liabilities</w:t>
            </w:r>
          </w:p>
        </w:tc>
        <w:tc>
          <w:tcPr>
            <w:tcW w:w="8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393,301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28,307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364,994</w:t>
            </w:r>
          </w:p>
        </w:tc>
      </w:tr>
    </w:tbl>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were no transfers within the fair value hierarchy during the years ended December 31, 2024 or 2023.</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Cash, Cash Equivalents, and Restricted Cash</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2024 and 2023, money market funds were classified as cash and cash equivalents on the accompanying consolidated balance sheets as they mature within 90 days from the date of purchase.</w:t>
      </w:r>
    </w:p>
    <w:p>
      <w:pPr>
        <w:spacing w:after="0" w:line="78"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had restricted cash balances relating to secured letters of credit in connection with its real estate leases (see Note 9). The Company’s consolidated statement of cash flows includes the following as of December 31, 2024 and 2023 (in thousands):</w:t>
      </w:r>
    </w:p>
    <w:p>
      <w:pPr>
        <w:spacing w:after="0" w:line="61" w:lineRule="exact"/>
        <w:rPr>
          <w:sz w:val="20"/>
          <w:szCs w:val="20"/>
          <w:color w:val="auto"/>
        </w:rPr>
      </w:pPr>
    </w:p>
    <w:tbl>
      <w:tblPr>
        <w:tblLayout w:type="fixed"/>
        <w:tblInd w:w="720" w:type="dxa"/>
        <w:tblCellMar>
          <w:top w:w="0" w:type="dxa"/>
          <w:left w:w="0" w:type="dxa"/>
          <w:bottom w:w="0" w:type="dxa"/>
          <w:right w:w="0" w:type="dxa"/>
        </w:tblCellMar>
      </w:tblPr>
      <w:tr>
        <w:trPr>
          <w:trHeight w:val="134"/>
        </w:trPr>
        <w:tc>
          <w:tcPr>
            <w:tcW w:w="7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800" w:type="dxa"/>
            <w:vAlign w:val="bottom"/>
            <w:tcBorders>
              <w:bottom w:val="single" w:sz="8" w:color="auto"/>
            </w:tcBorders>
          </w:tcPr>
          <w:p>
            <w:pPr>
              <w:spacing w:after="0"/>
              <w:rPr>
                <w:sz w:val="11"/>
                <w:szCs w:val="11"/>
                <w:color w:val="auto"/>
              </w:rPr>
            </w:pPr>
          </w:p>
        </w:tc>
      </w:tr>
      <w:tr>
        <w:trPr>
          <w:trHeight w:val="128"/>
        </w:trPr>
        <w:tc>
          <w:tcPr>
            <w:tcW w:w="7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9"/>
        </w:trPr>
        <w:tc>
          <w:tcPr>
            <w:tcW w:w="71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and cash equivalents</w:t>
            </w:r>
          </w:p>
        </w:tc>
        <w:tc>
          <w:tcPr>
            <w:tcW w:w="8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212,610</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76,911</w:t>
            </w:r>
          </w:p>
        </w:tc>
      </w:tr>
      <w:tr>
        <w:trPr>
          <w:trHeight w:val="129"/>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Long-term restricted cash</w:t>
            </w:r>
          </w:p>
        </w:tc>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1,669</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1,377</w:t>
            </w:r>
          </w:p>
        </w:tc>
      </w:tr>
      <w:tr>
        <w:trPr>
          <w:trHeight w:val="14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cash, cash equivalents, and restricted cash</w:t>
            </w: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214,279</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78,288</w:t>
            </w:r>
          </w:p>
        </w:tc>
      </w:tr>
    </w:tbl>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Warrants to Purchase Common Stock</w:t>
      </w:r>
    </w:p>
    <w:p>
      <w:pPr>
        <w:spacing w:after="0" w:line="80" w:lineRule="exact"/>
        <w:rPr>
          <w:sz w:val="20"/>
          <w:szCs w:val="20"/>
          <w:color w:val="auto"/>
        </w:rPr>
      </w:pPr>
    </w:p>
    <w:p>
      <w:pPr>
        <w:ind w:right="180" w:firstLine="216"/>
        <w:spacing w:after="0" w:line="257" w:lineRule="auto"/>
        <w:rPr>
          <w:sz w:val="20"/>
          <w:szCs w:val="20"/>
          <w:color w:val="auto"/>
        </w:rPr>
      </w:pPr>
      <w:r>
        <w:rPr>
          <w:rFonts w:ascii="Times New Roman" w:cs="Times New Roman" w:eastAsia="Times New Roman" w:hAnsi="Times New Roman"/>
          <w:sz w:val="12"/>
          <w:szCs w:val="12"/>
          <w:color w:val="auto"/>
        </w:rPr>
        <w:t>In December 2019, the Company issued warrants to purchase common stock in connection with a private placement, or the 2019 Warrants. The outstanding 2019 Warrants expired on December 23, 2024 in accordance with their terms. Pursuant to the terms of the 2019 Warrants, the Company could have been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for further discussion on the equity-classified Amended 2019 Warrants.</w:t>
      </w:r>
    </w:p>
    <w:p>
      <w:pPr>
        <w:spacing w:after="0" w:line="53"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consolidated statements of operations and comprehensive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consolidated statements of operations and comprehensive loss for the years ended December 31, 2024 and 2023.</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estimated fair values of the 2019 Warrants and the 2022 Warrants were determined using the following inputs to the Black-Scholes simulation valuation: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Estimated fair value of the underlying stock</w:t>
      </w:r>
      <w:r>
        <w:rPr>
          <w:rFonts w:ascii="Times New Roman" w:cs="Times New Roman" w:eastAsia="Times New Roman" w:hAnsi="Times New Roman"/>
          <w:sz w:val="12"/>
          <w:szCs w:val="12"/>
          <w:color w:val="auto"/>
        </w:rPr>
        <w:t>. The Company estimates the fair value of the common stock based on the closing stock price at the end of each reporting period.</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Risk-free interest rate</w:t>
      </w:r>
      <w:r>
        <w:rPr>
          <w:rFonts w:ascii="Times New Roman" w:cs="Times New Roman" w:eastAsia="Times New Roman" w:hAnsi="Times New Roman"/>
          <w:sz w:val="12"/>
          <w:szCs w:val="12"/>
          <w:color w:val="auto"/>
        </w:rPr>
        <w:t>. The risk-free interest rate is based on the U.S. Treasury at the valuation date commensurate with the expected remaining life assumption.</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Dividend rate</w:t>
      </w:r>
      <w:r>
        <w:rPr>
          <w:rFonts w:ascii="Times New Roman" w:cs="Times New Roman" w:eastAsia="Times New Roman" w:hAnsi="Times New Roman"/>
          <w:sz w:val="12"/>
          <w:szCs w:val="12"/>
          <w:color w:val="auto"/>
        </w:rPr>
        <w:t>. The dividend rate is based on the historical rate, which the Company anticipates will remain at zero.</w:t>
      </w:r>
    </w:p>
    <w:p>
      <w:pPr>
        <w:spacing w:after="0" w:line="78" w:lineRule="exact"/>
        <w:rPr>
          <w:sz w:val="20"/>
          <w:szCs w:val="20"/>
          <w:color w:val="auto"/>
        </w:rPr>
      </w:pPr>
    </w:p>
    <w:p>
      <w:pPr>
        <w:ind w:left="420" w:right="60"/>
        <w:spacing w:after="0" w:line="283" w:lineRule="auto"/>
        <w:rPr>
          <w:sz w:val="20"/>
          <w:szCs w:val="20"/>
          <w:color w:val="auto"/>
        </w:rPr>
      </w:pPr>
      <w:r>
        <w:rPr>
          <w:rFonts w:ascii="Times New Roman" w:cs="Times New Roman" w:eastAsia="Times New Roman" w:hAnsi="Times New Roman"/>
          <w:sz w:val="12"/>
          <w:szCs w:val="12"/>
          <w:i w:val="1"/>
          <w:iCs w:val="1"/>
          <w:color w:val="auto"/>
        </w:rPr>
        <w:t>Expected life</w:t>
      </w:r>
      <w:r>
        <w:rPr>
          <w:rFonts w:ascii="Times New Roman" w:cs="Times New Roman" w:eastAsia="Times New Roman" w:hAnsi="Times New Roman"/>
          <w:sz w:val="12"/>
          <w:szCs w:val="12"/>
          <w:color w:val="auto"/>
        </w:rPr>
        <w:t>. The expected life of the 2019 Warrants was assumed to be equivalent to their remaining contractual term which expired on December 23, 2024. The expected life of the 2022 Warrants is assumed to be equivalent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their remaining contractual term which expire on April 11, 2027.</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Volatility</w:t>
      </w:r>
      <w:r>
        <w:rPr>
          <w:rFonts w:ascii="Times New Roman" w:cs="Times New Roman" w:eastAsia="Times New Roman" w:hAnsi="Times New Roman"/>
          <w:sz w:val="12"/>
          <w:szCs w:val="12"/>
          <w:color w:val="auto"/>
        </w:rPr>
        <w:t>. The Company estimates stock price volatility based on the Company’s historical volatility for a period of time commensurate with the expected remaining life of the warrants.</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2019 Warrants expired on December 23, 2024 and therefore, there were no 2019 Warrants outstanding as of December 31, 2024. A summary of the Black-Scholes pricing model assumptions used to record the fair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2019 Warrants liability as of December 31, 2023 is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20" w:type="dxa"/>
            <w:vAlign w:val="bottom"/>
          </w:tcPr>
          <w:p>
            <w:pPr>
              <w:spacing w:after="0"/>
              <w:rPr>
                <w:sz w:val="10"/>
                <w:szCs w:val="10"/>
                <w:color w:val="auto"/>
              </w:rPr>
            </w:pPr>
          </w:p>
        </w:tc>
        <w:tc>
          <w:tcPr>
            <w:tcW w:w="2780" w:type="dxa"/>
            <w:vAlign w:val="bottom"/>
          </w:tcPr>
          <w:p>
            <w:pPr>
              <w:jc w:val="right"/>
              <w:ind w:right="107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43"/>
        </w:trPr>
        <w:tc>
          <w:tcPr>
            <w:tcW w:w="8520" w:type="dxa"/>
            <w:vAlign w:val="bottom"/>
            <w:tcBorders>
              <w:bottom w:val="single" w:sz="8" w:color="CCEEFF"/>
            </w:tcBorders>
          </w:tcPr>
          <w:p>
            <w:pPr>
              <w:spacing w:after="0"/>
              <w:rPr>
                <w:sz w:val="12"/>
                <w:szCs w:val="12"/>
                <w:color w:val="auto"/>
              </w:rPr>
            </w:pPr>
          </w:p>
        </w:tc>
        <w:tc>
          <w:tcPr>
            <w:tcW w:w="278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Risk-free interest rate</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4.79 %</w:t>
            </w:r>
          </w:p>
        </w:tc>
      </w:tr>
      <w:tr>
        <w:trPr>
          <w:trHeight w:val="129"/>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Dividend yield</w:t>
            </w:r>
          </w:p>
        </w:tc>
        <w:tc>
          <w:tcPr>
            <w:tcW w:w="2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Expected life (in years)</w:t>
            </w:r>
          </w:p>
        </w:tc>
        <w:tc>
          <w:tcPr>
            <w:tcW w:w="2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0.98</w:t>
            </w:r>
          </w:p>
        </w:tc>
      </w:tr>
      <w:tr>
        <w:trPr>
          <w:trHeight w:val="123"/>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Expected volatility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83.67 %</w:t>
            </w:r>
          </w:p>
        </w:tc>
      </w:tr>
    </w:tbl>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summary of the Black-Scholes pricing model assumptions used to record the fair value of the 2022 Warrants liability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80" w:type="dxa"/>
            <w:vAlign w:val="bottom"/>
          </w:tcPr>
          <w:p>
            <w:pPr>
              <w:spacing w:after="0"/>
              <w:rPr>
                <w:sz w:val="10"/>
                <w:szCs w:val="10"/>
                <w:color w:val="auto"/>
              </w:rPr>
            </w:pPr>
          </w:p>
        </w:tc>
      </w:tr>
      <w:tr>
        <w:trPr>
          <w:trHeight w:val="143"/>
        </w:trPr>
        <w:tc>
          <w:tcPr>
            <w:tcW w:w="9360" w:type="dxa"/>
            <w:vAlign w:val="bottom"/>
            <w:gridSpan w:val="2"/>
          </w:tcPr>
          <w:p>
            <w:pPr>
              <w:ind w:left="90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2"/>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Risk-free interest rate</w:t>
            </w:r>
          </w:p>
        </w:tc>
        <w:tc>
          <w:tcPr>
            <w:tcW w:w="9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4.25 %</w:t>
            </w: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4.01 %</w:t>
            </w:r>
          </w:p>
        </w:tc>
      </w:tr>
      <w:tr>
        <w:trPr>
          <w:trHeight w:val="129"/>
        </w:trPr>
        <w:tc>
          <w:tcPr>
            <w:tcW w:w="9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 yield</w:t>
            </w:r>
          </w:p>
        </w:tc>
        <w:tc>
          <w:tcPr>
            <w:tcW w:w="960" w:type="dxa"/>
            <w:vAlign w:val="bottom"/>
            <w:gridSpan w:val="3"/>
          </w:tcPr>
          <w:p>
            <w:pPr>
              <w:jc w:val="right"/>
              <w:ind w:right="62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Expected life (in years)</w:t>
            </w:r>
          </w:p>
        </w:tc>
        <w:tc>
          <w:tcPr>
            <w:tcW w:w="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2.28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3.28</w:t>
            </w:r>
          </w:p>
        </w:tc>
      </w:tr>
      <w:tr>
        <w:trPr>
          <w:trHeight w:val="123"/>
        </w:trPr>
        <w:tc>
          <w:tcPr>
            <w:tcW w:w="93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Expected volatility</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92.92 %</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84.09 %</w:t>
            </w:r>
          </w:p>
        </w:tc>
      </w:tr>
    </w:tbl>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reflects a roll-forward of fair value for the Company’s Level 3 warrant liabilities (see Note 12), for the year ended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9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Warrant liabilities</w:t>
            </w:r>
          </w:p>
        </w:tc>
      </w:tr>
      <w:tr>
        <w:trPr>
          <w:trHeight w:val="13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Fair value as of December 31, 2023</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0"/>
                <w:szCs w:val="10"/>
                <w:color w:val="auto"/>
                <w:w w:val="97"/>
              </w:rPr>
              <w:t>6,394</w:t>
            </w:r>
          </w:p>
        </w:tc>
      </w:tr>
      <w:tr>
        <w:trPr>
          <w:trHeight w:val="129"/>
        </w:trPr>
        <w:tc>
          <w:tcPr>
            <w:tcW w:w="9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Change in fair value</w:t>
            </w: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left="792"/>
              <w:spacing w:after="0"/>
              <w:rPr>
                <w:sz w:val="20"/>
                <w:szCs w:val="20"/>
                <w:color w:val="auto"/>
              </w:rPr>
            </w:pPr>
            <w:r>
              <w:rPr>
                <w:rFonts w:ascii="Times New Roman" w:cs="Times New Roman" w:eastAsia="Times New Roman" w:hAnsi="Times New Roman"/>
                <w:sz w:val="10"/>
                <w:szCs w:val="10"/>
                <w:color w:val="auto"/>
                <w:w w:val="95"/>
              </w:rPr>
              <w:t>(2,558)</w:t>
            </w:r>
          </w:p>
        </w:tc>
      </w:tr>
      <w:tr>
        <w:trPr>
          <w:trHeight w:val="146"/>
        </w:trPr>
        <w:tc>
          <w:tcPr>
            <w:tcW w:w="9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Fair value as of December 31, 2024</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center"/>
              <w:ind w:left="812"/>
              <w:spacing w:after="0"/>
              <w:rPr>
                <w:sz w:val="20"/>
                <w:szCs w:val="20"/>
                <w:color w:val="auto"/>
              </w:rPr>
            </w:pPr>
            <w:r>
              <w:rPr>
                <w:rFonts w:ascii="Times New Roman" w:cs="Times New Roman" w:eastAsia="Times New Roman" w:hAnsi="Times New Roman"/>
                <w:sz w:val="10"/>
                <w:szCs w:val="10"/>
                <w:color w:val="auto"/>
                <w:w w:val="97"/>
              </w:rPr>
              <w:t>3,836</w:t>
            </w:r>
          </w:p>
        </w:tc>
      </w:tr>
    </w:tbl>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Contingent Value Right</w:t>
      </w:r>
    </w:p>
    <w:p>
      <w:pPr>
        <w:spacing w:after="0" w:line="80"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exercise of such warrants and in accordance with the terms of the warrants, 30 CVRs per each share of common stock underlying such warrants.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Each CVR entitles its holder to distributions of the following, pro-rated on a per-CVR basis, during the period ending on the date on which the Royalty Term (as defined in the Sobi License) ends, or the Termination Date:</w:t>
      </w:r>
    </w:p>
    <w:p>
      <w:pPr>
        <w:spacing w:after="0" w:line="105" w:lineRule="exact"/>
        <w:rPr>
          <w:sz w:val="20"/>
          <w:szCs w:val="20"/>
          <w:color w:val="auto"/>
        </w:rPr>
      </w:pPr>
    </w:p>
    <w:p>
      <w:pPr>
        <w:ind w:left="420" w:right="460" w:hanging="212"/>
        <w:spacing w:after="0" w:line="239" w:lineRule="auto"/>
        <w:tabs>
          <w:tab w:leader="none" w:pos="416" w:val="left"/>
        </w:tabs>
        <w:numPr>
          <w:ilvl w:val="0"/>
          <w:numId w:val="37"/>
        </w:numPr>
        <w:rPr>
          <w:rFonts w:ascii="Arial" w:cs="Arial" w:eastAsia="Arial" w:hAnsi="Arial"/>
          <w:sz w:val="14"/>
          <w:szCs w:val="14"/>
          <w:color w:val="auto"/>
        </w:rPr>
      </w:pPr>
      <w:r>
        <w:rPr>
          <w:rFonts w:ascii="Times New Roman" w:cs="Times New Roman" w:eastAsia="Times New Roman" w:hAnsi="Times New Roman"/>
          <w:sz w:val="12"/>
          <w:szCs w:val="12"/>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89" w:lineRule="exact"/>
        <w:rPr>
          <w:rFonts w:ascii="Arial" w:cs="Arial" w:eastAsia="Arial" w:hAnsi="Arial"/>
          <w:sz w:val="14"/>
          <w:szCs w:val="14"/>
          <w:color w:val="auto"/>
        </w:rPr>
      </w:pPr>
    </w:p>
    <w:p>
      <w:pPr>
        <w:ind w:left="420" w:right="140" w:hanging="212"/>
        <w:spacing w:after="0" w:line="244" w:lineRule="auto"/>
        <w:tabs>
          <w:tab w:leader="none" w:pos="416" w:val="left"/>
        </w:tabs>
        <w:numPr>
          <w:ilvl w:val="0"/>
          <w:numId w:val="37"/>
        </w:numPr>
        <w:rPr>
          <w:rFonts w:ascii="Arial" w:cs="Arial" w:eastAsia="Arial" w:hAnsi="Arial"/>
          <w:sz w:val="14"/>
          <w:szCs w:val="14"/>
          <w:color w:val="auto"/>
        </w:rPr>
      </w:pPr>
      <w:r>
        <w:rPr>
          <w:rFonts w:ascii="Times New Roman" w:cs="Times New Roman" w:eastAsia="Times New Roman" w:hAnsi="Times New Roman"/>
          <w:sz w:val="12"/>
          <w:szCs w:val="12"/>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51" w:lineRule="exact"/>
        <w:rPr>
          <w:sz w:val="20"/>
          <w:szCs w:val="20"/>
          <w:color w:val="auto"/>
        </w:rPr>
      </w:pPr>
    </w:p>
    <w:p>
      <w:pPr>
        <w:ind w:right="20" w:firstLine="216"/>
        <w:spacing w:after="0" w:line="239" w:lineRule="auto"/>
        <w:rPr>
          <w:sz w:val="20"/>
          <w:szCs w:val="20"/>
          <w:color w:val="auto"/>
        </w:rPr>
      </w:pPr>
      <w:r>
        <w:rPr>
          <w:rFonts w:ascii="Times New Roman" w:cs="Times New Roman" w:eastAsia="Times New Roman" w:hAnsi="Times New Roman"/>
          <w:sz w:val="12"/>
          <w:szCs w:val="12"/>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is expected to be included in the next scheduled distribution to the holders of the CVR in March 2025.</w:t>
      </w:r>
    </w:p>
    <w:p>
      <w:pPr>
        <w:spacing w:after="0" w:line="64"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The CVRs represent financial instruments that are accounted for under the fair value option election in ASC 825.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December 31,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liability value is based on significant inputs not observable in the market such as estimated cash flows, estimated probabilities of success, expected volatility of future revenues (Monte Carlo simulation model) and risk-adjustment discount rate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20" w:type="dxa"/>
            <w:vAlign w:val="bottom"/>
          </w:tcPr>
          <w:p>
            <w:pPr>
              <w:spacing w:after="0"/>
              <w:rPr>
                <w:sz w:val="10"/>
                <w:szCs w:val="10"/>
                <w:color w:val="auto"/>
              </w:rPr>
            </w:pPr>
          </w:p>
        </w:tc>
        <w:tc>
          <w:tcPr>
            <w:tcW w:w="2780" w:type="dxa"/>
            <w:vAlign w:val="bottom"/>
          </w:tcPr>
          <w:p>
            <w:pPr>
              <w:jc w:val="right"/>
              <w:ind w:right="107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43"/>
        </w:trPr>
        <w:tc>
          <w:tcPr>
            <w:tcW w:w="8520" w:type="dxa"/>
            <w:vAlign w:val="bottom"/>
            <w:tcBorders>
              <w:bottom w:val="single" w:sz="8" w:color="CCEEFF"/>
            </w:tcBorders>
          </w:tcPr>
          <w:p>
            <w:pPr>
              <w:spacing w:after="0"/>
              <w:rPr>
                <w:sz w:val="12"/>
                <w:szCs w:val="12"/>
                <w:color w:val="auto"/>
              </w:rPr>
            </w:pPr>
          </w:p>
        </w:tc>
        <w:tc>
          <w:tcPr>
            <w:tcW w:w="278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2"/>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Estimated cash flow dates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2025 - 2038</w:t>
            </w:r>
          </w:p>
        </w:tc>
      </w:tr>
      <w:tr>
        <w:trPr>
          <w:trHeight w:val="129"/>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Estimated probability of success</w:t>
            </w:r>
          </w:p>
        </w:tc>
        <w:tc>
          <w:tcPr>
            <w:tcW w:w="2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 - 100.0%</w:t>
            </w:r>
          </w:p>
        </w:tc>
      </w:tr>
      <w:tr>
        <w:trPr>
          <w:trHeight w:val="14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Expected volatility of future revenues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22.0 %</w:t>
            </w: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20" w:type="dxa"/>
            <w:vAlign w:val="bottom"/>
          </w:tcPr>
          <w:p>
            <w:pPr>
              <w:spacing w:after="0"/>
              <w:rPr>
                <w:sz w:val="10"/>
                <w:szCs w:val="10"/>
                <w:color w:val="auto"/>
              </w:rPr>
            </w:pPr>
          </w:p>
        </w:tc>
        <w:tc>
          <w:tcPr>
            <w:tcW w:w="2780" w:type="dxa"/>
            <w:vAlign w:val="bottom"/>
          </w:tcPr>
          <w:p>
            <w:pPr>
              <w:jc w:val="right"/>
              <w:ind w:right="107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43"/>
        </w:trPr>
        <w:tc>
          <w:tcPr>
            <w:tcW w:w="8520" w:type="dxa"/>
            <w:vAlign w:val="bottom"/>
            <w:tcBorders>
              <w:bottom w:val="single" w:sz="8" w:color="CCEEFF"/>
            </w:tcBorders>
          </w:tcPr>
          <w:p>
            <w:pPr>
              <w:spacing w:after="0"/>
              <w:rPr>
                <w:sz w:val="12"/>
                <w:szCs w:val="12"/>
                <w:color w:val="auto"/>
              </w:rPr>
            </w:pPr>
          </w:p>
        </w:tc>
        <w:tc>
          <w:tcPr>
            <w:tcW w:w="278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Estimated cash flow dates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2024 - 2038</w:t>
            </w:r>
          </w:p>
        </w:tc>
      </w:tr>
      <w:tr>
        <w:trPr>
          <w:trHeight w:val="129"/>
        </w:trPr>
        <w:tc>
          <w:tcPr>
            <w:tcW w:w="8520" w:type="dxa"/>
            <w:vAlign w:val="bottom"/>
          </w:tcPr>
          <w:p>
            <w:pPr>
              <w:spacing w:after="0"/>
              <w:rPr>
                <w:sz w:val="20"/>
                <w:szCs w:val="20"/>
                <w:color w:val="auto"/>
              </w:rPr>
            </w:pPr>
            <w:r>
              <w:rPr>
                <w:rFonts w:ascii="Times New Roman" w:cs="Times New Roman" w:eastAsia="Times New Roman" w:hAnsi="Times New Roman"/>
                <w:sz w:val="10"/>
                <w:szCs w:val="10"/>
                <w:color w:val="auto"/>
              </w:rPr>
              <w:t>Estimated probability of success</w:t>
            </w:r>
          </w:p>
        </w:tc>
        <w:tc>
          <w:tcPr>
            <w:tcW w:w="2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95.0 %</w:t>
            </w:r>
          </w:p>
        </w:tc>
      </w:tr>
      <w:tr>
        <w:trPr>
          <w:trHeight w:val="14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Risk-adjusted discount rate</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13.7 %</w:t>
            </w:r>
          </w:p>
        </w:tc>
      </w:tr>
    </w:tbl>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reflects a roll-forward of fair value for the Company’s Level 3 CVR liability for the year ended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9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CVR liability</w:t>
            </w:r>
          </w:p>
        </w:tc>
      </w:tr>
      <w:tr>
        <w:trPr>
          <w:trHeight w:val="132"/>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Fair value as of December 31, 2023</w:t>
            </w: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358,600</w:t>
            </w:r>
          </w:p>
        </w:tc>
      </w:tr>
      <w:tr>
        <w:trPr>
          <w:trHeight w:val="129"/>
        </w:trPr>
        <w:tc>
          <w:tcPr>
            <w:tcW w:w="9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Change in fair value</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36,900</w:t>
            </w:r>
          </w:p>
        </w:tc>
      </w:tr>
      <w:tr>
        <w:trPr>
          <w:trHeight w:val="146"/>
        </w:trPr>
        <w:tc>
          <w:tcPr>
            <w:tcW w:w="9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Fair value as of December 31, 2024</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395,500</w:t>
            </w:r>
          </w:p>
        </w:tc>
      </w:tr>
    </w:tbl>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Forward Contract Liabilities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auto"/>
        </w:rPr>
        <w:t>Merger Consideration</w:t>
      </w:r>
    </w:p>
    <w:p>
      <w:pPr>
        <w:spacing w:after="0" w:line="78"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auto"/>
        </w:rPr>
        <w:t>2023 Private Placement</w:t>
      </w:r>
    </w:p>
    <w:p>
      <w:pPr>
        <w:spacing w:after="0" w:line="69" w:lineRule="exact"/>
        <w:rPr>
          <w:sz w:val="20"/>
          <w:szCs w:val="20"/>
          <w:color w:val="auto"/>
        </w:rPr>
      </w:pPr>
    </w:p>
    <w:p>
      <w:pPr>
        <w:ind w:right="60" w:firstLine="216"/>
        <w:spacing w:after="0"/>
        <w:rPr>
          <w:sz w:val="20"/>
          <w:szCs w:val="20"/>
          <w:color w:val="auto"/>
        </w:rPr>
      </w:pPr>
      <w:r>
        <w:rPr>
          <w:rFonts w:ascii="Times New Roman" w:cs="Times New Roman" w:eastAsia="Times New Roman" w:hAnsi="Times New Roman"/>
          <w:sz w:val="12"/>
          <w:szCs w:val="12"/>
          <w:color w:val="auto"/>
        </w:rPr>
        <w:t>The Company entered into a contract for the issuance of 149,330.115 shares of Series A Preferred Stock as part of the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11. The initial fair value of the forward contract liability on November 13, 2023 was insignificant as the fair value of the underlying Series A Preferred Stock was equal to the purchase price of the Series A Preferred Stock as agreed upon in the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changes in the forward contract liabilities for the periods presented (in thousands):</w:t>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134"/>
        </w:trPr>
        <w:tc>
          <w:tcPr>
            <w:tcW w:w="99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Forward contract liabilitie</w:t>
            </w:r>
          </w:p>
        </w:tc>
      </w:tr>
      <w:tr>
        <w:trPr>
          <w:trHeight w:val="13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Fair value as of December 31,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w:t>
            </w:r>
          </w:p>
        </w:tc>
      </w:tr>
      <w:tr>
        <w:trPr>
          <w:trHeight w:val="129"/>
        </w:trPr>
        <w:tc>
          <w:tcPr>
            <w:tcW w:w="99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Settlements</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w:t>
            </w:r>
          </w:p>
        </w:tc>
      </w:tr>
      <w:tr>
        <w:trPr>
          <w:trHeight w:val="135"/>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Change in fair value</w:t>
            </w:r>
          </w:p>
        </w:tc>
        <w:tc>
          <w:tcPr>
            <w:tcW w:w="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r>
      <w:tr>
        <w:trPr>
          <w:trHeight w:val="130"/>
        </w:trPr>
        <w:tc>
          <w:tcPr>
            <w:tcW w:w="9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 value as of December 31, 2024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spacing w:after="0"/>
              <w:rPr>
                <w:sz w:val="11"/>
                <w:szCs w:val="11"/>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Property and Equipment</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Property and equipment consists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20" w:type="dxa"/>
            <w:vAlign w:val="bottom"/>
          </w:tcPr>
          <w:p>
            <w:pPr>
              <w:spacing w:after="0"/>
              <w:rPr>
                <w:sz w:val="10"/>
                <w:szCs w:val="10"/>
                <w:color w:val="auto"/>
              </w:rPr>
            </w:pPr>
          </w:p>
        </w:tc>
      </w:tr>
      <w:tr>
        <w:trPr>
          <w:trHeight w:val="143"/>
        </w:trPr>
        <w:tc>
          <w:tcPr>
            <w:tcW w:w="85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Laboratory equipment</w:t>
            </w:r>
          </w:p>
        </w:tc>
        <w:tc>
          <w:tcPr>
            <w:tcW w:w="8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7,295</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6,280</w:t>
            </w:r>
          </w:p>
        </w:tc>
      </w:tr>
      <w:tr>
        <w:trPr>
          <w:trHeight w:val="129"/>
        </w:trPr>
        <w:tc>
          <w:tcPr>
            <w:tcW w:w="8560" w:type="dxa"/>
            <w:vAlign w:val="bottom"/>
          </w:tcPr>
          <w:p>
            <w:pPr>
              <w:spacing w:after="0"/>
              <w:rPr>
                <w:sz w:val="20"/>
                <w:szCs w:val="20"/>
                <w:color w:val="auto"/>
              </w:rPr>
            </w:pPr>
            <w:r>
              <w:rPr>
                <w:rFonts w:ascii="Times New Roman" w:cs="Times New Roman" w:eastAsia="Times New Roman" w:hAnsi="Times New Roman"/>
                <w:sz w:val="10"/>
                <w:szCs w:val="10"/>
                <w:color w:val="auto"/>
              </w:rPr>
              <w:t>Computer equipment and software</w:t>
            </w:r>
          </w:p>
        </w:tc>
        <w:tc>
          <w:tcPr>
            <w:tcW w:w="8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702</w:t>
            </w:r>
          </w:p>
        </w:tc>
      </w:tr>
      <w:tr>
        <w:trPr>
          <w:trHeight w:val="14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Leasehold improvements</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w:t>
            </w:r>
          </w:p>
        </w:tc>
      </w:tr>
      <w:tr>
        <w:trPr>
          <w:trHeight w:val="129"/>
        </w:trPr>
        <w:tc>
          <w:tcPr>
            <w:tcW w:w="8560" w:type="dxa"/>
            <w:vAlign w:val="bottom"/>
          </w:tcPr>
          <w:p>
            <w:pPr>
              <w:spacing w:after="0"/>
              <w:rPr>
                <w:sz w:val="20"/>
                <w:szCs w:val="20"/>
                <w:color w:val="auto"/>
              </w:rPr>
            </w:pPr>
            <w:r>
              <w:rPr>
                <w:rFonts w:ascii="Times New Roman" w:cs="Times New Roman" w:eastAsia="Times New Roman" w:hAnsi="Times New Roman"/>
                <w:sz w:val="10"/>
                <w:szCs w:val="10"/>
                <w:color w:val="auto"/>
              </w:rPr>
              <w:t>Furniture and fixtures</w:t>
            </w:r>
          </w:p>
        </w:tc>
        <w:tc>
          <w:tcPr>
            <w:tcW w:w="8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452</w:t>
            </w:r>
          </w:p>
        </w:tc>
      </w:tr>
      <w:tr>
        <w:trPr>
          <w:trHeight w:val="14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Office equipment</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w:t>
            </w:r>
          </w:p>
        </w:tc>
      </w:tr>
      <w:tr>
        <w:trPr>
          <w:trHeight w:val="12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Construction in process</w:t>
            </w: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695</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w:t>
            </w:r>
          </w:p>
        </w:tc>
      </w:tr>
      <w:tr>
        <w:trPr>
          <w:trHeight w:val="130"/>
        </w:trPr>
        <w:tc>
          <w:tcPr>
            <w:tcW w:w="856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0"/>
                <w:szCs w:val="10"/>
                <w:color w:val="auto"/>
              </w:rPr>
              <w:t>Total property and equipment</w:t>
            </w: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12,269</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7,841</w:t>
            </w:r>
          </w:p>
        </w:tc>
      </w:tr>
      <w:tr>
        <w:trPr>
          <w:trHeight w:val="12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Less accumulated depreciation</w:t>
            </w: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(2,357)</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(5,728)</w:t>
            </w:r>
          </w:p>
        </w:tc>
      </w:tr>
      <w:tr>
        <w:trPr>
          <w:trHeight w:val="146"/>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88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9,912</w:t>
            </w: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2,113</w:t>
            </w:r>
          </w:p>
        </w:tc>
      </w:tr>
    </w:tbl>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Note 9 for details regarding the impairment loss the Company recognized for certain furniture and fixtures during the year ended December 31, 2024.</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Depreciation expense was $1.2 million and $0.7 million for the years ended December 31, 2024 and 2023, respectively.</w:t>
      </w: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Accrued Expenses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Accrued expenses consist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20" w:type="dxa"/>
            <w:vAlign w:val="bottom"/>
          </w:tcPr>
          <w:p>
            <w:pPr>
              <w:spacing w:after="0"/>
              <w:rPr>
                <w:sz w:val="10"/>
                <w:szCs w:val="10"/>
                <w:color w:val="auto"/>
              </w:rPr>
            </w:pPr>
          </w:p>
        </w:tc>
      </w:tr>
      <w:tr>
        <w:trPr>
          <w:trHeight w:val="143"/>
        </w:trPr>
        <w:tc>
          <w:tcPr>
            <w:tcW w:w="85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Payroll and employee related expenses</w:t>
            </w:r>
          </w:p>
        </w:tc>
        <w:tc>
          <w:tcPr>
            <w:tcW w:w="8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3,534</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4,390</w:t>
            </w:r>
          </w:p>
        </w:tc>
      </w:tr>
      <w:tr>
        <w:trPr>
          <w:trHeight w:val="129"/>
        </w:trPr>
        <w:tc>
          <w:tcPr>
            <w:tcW w:w="8560" w:type="dxa"/>
            <w:vAlign w:val="bottom"/>
          </w:tcPr>
          <w:p>
            <w:pPr>
              <w:spacing w:after="0"/>
              <w:rPr>
                <w:sz w:val="20"/>
                <w:szCs w:val="20"/>
                <w:color w:val="auto"/>
              </w:rPr>
            </w:pPr>
            <w:r>
              <w:rPr>
                <w:rFonts w:ascii="Times New Roman" w:cs="Times New Roman" w:eastAsia="Times New Roman" w:hAnsi="Times New Roman"/>
                <w:sz w:val="10"/>
                <w:szCs w:val="10"/>
                <w:color w:val="auto"/>
              </w:rPr>
              <w:t>Accrued patent fees</w:t>
            </w:r>
          </w:p>
        </w:tc>
        <w:tc>
          <w:tcPr>
            <w:tcW w:w="8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813</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w:t>
            </w:r>
          </w:p>
        </w:tc>
      </w:tr>
      <w:tr>
        <w:trPr>
          <w:trHeight w:val="14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external research and development costs</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4,896</w:t>
            </w:r>
          </w:p>
        </w:tc>
      </w:tr>
      <w:tr>
        <w:trPr>
          <w:trHeight w:val="129"/>
        </w:trPr>
        <w:tc>
          <w:tcPr>
            <w:tcW w:w="8560" w:type="dxa"/>
            <w:vAlign w:val="bottom"/>
          </w:tcPr>
          <w:p>
            <w:pPr>
              <w:spacing w:after="0"/>
              <w:rPr>
                <w:sz w:val="20"/>
                <w:szCs w:val="20"/>
                <w:color w:val="auto"/>
              </w:rPr>
            </w:pPr>
            <w:r>
              <w:rPr>
                <w:rFonts w:ascii="Times New Roman" w:cs="Times New Roman" w:eastAsia="Times New Roman" w:hAnsi="Times New Roman"/>
                <w:sz w:val="10"/>
                <w:szCs w:val="10"/>
                <w:color w:val="auto"/>
              </w:rPr>
              <w:t>Accrued professional and consulting services</w:t>
            </w:r>
          </w:p>
        </w:tc>
        <w:tc>
          <w:tcPr>
            <w:tcW w:w="8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4,331</w:t>
            </w:r>
          </w:p>
        </w:tc>
      </w:tr>
      <w:tr>
        <w:trPr>
          <w:trHeight w:val="14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Property and equipment</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w:t>
            </w:r>
          </w:p>
        </w:tc>
      </w:tr>
      <w:tr>
        <w:trPr>
          <w:trHeight w:val="12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Other</w:t>
            </w: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286</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516</w:t>
            </w:r>
          </w:p>
        </w:tc>
      </w:tr>
      <w:tr>
        <w:trPr>
          <w:trHeight w:val="146"/>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expenses</w:t>
            </w:r>
          </w:p>
        </w:tc>
        <w:tc>
          <w:tcPr>
            <w:tcW w:w="88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12,076</w:t>
            </w: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14,733</w:t>
            </w: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Leases</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7495 New Horizon Way Leases</w:t>
      </w:r>
    </w:p>
    <w:p>
      <w:pPr>
        <w:spacing w:after="0" w:line="80"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 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assessed the classification of the lease at the commencement date and concluded it should be accounted for as an operating lease. The Company recorded a lease liability and right-of-use asset of $3.6 million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$3.7 million, respectively, on the commencement date. The Frederick Lease Agreement includes a tenant improvement allowance of up to $0.7 million which was recognized as a reduction in the right-of-use asset and lease liability at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commencement date as the Company was reasonably certain to incur reimbursable costs related to alterations equal to or exceeding the amount. Additionally, the prepaid rent was included as an adjustment to the right-of-use asset.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discount rate of 14% was determined based on the Company’s incremental borrowing rate adjusted for the lease term, including any reasonably certain renewal periods.</w:t>
      </w:r>
    </w:p>
    <w:p>
      <w:pPr>
        <w:spacing w:after="0" w:line="67"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Effective May 7, 2024, the Company and the Landlord entered into the first amendment to the Frederick Lease Agreement, or the First Frederick Lease Agreement Amendment,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was September 1, 2024.</w:t>
      </w:r>
    </w:p>
    <w:p>
      <w:pPr>
        <w:spacing w:after="0" w:line="50"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Company assessed the classification of the lease at the commencement date and concluded it should be accounted for as an operating lease. The Company recorded a lease liability and right-of-use asset each of $1.2 million on the commencement date. The First Frederick Lease Agreement Amendment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50" w:lineRule="exact"/>
        <w:rPr>
          <w:sz w:val="20"/>
          <w:szCs w:val="20"/>
          <w:color w:val="auto"/>
        </w:rPr>
      </w:pPr>
    </w:p>
    <w:p>
      <w:pPr>
        <w:ind w:right="20" w:firstLine="216"/>
        <w:spacing w:after="0" w:line="283" w:lineRule="auto"/>
        <w:rPr>
          <w:sz w:val="20"/>
          <w:szCs w:val="20"/>
          <w:color w:val="auto"/>
        </w:rPr>
      </w:pPr>
      <w:r>
        <w:rPr>
          <w:rFonts w:ascii="Times New Roman" w:cs="Times New Roman" w:eastAsia="Times New Roman" w:hAnsi="Times New Roman"/>
          <w:sz w:val="11"/>
          <w:szCs w:val="11"/>
          <w:color w:val="auto"/>
        </w:rPr>
        <w:t>Effective August 30, 2024, the Company and the Landlord entered into the second amendment to the Frederick Lease Agreement, or the Second Frederick Lease Agreement Amendment, providing for the expansion of the premises leased pursuant to the Frederick Lease Agreement and First Frederick Lease Agreement Amendment by approximately 2,009 square feet. In connection with the expansion of the leased premises, the Company is obligated to pay</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$0.1 million in additional annual base rent for the first year of the term, which is subject to an annual upward adjustment of 3% of the then-current rental rate, as well as its share of operating costs and taxes. The lease commenced on September 1, 2024, which was the date the Landlord delivered full possession of the premises to the Company and will be coterminous with the Frederick Lease Agreement. The rent commencement date was September 1, 2024.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Company assessed the classification of the lease at the commencement date and concluded it should be accounted for as an operating lease. The Company recorded a lease liability and right-of-use asset each of $0.3 million on the commencement date. The discount rate of 14% was determined based on the Company’s incremental borrowing rate adjusted for the lease term.</w:t>
      </w:r>
    </w:p>
    <w:p>
      <w:pPr>
        <w:spacing w:after="0" w:line="30" w:lineRule="exact"/>
        <w:rPr>
          <w:sz w:val="20"/>
          <w:szCs w:val="20"/>
          <w:color w:val="auto"/>
        </w:rPr>
      </w:pPr>
    </w:p>
    <w:p>
      <w:pPr>
        <w:jc w:val="both"/>
        <w:ind w:right="260" w:firstLine="216"/>
        <w:spacing w:after="0" w:line="249" w:lineRule="auto"/>
        <w:rPr>
          <w:sz w:val="20"/>
          <w:szCs w:val="20"/>
          <w:color w:val="auto"/>
        </w:rPr>
      </w:pPr>
      <w:r>
        <w:rPr>
          <w:rFonts w:ascii="Times New Roman" w:cs="Times New Roman" w:eastAsia="Times New Roman" w:hAnsi="Times New Roman"/>
          <w:sz w:val="12"/>
          <w:szCs w:val="12"/>
          <w:color w:val="auto"/>
        </w:rPr>
        <w:t>The Company secured a letter of credit from Silicon Valley Bank, a division of First-Citizens Bank &amp; Trust Company (successor by purchase to the Federal Deposit Insurance Corporation as Receiver for Silicon Valley Bridge Bank, N.A. (as successor to Silicon Valley Bank)), or SVB, for $0.3 million for the Frederick Lease Agreement, the First Frederick Lease Agreement Amendment and the Second Frederick Lease Agreement Amendment, which is recognized as long-term restricted cash as of December 31, 2024 and renews automatically each year.</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65 Grove Street Lease</w:t>
      </w:r>
    </w:p>
    <w:p>
      <w:pPr>
        <w:spacing w:after="0" w:line="80"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In July 2019, the Company entered into a lease with BRE-BMR Grove LLC for 25,078 square feet of laboratory and office space located at 65 Grove Street, Watertown, Massachusetts, or the Watertown Lease Agreement. As part of the Watertown Lease Agreement,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Watertown Lease Agreement, the Company secured a letter of credit from SVB for $1.6 million.</w:t>
      </w:r>
    </w:p>
    <w:p>
      <w:pPr>
        <w:spacing w:after="0" w:line="50"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On September 1, 2022, the Company entered into an amendment, or the Watertown Lease Agreement Amendment, to its lease agreement with BRE-BMR Grove LLC, originally entered into on July 23, 2019 to expand the Company’s laboratory and office space located at 65 Grove Street, Watertown, Massachusetts by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w:t>
      </w:r>
    </w:p>
    <w:p>
      <w:pPr>
        <w:spacing w:after="0" w:line="53"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On October 6, 2022, the Company entered into a sublease agreement to sublease 7,216 square feet of space currently rented by the Company at 65 Grove Street, Watertown, Massachusetts. The sublease commenced on October 24, 2022, when the Company, the sublessee and BRE-BMR Grove LLC, executed a Consent to Sublease. The term of the sublease expired on March 31, 2024 with no option to extend the sublease term. Sublease income is included within other income, net in the consolidated statements of operations and comprehensive loss.</w:t>
      </w:r>
    </w:p>
    <w:p>
      <w:pPr>
        <w:spacing w:after="0" w:line="47"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47"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May 2023, the Company received notice from BRE-BMR Grove LLC that the requirements to reduce the amount of the letter of credit for the Watertown Lease Agreement had been met. In connection therewith, in June 2023, the Company secured a letter of credit from JPMorgan Chase Bank, N.A. for $1.4 million, which is recognized as long-term restricted cash as of December 31, 2024 and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47"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On October 31, 2023, in connection with entering into Amendment No. 1 to the License and Development Agreement with Sobi as described in Note 14,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expired on November 5, 2024 with no option to extend the sublease term. As of December 31, 2023, deferred rent of $0.8 million is included within accrued expenses and other current liabilities in the consolidated balance sheet.</w:t>
      </w:r>
    </w:p>
    <w:p>
      <w:pPr>
        <w:spacing w:after="0" w:line="50"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impairment of long-lived assets on its consolidated statements of operations and comprehensive loss during the year ended December 31, 2023.</w:t>
      </w:r>
    </w:p>
    <w:p>
      <w:pPr>
        <w:spacing w:after="0" w:line="47"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As a result of the expiration of the sublease to Sobi in November 2024 and the Company’s decision to cease use of its office and laboratory space at 65 Grove Street, Watertown, Massachusetts, the Company assessed the right-of-use assets and related furniture and fixtures associated with the Watertown Lease Agreement and Watertown Lease Agreement Amendment</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for impairment. The carrying value of each asset group was compared against the future net undiscounted cash flows projected to be generated over the remaining lease terms. These projections included management's estimates of cash inflows from potential sublease income. The carrying amount of the asset groups was found to be unrecoverable, thus the Company assessed the fair value of each asset group. The fair value was determined using the income approach, whereby the Company discounted the estimated net cash flows using a rate commensurate with the Company’s estimated incremental borrowing rate. As a result of this assessment, which included unrecoverable operating and maintenance costs, the Company determined that each asset group was fully impaired. As such, an impairment charge of $7.6 million was recognized during the year ended December 31, 2024, $7.4 million of which related to the right-of-use assets and $0.2 million related to property and equipment.</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704 Quince Orchard Road Leases</w:t>
      </w:r>
    </w:p>
    <w:p>
      <w:pPr>
        <w:spacing w:after="0" w:line="8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Rent expense for the years ended December 31, 2024 and 2023 was $5.5 million, $3.8 million, respectively.</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the years ended December 31, 2024 and 2023, the components of lease costs were as follows (in thousands):</w:t>
      </w:r>
    </w:p>
    <w:p>
      <w:pPr>
        <w:spacing w:after="0" w:line="9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0"/>
          <w:szCs w:val="10"/>
          <w:b w:val="1"/>
          <w:bCs w:val="1"/>
          <w:color w:val="auto"/>
        </w:rPr>
        <w:t>Year Ended</w:t>
      </w:r>
    </w:p>
    <w:p>
      <w:pPr>
        <w:jc w:val="center"/>
        <w:ind w:left="8560"/>
        <w:spacing w:after="0" w:line="236"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0" w:type="dxa"/>
        <w:tblCellMar>
          <w:top w:w="0" w:type="dxa"/>
          <w:left w:w="0" w:type="dxa"/>
          <w:bottom w:w="0" w:type="dxa"/>
          <w:right w:w="0" w:type="dxa"/>
        </w:tblCellMar>
      </w:tblPr>
      <w:tr>
        <w:trPr>
          <w:trHeight w:val="129"/>
        </w:trPr>
        <w:tc>
          <w:tcPr>
            <w:tcW w:w="856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7"/>
        </w:trPr>
        <w:tc>
          <w:tcPr>
            <w:tcW w:w="85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Operating lease cost</w:t>
            </w:r>
          </w:p>
        </w:tc>
        <w:tc>
          <w:tcPr>
            <w:tcW w:w="9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3,856</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2,828</w:t>
            </w:r>
          </w:p>
        </w:tc>
      </w:tr>
      <w:tr>
        <w:trPr>
          <w:trHeight w:val="129"/>
        </w:trPr>
        <w:tc>
          <w:tcPr>
            <w:tcW w:w="8560" w:type="dxa"/>
            <w:vAlign w:val="bottom"/>
          </w:tcPr>
          <w:p>
            <w:pPr>
              <w:spacing w:after="0"/>
              <w:rPr>
                <w:sz w:val="20"/>
                <w:szCs w:val="20"/>
                <w:color w:val="auto"/>
              </w:rPr>
            </w:pPr>
            <w:r>
              <w:rPr>
                <w:rFonts w:ascii="Times New Roman" w:cs="Times New Roman" w:eastAsia="Times New Roman" w:hAnsi="Times New Roman"/>
                <w:sz w:val="10"/>
                <w:szCs w:val="10"/>
                <w:color w:val="auto"/>
              </w:rPr>
              <w:t>Variable lease cost</w:t>
            </w:r>
          </w:p>
        </w:tc>
        <w:tc>
          <w:tcPr>
            <w:tcW w:w="9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w:t>
            </w:r>
          </w:p>
        </w:tc>
      </w:tr>
      <w:tr>
        <w:trPr>
          <w:trHeight w:val="14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Short-term lease cost</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2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Less sublease income</w:t>
            </w:r>
          </w:p>
        </w:tc>
        <w:tc>
          <w:tcPr>
            <w:tcW w:w="9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(1,099)</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(1,172)</w:t>
            </w:r>
          </w:p>
        </w:tc>
      </w:tr>
      <w:tr>
        <w:trPr>
          <w:trHeight w:val="146"/>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lease cost</w:t>
            </w:r>
          </w:p>
        </w:tc>
        <w:tc>
          <w:tcPr>
            <w:tcW w:w="9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4,394</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2,629</w:t>
            </w: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maturity of the Company’s operating lease liabilities as of December 31, 2024 were as follows (in thousands):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8"/>
        </w:trPr>
        <w:tc>
          <w:tcPr>
            <w:tcW w:w="9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43"/>
        </w:trPr>
        <w:tc>
          <w:tcPr>
            <w:tcW w:w="99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2025</w:t>
            </w: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3,645</w:t>
            </w:r>
          </w:p>
        </w:tc>
      </w:tr>
      <w:tr>
        <w:trPr>
          <w:trHeight w:val="129"/>
        </w:trPr>
        <w:tc>
          <w:tcPr>
            <w:tcW w:w="9980" w:type="dxa"/>
            <w:vAlign w:val="bottom"/>
          </w:tcPr>
          <w:p>
            <w:pPr>
              <w:spacing w:after="0"/>
              <w:rPr>
                <w:sz w:val="20"/>
                <w:szCs w:val="20"/>
                <w:color w:val="auto"/>
              </w:rPr>
            </w:pPr>
            <w:r>
              <w:rPr>
                <w:rFonts w:ascii="Times New Roman" w:cs="Times New Roman" w:eastAsia="Times New Roman" w:hAnsi="Times New Roman"/>
                <w:sz w:val="10"/>
                <w:szCs w:val="10"/>
                <w:color w:val="auto"/>
              </w:rPr>
              <w:t>2026</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4,538</w:t>
            </w:r>
          </w:p>
        </w:tc>
      </w:tr>
      <w:tr>
        <w:trPr>
          <w:trHeight w:val="141"/>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2027</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4,345</w:t>
            </w:r>
          </w:p>
        </w:tc>
      </w:tr>
      <w:tr>
        <w:trPr>
          <w:trHeight w:val="129"/>
        </w:trPr>
        <w:tc>
          <w:tcPr>
            <w:tcW w:w="9980" w:type="dxa"/>
            <w:vAlign w:val="bottom"/>
          </w:tcPr>
          <w:p>
            <w:pPr>
              <w:spacing w:after="0"/>
              <w:rPr>
                <w:sz w:val="20"/>
                <w:szCs w:val="20"/>
                <w:color w:val="auto"/>
              </w:rPr>
            </w:pPr>
            <w:r>
              <w:rPr>
                <w:rFonts w:ascii="Times New Roman" w:cs="Times New Roman" w:eastAsia="Times New Roman" w:hAnsi="Times New Roman"/>
                <w:sz w:val="10"/>
                <w:szCs w:val="10"/>
                <w:color w:val="auto"/>
              </w:rPr>
              <w:t>2028</w:t>
            </w:r>
          </w:p>
        </w:tc>
        <w:tc>
          <w:tcPr>
            <w:tcW w:w="22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2,314</w:t>
            </w:r>
          </w:p>
        </w:tc>
      </w:tr>
      <w:tr>
        <w:trPr>
          <w:trHeight w:val="141"/>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2029</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1,409</w:t>
            </w:r>
          </w:p>
        </w:tc>
      </w:tr>
      <w:tr>
        <w:trPr>
          <w:trHeight w:val="129"/>
        </w:trPr>
        <w:tc>
          <w:tcPr>
            <w:tcW w:w="9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Thereafter</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2,188</w:t>
            </w:r>
          </w:p>
        </w:tc>
      </w:tr>
      <w:tr>
        <w:trPr>
          <w:trHeight w:val="130"/>
        </w:trPr>
        <w:tc>
          <w:tcPr>
            <w:tcW w:w="9980" w:type="dxa"/>
            <w:vAlign w:val="bottom"/>
            <w:shd w:val="clear" w:color="auto" w:fill="CCEEFF"/>
          </w:tcPr>
          <w:p>
            <w:pPr>
              <w:ind w:left="120"/>
              <w:spacing w:after="0" w:line="113" w:lineRule="exact"/>
              <w:rPr>
                <w:sz w:val="20"/>
                <w:szCs w:val="20"/>
                <w:color w:val="auto"/>
              </w:rPr>
            </w:pPr>
            <w:r>
              <w:rPr>
                <w:rFonts w:ascii="Times New Roman" w:cs="Times New Roman" w:eastAsia="Times New Roman" w:hAnsi="Times New Roman"/>
                <w:sz w:val="10"/>
                <w:szCs w:val="10"/>
                <w:color w:val="auto"/>
              </w:rPr>
              <w:t>Total future minimum lease payments</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18,439</w:t>
            </w:r>
          </w:p>
        </w:tc>
      </w:tr>
      <w:tr>
        <w:trPr>
          <w:trHeight w:val="129"/>
        </w:trPr>
        <w:tc>
          <w:tcPr>
            <w:tcW w:w="9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Less: Imputed interest</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4,455</w:t>
            </w:r>
          </w:p>
        </w:tc>
      </w:tr>
      <w:tr>
        <w:trPr>
          <w:trHeight w:val="146"/>
        </w:trPr>
        <w:tc>
          <w:tcPr>
            <w:tcW w:w="9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Total operating lease liabilities</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13,984</w:t>
            </w:r>
          </w:p>
        </w:tc>
      </w:tr>
    </w:tbl>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supplemental disclosure for the statement of cash flows related to operating leases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5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20" w:type="dxa"/>
            <w:vAlign w:val="bottom"/>
            <w:tcBorders>
              <w:bottom w:val="single" w:sz="8" w:color="auto"/>
            </w:tcBorders>
          </w:tcPr>
          <w:p>
            <w:pPr>
              <w:spacing w:after="0"/>
              <w:rPr>
                <w:sz w:val="11"/>
                <w:szCs w:val="11"/>
                <w:color w:val="auto"/>
              </w:rPr>
            </w:pPr>
          </w:p>
        </w:tc>
      </w:tr>
      <w:tr>
        <w:trPr>
          <w:trHeight w:val="128"/>
        </w:trPr>
        <w:tc>
          <w:tcPr>
            <w:tcW w:w="85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9"/>
        </w:trPr>
        <w:tc>
          <w:tcPr>
            <w:tcW w:w="85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paid for amounts included in the measurement of lease liabilities:</w:t>
            </w:r>
          </w:p>
        </w:tc>
        <w:tc>
          <w:tcPr>
            <w:tcW w:w="3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2,696</w:t>
            </w:r>
          </w:p>
        </w:tc>
      </w:tr>
    </w:tbl>
    <w:p>
      <w:pPr>
        <w:spacing w:after="0" w:line="295"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Other than the initial recording of the right-of-use assets and lease liabilities for the Frederick Lease Agreement, First Frederick Lease Agreement Amendment, and Second Frederick Lease Agreement Amendment during the year ended December 31, 2024, the impairments on the right-of-use assets for the Watertown Lease Agreement and Watertown Lease Agreement Amendment during the years ended December 31, 2024 and 2023, as applicable, and the assumption of the right-of-use assets and lease liabilities in connection with the Merger during the year ended December 31, 2023, which were non-cash, the changes in the Company’s right-of-use assets and lease liabilities for the years ended December 31, 2024 and 2023 are reflected in the non-cash lease expense and accrued expenses and other liabilities, respectively, in the consolidated statements of cash flows.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2" w:name="page103"/>
    <w:bookmarkEnd w:id="10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summarizes additional information related to the Company’s operating leases:</w:t>
      </w:r>
    </w:p>
    <w:p>
      <w:pPr>
        <w:spacing w:after="0" w:line="99" w:lineRule="exact"/>
        <w:rPr>
          <w:sz w:val="20"/>
          <w:szCs w:val="20"/>
          <w:color w:val="auto"/>
        </w:rPr>
      </w:pPr>
    </w:p>
    <w:p>
      <w:pPr>
        <w:ind w:left="9588"/>
        <w:spacing w:after="0"/>
        <w:rPr>
          <w:sz w:val="20"/>
          <w:szCs w:val="20"/>
          <w:color w:val="auto"/>
        </w:rPr>
      </w:pPr>
      <w:r>
        <w:rPr>
          <w:rFonts w:ascii="Times New Roman" w:cs="Times New Roman" w:eastAsia="Times New Roman" w:hAnsi="Times New Roman"/>
          <w:sz w:val="10"/>
          <w:szCs w:val="10"/>
          <w:b w:val="1"/>
          <w:bCs w:val="1"/>
          <w:color w:val="auto"/>
        </w:rPr>
        <w:t>December 31,</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42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9"/>
        </w:trPr>
        <w:tc>
          <w:tcPr>
            <w:tcW w:w="84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Weighted-average remaining lease term</w:t>
            </w:r>
          </w:p>
        </w:tc>
        <w:tc>
          <w:tcPr>
            <w:tcW w:w="9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 years</w:t>
            </w: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 years</w:t>
            </w:r>
          </w:p>
        </w:tc>
      </w:tr>
      <w:tr>
        <w:trPr>
          <w:trHeight w:val="123"/>
        </w:trPr>
        <w:tc>
          <w:tcPr>
            <w:tcW w:w="93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Weighted-average discount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11.7 %</w:t>
            </w:r>
          </w:p>
        </w:tc>
        <w:tc>
          <w:tcPr>
            <w:tcW w:w="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9.9 %</w:t>
            </w:r>
          </w:p>
        </w:tc>
      </w:tr>
    </w:tbl>
    <w:p>
      <w:pPr>
        <w:spacing w:after="0" w:line="3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10. Debt</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2020 Term Loan</w:t>
      </w:r>
    </w:p>
    <w:p>
      <w:pPr>
        <w:spacing w:after="0" w:line="82" w:lineRule="exact"/>
        <w:rPr>
          <w:sz w:val="20"/>
          <w:szCs w:val="20"/>
          <w:color w:val="auto"/>
        </w:rPr>
      </w:pPr>
    </w:p>
    <w:p>
      <w:pPr>
        <w:ind w:left="8" w:firstLine="216"/>
        <w:spacing w:after="0" w:line="257" w:lineRule="auto"/>
        <w:rPr>
          <w:sz w:val="20"/>
          <w:szCs w:val="20"/>
          <w:color w:val="auto"/>
        </w:rPr>
      </w:pPr>
      <w:r>
        <w:rPr>
          <w:rFonts w:ascii="Times New Roman" w:cs="Times New Roman" w:eastAsia="Times New Roman" w:hAnsi="Times New Roman"/>
          <w:sz w:val="12"/>
          <w:szCs w:val="12"/>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53" w:lineRule="exact"/>
        <w:rPr>
          <w:sz w:val="20"/>
          <w:szCs w:val="20"/>
          <w:color w:val="auto"/>
        </w:rPr>
      </w:pPr>
    </w:p>
    <w:p>
      <w:pPr>
        <w:ind w:left="8" w:right="120" w:firstLine="216"/>
        <w:spacing w:after="0" w:line="265" w:lineRule="auto"/>
        <w:rPr>
          <w:sz w:val="20"/>
          <w:szCs w:val="20"/>
          <w:color w:val="auto"/>
        </w:rPr>
      </w:pPr>
      <w:r>
        <w:rPr>
          <w:rFonts w:ascii="Times New Roman" w:cs="Times New Roman" w:eastAsia="Times New Roman" w:hAnsi="Times New Roman"/>
          <w:sz w:val="12"/>
          <w:szCs w:val="12"/>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47" w:lineRule="exact"/>
        <w:rPr>
          <w:sz w:val="20"/>
          <w:szCs w:val="20"/>
          <w:color w:val="auto"/>
        </w:rPr>
      </w:pPr>
    </w:p>
    <w:p>
      <w:pPr>
        <w:ind w:left="8" w:right="340" w:firstLine="216"/>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2023, the Company recorded a loss of $0.7 million on the extinguishment of the 2020 Term Loan, consisting of the prepayment penalty of $0.2 million and the write-off of $0.5 million of unamortized debt issuance costs and venture debt termination fee, which was included within interest expense in the consolidated statements of operations and comprehensive loss.</w:t>
      </w:r>
    </w:p>
    <w:p>
      <w:pPr>
        <w:spacing w:after="0" w:line="3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As of December 31, 2024 and 2023, the Company had no outstanding borrowings.</w:t>
      </w:r>
    </w:p>
    <w:p>
      <w:pPr>
        <w:spacing w:after="0" w:line="7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During the year ended December 31, 2024, the Company recognized no interest expense. During the year ended December 31, 2023, the Company recognized $2.1 million of interest expense related to the 2020 Term Loan.</w:t>
      </w:r>
    </w:p>
    <w:p>
      <w:pPr>
        <w:spacing w:after="0" w:line="245" w:lineRule="exact"/>
        <w:rPr>
          <w:sz w:val="20"/>
          <w:szCs w:val="20"/>
          <w:color w:val="auto"/>
        </w:rPr>
      </w:pPr>
    </w:p>
    <w:p>
      <w:pPr>
        <w:ind w:left="208" w:right="9680" w:hanging="208"/>
        <w:spacing w:after="0" w:line="379" w:lineRule="auto"/>
        <w:tabs>
          <w:tab w:leader="none" w:pos="165" w:val="left"/>
        </w:tabs>
        <w:numPr>
          <w:ilvl w:val="0"/>
          <w:numId w:val="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Convertible Preferred Stock </w:t>
      </w:r>
      <w:r>
        <w:rPr>
          <w:rFonts w:ascii="Times New Roman" w:cs="Times New Roman" w:eastAsia="Times New Roman" w:hAnsi="Times New Roman"/>
          <w:sz w:val="12"/>
          <w:szCs w:val="12"/>
          <w:i w:val="1"/>
          <w:iCs w:val="1"/>
          <w:color w:val="auto"/>
        </w:rPr>
        <w:t>Series B Preferred Stock</w:t>
      </w:r>
    </w:p>
    <w:p>
      <w:pPr>
        <w:ind w:left="8" w:right="460" w:firstLine="216"/>
        <w:spacing w:after="0" w:line="279" w:lineRule="auto"/>
        <w:rPr>
          <w:sz w:val="20"/>
          <w:szCs w:val="20"/>
          <w:color w:val="auto"/>
        </w:rPr>
      </w:pPr>
      <w:r>
        <w:rPr>
          <w:rFonts w:ascii="Times New Roman" w:cs="Times New Roman" w:eastAsia="Times New Roman" w:hAnsi="Times New Roman"/>
          <w:sz w:val="12"/>
          <w:szCs w:val="12"/>
          <w:color w:val="auto"/>
        </w:rPr>
        <w:t>The Certificate of Designation of Preferences, Rights, and Limitations of the Series B Non-Voting Convertible Preferred Stock, or the Series B Certificate of Designation, was filed with the Secretary of State of the State of Delaware on July 2, 2024, and provided for the designation of shares of Series B Preferred Stock and authorized the issuance of 2,937,903 shares of Series B Preferred Stock.</w:t>
      </w:r>
    </w:p>
    <w:p>
      <w:pPr>
        <w:spacing w:after="0" w:line="39" w:lineRule="exact"/>
        <w:rPr>
          <w:sz w:val="20"/>
          <w:szCs w:val="20"/>
          <w:color w:val="auto"/>
        </w:rPr>
      </w:pPr>
    </w:p>
    <w:p>
      <w:pPr>
        <w:ind w:left="8" w:right="20" w:firstLine="216"/>
        <w:spacing w:after="0" w:line="290" w:lineRule="auto"/>
        <w:rPr>
          <w:sz w:val="20"/>
          <w:szCs w:val="20"/>
          <w:color w:val="auto"/>
        </w:rPr>
      </w:pPr>
      <w:r>
        <w:rPr>
          <w:rFonts w:ascii="Times New Roman" w:cs="Times New Roman" w:eastAsia="Times New Roman" w:hAnsi="Times New Roman"/>
          <w:sz w:val="11"/>
          <w:szCs w:val="11"/>
          <w:color w:val="auto"/>
        </w:rPr>
        <w:t>Additionally, on July 2, 2024, the Company entered into the 2024 Securities Purchase Agreement with certain institutional and accredited investors, or the Purchasers. The Purchasers included (i) Dr. Timothy A. Springer, a member of the Company’s Board of Directors; (ii) TAS Partners LLC, an affiliate of Dr. Springer, and (iii) Dr. Chafen Lu, Dr. Springer’s wife. Pursuant to the 2024 Securities Purchase Agreement, the Company agreed to issue and sell an aggregate of 3,563,247 shares of common stock and 2,937,903 shares of Series B Preferred Stock for an aggregate purchase price of $130.0 million in the 2024 Private Placement. Each share of Series B Preferred Stock is convertible</w:t>
      </w:r>
    </w:p>
    <w:p>
      <w:pPr>
        <w:ind w:left="8" w:right="20"/>
        <w:spacing w:after="0" w:line="295" w:lineRule="auto"/>
        <w:rPr>
          <w:sz w:val="20"/>
          <w:szCs w:val="20"/>
          <w:color w:val="auto"/>
        </w:rPr>
      </w:pPr>
      <w:r>
        <w:rPr>
          <w:rFonts w:ascii="Times New Roman" w:cs="Times New Roman" w:eastAsia="Times New Roman" w:hAnsi="Times New Roman"/>
          <w:sz w:val="12"/>
          <w:szCs w:val="12"/>
          <w:color w:val="auto"/>
        </w:rPr>
        <w:t>into one share of the Company’s common stock subject to stockholder approval of a proposal to issue such shares of common stock upon conversion of such shares of Series B Preferred Stock in accordance with the Listing Rules of the Nasdaq Stock Market LLC, or the Series B Conversion Proposal.</w:t>
      </w:r>
    </w:p>
    <w:p>
      <w:pPr>
        <w:spacing w:after="0" w:line="30" w:lineRule="exact"/>
        <w:rPr>
          <w:sz w:val="20"/>
          <w:szCs w:val="20"/>
          <w:color w:val="auto"/>
        </w:rPr>
      </w:pPr>
    </w:p>
    <w:p>
      <w:pPr>
        <w:ind w:left="8" w:right="80" w:firstLine="216"/>
        <w:spacing w:after="0" w:line="265" w:lineRule="auto"/>
        <w:rPr>
          <w:sz w:val="20"/>
          <w:szCs w:val="20"/>
          <w:color w:val="auto"/>
        </w:rPr>
      </w:pPr>
      <w:r>
        <w:rPr>
          <w:rFonts w:ascii="Times New Roman" w:cs="Times New Roman" w:eastAsia="Times New Roman" w:hAnsi="Times New Roman"/>
          <w:sz w:val="12"/>
          <w:szCs w:val="12"/>
          <w:color w:val="auto"/>
        </w:rPr>
        <w:t>Under the 2024 Securities Purchase Agreement, the Company issued 3,563,247 shares of common stock and 578,403 shares of Series B Preferred Stock for an aggregate purchase price of $82.8 million to the Purchasers other than Dr. Springer, TAS Partners LLC, and Dr. Lu. The Company also issued (i) 1,636,832 shares of Series B Preferred Stock to Dr. Springer, (ii) 721,361 shares of Series B Preferred Stock to TAS Partners LLC, and (iii) 1,307 shares of Series B Preferred Stock to Dr. Lu for an aggregate purchase price of $47.2 million.</w:t>
      </w:r>
    </w:p>
    <w:p>
      <w:pPr>
        <w:spacing w:after="0" w:line="47" w:lineRule="exact"/>
        <w:rPr>
          <w:sz w:val="20"/>
          <w:szCs w:val="20"/>
          <w:color w:val="auto"/>
        </w:rPr>
      </w:pPr>
    </w:p>
    <w:p>
      <w:pPr>
        <w:ind w:left="8" w:right="280" w:firstLine="216"/>
        <w:spacing w:after="0" w:line="279" w:lineRule="auto"/>
        <w:rPr>
          <w:sz w:val="20"/>
          <w:szCs w:val="20"/>
          <w:color w:val="auto"/>
        </w:rPr>
      </w:pPr>
      <w:r>
        <w:rPr>
          <w:rFonts w:ascii="Times New Roman" w:cs="Times New Roman" w:eastAsia="Times New Roman" w:hAnsi="Times New Roman"/>
          <w:sz w:val="12"/>
          <w:szCs w:val="12"/>
          <w:color w:val="auto"/>
        </w:rPr>
        <w:t>Pursuant to the 2024 Securities Purchase Agreement, the Company agreed to submit to its stockholders the approval of the Series B Conversion Proposal, at a special meeting of stockholders, which was held on September 20, 2024. On September 20, 2024, at such special meeting, the Company’s stockholders approved the Series B Conversion Proposal, among other matters.</w:t>
      </w:r>
    </w:p>
    <w:p>
      <w:pPr>
        <w:spacing w:after="0" w:line="3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On September 25, 2024, pursuant to the terms of the Series B Certificate of Designation, 2,499,976 shares of Series B Preferred Stock automatically converted into 2,499,976 shares of common stock; 437,927 shares of Series B Preferred Stock did not automatically convert at such time due to beneficial ownership limitations.</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Series B Preferred Stock were classified in permanent equity as there were no conditions that could have required cash redemption of the shares.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Series B Preferred Stock has the following rights and preferences:</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Conversion</w:t>
      </w:r>
    </w:p>
    <w:p>
      <w:pPr>
        <w:spacing w:after="0" w:line="80"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Prior to the stockholder approval of the Series B Conversion Proposal the Series B Preferred Stock were not convertible into shares of common stock. Following the stockholder approval of the Series B Conversion Proposal, each share of Series B Preferred Stock automatically converted into one share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0.0% and 19.9%) of the total number of shares of common stock issued and outstanding immediately after giving effect to such conversion; provided, however, that such beneficial ownership limitation does not apply to Dr. Springer, TAS Partners LLC, or any of their respective affiliates.</w:t>
      </w:r>
    </w:p>
    <w:p>
      <w:pPr>
        <w:spacing w:after="0" w:line="53"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Each share of Series B Preferred Stock outstanding that was not automatically converted into common stock as a result of the stockholder approval of the Series B Conversion Proposal shall be convertible at any time at the option of the holder following stockholder approval of the Series B Conversion Proposal, only to the extent the beneficial ownership limitation does not apply to the shares of Series B Preferred Stock to be converted.</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Redemption</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Series B Preferred Stock is not redeemable.</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8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Holders of Series B Preferred Stock are entitled to receive dividends on shares of Series B Preferred Stock on an as-converted basis (without regard to the beneficial ownership limitation) equal to the dividends paid on shares of the common stock.</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Voting</w:t>
      </w:r>
    </w:p>
    <w:p>
      <w:pPr>
        <w:spacing w:after="0" w:line="80"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Except as otherwise required by law, the Series B Preferred Stock does not have voting rights. However, as long as any shares of Series B Preferred Stock are outstanding, the Company will not, without the affirmative vote of the holders of a majority of the then-outstanding shares of the Series B Preferred Stock, (a) alter or change adversely the powers, preferences or rights given to the Series B Preferred Stock, (b) alter or amend the Series B Certificate of Designation, or (c) amend the Charter or other organizational documents in any manner that alters or changes the preferences, rights, privileges, or powers of, or restrictions provided for the benefit of the holders of Series B Preferred Stock.</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Liquidation</w:t>
      </w:r>
    </w:p>
    <w:p>
      <w:pPr>
        <w:spacing w:after="0" w:line="80"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holders of Series B Preferred Stock shall rank on parity with the holders of common stock and the holders of Series A Preferred Stock as to distributions of assets upon liquidation, dissolution or winding up of the Company, whether voluntarily or involuntarily.</w:t>
      </w:r>
    </w:p>
    <w:p>
      <w:pPr>
        <w:spacing w:after="0" w:line="3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Upon any liquidation, dissolution or winding-up of the Company, whether voluntary or involuntary, each holder of Series B Preferred Stock shall be entitled to receive out of the assets of the Company, whether capital or surplus, the same amount that a holder of common stock would receive if the Series B Preferred Stock were fully converted, which shall be paid pari passu with holders of common stock and holders of Series A Preferred Stock, plus an amount equal to any dividends declared but unpaid. If the assets available for distribution are not sufficient to pay the holders of the Series B Preferred Stock pursuant to the preceding sentence, all remaining assets will be distributed ratably to the holders of the Series A Preferred Stock, Series B Preferred Stock and common stock.</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Series A Preferred Stock</w:t>
      </w:r>
    </w:p>
    <w:p>
      <w:pPr>
        <w:spacing w:after="0" w:line="71" w:lineRule="exact"/>
        <w:rPr>
          <w:sz w:val="20"/>
          <w:szCs w:val="20"/>
          <w:color w:val="auto"/>
        </w:rPr>
      </w:pPr>
    </w:p>
    <w:p>
      <w:pPr>
        <w:ind w:right="140" w:firstLine="216"/>
        <w:spacing w:after="0" w:line="264" w:lineRule="auto"/>
        <w:rPr>
          <w:sz w:val="20"/>
          <w:szCs w:val="20"/>
          <w:color w:val="auto"/>
        </w:rPr>
      </w:pPr>
      <w:r>
        <w:rPr>
          <w:rFonts w:ascii="Times New Roman" w:cs="Times New Roman" w:eastAsia="Times New Roman" w:hAnsi="Times New Roman"/>
          <w:sz w:val="12"/>
          <w:szCs w:val="12"/>
          <w:color w:val="auto"/>
        </w:rPr>
        <w:t>The Certificate of Designation of Preferences, Rights, and Limitations of the Series A Non-Voting Convertible Preferred Stock, or the Series A Certificate of Designation, was filed on November 13, 2023, which provided for the designation of shares of the Series A Preferred Stock and authorized the issuance of 548,375 shares of Series A Preferred Stock.</w:t>
      </w:r>
    </w:p>
    <w:p>
      <w:pPr>
        <w:spacing w:after="0" w:line="47"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Additionally on November 13, 2023, the Company entered into the 2023 Securities Purchase Agreement with (i) 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 Board of Directors effective immediately after the effective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time of the Merger, or the Investors. Pursuant to the 2023 Securities Purchase Agreement, the Company agreed to issue and sell an aggregate of 149,330.115 shares of Series A Preferred Stock for an aggregate purchase price of $60.25 million in the 2023 Private Placement.</w:t>
      </w:r>
    </w:p>
    <w:p>
      <w:pPr>
        <w:spacing w:after="0" w:line="39"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In the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44" w:lineRule="exact"/>
        <w:rPr>
          <w:sz w:val="20"/>
          <w:szCs w:val="20"/>
          <w:color w:val="auto"/>
        </w:rPr>
      </w:pPr>
    </w:p>
    <w:p>
      <w:pPr>
        <w:ind w:right="60" w:firstLine="216"/>
        <w:spacing w:after="0" w:line="249" w:lineRule="auto"/>
        <w:rPr>
          <w:sz w:val="20"/>
          <w:szCs w:val="20"/>
          <w:color w:val="auto"/>
        </w:rPr>
      </w:pPr>
      <w:r>
        <w:rPr>
          <w:rFonts w:ascii="Times New Roman" w:cs="Times New Roman" w:eastAsia="Times New Roman" w:hAnsi="Times New Roman"/>
          <w:sz w:val="12"/>
          <w:szCs w:val="12"/>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6).</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December 5, 2023, the Company issued 384,930.724 shares of Series A Preferred Stock as part of its consideration transferred in connection with the Merger which settled the related forward contract liability (see Note 6).</w:t>
      </w:r>
    </w:p>
    <w:p>
      <w:pPr>
        <w:spacing w:after="0" w:line="69" w:lineRule="exact"/>
        <w:rPr>
          <w:sz w:val="20"/>
          <w:szCs w:val="20"/>
          <w:color w:val="auto"/>
        </w:rPr>
      </w:pPr>
    </w:p>
    <w:p>
      <w:pPr>
        <w:ind w:right="280" w:firstLine="216"/>
        <w:spacing w:after="0" w:line="264" w:lineRule="auto"/>
        <w:rPr>
          <w:sz w:val="20"/>
          <w:szCs w:val="20"/>
          <w:color w:val="auto"/>
        </w:rPr>
      </w:pPr>
      <w:r>
        <w:rPr>
          <w:rFonts w:ascii="Times New Roman" w:cs="Times New Roman" w:eastAsia="Times New Roman" w:hAnsi="Times New Roman"/>
          <w:sz w:val="12"/>
          <w:szCs w:val="12"/>
          <w:color w:val="auto"/>
        </w:rPr>
        <w:t>On March 26, 2024, the Company, with the consent of the requisite holders of Series A Preferred Stock, amended the Series A Certificate of Designation such that the automatic conversion of the Series A Preferred Stock into common stock, or the Automatic Conversion, would occur eight business days following stockholder approval of the Conversion Proposal.</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March 27, 2024, the Company’s stockholders approved the Conversion Proposal, among other matters, at the Special Meeting.</w:t>
      </w:r>
    </w:p>
    <w:p>
      <w:pPr>
        <w:spacing w:after="0" w:line="78"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On April 8, 2024, pursuant to the terms of the Series A Certificate of Designation, as amended, 367,919.247 shares of Series A Preferred Stock automatically converted into 12,263,951 shares of common stock, including the non-cash reclassification of an amount equal to the increase in par value of common stock from additional paid-in capital; 166,341.592 shares of Series A Preferred Stock did not automatically convert at such time due to beneficial ownership limitations.</w:t>
      </w:r>
    </w:p>
    <w:p>
      <w:pPr>
        <w:spacing w:after="0" w:line="38" w:lineRule="exact"/>
        <w:rPr>
          <w:sz w:val="20"/>
          <w:szCs w:val="20"/>
          <w:color w:val="auto"/>
        </w:rPr>
      </w:pPr>
    </w:p>
    <w:p>
      <w:pPr>
        <w:ind w:right="240" w:firstLine="216"/>
        <w:spacing w:after="0" w:line="264" w:lineRule="auto"/>
        <w:rPr>
          <w:sz w:val="20"/>
          <w:szCs w:val="20"/>
          <w:color w:val="auto"/>
        </w:rPr>
      </w:pPr>
      <w:r>
        <w:rPr>
          <w:rFonts w:ascii="Times New Roman" w:cs="Times New Roman" w:eastAsia="Times New Roman" w:hAnsi="Times New Roman"/>
          <w:sz w:val="12"/>
          <w:szCs w:val="12"/>
          <w:color w:val="auto"/>
        </w:rPr>
        <w:t>On October 11, 2024, pursuant to a Notice of Optional Conversion delivered to the Company by a holder of Series A Preferred Stock pursuant to the Series A Certificate of Designation, 45,551.190 shares of Series A Preferred Stock held by such holder were converted into 1,518,373 newly issued shares of common stock.</w:t>
      </w:r>
    </w:p>
    <w:p>
      <w:pPr>
        <w:spacing w:after="0" w:line="27" w:lineRule="exact"/>
        <w:rPr>
          <w:sz w:val="20"/>
          <w:szCs w:val="20"/>
          <w:color w:val="auto"/>
        </w:rPr>
      </w:pPr>
    </w:p>
    <w:p>
      <w:pPr>
        <w:ind w:firstLine="216"/>
        <w:spacing w:after="0" w:line="243" w:lineRule="auto"/>
        <w:rPr>
          <w:sz w:val="20"/>
          <w:szCs w:val="20"/>
          <w:color w:val="auto"/>
        </w:rPr>
      </w:pPr>
      <w:r>
        <w:rPr>
          <w:rFonts w:ascii="Times New Roman" w:cs="Times New Roman" w:eastAsia="Times New Roman" w:hAnsi="Times New Roman"/>
          <w:sz w:val="12"/>
          <w:szCs w:val="12"/>
          <w:color w:val="auto"/>
        </w:rPr>
        <w:t xml:space="preserve">In accordance with the guidance in ASC Topic 480, </w:t>
      </w:r>
      <w:r>
        <w:rPr>
          <w:rFonts w:ascii="Times New Roman" w:cs="Times New Roman" w:eastAsia="Times New Roman" w:hAnsi="Times New Roman"/>
          <w:sz w:val="12"/>
          <w:szCs w:val="12"/>
          <w:i w:val="1"/>
          <w:iCs w:val="1"/>
          <w:color w:val="auto"/>
        </w:rPr>
        <w:t>Distinguishing Liabilities from Equity (ASC 480)</w:t>
      </w:r>
      <w:r>
        <w:rPr>
          <w:rFonts w:ascii="Times New Roman" w:cs="Times New Roman" w:eastAsia="Times New Roman" w:hAnsi="Times New Roman"/>
          <w:sz w:val="12"/>
          <w:szCs w:val="12"/>
          <w:color w:val="auto"/>
        </w:rPr>
        <w:t xml:space="preserve"> the Series A Preferred Stock was classified outside of stockholders’ deficit upon issuance and as of December 31, 2023 because the shares of Series A Preferred Stock contained redemption features that were not solely within the control of the Company. The Series A Preferred Stock was not currently redeemable, nor was it probable that the instrument would become redeemable, as it was only redeemable upon the occurrence of a contingent event. Accordingly, no accretion was recognized for the Series A Preferred Stock. As a result of the approval of the Conversion Proposal, all conditions that could have required cash redemption of the Series A Preferred Stock were removed. Since the Series A Preferred Stock was no longer redeemable, the associated balances of the Series A Preferred Stock were reclassified to permanent equity during the first quarter of 2024.</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Series A Preferred Stock has the following rights and preferences:</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Conversion</w:t>
      </w:r>
    </w:p>
    <w:p>
      <w:pPr>
        <w:spacing w:after="0" w:line="80" w:lineRule="exact"/>
        <w:rPr>
          <w:sz w:val="20"/>
          <w:szCs w:val="20"/>
          <w:color w:val="auto"/>
        </w:rPr>
      </w:pPr>
    </w:p>
    <w:p>
      <w:pPr>
        <w:ind w:right="40" w:firstLine="216"/>
        <w:spacing w:after="0" w:line="291" w:lineRule="auto"/>
        <w:rPr>
          <w:sz w:val="20"/>
          <w:szCs w:val="20"/>
          <w:color w:val="auto"/>
        </w:rPr>
      </w:pPr>
      <w:r>
        <w:rPr>
          <w:rFonts w:ascii="Times New Roman" w:cs="Times New Roman" w:eastAsia="Times New Roman" w:hAnsi="Times New Roman"/>
          <w:sz w:val="11"/>
          <w:szCs w:val="11"/>
          <w:color w:val="auto"/>
        </w:rPr>
        <w:t>Prior to the stockholder approval of the Conversion Proposal, the Series A Preferred Shares were not convertible. Following the stockholder approval of the Conversion Proposal, each share of Series A Preferred Stock automatically converted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w:t>
      </w:r>
    </w:p>
    <w:p>
      <w:pPr>
        <w:spacing w:after="0" w:line="35"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Each share of Series A Preferred Stock outstanding that was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Redemption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85" w:lineRule="exact"/>
        <w:rPr>
          <w:sz w:val="20"/>
          <w:szCs w:val="20"/>
          <w:color w:val="auto"/>
        </w:rPr>
      </w:pPr>
    </w:p>
    <w:p>
      <w:pPr>
        <w:ind w:right="60" w:firstLine="216"/>
        <w:spacing w:after="0" w:line="244" w:lineRule="auto"/>
        <w:rPr>
          <w:sz w:val="20"/>
          <w:szCs w:val="20"/>
          <w:color w:val="auto"/>
        </w:rPr>
      </w:pPr>
      <w:r>
        <w:rPr>
          <w:rFonts w:ascii="Times New Roman" w:cs="Times New Roman" w:eastAsia="Times New Roman" w:hAnsi="Times New Roman"/>
          <w:sz w:val="12"/>
          <w:szCs w:val="12"/>
          <w:color w:val="auto"/>
        </w:rPr>
        <w:t>Prior to the stockholder approval of the Conversion Proposal, each share of Series A Preferred Stock was redeemable at the option of the holder at any time following the date that was 18 months after the initial issuance date of the Series A Preferred Stock, other than any shares of Series A Preferred Stock that would not have been convertible into shares of common stock as a result of the beneficial ownership limitation referred to above. The amount payable upon redemption would have been equal to the average closing sale price of the common stock listed over the ten consecutive trading days ending on, and including, the day immediately prior to the redemption date multiplied by the number of shares of common stock the Series A Preferred Stock would have been convertible into. Following the Conversion Proposal, the Series A Preferred Stock is not redeemable.</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80"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Holders of Series A Preferred Stock are entitled to receive dividends on shares of Series A Preferred Stock on an as-converted basis equal to the dividends paid on shares of the common stock; provided, however, that holders of Series A Preferred Stock (or any shares of common stock into which the Series A Preferred Stock are convertible) are not entitled to any CVRs or any amounts paid under the CVR Agreement.</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Voting</w:t>
      </w:r>
    </w:p>
    <w:p>
      <w:pPr>
        <w:spacing w:after="0" w:line="80"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 (b) alter or amend the Series A Certificate of Designation, (c) amend the Charter or other organizational documents in any manner that adversely affects any rights of the holders of Series A Preferred Stock, (d) issue further shares of Series A Preferred Stock (other than in connection with the exercise of the stock options to purchase Series A Preferred Stock)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Liquidation</w:t>
      </w:r>
    </w:p>
    <w:p>
      <w:pPr>
        <w:spacing w:after="0" w:line="71" w:lineRule="exact"/>
        <w:rPr>
          <w:sz w:val="20"/>
          <w:szCs w:val="20"/>
          <w:color w:val="auto"/>
        </w:rPr>
      </w:pPr>
    </w:p>
    <w:p>
      <w:pPr>
        <w:ind w:right="340" w:firstLine="216"/>
        <w:spacing w:after="0" w:line="264" w:lineRule="auto"/>
        <w:rPr>
          <w:sz w:val="20"/>
          <w:szCs w:val="20"/>
          <w:color w:val="auto"/>
        </w:rPr>
      </w:pPr>
      <w:r>
        <w:rPr>
          <w:rFonts w:ascii="Times New Roman" w:cs="Times New Roman" w:eastAsia="Times New Roman" w:hAnsi="Times New Roman"/>
          <w:sz w:val="12"/>
          <w:szCs w:val="12"/>
          <w:color w:val="auto"/>
        </w:rPr>
        <w:t>The holders of Series A Preferred Stock shall rank on parity with the common stockholders and the holders of Series B Preferred Stock as to distributions of assets upon liquidation, dissolution or winding up of the Company, whether voluntarily or involuntarily.</w:t>
      </w:r>
    </w:p>
    <w:p>
      <w:pPr>
        <w:spacing w:after="0" w:line="47"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Upon any liquidation, dissolution or winding-up of the Company, whether voluntary or involuntary each holder of Series A Preferred Stock shall be entitled to receive out the assets of the Company equal to of the same amount that a holder of common stock would receive if the Series A Preferred Stock were fully converted, which shall be paid pari passu with holders of common stock and holders of Series B Preferred Stock, plus an amount equal to any dividends declared but unpaid. If the assets available for distribution are not sufficient to pay the holders of the Series A Preferred Stock pursuant to the preceding sentence, the assets will be distributed ratably to the holders of the Series A Preferred Stock, Series B Preferred Stock and common stock.</w:t>
      </w:r>
    </w:p>
    <w:p>
      <w:pPr>
        <w:spacing w:after="0" w:line="50"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had 120,790.402 shares of Series A Preferred Stock and 437,927 shares of Series B Preferred Stock issued and outstanding, respectively, which are convertible into a total of 4,464,273 shares of common stock.</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Equity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Financings</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2024 Private Placement</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July 2, 2024, the Company and the Purchasers entered into the 2024 Securities Purchase Agreement for the 2024 Private Placement.</w:t>
      </w:r>
    </w:p>
    <w:p>
      <w:pPr>
        <w:spacing w:after="0" w:line="60"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12"/>
          <w:szCs w:val="12"/>
          <w:color w:val="auto"/>
        </w:rPr>
        <w:t>Pursuant to the 2024 Securities Purchase Agreement, the Purchasers agreed to purchase an aggregate of 3,563,247 shares of common stock and 2,937,903 shares of Series B Preferred Stock, inclusive of 2,359,500 shares of Series B Preferred Stock purchased by directors and executive officers of the Company, and related parties thereto, each at a price per share of $20.00. The 2024 Private Placement resulted in gross proceeds of approximately $130.0 million before deducting placement agent fees and other offering expenses. See Note 11.</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Merger</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December 5, 2023, the Company issued 224,099 shares of common stock as part of its consideration transferred in connection with the Merger which settled the related equity-classified forward contract (see Note 4).</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Underwritten Offering</w:t>
      </w:r>
    </w:p>
    <w:p>
      <w:pPr>
        <w:spacing w:after="0" w:line="80"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On April 6, 2022, the Company entered into an underwriting agreement with SVB Securities LLC (now known as Leerink Partners LLC), as representative of the several underwriters named therein, relating to an underwritten offering of 914,285 shares of the Company’s common stock and 2022 Warrants to purchase up to 685,712 shares of common stock, or the 2022 Offering. Each share and accompanying 2022 Warrant to purchase 0.75 shares of common stock was sold at a combined offering price of $42.30. The exercise price for the 2022 Warrants is $46.50 per share. The Company received net proceeds from the 2022 Offering of approximately $36.9 million.</w:t>
      </w:r>
    </w:p>
    <w:p>
      <w:pPr>
        <w:spacing w:after="0" w:line="47"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“At-the-Market” Offerings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2024 Sales Agreement</w:t>
      </w:r>
    </w:p>
    <w:p>
      <w:pPr>
        <w:spacing w:after="0" w:line="80"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On December 13, 2024, the Company entered into a Sales Agreement, or the 2024 Sales Agreement, with Leerink Partners to sell shares of the Company’s common stock, from time to time, through an “at the market” equity offering program under which Leerink Partners will act as sales agent. The shares of common stock sold pursuant to the 2024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2021 Sales Agreement</w:t>
      </w:r>
    </w:p>
    <w:p>
      <w:pPr>
        <w:spacing w:after="0" w:line="8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 During the years ended December 31, 2024 and 2023, the Company sold no shares of its common stock pursuant to the 2021 Sales Agreement. The 2024 Sales Agreement supersedes the 2021 Sales Agreement, which is no longer in effect.</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June 2020 Sobi Stock Purchase</w:t>
      </w:r>
    </w:p>
    <w:p>
      <w:pPr>
        <w:spacing w:after="0" w:line="80"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On June 11, 2020, the Company entered into a stock purchase agreement with Sobi, pursuant to which the Company sold an aggregate of 180,546 shares of its common stock at a purchase price equal to $138.4680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47"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14 for details.</w:t>
      </w:r>
    </w:p>
    <w:p>
      <w:pPr>
        <w:spacing w:after="0" w:line="3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Also on June 11, 2020, the Company entered into a registration rights agreement, as amended by that certain letter agreement, dated as of November 4, 2020, or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business days after the SEC informs the Company that no review of such resale registration statement will be made or that the SEC has no further comments on such resale registration statement.</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December 2019 Financing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4" w:lineRule="exact"/>
        <w:rPr>
          <w:sz w:val="20"/>
          <w:szCs w:val="20"/>
          <w:color w:val="auto"/>
        </w:rPr>
      </w:pPr>
    </w:p>
    <w:p>
      <w:pPr>
        <w:ind w:right="20" w:firstLine="216"/>
        <w:spacing w:after="0" w:line="244" w:lineRule="auto"/>
        <w:rPr>
          <w:sz w:val="20"/>
          <w:szCs w:val="20"/>
          <w:color w:val="auto"/>
        </w:rPr>
      </w:pPr>
      <w:r>
        <w:rPr>
          <w:rFonts w:ascii="Times New Roman" w:cs="Times New Roman" w:eastAsia="Times New Roman" w:hAnsi="Times New Roman"/>
          <w:sz w:val="12"/>
          <w:szCs w:val="12"/>
          <w:color w:val="auto"/>
        </w:rPr>
        <w:t>On December 18, 2019, the Company entered into a securities purchase agreement, or the 2019 Securities Purchase Agreement, with a group of institutional investors and certain members of the Board of Directors. Pursuant to the 2019 Securities Purchase Agreement, the Company sold an aggregate of 1,254,496 shares of its common stock at a purchase price of $43.80 per share, warrants to purchase an aggregate of 766,275 shares of common stock at a purchase price of $3.75 per share underlying each common warrant, and pre-funded warrants to purchase an aggregate of 278,070 shares of common stock at a purchase price of $43.80 per share, all with five year terms, or the 2019 Private Placement. The closing of the 2019 Private Placement occurred on December 23, 2019. The exercise price of the pre-funded warrants is $0.003 per share and the exercise price for the common warrants is $43.80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53"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Company recorded the fair value of the 2019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discussed in Note 6, the Company remeasured the Amended 2019 Warrants at the fair value of $0.8 million on December 20, 2022 and reclassified this amount to additional paid-in capital.</w:t>
      </w:r>
    </w:p>
    <w:p>
      <w:pPr>
        <w:spacing w:after="0" w:line="78"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The outstanding 2019 Warrants expired on December 23, 2024 in accordance with their terms. The remaining 2022 Warrants liability was revalued as of December 31, 2024 at $3.8 million. During the years ended December 31, 2024 and 2023, the Company recorded a decrease of $2.6 million and $12.7 million, respectively, in the fair value of the warrants in the consolidated statements of operations and comprehensive loss.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is a summary of warrant activity for the years ended December 31, 2024 and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7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Number of Warrants</w:t>
            </w: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5740" w:type="dxa"/>
            <w:vAlign w:val="bottom"/>
          </w:tcPr>
          <w:p>
            <w:pPr>
              <w:spacing w:after="0"/>
              <w:rPr>
                <w:sz w:val="7"/>
                <w:szCs w:val="7"/>
                <w:color w:val="auto"/>
              </w:rPr>
            </w:pPr>
          </w:p>
        </w:tc>
        <w:tc>
          <w:tcPr>
            <w:tcW w:w="920" w:type="dxa"/>
            <w:vAlign w:val="bottom"/>
          </w:tcPr>
          <w:p>
            <w:pPr>
              <w:jc w:val="center"/>
              <w:ind w:left="352"/>
              <w:spacing w:after="0" w:line="92" w:lineRule="exact"/>
              <w:rPr>
                <w:sz w:val="20"/>
                <w:szCs w:val="20"/>
                <w:color w:val="auto"/>
              </w:rPr>
            </w:pPr>
            <w:r>
              <w:rPr>
                <w:rFonts w:ascii="Times New Roman" w:cs="Times New Roman" w:eastAsia="Times New Roman" w:hAnsi="Times New Roman"/>
                <w:sz w:val="10"/>
                <w:szCs w:val="10"/>
                <w:b w:val="1"/>
                <w:bCs w:val="1"/>
                <w:color w:val="auto"/>
                <w:w w:val="96"/>
              </w:rPr>
              <w:t>Equity</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Liability classified</w:t>
            </w:r>
          </w:p>
        </w:tc>
        <w:tc>
          <w:tcPr>
            <w:tcW w:w="14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80" w:type="dxa"/>
            <w:vAlign w:val="bottom"/>
          </w:tcPr>
          <w:p>
            <w:pPr>
              <w:spacing w:after="0"/>
              <w:rPr>
                <w:sz w:val="7"/>
                <w:szCs w:val="7"/>
                <w:color w:val="auto"/>
              </w:rPr>
            </w:pPr>
          </w:p>
        </w:tc>
        <w:tc>
          <w:tcPr>
            <w:tcW w:w="1140" w:type="dxa"/>
            <w:vAlign w:val="bottom"/>
          </w:tcPr>
          <w:p>
            <w:pPr>
              <w:jc w:val="right"/>
              <w:ind w:right="252"/>
              <w:spacing w:after="0" w:line="92" w:lineRule="exact"/>
              <w:rPr>
                <w:sz w:val="20"/>
                <w:szCs w:val="20"/>
                <w:color w:val="auto"/>
              </w:rPr>
            </w:pPr>
            <w:r>
              <w:rPr>
                <w:rFonts w:ascii="Times New Roman" w:cs="Times New Roman" w:eastAsia="Times New Roman" w:hAnsi="Times New Roman"/>
                <w:sz w:val="10"/>
                <w:szCs w:val="10"/>
                <w:b w:val="1"/>
                <w:bCs w:val="1"/>
                <w:color w:val="auto"/>
              </w:rPr>
              <w:t>Weighted average</w:t>
            </w: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92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7"/>
              </w:rPr>
              <w:t>classified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0" w:type="dxa"/>
            <w:vAlign w:val="bottom"/>
          </w:tcPr>
          <w:p>
            <w:pPr>
              <w:spacing w:after="0"/>
              <w:rPr>
                <w:sz w:val="1"/>
                <w:szCs w:val="1"/>
                <w:color w:val="auto"/>
              </w:rPr>
            </w:pPr>
          </w:p>
        </w:tc>
      </w:tr>
      <w:tr>
        <w:trPr>
          <w:trHeight w:val="128"/>
        </w:trPr>
        <w:tc>
          <w:tcPr>
            <w:tcW w:w="574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Outstanding at December 31, 2022</w:t>
            </w:r>
          </w:p>
        </w:tc>
        <w:tc>
          <w:tcPr>
            <w:tcW w:w="9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74,539</w:t>
            </w: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966,393</w:t>
            </w: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1,040,932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29"/>
        </w:trPr>
        <w:tc>
          <w:tcPr>
            <w:tcW w:w="6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Expired</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80" w:type="dxa"/>
            <w:vAlign w:val="bottom"/>
          </w:tcPr>
          <w:p>
            <w:pPr>
              <w:spacing w:after="0"/>
              <w:rPr>
                <w:sz w:val="11"/>
                <w:szCs w:val="11"/>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10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503.10</w:t>
            </w:r>
          </w:p>
        </w:tc>
        <w:tc>
          <w:tcPr>
            <w:tcW w:w="0" w:type="dxa"/>
            <w:vAlign w:val="bottom"/>
          </w:tcPr>
          <w:p>
            <w:pPr>
              <w:spacing w:after="0"/>
              <w:rPr>
                <w:sz w:val="1"/>
                <w:szCs w:val="1"/>
                <w:color w:val="auto"/>
              </w:rPr>
            </w:pPr>
          </w:p>
        </w:tc>
      </w:tr>
      <w:tr>
        <w:trPr>
          <w:trHeight w:val="130"/>
        </w:trPr>
        <w:tc>
          <w:tcPr>
            <w:tcW w:w="57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Outstanding at December 31, 2023</w:t>
            </w:r>
          </w:p>
        </w:tc>
        <w:tc>
          <w:tcPr>
            <w:tcW w:w="9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74,420</w:t>
            </w: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966,393</w:t>
            </w: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1,040,813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45.98</w:t>
            </w:r>
          </w:p>
        </w:tc>
        <w:tc>
          <w:tcPr>
            <w:tcW w:w="0" w:type="dxa"/>
            <w:vAlign w:val="bottom"/>
          </w:tcPr>
          <w:p>
            <w:pPr>
              <w:spacing w:after="0"/>
              <w:rPr>
                <w:sz w:val="1"/>
                <w:szCs w:val="1"/>
                <w:color w:val="auto"/>
              </w:rPr>
            </w:pPr>
          </w:p>
        </w:tc>
      </w:tr>
      <w:tr>
        <w:trPr>
          <w:trHeight w:val="129"/>
        </w:trPr>
        <w:tc>
          <w:tcPr>
            <w:tcW w:w="6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Exercises</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(65,681)</w:t>
            </w:r>
          </w:p>
        </w:tc>
        <w:tc>
          <w:tcPr>
            <w:tcW w:w="80" w:type="dxa"/>
            <w:vAlign w:val="bottom"/>
          </w:tcPr>
          <w:p>
            <w:pPr>
              <w:spacing w:after="0"/>
              <w:rPr>
                <w:sz w:val="11"/>
                <w:szCs w:val="11"/>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(65,681)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43.80</w:t>
            </w:r>
          </w:p>
        </w:tc>
        <w:tc>
          <w:tcPr>
            <w:tcW w:w="0" w:type="dxa"/>
            <w:vAlign w:val="bottom"/>
          </w:tcPr>
          <w:p>
            <w:pPr>
              <w:spacing w:after="0"/>
              <w:rPr>
                <w:sz w:val="1"/>
                <w:szCs w:val="1"/>
                <w:color w:val="auto"/>
              </w:rPr>
            </w:pPr>
          </w:p>
        </w:tc>
      </w:tr>
      <w:tr>
        <w:trPr>
          <w:trHeight w:val="141"/>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Expired</w:t>
            </w:r>
          </w:p>
        </w:tc>
        <w:tc>
          <w:tcPr>
            <w:tcW w:w="9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(1,928)</w:t>
            </w:r>
          </w:p>
        </w:tc>
        <w:tc>
          <w:tcPr>
            <w:tcW w:w="8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(280,681)</w:t>
            </w:r>
          </w:p>
        </w:tc>
        <w:tc>
          <w:tcPr>
            <w:tcW w:w="10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(282,609)</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44.09</w:t>
            </w:r>
          </w:p>
        </w:tc>
        <w:tc>
          <w:tcPr>
            <w:tcW w:w="0" w:type="dxa"/>
            <w:vAlign w:val="bottom"/>
          </w:tcPr>
          <w:p>
            <w:pPr>
              <w:spacing w:after="0"/>
              <w:rPr>
                <w:sz w:val="1"/>
                <w:szCs w:val="1"/>
                <w:color w:val="auto"/>
              </w:rPr>
            </w:pPr>
          </w:p>
        </w:tc>
      </w:tr>
      <w:tr>
        <w:trPr>
          <w:trHeight w:val="124"/>
        </w:trPr>
        <w:tc>
          <w:tcPr>
            <w:tcW w:w="6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Outstanding at December 31,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6,811</w:t>
            </w:r>
          </w:p>
        </w:tc>
        <w:tc>
          <w:tcPr>
            <w:tcW w:w="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685,712</w:t>
            </w:r>
          </w:p>
        </w:tc>
        <w:tc>
          <w:tcPr>
            <w:tcW w:w="10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692,523</w:t>
            </w:r>
          </w:p>
        </w:tc>
        <w:tc>
          <w:tcPr>
            <w:tcW w:w="10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46.96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82" w:lineRule="exact"/>
        <w:rPr>
          <w:sz w:val="20"/>
          <w:szCs w:val="20"/>
          <w:color w:val="auto"/>
        </w:rPr>
      </w:pPr>
    </w:p>
    <w:p>
      <w:pPr>
        <w:jc w:val="both"/>
        <w:ind w:right="6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had 350,000,000 shares of common stock authorized for issuance, $0.0001 par value per share, with 25,767,369 shares issued and outstanding. The voting, dividend and liquidation rights of the common stockholders are subject to and qualified by the rights, powers and preferences of the preferred stock. The common stock has the following characteristics:</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Voting</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Common stockholders are entitled to one vote for each share of common stock held with respect to all matters voted on by the stockholders of the Company.</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Common stockholders are entitled to receive dividends, if and when declared by the Board of Directors. Through December 31, 2024, no cash dividends have been declared or paid on common stock.</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Liquidation</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Upon liquidation of the Company, common stockholders are entitled to receive all assets of the Company available for distribution to such stockholders.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8" w:name="page109"/>
    <w:bookmarkEnd w:id="10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Reserved Shares</w:t>
      </w:r>
    </w:p>
    <w:p>
      <w:pPr>
        <w:spacing w:after="0" w:line="8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Company has authorized shares of common stock for future issuance as follows: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9980" w:type="dxa"/>
            <w:vAlign w:val="bottom"/>
          </w:tcPr>
          <w:p>
            <w:pPr>
              <w:spacing w:after="0"/>
              <w:rPr>
                <w:sz w:val="10"/>
                <w:szCs w:val="10"/>
                <w:color w:val="auto"/>
              </w:rPr>
            </w:pPr>
          </w:p>
        </w:tc>
        <w:tc>
          <w:tcPr>
            <w:tcW w:w="1320" w:type="dxa"/>
            <w:vAlign w:val="bottom"/>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43"/>
        </w:trPr>
        <w:tc>
          <w:tcPr>
            <w:tcW w:w="99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13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692,523</w:t>
            </w:r>
          </w:p>
        </w:tc>
      </w:tr>
      <w:tr>
        <w:trPr>
          <w:trHeight w:val="129"/>
        </w:trPr>
        <w:tc>
          <w:tcPr>
            <w:tcW w:w="9980" w:type="dxa"/>
            <w:vAlign w:val="bottom"/>
          </w:tcPr>
          <w:p>
            <w:pPr>
              <w:spacing w:after="0"/>
              <w:rPr>
                <w:sz w:val="20"/>
                <w:szCs w:val="20"/>
                <w:color w:val="auto"/>
              </w:rPr>
            </w:pPr>
            <w:r>
              <w:rPr>
                <w:rFonts w:ascii="Times New Roman" w:cs="Times New Roman" w:eastAsia="Times New Roman" w:hAnsi="Times New Roman"/>
                <w:sz w:val="10"/>
                <w:szCs w:val="10"/>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4,205,199</w:t>
            </w:r>
          </w:p>
        </w:tc>
      </w:tr>
      <w:tr>
        <w:trPr>
          <w:trHeight w:val="141"/>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444,238</w:t>
            </w:r>
          </w:p>
        </w:tc>
      </w:tr>
      <w:tr>
        <w:trPr>
          <w:trHeight w:val="129"/>
        </w:trPr>
        <w:tc>
          <w:tcPr>
            <w:tcW w:w="9980" w:type="dxa"/>
            <w:vAlign w:val="bottom"/>
          </w:tcPr>
          <w:p>
            <w:pPr>
              <w:spacing w:after="0"/>
              <w:rPr>
                <w:sz w:val="20"/>
                <w:szCs w:val="20"/>
                <w:color w:val="auto"/>
              </w:rPr>
            </w:pPr>
            <w:r>
              <w:rPr>
                <w:rFonts w:ascii="Times New Roman" w:cs="Times New Roman" w:eastAsia="Times New Roman" w:hAnsi="Times New Roman"/>
                <w:sz w:val="10"/>
                <w:szCs w:val="10"/>
                <w:color w:val="auto"/>
              </w:rPr>
              <w:t>Outstanding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1,706,035</w:t>
            </w:r>
          </w:p>
        </w:tc>
      </w:tr>
      <w:tr>
        <w:trPr>
          <w:trHeight w:val="141"/>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4,026,346</w:t>
            </w:r>
          </w:p>
        </w:tc>
      </w:tr>
      <w:tr>
        <w:trPr>
          <w:trHeight w:val="129"/>
        </w:trPr>
        <w:tc>
          <w:tcPr>
            <w:tcW w:w="9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Series B Preferred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437,927</w:t>
            </w:r>
          </w:p>
        </w:tc>
      </w:tr>
      <w:tr>
        <w:trPr>
          <w:trHeight w:val="146"/>
        </w:trPr>
        <w:tc>
          <w:tcPr>
            <w:tcW w:w="9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11,512,268</w:t>
            </w:r>
          </w:p>
        </w:tc>
      </w:tr>
    </w:tbl>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13. Stock Incentive Plans</w:t>
      </w:r>
    </w:p>
    <w:p>
      <w:pPr>
        <w:spacing w:after="0" w:line="82" w:lineRule="exact"/>
        <w:rPr>
          <w:sz w:val="20"/>
          <w:szCs w:val="20"/>
          <w:color w:val="auto"/>
        </w:rPr>
      </w:pPr>
    </w:p>
    <w:p>
      <w:pPr>
        <w:ind w:left="8" w:right="280" w:firstLine="216"/>
        <w:spacing w:after="0" w:line="279" w:lineRule="auto"/>
        <w:rPr>
          <w:sz w:val="20"/>
          <w:szCs w:val="20"/>
          <w:color w:val="auto"/>
        </w:rPr>
      </w:pPr>
      <w:r>
        <w:rPr>
          <w:rFonts w:ascii="Times New Roman" w:cs="Times New Roman" w:eastAsia="Times New Roman" w:hAnsi="Times New Roman"/>
          <w:sz w:val="12"/>
          <w:szCs w:val="12"/>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39" w:lineRule="exact"/>
        <w:rPr>
          <w:sz w:val="20"/>
          <w:szCs w:val="20"/>
          <w:color w:val="auto"/>
        </w:rPr>
      </w:pPr>
    </w:p>
    <w:p>
      <w:pPr>
        <w:jc w:val="both"/>
        <w:ind w:left="8" w:right="160" w:firstLine="216"/>
        <w:spacing w:after="0" w:line="265" w:lineRule="auto"/>
        <w:rPr>
          <w:sz w:val="20"/>
          <w:szCs w:val="20"/>
          <w:color w:val="auto"/>
        </w:rPr>
      </w:pPr>
      <w:r>
        <w:rPr>
          <w:rFonts w:ascii="Times New Roman" w:cs="Times New Roman" w:eastAsia="Times New Roman" w:hAnsi="Times New Roman"/>
          <w:sz w:val="12"/>
          <w:szCs w:val="12"/>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47" w:lineRule="exact"/>
        <w:rPr>
          <w:sz w:val="20"/>
          <w:szCs w:val="20"/>
          <w:color w:val="auto"/>
        </w:rPr>
      </w:pPr>
    </w:p>
    <w:p>
      <w:pPr>
        <w:ind w:left="8" w:right="280" w:firstLine="216"/>
        <w:spacing w:after="0" w:line="257" w:lineRule="auto"/>
        <w:rPr>
          <w:sz w:val="20"/>
          <w:szCs w:val="20"/>
          <w:color w:val="auto"/>
        </w:rPr>
      </w:pPr>
      <w:r>
        <w:rPr>
          <w:rFonts w:ascii="Times New Roman" w:cs="Times New Roman" w:eastAsia="Times New Roman" w:hAnsi="Times New Roman"/>
          <w:sz w:val="12"/>
          <w:szCs w:val="12"/>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and 2023, the number of shares of common stock that may be issued under the 2016 Plan was increased by 215,903 and 204,056 shares, respectively. In June 2024, the Company’s stockholders approved an amendment and restatement of the 2016 Plan to reserve an additional 3,466,544 shares of the Company’s common stock for issuance. As of December 31, 2024, 3,520,174 shares remain available for future issuance under the 2016 Plan.</w:t>
      </w:r>
    </w:p>
    <w:p>
      <w:pPr>
        <w:spacing w:after="0" w:line="5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1"/>
          <w:szCs w:val="11"/>
          <w:color w:val="auto"/>
        </w:rPr>
        <w:t>In September 2018, the Company’s 2018 Employment Inducement Incentive Award Plan, or the 2018 Inducement Incentive Award Plan was adopted by the Board of Directors without stockholder approval pursuant to Rule 5635(c)</w:t>
      </w:r>
    </w:p>
    <w:p>
      <w:pPr>
        <w:spacing w:after="0" w:line="28" w:lineRule="exact"/>
        <w:rPr>
          <w:sz w:val="20"/>
          <w:szCs w:val="20"/>
          <w:color w:val="auto"/>
        </w:rPr>
      </w:pPr>
    </w:p>
    <w:p>
      <w:pPr>
        <w:ind w:left="8" w:right="20" w:hanging="8"/>
        <w:spacing w:after="0" w:line="253" w:lineRule="auto"/>
        <w:tabs>
          <w:tab w:leader="none" w:pos="17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and December 2024, the Board of Directors approved amendments and restatements of the 2018 Inducement Incentive Award Plan to reserve an additional 360,000 and 450,000 shares, respectively, of the Company’s common stock for issuance thereunder. As of December 31, 2024, there are 611,960 shares available for future grant under the 2018 Inducement Incentive Award Plan.</w:t>
      </w:r>
    </w:p>
    <w:p>
      <w:pPr>
        <w:spacing w:after="0" w:line="54" w:lineRule="exact"/>
        <w:rPr>
          <w:sz w:val="20"/>
          <w:szCs w:val="20"/>
          <w:color w:val="auto"/>
        </w:rPr>
      </w:pPr>
    </w:p>
    <w:p>
      <w:pPr>
        <w:ind w:left="8" w:right="20" w:firstLine="216"/>
        <w:spacing w:after="0" w:line="260" w:lineRule="auto"/>
        <w:rPr>
          <w:sz w:val="20"/>
          <w:szCs w:val="20"/>
          <w:color w:val="auto"/>
        </w:rPr>
      </w:pPr>
      <w:r>
        <w:rPr>
          <w:rFonts w:ascii="Times New Roman" w:cs="Times New Roman" w:eastAsia="Times New Roman" w:hAnsi="Times New Roman"/>
          <w:sz w:val="12"/>
          <w:szCs w:val="12"/>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December 31, 2024, there are 27,270 shares available for future grant under the Old Cartesian Plan.</w:t>
      </w:r>
    </w:p>
    <w:p>
      <w:pPr>
        <w:spacing w:after="0" w:line="50" w:lineRule="exact"/>
        <w:rPr>
          <w:sz w:val="20"/>
          <w:szCs w:val="20"/>
          <w:color w:val="auto"/>
        </w:rPr>
      </w:pPr>
    </w:p>
    <w:p>
      <w:pPr>
        <w:ind w:left="8" w:right="120"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$1.3 million and $0.2 million was recognized as research and development expense in the consolidated statements of operations and comprehensive loss during the years ended December 31, 2024 and 2023, respectively. Following the Automatic Conversion, the options exercisable for shares of Series A Preferred Stock became exercisable for shares of common stock.</w:t>
      </w:r>
    </w:p>
    <w:p>
      <w:pPr>
        <w:spacing w:after="0" w:line="3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Settlement of Equity Compensation Awards</w:t>
      </w:r>
    </w:p>
    <w:p>
      <w:pPr>
        <w:spacing w:after="0" w:line="8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Upon consummation of the First Merger, the equity compensation awards of the Company outstanding as of the date of the Merger were settled as follows: (i) each unvested option to acquire shares of common stock and each unvested restricted stock unit award with respect to shares of common stock was accelerated and vested in full at the effective time of the First Merger; (ii) each option to acquire shares of common stock was canceled and in exchange therefore, former holders became entitled to receive an amount in cash equal to the product of (A) the total number of shares of common stock subject to the unexercised portion the stock option (determined after giving effect to the accelerated vesting) multiplied by (B) the excess, if any, of $61.80, or the Cash-out Amount, over the applicable exercise price per share of common stock under such stock option; and (iii) 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 Stock options with an exercise price in excess of the Cash-out Amount received no cash payment.</w:t>
      </w:r>
    </w:p>
    <w:p>
      <w:pPr>
        <w:spacing w:after="0" w:line="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modification to accelerate the vesting of all awards upon the Merger resulted in full recognition of unrecognized compensation of $13.1 million, of which $5.9 million and $7.2 million was classified as research and development expense and general and administrative expense, respectively, in the consolidated statements of operations and comprehensive loss for the year ended December 31, 2023. In addition, with the exception of any options with an exercise price greater than $61.80 per share, all awards were settled in cash for an amount equal to $61.80 less any exercise price associated with the awards. The total cash payment made to the holders of stock options and restricted stock units was $9.4 million. The fair value of the awards prior to the settlement was recorded to additional paid-in capital in an amount of $6.2 million and the amount in excess of fair value was recognized as additional stock-based compensation expense in an amount of $3.2 million, of which $1.5 million and $1.7 million was classified as research and development expense and general and administrative expense, respectively, in the consolidated statements of operations and comprehensive loss for the year ended December 31,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Stock-Based Compensation Expense</w:t>
      </w:r>
    </w:p>
    <w:p>
      <w:pPr>
        <w:spacing w:after="0" w:line="8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Stock-based compensation expense by classification included within the consolidated statements of operations and comprehensive loss, including $1.5 million recognized as stock-based compensation expense upon the achievement of a technical milestone by Ginkgo Bioworks Holdings, Inc., or Ginkgo, during the year ended December 31, 2023 as described in Note 16, was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900" w:type="dxa"/>
            <w:vAlign w:val="bottom"/>
            <w:tcBorders>
              <w:bottom w:val="single" w:sz="8" w:color="auto"/>
            </w:tcBorders>
          </w:tcPr>
          <w:p>
            <w:pPr>
              <w:spacing w:after="0"/>
              <w:rPr>
                <w:sz w:val="11"/>
                <w:szCs w:val="11"/>
                <w:color w:val="auto"/>
              </w:rPr>
            </w:pPr>
          </w:p>
        </w:tc>
      </w:tr>
      <w:tr>
        <w:trPr>
          <w:trHeight w:val="128"/>
        </w:trPr>
        <w:tc>
          <w:tcPr>
            <w:tcW w:w="82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9"/>
        </w:trPr>
        <w:tc>
          <w:tcPr>
            <w:tcW w:w="82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Research and development</w:t>
            </w:r>
          </w:p>
        </w:tc>
        <w:tc>
          <w:tcPr>
            <w:tcW w:w="9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12,985</w:t>
            </w:r>
          </w:p>
        </w:tc>
      </w:tr>
      <w:tr>
        <w:trPr>
          <w:trHeight w:val="129"/>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3,365</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12,793</w:t>
            </w:r>
          </w:p>
        </w:tc>
      </w:tr>
      <w:tr>
        <w:trPr>
          <w:trHeight w:val="146"/>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stock-based compensation expense</w:t>
            </w:r>
          </w:p>
        </w:tc>
        <w:tc>
          <w:tcPr>
            <w:tcW w:w="90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6,582</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25,778</w:t>
            </w: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Options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fair value of the stock options assumed in connection with the Merger was calculated using a Black-Scholes option pricing model based on the following weighted-average assumptions: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4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Series A Preferred Stock</w:t>
            </w:r>
          </w:p>
        </w:tc>
      </w:tr>
      <w:tr>
        <w:trPr>
          <w:trHeight w:val="13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Risk-free interest rate</w:t>
            </w:r>
          </w:p>
        </w:tc>
        <w:tc>
          <w:tcPr>
            <w:tcW w:w="10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4.83 %</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4.92 %</w:t>
            </w:r>
          </w:p>
        </w:tc>
      </w:tr>
      <w:tr>
        <w:trPr>
          <w:trHeight w:val="129"/>
        </w:trPr>
        <w:tc>
          <w:tcPr>
            <w:tcW w:w="8420" w:type="dxa"/>
            <w:vAlign w:val="bottom"/>
          </w:tcPr>
          <w:p>
            <w:pPr>
              <w:spacing w:after="0"/>
              <w:rPr>
                <w:sz w:val="20"/>
                <w:szCs w:val="20"/>
                <w:color w:val="auto"/>
              </w:rPr>
            </w:pPr>
            <w:r>
              <w:rPr>
                <w:rFonts w:ascii="Times New Roman" w:cs="Times New Roman" w:eastAsia="Times New Roman" w:hAnsi="Times New Roman"/>
                <w:sz w:val="10"/>
                <w:szCs w:val="10"/>
                <w:color w:val="auto"/>
              </w:rPr>
              <w:t>Dividend yield</w:t>
            </w:r>
          </w:p>
        </w:tc>
        <w:tc>
          <w:tcPr>
            <w:tcW w:w="104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Expected term</w:t>
            </w: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3.29</w:t>
            </w:r>
          </w:p>
        </w:tc>
      </w:tr>
      <w:tr>
        <w:trPr>
          <w:trHeight w:val="129"/>
        </w:trPr>
        <w:tc>
          <w:tcPr>
            <w:tcW w:w="8420" w:type="dxa"/>
            <w:vAlign w:val="bottom"/>
          </w:tcPr>
          <w:p>
            <w:pPr>
              <w:spacing w:after="0"/>
              <w:rPr>
                <w:sz w:val="20"/>
                <w:szCs w:val="20"/>
                <w:color w:val="auto"/>
              </w:rPr>
            </w:pPr>
            <w:r>
              <w:rPr>
                <w:rFonts w:ascii="Times New Roman" w:cs="Times New Roman" w:eastAsia="Times New Roman" w:hAnsi="Times New Roman"/>
                <w:sz w:val="10"/>
                <w:szCs w:val="10"/>
                <w:color w:val="auto"/>
              </w:rPr>
              <w:t>Expected volatility</w:t>
            </w:r>
          </w:p>
        </w:tc>
        <w:tc>
          <w:tcPr>
            <w:tcW w:w="10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83.77 %</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83.87 %</w:t>
            </w:r>
          </w:p>
        </w:tc>
      </w:tr>
      <w:tr>
        <w:trPr>
          <w:trHeight w:val="14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Weighted-average fair value of common stock or Series A Preferred Stock, as applicable</w:t>
            </w:r>
          </w:p>
        </w:tc>
        <w:tc>
          <w:tcPr>
            <w:tcW w:w="10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88"/>
              </w:rPr>
              <w:t>12.00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403.47</w:t>
            </w:r>
          </w:p>
        </w:tc>
      </w:tr>
    </w:tbl>
    <w:p>
      <w:pPr>
        <w:spacing w:after="0" w:line="115" w:lineRule="exact"/>
        <w:rPr>
          <w:sz w:val="20"/>
          <w:szCs w:val="20"/>
          <w:color w:val="auto"/>
        </w:rPr>
      </w:pPr>
    </w:p>
    <w:p>
      <w:pPr>
        <w:ind w:right="440" w:firstLine="216"/>
        <w:spacing w:after="0" w:line="279" w:lineRule="auto"/>
        <w:rPr>
          <w:sz w:val="20"/>
          <w:szCs w:val="20"/>
          <w:color w:val="auto"/>
        </w:rPr>
      </w:pPr>
      <w:r>
        <w:rPr>
          <w:rFonts w:ascii="Times New Roman" w:cs="Times New Roman" w:eastAsia="Times New Roman" w:hAnsi="Times New Roman"/>
          <w:sz w:val="12"/>
          <w:szCs w:val="12"/>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920" w:type="dxa"/>
            <w:vAlign w:val="bottom"/>
            <w:tcBorders>
              <w:bottom w:val="single" w:sz="8" w:color="auto"/>
            </w:tcBorders>
          </w:tcPr>
          <w:p>
            <w:pPr>
              <w:spacing w:after="0"/>
              <w:rPr>
                <w:sz w:val="11"/>
                <w:szCs w:val="11"/>
                <w:color w:val="auto"/>
              </w:rPr>
            </w:pPr>
          </w:p>
        </w:tc>
      </w:tr>
      <w:tr>
        <w:trPr>
          <w:trHeight w:val="128"/>
        </w:trPr>
        <w:tc>
          <w:tcPr>
            <w:tcW w:w="82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9"/>
        </w:trPr>
        <w:tc>
          <w:tcPr>
            <w:tcW w:w="82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Risk-free interest rate</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4.02 %</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3.95 %</w:t>
            </w:r>
          </w:p>
        </w:tc>
      </w:tr>
      <w:tr>
        <w:trPr>
          <w:trHeight w:val="129"/>
        </w:trPr>
        <w:tc>
          <w:tcPr>
            <w:tcW w:w="8260" w:type="dxa"/>
            <w:vAlign w:val="bottom"/>
          </w:tcPr>
          <w:p>
            <w:pPr>
              <w:spacing w:after="0"/>
              <w:rPr>
                <w:sz w:val="20"/>
                <w:szCs w:val="20"/>
                <w:color w:val="auto"/>
              </w:rPr>
            </w:pPr>
            <w:r>
              <w:rPr>
                <w:rFonts w:ascii="Times New Roman" w:cs="Times New Roman" w:eastAsia="Times New Roman" w:hAnsi="Times New Roman"/>
                <w:sz w:val="10"/>
                <w:szCs w:val="10"/>
                <w:color w:val="auto"/>
              </w:rPr>
              <w:t>Dividend yield</w:t>
            </w:r>
          </w:p>
        </w:tc>
        <w:tc>
          <w:tcPr>
            <w:tcW w:w="9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Expected term</w:t>
            </w: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6.21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5.94</w:t>
            </w:r>
          </w:p>
        </w:tc>
      </w:tr>
      <w:tr>
        <w:trPr>
          <w:trHeight w:val="129"/>
        </w:trPr>
        <w:tc>
          <w:tcPr>
            <w:tcW w:w="8260" w:type="dxa"/>
            <w:vAlign w:val="bottom"/>
          </w:tcPr>
          <w:p>
            <w:pPr>
              <w:spacing w:after="0"/>
              <w:rPr>
                <w:sz w:val="20"/>
                <w:szCs w:val="20"/>
                <w:color w:val="auto"/>
              </w:rPr>
            </w:pPr>
            <w:r>
              <w:rPr>
                <w:rFonts w:ascii="Times New Roman" w:cs="Times New Roman" w:eastAsia="Times New Roman" w:hAnsi="Times New Roman"/>
                <w:sz w:val="10"/>
                <w:szCs w:val="10"/>
                <w:color w:val="auto"/>
              </w:rPr>
              <w:t>Expected volatility</w:t>
            </w:r>
          </w:p>
        </w:tc>
        <w:tc>
          <w:tcPr>
            <w:tcW w:w="9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95.21 %</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94.64 %</w:t>
            </w:r>
          </w:p>
        </w:tc>
      </w:tr>
      <w:tr>
        <w:trPr>
          <w:trHeight w:val="14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Weighted-average fair value of common stock</w:t>
            </w:r>
          </w:p>
        </w:tc>
        <w:tc>
          <w:tcPr>
            <w:tcW w:w="9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19.63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34.54</w:t>
            </w:r>
          </w:p>
        </w:tc>
      </w:tr>
    </w:tbl>
    <w:p>
      <w:pPr>
        <w:spacing w:after="0" w:line="12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47"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weighted average grant date fair value of stock options granted during the years ended December 31, 2024 and 2023 was $15.63 and $26.90, respectively. The total intrinsic value of stock options exercised during the year ended December 31, 2024 was $7.0 million. No stock options were exercised during the year ended December 31, 2023.</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2024, total unrecognized compensation expense related to unvested common stock options was $10.3 million, which is expected to be recognized over a weighted average period of 2.9 years.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the stock option activity under the 2016 Plan, the 2018 Inducement Incentive Award Plan, and the Old Cartesian Plan for options for common stock: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5"/>
              </w:rPr>
              <w:t>Weighted-average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35"/>
        </w:trPr>
        <w:tc>
          <w:tcPr>
            <w:tcW w:w="4900" w:type="dxa"/>
            <w:vAlign w:val="bottom"/>
          </w:tcPr>
          <w:p>
            <w:pPr>
              <w:spacing w:after="0"/>
              <w:rPr>
                <w:sz w:val="11"/>
                <w:szCs w:val="11"/>
                <w:color w:val="auto"/>
              </w:rPr>
            </w:pP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5"/>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Aggregate</w:t>
            </w:r>
          </w:p>
        </w:tc>
      </w:tr>
      <w:tr>
        <w:trPr>
          <w:trHeight w:val="135"/>
        </w:trPr>
        <w:tc>
          <w:tcPr>
            <w:tcW w:w="4900" w:type="dxa"/>
            <w:vAlign w:val="bottom"/>
          </w:tcPr>
          <w:p>
            <w:pPr>
              <w:spacing w:after="0"/>
              <w:rPr>
                <w:sz w:val="11"/>
                <w:szCs w:val="11"/>
                <w:color w:val="auto"/>
              </w:rPr>
            </w:pP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4"/>
              </w:rPr>
              <w:t>contractual term</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intrinsic value</w:t>
            </w:r>
          </w:p>
        </w:tc>
      </w:tr>
      <w:tr>
        <w:trPr>
          <w:trHeight w:val="143"/>
        </w:trPr>
        <w:tc>
          <w:tcPr>
            <w:tcW w:w="49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0"/>
                <w:szCs w:val="10"/>
                <w:b w:val="1"/>
                <w:bCs w:val="1"/>
                <w:color w:val="auto"/>
                <w:w w:val="96"/>
              </w:rPr>
              <w:t>options</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exercise price ($)</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9"/>
              </w:rPr>
              <w:t>(in years)</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(in thousands)</w:t>
            </w:r>
          </w:p>
        </w:tc>
      </w:tr>
      <w:tr>
        <w:trPr>
          <w:trHeight w:val="13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Outstanding at December 31, 2023</w:t>
            </w:r>
          </w:p>
        </w:tc>
        <w:tc>
          <w:tcPr>
            <w:tcW w:w="10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776,865</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2.97</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13,760</w:t>
            </w:r>
          </w:p>
        </w:tc>
      </w:tr>
      <w:tr>
        <w:trPr>
          <w:trHeight w:val="129"/>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1,000,092</w:t>
            </w:r>
          </w:p>
        </w:tc>
        <w:tc>
          <w:tcPr>
            <w:tcW w:w="1300" w:type="dxa"/>
            <w:vAlign w:val="bottom"/>
            <w:gridSpan w:val="2"/>
          </w:tcPr>
          <w:p>
            <w:pPr>
              <w:jc w:val="right"/>
              <w:ind w:right="109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19.63</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4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Converted from options for Series A Preferred Stock</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470,403</w:t>
            </w:r>
          </w:p>
        </w:tc>
        <w:tc>
          <w:tcPr>
            <w:tcW w:w="1300" w:type="dxa"/>
            <w:vAlign w:val="bottom"/>
            <w:gridSpan w:val="2"/>
            <w:shd w:val="clear" w:color="auto" w:fill="CCEEFF"/>
          </w:tcPr>
          <w:p>
            <w:pPr>
              <w:jc w:val="right"/>
              <w:ind w:right="109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29"/>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Exercised</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(458,544)</w:t>
            </w:r>
          </w:p>
        </w:tc>
        <w:tc>
          <w:tcPr>
            <w:tcW w:w="1300" w:type="dxa"/>
            <w:vAlign w:val="bottom"/>
            <w:gridSpan w:val="2"/>
          </w:tcPr>
          <w:p>
            <w:pPr>
              <w:jc w:val="right"/>
              <w:ind w:right="109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Forfeited</w:t>
            </w:r>
          </w:p>
        </w:tc>
        <w:tc>
          <w:tcPr>
            <w:tcW w:w="10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(82,781)</w:t>
            </w:r>
          </w:p>
        </w:tc>
        <w:tc>
          <w:tcPr>
            <w:tcW w:w="1300" w:type="dxa"/>
            <w:vAlign w:val="bottom"/>
            <w:gridSpan w:val="2"/>
            <w:shd w:val="clear" w:color="auto" w:fill="CCEEFF"/>
          </w:tcPr>
          <w:p>
            <w:pPr>
              <w:jc w:val="right"/>
              <w:ind w:right="109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17.28</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00"/>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Outstanding at December 31, 2024</w:t>
            </w: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4"/>
              </w:rPr>
              <w:t>1,706,035</w:t>
            </w:r>
          </w:p>
        </w:tc>
        <w:tc>
          <w:tcPr>
            <w:tcW w:w="1300" w:type="dxa"/>
            <w:vAlign w:val="bottom"/>
            <w:tcBorders>
              <w:bottom w:val="single" w:sz="8" w:color="CCEEFF"/>
            </w:tcBorders>
            <w:gridSpan w:val="2"/>
          </w:tcPr>
          <w:p>
            <w:pPr>
              <w:jc w:val="right"/>
              <w:ind w:right="109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11.99</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7.59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12,025</w:t>
            </w:r>
          </w:p>
        </w:tc>
      </w:tr>
      <w:tr>
        <w:trPr>
          <w:trHeight w:val="129"/>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Vested at December 31,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656,258</w:t>
            </w:r>
          </w:p>
        </w:tc>
        <w:tc>
          <w:tcPr>
            <w:tcW w:w="1300" w:type="dxa"/>
            <w:vAlign w:val="bottom"/>
            <w:gridSpan w:val="2"/>
          </w:tcPr>
          <w:p>
            <w:pPr>
              <w:jc w:val="right"/>
              <w:ind w:right="109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3.22</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5.36</w:t>
            </w:r>
          </w:p>
        </w:tc>
        <w:tc>
          <w:tcPr>
            <w:tcW w:w="10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9,674</w:t>
            </w:r>
          </w:p>
        </w:tc>
      </w:tr>
      <w:tr>
        <w:trPr>
          <w:trHeight w:val="14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Vested and expected to vest at December 31,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1,564,044</w:t>
            </w:r>
          </w:p>
        </w:tc>
        <w:tc>
          <w:tcPr>
            <w:tcW w:w="1300" w:type="dxa"/>
            <w:vAlign w:val="bottom"/>
            <w:gridSpan w:val="2"/>
            <w:shd w:val="clear" w:color="auto" w:fill="CCEEFF"/>
          </w:tcPr>
          <w:p>
            <w:pPr>
              <w:jc w:val="right"/>
              <w:ind w:right="109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11.31</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11,961</w:t>
            </w:r>
          </w:p>
        </w:tc>
      </w:tr>
    </w:tbl>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the stock option activity under the Old Cartesian Plan for options for Series A Preferred Stock: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9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Weighted-average</w:t>
            </w: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35"/>
        </w:trPr>
        <w:tc>
          <w:tcPr>
            <w:tcW w:w="49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Series 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remaining</w:t>
            </w:r>
          </w:p>
        </w:tc>
        <w:tc>
          <w:tcPr>
            <w:tcW w:w="260" w:type="dxa"/>
            <w:vAlign w:val="bottom"/>
          </w:tcPr>
          <w:p>
            <w:pPr>
              <w:spacing w:after="0"/>
              <w:rPr>
                <w:sz w:val="11"/>
                <w:szCs w:val="11"/>
                <w:color w:val="auto"/>
              </w:rPr>
            </w:pPr>
          </w:p>
        </w:tc>
        <w:tc>
          <w:tcPr>
            <w:tcW w:w="128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5"/>
              </w:rPr>
              <w:t>Aggregate</w:t>
            </w:r>
          </w:p>
        </w:tc>
      </w:tr>
      <w:tr>
        <w:trPr>
          <w:trHeight w:val="135"/>
        </w:trPr>
        <w:tc>
          <w:tcPr>
            <w:tcW w:w="49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Weighted-average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contractual term</w:t>
            </w:r>
          </w:p>
        </w:tc>
        <w:tc>
          <w:tcPr>
            <w:tcW w:w="260" w:type="dxa"/>
            <w:vAlign w:val="bottom"/>
          </w:tcPr>
          <w:p>
            <w:pPr>
              <w:spacing w:after="0"/>
              <w:rPr>
                <w:sz w:val="11"/>
                <w:szCs w:val="11"/>
                <w:color w:val="auto"/>
              </w:rPr>
            </w:pPr>
          </w:p>
        </w:tc>
        <w:tc>
          <w:tcPr>
            <w:tcW w:w="128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5"/>
              </w:rPr>
              <w:t>intrinsic value</w:t>
            </w:r>
          </w:p>
        </w:tc>
      </w:tr>
      <w:tr>
        <w:trPr>
          <w:trHeight w:val="143"/>
        </w:trPr>
        <w:tc>
          <w:tcPr>
            <w:tcW w:w="490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exercise price ($)</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(in years)</w:t>
            </w:r>
          </w:p>
        </w:tc>
        <w:tc>
          <w:tcPr>
            <w:tcW w:w="260" w:type="dxa"/>
            <w:vAlign w:val="bottom"/>
          </w:tcPr>
          <w:p>
            <w:pPr>
              <w:spacing w:after="0"/>
              <w:rPr>
                <w:sz w:val="12"/>
                <w:szCs w:val="12"/>
                <w:color w:val="auto"/>
              </w:rPr>
            </w:pPr>
          </w:p>
        </w:tc>
        <w:tc>
          <w:tcPr>
            <w:tcW w:w="128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r>
      <w:tr>
        <w:trPr>
          <w:trHeight w:val="133"/>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Outstanding at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14,112.299</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79.94</w:t>
            </w:r>
          </w:p>
        </w:tc>
        <w:tc>
          <w:tcPr>
            <w:tcW w:w="1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5.91</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8,601</w:t>
            </w:r>
          </w:p>
        </w:tc>
      </w:tr>
      <w:tr>
        <w:trPr>
          <w:trHeight w:val="1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0"/>
                <w:szCs w:val="10"/>
                <w:color w:val="auto"/>
              </w:rPr>
              <w:t>Converted to options for common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(14,112.299)</w:t>
            </w:r>
          </w:p>
        </w:tc>
        <w:tc>
          <w:tcPr>
            <w:tcW w:w="320" w:type="dxa"/>
            <w:vAlign w:val="bottom"/>
            <w:tcBorders>
              <w:bottom w:val="single" w:sz="8" w:color="CCEEFF"/>
            </w:tcBorders>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79.94</w:t>
            </w: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r>
      <w:tr>
        <w:trPr>
          <w:trHeight w:val="14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Outstanding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r>
    </w:tbl>
    <w:p>
      <w:pPr>
        <w:spacing w:after="0" w:line="106"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As a result of the approval of the Conversion Proposal on March 27, 2024, all conditions that could have required cash redemption of the Series A Preferred Stock underlying the stock options were removed. Since the Series A Preferred Stock was no longer redeemable, the associated balances of the stock options to purchase Series A Preferred Stock were reclassified to additional paid-in capital during the first quarter of 2024.</w:t>
      </w:r>
    </w:p>
    <w:p>
      <w:pPr>
        <w:spacing w:after="0" w:line="39"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Following the Automatic Conversion, all options to purchase Series A Preferred Stock were converted into options to purchase common stock with adjustments to the underlying number of shares of common stock determined by multiplying the number of shares of Series A Preferred Stock by 33.333 and rounding down to the nearest whole number of shares and the per-share exercise price by dividing the per-share exercise price of Series A Preferred Stock by 33.333 and rounding the resulting exercise price up to the nearest whole cent.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Restricted Stock Units</w:t>
      </w:r>
    </w:p>
    <w:p>
      <w:pPr>
        <w:spacing w:after="0" w:line="8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2024, the Company granted 477,037 restricted stock unit awards with a weighted average fair value of $19.86 per share based on the closing price of the Company’s common stock on the date of grant under the 2016 Plan and the Old Cartesian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47" w:lineRule="exact"/>
        <w:rPr>
          <w:sz w:val="20"/>
          <w:szCs w:val="20"/>
          <w:color w:val="auto"/>
        </w:rPr>
      </w:pPr>
    </w:p>
    <w:p>
      <w:pPr>
        <w:ind w:left="200" w:right="1060"/>
        <w:spacing w:after="0" w:line="388" w:lineRule="auto"/>
        <w:rPr>
          <w:sz w:val="20"/>
          <w:szCs w:val="20"/>
          <w:color w:val="auto"/>
        </w:rPr>
      </w:pPr>
      <w:r>
        <w:rPr>
          <w:rFonts w:ascii="Times New Roman" w:cs="Times New Roman" w:eastAsia="Times New Roman" w:hAnsi="Times New Roman"/>
          <w:sz w:val="12"/>
          <w:szCs w:val="12"/>
          <w:color w:val="auto"/>
        </w:rPr>
        <w:t>No restricted stock unit awards vested during the year ended December 31, 2024. The aggregate fair value of restricted stock unit awards that vested during the year ended December 31, 2023 was $0.7 million. Unrecognized compensation expense related to the restricted stock unit awards was $5.4 million as of December 31, 2024, which is expected to be recognized over a weighted-average period of 2.9 years. The following table summarizes the Company’s restricted stock units under the 2016 Plan and the Old Cartesian Plan:</w:t>
      </w:r>
    </w:p>
    <w:tbl>
      <w:tblPr>
        <w:tblLayout w:type="fixed"/>
        <w:tblInd w:w="0" w:type="dxa"/>
        <w:tblCellMar>
          <w:top w:w="0" w:type="dxa"/>
          <w:left w:w="0" w:type="dxa"/>
          <w:bottom w:w="0" w:type="dxa"/>
          <w:right w:w="0" w:type="dxa"/>
        </w:tblCellMar>
      </w:tblPr>
      <w:tr>
        <w:trPr>
          <w:trHeight w:val="99"/>
        </w:trPr>
        <w:tc>
          <w:tcPr>
            <w:tcW w:w="8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center"/>
              <w:ind w:right="172"/>
              <w:spacing w:after="0" w:line="99" w:lineRule="exact"/>
              <w:rPr>
                <w:sz w:val="20"/>
                <w:szCs w:val="20"/>
                <w:color w:val="auto"/>
              </w:rPr>
            </w:pPr>
            <w:r>
              <w:rPr>
                <w:rFonts w:ascii="Times New Roman" w:cs="Times New Roman" w:eastAsia="Times New Roman" w:hAnsi="Times New Roman"/>
                <w:sz w:val="10"/>
                <w:szCs w:val="10"/>
                <w:b w:val="1"/>
                <w:bCs w:val="1"/>
                <w:color w:val="auto"/>
                <w:w w:val="96"/>
              </w:rPr>
              <w:t>Weighted average</w:t>
            </w:r>
          </w:p>
        </w:tc>
        <w:tc>
          <w:tcPr>
            <w:tcW w:w="0" w:type="dxa"/>
            <w:vAlign w:val="bottom"/>
          </w:tcPr>
          <w:p>
            <w:pPr>
              <w:spacing w:after="0"/>
              <w:rPr>
                <w:sz w:val="1"/>
                <w:szCs w:val="1"/>
                <w:color w:val="auto"/>
              </w:rPr>
            </w:pPr>
          </w:p>
        </w:tc>
      </w:tr>
      <w:tr>
        <w:trPr>
          <w:trHeight w:val="97"/>
        </w:trPr>
        <w:tc>
          <w:tcPr>
            <w:tcW w:w="8140" w:type="dxa"/>
            <w:vAlign w:val="bottom"/>
          </w:tcPr>
          <w:p>
            <w:pPr>
              <w:spacing w:after="0"/>
              <w:rPr>
                <w:sz w:val="8"/>
                <w:szCs w:val="8"/>
                <w:color w:val="auto"/>
              </w:rPr>
            </w:pPr>
          </w:p>
        </w:tc>
        <w:tc>
          <w:tcPr>
            <w:tcW w:w="114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w w:val="94"/>
              </w:rPr>
              <w:t>Number of shares</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center"/>
              <w:ind w:right="172"/>
              <w:spacing w:after="0" w:line="98"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0" w:type="dxa"/>
            <w:vAlign w:val="bottom"/>
          </w:tcPr>
          <w:p>
            <w:pPr>
              <w:spacing w:after="0"/>
              <w:rPr>
                <w:sz w:val="1"/>
                <w:szCs w:val="1"/>
                <w:color w:val="auto"/>
              </w:rPr>
            </w:pPr>
          </w:p>
        </w:tc>
      </w:tr>
      <w:tr>
        <w:trPr>
          <w:trHeight w:val="130"/>
        </w:trPr>
        <w:tc>
          <w:tcPr>
            <w:tcW w:w="8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8"/>
              </w:rPr>
              <w:t>fair value ($)</w:t>
            </w:r>
          </w:p>
        </w:tc>
        <w:tc>
          <w:tcPr>
            <w:tcW w:w="0" w:type="dxa"/>
            <w:vAlign w:val="bottom"/>
          </w:tcPr>
          <w:p>
            <w:pPr>
              <w:spacing w:after="0"/>
              <w:rPr>
                <w:sz w:val="1"/>
                <w:szCs w:val="1"/>
                <w:color w:val="auto"/>
              </w:rPr>
            </w:pPr>
          </w:p>
        </w:tc>
      </w:tr>
      <w:tr>
        <w:trPr>
          <w:trHeight w:val="129"/>
        </w:trPr>
        <w:tc>
          <w:tcPr>
            <w:tcW w:w="81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Unvested at December 31, 2023</w:t>
            </w: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92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477,037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19.86</w:t>
            </w:r>
          </w:p>
        </w:tc>
        <w:tc>
          <w:tcPr>
            <w:tcW w:w="0" w:type="dxa"/>
            <w:vAlign w:val="bottom"/>
          </w:tcPr>
          <w:p>
            <w:pPr>
              <w:spacing w:after="0"/>
              <w:rPr>
                <w:sz w:val="1"/>
                <w:szCs w:val="1"/>
                <w:color w:val="auto"/>
              </w:rPr>
            </w:pPr>
          </w:p>
        </w:tc>
      </w:tr>
      <w:tr>
        <w:trPr>
          <w:trHeight w:val="135"/>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Forfeited</w:t>
            </w:r>
          </w:p>
        </w:tc>
        <w:tc>
          <w:tcPr>
            <w:tcW w:w="1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(32,799)</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19.80</w:t>
            </w:r>
          </w:p>
        </w:tc>
        <w:tc>
          <w:tcPr>
            <w:tcW w:w="0" w:type="dxa"/>
            <w:vAlign w:val="bottom"/>
          </w:tcPr>
          <w:p>
            <w:pPr>
              <w:spacing w:after="0"/>
              <w:rPr>
                <w:sz w:val="1"/>
                <w:szCs w:val="1"/>
                <w:color w:val="auto"/>
              </w:rPr>
            </w:pPr>
          </w:p>
        </w:tc>
      </w:tr>
      <w:tr>
        <w:trPr>
          <w:trHeight w:val="130"/>
        </w:trPr>
        <w:tc>
          <w:tcPr>
            <w:tcW w:w="9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Unvested at December 31,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444,238</w:t>
            </w:r>
          </w:p>
        </w:tc>
        <w:tc>
          <w:tcPr>
            <w:tcW w:w="10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19.86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Revenue Arrangements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Collaboration and license revenue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Astellas Gene Therapies</w:t>
      </w:r>
    </w:p>
    <w:p>
      <w:pPr>
        <w:spacing w:after="0" w:line="73" w:lineRule="exact"/>
        <w:rPr>
          <w:sz w:val="20"/>
          <w:szCs w:val="20"/>
          <w:color w:val="auto"/>
        </w:rPr>
      </w:pPr>
    </w:p>
    <w:p>
      <w:pPr>
        <w:ind w:right="100" w:firstLine="216"/>
        <w:spacing w:after="0" w:line="237" w:lineRule="auto"/>
        <w:rPr>
          <w:sz w:val="20"/>
          <w:szCs w:val="20"/>
          <w:color w:val="auto"/>
        </w:rPr>
      </w:pPr>
      <w:r>
        <w:rPr>
          <w:rFonts w:ascii="Times New Roman" w:cs="Times New Roman" w:eastAsia="Times New Roman" w:hAnsi="Times New Roman"/>
          <w:sz w:val="12"/>
          <w:szCs w:val="12"/>
          <w:color w:val="auto"/>
        </w:rPr>
        <w:t>In January 2023, the Company entered into the License and Development Agreement, or the Astellas Agreement, with Audentes Therapeutics, Inc., or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was licensed pursuant to an Exclusive License Agreement, or the Genovis Agreement, with Genovis AB (publ.), or Genovis, as described in Note 16 to these consolidated financial statements. Astellas paid a $10.0 million upfront payment to the Company upon signing of the Astellas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w:t>
      </w:r>
    </w:p>
    <w:p>
      <w:pPr>
        <w:spacing w:after="0" w:line="63"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Pursuant to the Astellas Agreement, the Company would have had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reimbursed the Company for 25% of all budgeted costs incurred to complete the development of Xork for use in Pompe disease with an Astellas gene therapy investigational or authorized product. The Company would have had control and responsibility over regulatory filings, including any investigational drug applications, biologics license applications, and marketing authorization applications relating to the licensed product. Astellas would have had the exclusive right and responsibility to research, develop, and commercialize Astellas products used in combination with Xork and would have had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53"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Company determined the Astellas Agreement represented a service arrangement under the scope of ASC 606. The Company determined that the sublicense of Xork to Astellas, the licensed know-how, and the Xork Development Services represented a single promise and performance obligation to be transferred to Astellas over time due to the nature of the promises in the contract. As such, the Company recognized the transaction price as revenue utilizing the input method to measure the progress of satisfying the single performance obligation to Astellas.</w:t>
      </w:r>
    </w:p>
    <w:p>
      <w:pPr>
        <w:spacing w:after="0" w:line="47"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In determining the transaction price, the Company concluded the upfront payment of $10.0 million and development cost reimbursements of $5.5 million would be included in the initial transaction price. All other development milestones would be fully constrained and would only have been included in the transaction price when the applicable milestone was deemed probable of achievement. Each of these variable consideration items were evaluated under the most likely amount method to determine whether such amounts were probable of occurrence, or whether such amounts should have been constrained until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they became probable. As part of its evaluation of the constraint, the Company considered numerous factors, including that receipt and timing of such development milestones was outside the control of the Company and probability of success criteria was estimated. The Company re-evaluated the transaction price in each reporting period, as uncertain events were resolved, or as other changes in circumstances occurred. In accordance with ASC 606, the Company would have only recognized revenue associated with sales-based milestones and royalties when the subsequent sales thresholds were reached and underlying sales occurred, respectively. The Company determined that a significant financing component did not exist in its arrangement with Astellas. The Company also determined the options to negotiate additional fields, enter into a clinical supply agreement, and enter into a commercial supply agreement did not represent material rights under the Astellas Agreement. Astellas had the right to terminate the Astellas Agreement in its entirety or on a field-by-field basis, upon 90 days’ written notice to the Company.</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March 2024, the Company was notified by Astellas of its intention to terminate the Astellas Agreement, which occurred effective June 6, 2024.</w:t>
      </w:r>
    </w:p>
    <w:p>
      <w:pPr>
        <w:spacing w:after="0" w:line="7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As of December 31, 2024, there were no unsatisfied performance obligations related to the Astellas Agreement. As of December 31, 2023, the Company recorded $2.3 million as a short-term contract liability and $3.5 million as a long-term contract liability, representing deferred revenue associated with the Astellas Agreement. As of December 31, 2024 and 2023, the Company recorded a receivable of $0.1 million and $0.3 million, respectively, representing billings for the Xork Development Services that were subject to reimbursement by Astellas. Revenue of $6.3 million related to the Astellas Agreement was recognized during the year ended December 31, 2024, inclusive of $3.2 million of revenue recognized from performance obligations related to prior periods as a result of the change in transaction price during the year ended December 31, 2024. Revenue of $5.5 million related to the Astellas Agreement was recognized during the year ended December 31,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Takeda Pharmaceuticals USA, Inc.</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License and Development Agreement</w:t>
      </w:r>
    </w:p>
    <w:p>
      <w:pPr>
        <w:spacing w:after="0" w:line="71" w:lineRule="exact"/>
        <w:rPr>
          <w:sz w:val="20"/>
          <w:szCs w:val="20"/>
          <w:color w:val="auto"/>
        </w:rPr>
      </w:pPr>
    </w:p>
    <w:p>
      <w:pPr>
        <w:ind w:right="60" w:firstLine="216"/>
        <w:spacing w:after="0" w:line="244" w:lineRule="auto"/>
        <w:rPr>
          <w:sz w:val="20"/>
          <w:szCs w:val="20"/>
          <w:color w:val="auto"/>
        </w:rPr>
      </w:pPr>
      <w:r>
        <w:rPr>
          <w:rFonts w:ascii="Times New Roman" w:cs="Times New Roman" w:eastAsia="Times New Roman" w:hAnsi="Times New Roman"/>
          <w:sz w:val="12"/>
          <w:szCs w:val="12"/>
          <w:color w:val="auto"/>
        </w:rPr>
        <w:t>On October 1,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w:t>
      </w:r>
    </w:p>
    <w:p>
      <w:pPr>
        <w:spacing w:after="0" w:line="6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Pursuant to the Takeda Agreement, the Company determined the Takeda Agreement represented a service arrangement under the scope of ASC 606, and given the reversion of the rights under the Takeda Agreement represented a penalty in substance for a termination by Takeda, the contract term would remain the stated term of the Takeda Agreement. The Company determined that the research license, the licensed know-how, and the manufactured supply and delivery of materials represented a single promise and performance obligation to be transferred to Takeda over time due to the nature of the promises in the contract. The delivery of the manufactured supply was the predominant promise within the arrangement, as it was essential to the utility of the licensed intellectual property. The material supplied by the Company to Takeda was unique to the Company and cannot be obtained by other vendors. As such, consideration in the initial transaction price was allocated to the single performance obligation and the recognition period would not extend beyond the initial contractual period. The Company recognized the revenue associated with the upfront payment and combined single performance obligation utilizing the output method over the term that manufactured supply was delivered to Takeda.</w:t>
      </w:r>
    </w:p>
    <w:p>
      <w:pPr>
        <w:spacing w:after="0" w:line="53"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12"/>
          <w:szCs w:val="12"/>
          <w:color w:val="auto"/>
        </w:rPr>
        <w:t>In determining the transaction price, the Company concluded the payment associated with all the performance milestones was fully constrained and only included in the transaction price when the respective milestone was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re-evaluated the transaction price in each reporting period, as uncertain events were resolved, or as other changes in circumstances occurred. Takeda had the right to exercise covenant release rights on a field-by-field basis. If Takeda exercised its covenant release rights, the Company could have received exercise payments per indication and would have been entitled to significant development and commercial milestone payments and tiered royalties on commercial sales. The Company determined that a significant financing component did not exist in its arrangement with Takeda. The Company also determined the options to negotiate additional fields, pursue other products, enter into a supply agreement explore additional fields, and pursue additional development under the initial fields did not represent material rights under the agreement. Takeda had the right to terminate the Takeda Agreement in its entirety or on a field-by-field basis, upon 90 days’ written notice to the Company.</w:t>
      </w:r>
    </w:p>
    <w:p>
      <w:pPr>
        <w:spacing w:after="0" w:line="56"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On March 9, 2023, the Company was notified by Takeda of the achievement of the milestone event related to the completion of a non-clinical milestone for one of the specified disease indications within the field of lysosomal storage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disorders under the Takeda Agreement. Accordingly, the Company received a milestone payment of $0.5 million during the year ended December 31, 2023.</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Takeda Agreement was terminated effective July 25, 2023, following Takeda’s decision to discontinue discovery and preclinical activities in adeno-associated virus, or AAV, gene therapy.</w:t>
      </w:r>
    </w:p>
    <w:p>
      <w:pPr>
        <w:spacing w:after="0" w:line="78"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and 2023, there were no unsatisfied performance obligations related to the Takeda Agreement. No revenue and revenue of $0.6 million related to the Takeda Agreement was recognized during the years ended December 31, 2024 and 2023, respectively.</w:t>
      </w:r>
    </w:p>
    <w:p>
      <w:pPr>
        <w:spacing w:after="0" w:line="35" w:lineRule="exact"/>
        <w:rPr>
          <w:sz w:val="20"/>
          <w:szCs w:val="20"/>
          <w:color w:val="auto"/>
        </w:rPr>
      </w:pPr>
    </w:p>
    <w:p>
      <w:pPr>
        <w:jc w:val="right"/>
        <w:ind w:right="9300"/>
        <w:spacing w:after="0"/>
        <w:rPr>
          <w:sz w:val="20"/>
          <w:szCs w:val="20"/>
          <w:color w:val="auto"/>
        </w:rPr>
      </w:pPr>
      <w:r>
        <w:rPr>
          <w:rFonts w:ascii="Times New Roman" w:cs="Times New Roman" w:eastAsia="Times New Roman" w:hAnsi="Times New Roman"/>
          <w:sz w:val="11"/>
          <w:szCs w:val="11"/>
          <w:b w:val="1"/>
          <w:bCs w:val="1"/>
          <w:color w:val="auto"/>
        </w:rPr>
        <w:t>Swedish Orphan Biovitrum AB (publ.)</w:t>
      </w:r>
    </w:p>
    <w:p>
      <w:pPr>
        <w:spacing w:after="0" w:line="92" w:lineRule="exact"/>
        <w:rPr>
          <w:sz w:val="20"/>
          <w:szCs w:val="20"/>
          <w:color w:val="auto"/>
        </w:rPr>
      </w:pPr>
    </w:p>
    <w:p>
      <w:pPr>
        <w:jc w:val="right"/>
        <w:ind w:right="9280"/>
        <w:spacing w:after="0"/>
        <w:rPr>
          <w:sz w:val="20"/>
          <w:szCs w:val="20"/>
          <w:color w:val="auto"/>
        </w:rPr>
      </w:pPr>
      <w:r>
        <w:rPr>
          <w:rFonts w:ascii="Times New Roman" w:cs="Times New Roman" w:eastAsia="Times New Roman" w:hAnsi="Times New Roman"/>
          <w:sz w:val="12"/>
          <w:szCs w:val="12"/>
          <w:i w:val="1"/>
          <w:iCs w:val="1"/>
          <w:color w:val="auto"/>
        </w:rPr>
        <w:t>License and Development Agreement</w:t>
      </w:r>
    </w:p>
    <w:p>
      <w:pPr>
        <w:spacing w:after="0" w:line="71" w:lineRule="exact"/>
        <w:rPr>
          <w:sz w:val="20"/>
          <w:szCs w:val="20"/>
          <w:color w:val="auto"/>
        </w:rPr>
      </w:pPr>
    </w:p>
    <w:p>
      <w:pPr>
        <w:ind w:firstLine="216"/>
        <w:spacing w:after="0"/>
        <w:rPr>
          <w:sz w:val="20"/>
          <w:szCs w:val="20"/>
          <w:color w:val="auto"/>
        </w:rPr>
      </w:pPr>
      <w:r>
        <w:rPr>
          <w:rFonts w:ascii="Times New Roman" w:cs="Times New Roman" w:eastAsia="Times New Roman" w:hAnsi="Times New Roman"/>
          <w:sz w:val="12"/>
          <w:szCs w:val="12"/>
          <w:color w:val="auto"/>
        </w:rPr>
        <w:t>On June 11, 2020, the Company and Sobi entered into a License and Development Agreement.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63"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1"/>
          <w:szCs w:val="11"/>
          <w:color w:val="auto"/>
        </w:rPr>
        <w:t>Pursuant to the Sobi License, the Company agreed to supply (at cost) quantities of the Compound and ImmTOR as necessary for completion of the two Phase 3 clinical trials of SEL-212 (DISSOLVE I and DISSOLVE II) and a six-month placebo extension. The Company was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38"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47"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12 for details.</w:t>
      </w:r>
    </w:p>
    <w:p>
      <w:pPr>
        <w:spacing w:after="0" w:line="39" w:lineRule="exact"/>
        <w:rPr>
          <w:sz w:val="20"/>
          <w:szCs w:val="20"/>
          <w:color w:val="auto"/>
        </w:rPr>
      </w:pPr>
    </w:p>
    <w:p>
      <w:pPr>
        <w:jc w:val="both"/>
        <w:ind w:right="20" w:firstLine="216"/>
        <w:spacing w:after="0" w:line="257" w:lineRule="auto"/>
        <w:rPr>
          <w:sz w:val="20"/>
          <w:szCs w:val="20"/>
          <w:color w:val="auto"/>
        </w:rPr>
      </w:pPr>
      <w:r>
        <w:rPr>
          <w:rFonts w:ascii="Times New Roman" w:cs="Times New Roman" w:eastAsia="Times New Roman" w:hAnsi="Times New Roman"/>
          <w:sz w:val="12"/>
          <w:szCs w:val="12"/>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3"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Company determined that the Sobi License contained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was optional for Sobi and the Company was to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50"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In determining the transaction price, the Company concluded the upfront payment of $75.0 million and the $5.0 million development milestone associated with the dosing of the first patient in the Phase 3 DISSOLVE trials were included in the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2"/>
          <w:szCs w:val="12"/>
          <w:color w:val="auto"/>
        </w:rPr>
        <w:t>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 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56"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1"/>
          <w:szCs w:val="11"/>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determined the standalone selling price of the second source supplier option by determining the discount given to Sobi multiplied by the likelihood that Sobi would have exercised the option in the future. Similar to the Phase 3 program estimate, the Company estimated the discount of the option by forecasting the set-up costs and applying a margin that is reflective of the industry. As the Company was to provide the set-up and technology transfer services and the future supply at cost, the discount of the option was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38"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The Company determined that the delivery of the supply to Sobi best represented the pattern of delivery of the Combined License Obligation as the supply was essential to the utility of the license and know-how. The Company recognized the revenue allocated to the Combined License Obligation by utilizing the output method. The Company estimated the total supply of the Compound and ImmTOR required during the clinical trial period and recognized revenue as this supply was shipped for use in the clinical trials. The Company recognized the revenue allocated to the conducting of the Phase 3 DISSOLVE trials obligation by utilizing the input method. The Company estimated the total budgeted costs to be incurred over the Phase 3 DISSOLVE trials and recognized revenue as these costs were incurred. The Company’s costs best represented the pattern of transfer as these captured all performance of the trials completed to date and were readily able to be measured. The Company was to recognize the revenue allocated to the second source supplier option when the future services and goods were transferred.</w:t>
      </w:r>
    </w:p>
    <w:p>
      <w:pPr>
        <w:spacing w:after="0" w:line="53"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30" w:lineRule="exact"/>
        <w:rPr>
          <w:sz w:val="20"/>
          <w:szCs w:val="20"/>
          <w:color w:val="auto"/>
        </w:rPr>
      </w:pPr>
    </w:p>
    <w:p>
      <w:pPr>
        <w:ind w:right="200" w:firstLine="216"/>
        <w:spacing w:after="0" w:line="242" w:lineRule="auto"/>
        <w:rPr>
          <w:sz w:val="20"/>
          <w:szCs w:val="20"/>
          <w:color w:val="auto"/>
        </w:rPr>
      </w:pPr>
      <w:r>
        <w:rPr>
          <w:rFonts w:ascii="Times New Roman" w:cs="Times New Roman" w:eastAsia="Times New Roman" w:hAnsi="Times New Roman"/>
          <w:sz w:val="12"/>
          <w:szCs w:val="12"/>
          <w:color w:val="auto"/>
        </w:rPr>
        <w:t>On October 31, 2023, the Company and Sobi entered into Amendment No. 1 to the License and Development Agreement, pursuant to which the Company granted Sobi an exclusive license to manufacture ImmTOR solely in connection with Sobi’s development of SEL-212 under the License and Development Agreement and transferred certain contracts and manufacturing equipment to Sobi. Additionally, Sobi’s option to set-up a second source supplier was removed as a result of the amendment. Further,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June 28, 2024, Sobi initiated a rolling biologics license application to the FDA for SEL-212 for the potential treatment of chronic refractory gout which resulted in the achievement of a development milestone and a</w:t>
      </w:r>
    </w:p>
    <w:p>
      <w:pPr>
        <w:spacing w:after="0" w:line="1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2"/>
          <w:szCs w:val="12"/>
          <w:color w:val="auto"/>
        </w:rPr>
        <w:t>$30.0 million payment obligation from Sobi to the Company. As a result, the development milestone was no longer constrained and $30.0 million was recognized as revenue during the year ended December 31, 2024 as there were no remaining performance obligations under the Sobi License. The proceeds from the achievement of the development milestone were received from Sobi in July 2024 and are expected to be included, net of deductions as specified in the CVR Agreement, in the next scheduled distribution to holders of the CVRs in March 2025.</w:t>
      </w:r>
    </w:p>
    <w:p>
      <w:pPr>
        <w:spacing w:after="0" w:line="53"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2024 and 2023, the Company recorded a total outstanding receivable of $0.1 million and $4.6 million, respectively, representing billings for the Phase 3 DISSOLVE program that are subject to reimbursement by Sobi. Additionally, as of December 31, 2023, the Company recorded a total unbilled receivable of $3.0 million representing revenue earned but not yet billed for the Phase 3 DISSOLVE program. As of December 31, 2024, there was no unbilled receivable outstanding. Revenue of $31.9 million, inclusive of the $30.0 million development milestone, related to the Sobi License was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recognized during the year ended December 31, 2024, and $1.9 million of revenue recognized from performance obligations related to prior periods as a result of the change in transaction price during the year ended December 31, 2024. Revenue of $19.4 million related to the Sobi License was recognized during the year ended December 31, 2023, inclusive of $1.1 million of revenue recognized from performance obligations related to prior periods as a result of the change in transaction price during the year ended December 31, 2023.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Sarepta Therapeutics, Inc.</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Research License and Option Agreement</w:t>
      </w:r>
    </w:p>
    <w:p>
      <w:pPr>
        <w:spacing w:after="0" w:line="71" w:lineRule="exact"/>
        <w:rPr>
          <w:sz w:val="20"/>
          <w:szCs w:val="20"/>
          <w:color w:val="auto"/>
        </w:rPr>
      </w:pPr>
    </w:p>
    <w:p>
      <w:pPr>
        <w:ind w:right="60" w:firstLine="216"/>
        <w:spacing w:after="0" w:line="242" w:lineRule="auto"/>
        <w:rPr>
          <w:sz w:val="20"/>
          <w:szCs w:val="20"/>
          <w:color w:val="auto"/>
        </w:rPr>
      </w:pPr>
      <w:r>
        <w:rPr>
          <w:rFonts w:ascii="Times New Roman" w:cs="Times New Roman" w:eastAsia="Times New Roman" w:hAnsi="Times New Roman"/>
          <w:sz w:val="12"/>
          <w:szCs w:val="12"/>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w:t>
      </w:r>
    </w:p>
    <w:p>
      <w:pPr>
        <w:spacing w:after="0" w:line="60"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Sarepta paid a $2.0 million upfront payment to the Company upon signing of the Sarepta Agreement, and the Company was eligible to receive additional preclinical payments during the option term. If Sarepta opted in to an exclusive license agreement, the Company could have received option exercise payments per Indication upon execution of the exclusive license, and the Company would have been entitled to significant development and commercial milestone payments and tiered royalties ranging from the mid-to-high single digits based on net sales.</w:t>
      </w:r>
    </w:p>
    <w:p>
      <w:pPr>
        <w:spacing w:after="0" w:line="47"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Pursuant to the Sarepta Agreement, the Company determined the Sarepta Agreement represented a service arrangement under the scope of ASC 606, with a 24-month contract duration. Given the reversion of the rights under the Sarepta Agreement represents a penalty in substance for a termination by Sarepta, the contract term would remain the stated term of the Sarepta Agreement.</w:t>
      </w:r>
    </w:p>
    <w:p>
      <w:pPr>
        <w:spacing w:after="0" w:line="3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Company determined that the Sarepta Agreement and supply obligation including the delivery of the research license, the licensed know-how, the manufactured supply and delivery of materials represented a single promise and performance obligation to be transferred to Sarepta over time due to the nature of the promises in the contract. The delivery of the manufactured supply was the predominant promise within the arrangement, as it was essential to the utility of the licensed intellectual property. As such, consideration in the initial transaction price was allocated to the single performance obligation based on the contractual price.</w:t>
      </w:r>
    </w:p>
    <w:p>
      <w:pPr>
        <w:spacing w:after="0" w:line="4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determining the transaction price, the Company concluded the payment associated with all the performance milestones was fully constrained and would only be included in the transaction price when the respective milestone was deemed probable of achievement. Each of these variable consideration items was evaluated under the most likely amount method to determine whether such amounts were probable of occurrence, or whether such amounts should have been constrained until they became probable. As part of its evaluation of the constraint, the Company considered numerous factors, including that receipt of such study milestones was outside the control of the Company and probability of success criteria was estimated.</w:t>
      </w:r>
    </w:p>
    <w:p>
      <w:pPr>
        <w:spacing w:after="0" w:line="5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Company also determined the option to enter into a future commercial license agreement and extend the term of the option did not represent a material right since it was not priced at an incremental discount. Sarepta had the right to terminate the Sarepta Agreement for any reason upon 30 days’ written notice to the Company. The Sarepta Agreement contained other customary terms and conditions, including representations and warranties, covenants, termination, and indemnification obligations in favor of each party.</w:t>
      </w:r>
    </w:p>
    <w:p>
      <w:pPr>
        <w:spacing w:after="0" w:line="47"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39"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year ended December 31, 2022.</w:t>
      </w:r>
    </w:p>
    <w:p>
      <w:pPr>
        <w:spacing w:after="0" w:line="39"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On June 15, 2022, the Company was notified by Sarepta of the achievement of a milestone event related to certain preclinical study milestones under the Sarepta Agreement. Accordingly, the Company received a milestone payment of $4.0 million during the year ended December 31, 2022.</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On March 13, 2023, the Company was notified by Sarepta that Sarepta would not be exercising its exclusive option under the Sarepta Agreement. The Sarepta Agreement terminated upon the expiration of the option in March 2023.</w:t>
      </w:r>
    </w:p>
    <w:p>
      <w:pPr>
        <w:spacing w:after="0" w:line="39"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and 2023, there were no unsatisfied performance obligations related to the Sarepta Agreement. No revenue and revenue of $0.5 million related to the Sarepta Agreement was recognized during the years ended December 31, 2024 and 2023, respectively.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Price Allocated to Future Performance Obligations</w:t>
      </w:r>
    </w:p>
    <w:p>
      <w:pPr>
        <w:spacing w:after="0" w:line="73" w:lineRule="exact"/>
        <w:rPr>
          <w:sz w:val="20"/>
          <w:szCs w:val="20"/>
          <w:color w:val="auto"/>
        </w:rPr>
      </w:pPr>
    </w:p>
    <w:p>
      <w:pPr>
        <w:ind w:right="60" w:firstLine="216"/>
        <w:spacing w:after="0" w:line="264" w:lineRule="auto"/>
        <w:rPr>
          <w:sz w:val="20"/>
          <w:szCs w:val="20"/>
          <w:color w:val="auto"/>
        </w:rPr>
      </w:pPr>
      <w:r>
        <w:rPr>
          <w:rFonts w:ascii="Times New Roman" w:cs="Times New Roman" w:eastAsia="Times New Roman" w:hAnsi="Times New Roman"/>
          <w:sz w:val="12"/>
          <w:szCs w:val="12"/>
          <w:color w:val="auto"/>
        </w:rPr>
        <w:t>Remaining performance obligations represent the transaction price of contracts for which work has not been performed, or has been partially performed. As of December 31, 2024, there were no unsatisfied performance obligations from contracts with customers.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Balances from Contracts with Customers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changes in the Company’s contract liabilities during the year ended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360" w:type="dxa"/>
            <w:vAlign w:val="bottom"/>
          </w:tcPr>
          <w:p>
            <w:pPr>
              <w:spacing w:after="0"/>
              <w:rPr>
                <w:sz w:val="10"/>
                <w:szCs w:val="10"/>
                <w:color w:val="auto"/>
              </w:rPr>
            </w:pP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8"/>
              </w:rPr>
              <w:t>Balance at</w:t>
            </w:r>
          </w:p>
        </w:tc>
      </w:tr>
      <w:tr>
        <w:trPr>
          <w:trHeight w:val="143"/>
        </w:trPr>
        <w:tc>
          <w:tcPr>
            <w:tcW w:w="4360" w:type="dxa"/>
            <w:vAlign w:val="bottom"/>
          </w:tcPr>
          <w:p>
            <w:pPr>
              <w:spacing w:after="0"/>
              <w:rPr>
                <w:sz w:val="12"/>
                <w:szCs w:val="12"/>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beginning of period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Additions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Deductions</w:t>
            </w:r>
          </w:p>
        </w:tc>
        <w:tc>
          <w:tcPr>
            <w:tcW w:w="300" w:type="dxa"/>
            <w:vAlign w:val="bottom"/>
          </w:tcPr>
          <w:p>
            <w:pPr>
              <w:spacing w:after="0"/>
              <w:rPr>
                <w:sz w:val="12"/>
                <w:szCs w:val="12"/>
                <w:color w:val="auto"/>
              </w:rPr>
            </w:pPr>
          </w:p>
        </w:tc>
        <w:tc>
          <w:tcPr>
            <w:tcW w:w="1340" w:type="dxa"/>
            <w:vAlign w:val="bottom"/>
          </w:tcPr>
          <w:p>
            <w:pPr>
              <w:jc w:val="center"/>
              <w:ind w:right="252"/>
              <w:spacing w:after="0"/>
              <w:rPr>
                <w:sz w:val="20"/>
                <w:szCs w:val="20"/>
                <w:color w:val="auto"/>
              </w:rPr>
            </w:pPr>
            <w:r>
              <w:rPr>
                <w:rFonts w:ascii="Times New Roman" w:cs="Times New Roman" w:eastAsia="Times New Roman" w:hAnsi="Times New Roman"/>
                <w:sz w:val="10"/>
                <w:szCs w:val="10"/>
                <w:b w:val="1"/>
                <w:bCs w:val="1"/>
                <w:color w:val="auto"/>
                <w:w w:val="98"/>
              </w:rPr>
              <w:t>end of period</w:t>
            </w:r>
          </w:p>
        </w:tc>
      </w:tr>
      <w:tr>
        <w:trPr>
          <w:trHeight w:val="123"/>
        </w:trPr>
        <w:tc>
          <w:tcPr>
            <w:tcW w:w="436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Contract liabilities:</w:t>
            </w:r>
          </w:p>
        </w:tc>
        <w:tc>
          <w:tcPr>
            <w:tcW w:w="13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r>
      <w:tr>
        <w:trPr>
          <w:trHeight w:val="129"/>
        </w:trPr>
        <w:tc>
          <w:tcPr>
            <w:tcW w:w="4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Deferred revenue</w:t>
            </w:r>
          </w:p>
        </w:tc>
        <w:tc>
          <w:tcPr>
            <w:tcW w:w="1320" w:type="dxa"/>
            <w:vAlign w:val="bottom"/>
          </w:tcPr>
          <w:p>
            <w:pPr>
              <w:jc w:val="right"/>
              <w:ind w:right="1212"/>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5,849</w:t>
            </w:r>
          </w:p>
        </w:tc>
        <w:tc>
          <w:tcPr>
            <w:tcW w:w="80" w:type="dxa"/>
            <w:vAlign w:val="bottom"/>
          </w:tcPr>
          <w:p>
            <w:pPr>
              <w:spacing w:after="0"/>
              <w:rPr>
                <w:sz w:val="11"/>
                <w:szCs w:val="11"/>
                <w:color w:val="auto"/>
              </w:rPr>
            </w:pPr>
          </w:p>
        </w:tc>
        <w:tc>
          <w:tcPr>
            <w:tcW w:w="1260" w:type="dxa"/>
            <w:vAlign w:val="bottom"/>
          </w:tcPr>
          <w:p>
            <w:pPr>
              <w:jc w:val="right"/>
              <w:ind w:right="115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(5,849)</w:t>
            </w:r>
          </w:p>
        </w:tc>
        <w:tc>
          <w:tcPr>
            <w:tcW w:w="10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tcPr>
          <w:p>
            <w:pPr>
              <w:ind w:left="1200"/>
              <w:spacing w:after="0"/>
              <w:rPr>
                <w:sz w:val="20"/>
                <w:szCs w:val="20"/>
                <w:color w:val="auto"/>
              </w:rPr>
            </w:pPr>
            <w:r>
              <w:rPr>
                <w:rFonts w:ascii="Times New Roman" w:cs="Times New Roman" w:eastAsia="Times New Roman" w:hAnsi="Times New Roman"/>
                <w:sz w:val="10"/>
                <w:szCs w:val="10"/>
                <w:color w:val="auto"/>
              </w:rPr>
              <w:t>—</w:t>
            </w:r>
          </w:p>
        </w:tc>
      </w:tr>
      <w:tr>
        <w:trPr>
          <w:trHeight w:val="146"/>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contract liabilities</w:t>
            </w:r>
          </w:p>
        </w:tc>
        <w:tc>
          <w:tcPr>
            <w:tcW w:w="1320" w:type="dxa"/>
            <w:vAlign w:val="bottom"/>
            <w:tcBorders>
              <w:top w:val="single" w:sz="8" w:color="auto"/>
              <w:bottom w:val="single" w:sz="8" w:color="auto"/>
            </w:tcBorders>
            <w:shd w:val="clear" w:color="auto" w:fill="CCEEFF"/>
          </w:tcPr>
          <w:p>
            <w:pPr>
              <w:jc w:val="right"/>
              <w:ind w:right="1212"/>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(5,849)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0"/>
                <w:szCs w:val="10"/>
                <w:color w:val="auto"/>
              </w:rPr>
              <w:t>—</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Grant revenue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National Institute of Neurological Disorders and Stroke of the National Institutes of Health</w:t>
      </w:r>
    </w:p>
    <w:p>
      <w:pPr>
        <w:spacing w:after="0" w:line="8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Subject to the availability of funds and satisfactory progress of the project, an additional $1.5 million has been recommended by NINDS to be awarded for the budget period June 2025 through May 2026. The initial $1.5 million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w:t>
      </w:r>
    </w:p>
    <w:p>
      <w:pPr>
        <w:spacing w:after="0" w:line="53"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recorded a receivable of $0.6 million that is subject to reimbursement by NINDS. Accordingly, the Company recognized grant revenue of $0.6 million during the year ended December 31, 2024.</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Related-Party Transactions</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2024 Securities Purchase Agreement</w:t>
      </w:r>
    </w:p>
    <w:p>
      <w:pPr>
        <w:spacing w:after="0" w:line="71" w:lineRule="exact"/>
        <w:rPr>
          <w:sz w:val="20"/>
          <w:szCs w:val="20"/>
          <w:color w:val="auto"/>
        </w:rPr>
      </w:pPr>
    </w:p>
    <w:p>
      <w:pPr>
        <w:ind w:right="260" w:firstLine="216"/>
        <w:spacing w:after="0" w:line="261" w:lineRule="auto"/>
        <w:rPr>
          <w:sz w:val="20"/>
          <w:szCs w:val="20"/>
          <w:color w:val="auto"/>
        </w:rPr>
      </w:pPr>
      <w:r>
        <w:rPr>
          <w:rFonts w:ascii="Times New Roman" w:cs="Times New Roman" w:eastAsia="Times New Roman" w:hAnsi="Times New Roman"/>
          <w:sz w:val="12"/>
          <w:szCs w:val="12"/>
          <w:color w:val="auto"/>
        </w:rPr>
        <w:t>On July 2, 2024, the Company entered into the 2024 Securities Purchase Agreement with the Purchasers. The Purchasers included (i) Dr. Timothy A. Springer, a member of the Company’s Board of Directors; (ii) TAS Partners LLC, an affiliate of Dr. Springer, and (iii) Dr. Chafen Lu, Dr. Springer’s wife (see Note 11). The below issuances and sales to related parties of the Company were made during the year ended December 31, 2024.</w:t>
      </w:r>
    </w:p>
    <w:tbl>
      <w:tblPr>
        <w:tblLayout w:type="fixed"/>
        <w:tblInd w:w="0" w:type="dxa"/>
        <w:tblCellMar>
          <w:top w:w="0" w:type="dxa"/>
          <w:left w:w="0" w:type="dxa"/>
          <w:bottom w:w="0" w:type="dxa"/>
          <w:right w:w="0" w:type="dxa"/>
        </w:tblCellMar>
      </w:tblPr>
      <w:tr>
        <w:trPr>
          <w:trHeight w:val="98"/>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20" w:type="dxa"/>
            <w:vAlign w:val="bottom"/>
            <w:gridSpan w:val="2"/>
          </w:tcPr>
          <w:p>
            <w:pPr>
              <w:jc w:val="center"/>
              <w:ind w:right="80"/>
              <w:spacing w:after="0" w:line="98" w:lineRule="exact"/>
              <w:rPr>
                <w:sz w:val="20"/>
                <w:szCs w:val="20"/>
                <w:color w:val="auto"/>
              </w:rPr>
            </w:pPr>
            <w:r>
              <w:rPr>
                <w:rFonts w:ascii="Times New Roman" w:cs="Times New Roman" w:eastAsia="Times New Roman" w:hAnsi="Times New Roman"/>
                <w:sz w:val="10"/>
                <w:szCs w:val="10"/>
                <w:b w:val="1"/>
                <w:bCs w:val="1"/>
                <w:color w:val="auto"/>
                <w:w w:val="96"/>
              </w:rPr>
              <w:t>Shares of Series B Preferred Stock</w:t>
            </w:r>
          </w:p>
        </w:tc>
        <w:tc>
          <w:tcPr>
            <w:tcW w:w="100" w:type="dxa"/>
            <w:vAlign w:val="bottom"/>
          </w:tcPr>
          <w:p>
            <w:pPr>
              <w:spacing w:after="0"/>
              <w:rPr>
                <w:sz w:val="8"/>
                <w:szCs w:val="8"/>
                <w:color w:val="auto"/>
              </w:rPr>
            </w:pPr>
          </w:p>
        </w:tc>
        <w:tc>
          <w:tcPr>
            <w:tcW w:w="1440" w:type="dxa"/>
            <w:vAlign w:val="bottom"/>
          </w:tcPr>
          <w:p>
            <w:pPr>
              <w:jc w:val="right"/>
              <w:ind w:right="92"/>
              <w:spacing w:after="0" w:line="98" w:lineRule="exact"/>
              <w:rPr>
                <w:sz w:val="20"/>
                <w:szCs w:val="20"/>
                <w:color w:val="auto"/>
              </w:rPr>
            </w:pPr>
            <w:r>
              <w:rPr>
                <w:rFonts w:ascii="Times New Roman" w:cs="Times New Roman" w:eastAsia="Times New Roman" w:hAnsi="Times New Roman"/>
                <w:sz w:val="10"/>
                <w:szCs w:val="10"/>
                <w:b w:val="1"/>
                <w:bCs w:val="1"/>
                <w:color w:val="auto"/>
                <w:w w:val="96"/>
              </w:rPr>
              <w:t>Total aggregate purchase price</w:t>
            </w:r>
          </w:p>
        </w:tc>
        <w:tc>
          <w:tcPr>
            <w:tcW w:w="0" w:type="dxa"/>
            <w:vAlign w:val="bottom"/>
          </w:tcPr>
          <w:p>
            <w:pPr>
              <w:spacing w:after="0"/>
              <w:rPr>
                <w:sz w:val="1"/>
                <w:szCs w:val="1"/>
                <w:color w:val="auto"/>
              </w:rPr>
            </w:pPr>
          </w:p>
        </w:tc>
      </w:tr>
      <w:tr>
        <w:trPr>
          <w:trHeight w:val="130"/>
        </w:trPr>
        <w:tc>
          <w:tcPr>
            <w:tcW w:w="8140" w:type="dxa"/>
            <w:vAlign w:val="bottom"/>
            <w:gridSpan w:val="2"/>
            <w:vMerge w:val="continue"/>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purchased</w:t>
            </w:r>
          </w:p>
        </w:tc>
        <w:tc>
          <w:tcPr>
            <w:tcW w:w="100" w:type="dxa"/>
            <w:vAlign w:val="bottom"/>
          </w:tcPr>
          <w:p>
            <w:pPr>
              <w:spacing w:after="0"/>
              <w:rPr>
                <w:sz w:val="11"/>
                <w:szCs w:val="11"/>
                <w:color w:val="auto"/>
              </w:rPr>
            </w:pPr>
          </w:p>
        </w:tc>
        <w:tc>
          <w:tcPr>
            <w:tcW w:w="144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0" w:type="dxa"/>
            <w:vAlign w:val="bottom"/>
          </w:tcPr>
          <w:p>
            <w:pPr>
              <w:spacing w:after="0"/>
              <w:rPr>
                <w:sz w:val="1"/>
                <w:szCs w:val="1"/>
                <w:color w:val="auto"/>
              </w:rPr>
            </w:pPr>
          </w:p>
        </w:tc>
      </w:tr>
      <w:tr>
        <w:trPr>
          <w:trHeight w:val="129"/>
        </w:trPr>
        <w:tc>
          <w:tcPr>
            <w:tcW w:w="8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Timothy A. Springer, Ph.D.</w:t>
            </w: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1,636,832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32,737</w:t>
            </w:r>
          </w:p>
        </w:tc>
        <w:tc>
          <w:tcPr>
            <w:tcW w:w="0" w:type="dxa"/>
            <w:vAlign w:val="bottom"/>
          </w:tcPr>
          <w:p>
            <w:pPr>
              <w:spacing w:after="0"/>
              <w:rPr>
                <w:sz w:val="1"/>
                <w:szCs w:val="1"/>
                <w:color w:val="auto"/>
              </w:rPr>
            </w:pPr>
          </w:p>
        </w:tc>
      </w:tr>
      <w:tr>
        <w:trPr>
          <w:trHeight w:val="129"/>
        </w:trPr>
        <w:tc>
          <w:tcPr>
            <w:tcW w:w="8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TAS Partners LLC, affiliate of Timothy A. Springer, Ph.D.</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721,361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14,427</w:t>
            </w:r>
          </w:p>
        </w:tc>
        <w:tc>
          <w:tcPr>
            <w:tcW w:w="0" w:type="dxa"/>
            <w:vAlign w:val="bottom"/>
          </w:tcPr>
          <w:p>
            <w:pPr>
              <w:spacing w:after="0"/>
              <w:rPr>
                <w:sz w:val="1"/>
                <w:szCs w:val="1"/>
                <w:color w:val="auto"/>
              </w:rPr>
            </w:pPr>
          </w:p>
        </w:tc>
      </w:tr>
      <w:tr>
        <w:trPr>
          <w:trHeight w:val="141"/>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Chafen Lu, Ph.D., wife of Timothy A. Springer, Ph.D.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2023 Securities Purchase Agreement</w:t>
      </w:r>
    </w:p>
    <w:p>
      <w:pPr>
        <w:spacing w:after="0" w:line="71"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12"/>
          <w:szCs w:val="12"/>
          <w:color w:val="auto"/>
        </w:rPr>
        <w:t>On November 13, 2023, the Company entered into the 2023 Securities Purchase Agreement with (i) Dr. Timothy A. Springer, (ii) TAS Partners LLC, and (iii) Seven One Eight Three Four Irrevocable Trust, a trust associated with Dr. Murat Kalayoglu, in which the Company agreed to issue and sell an aggregate of 149,330.115 shares of Series A Preferred Stock for an aggregate purchase price of $60.25 million (see Note 11). The 2023 Private Placement included a delayed settlement mechanism, and as a result, the below issuances and sales to related parties of the Company were made during the year ended December 31, 2024.</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7" w:name="page118"/>
    <w:bookmarkEnd w:id="11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Shares of Series A Preferred Stock</w:t>
            </w:r>
          </w:p>
        </w:tc>
        <w:tc>
          <w:tcPr>
            <w:tcW w:w="100" w:type="dxa"/>
            <w:vAlign w:val="bottom"/>
          </w:tcPr>
          <w:p>
            <w:pPr>
              <w:spacing w:after="0"/>
              <w:rPr>
                <w:sz w:val="10"/>
                <w:szCs w:val="10"/>
                <w:color w:val="auto"/>
              </w:rPr>
            </w:pP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Total aggregate purchase price</w:t>
            </w:r>
          </w:p>
        </w:tc>
        <w:tc>
          <w:tcPr>
            <w:tcW w:w="0" w:type="dxa"/>
            <w:vAlign w:val="bottom"/>
          </w:tcPr>
          <w:p>
            <w:pPr>
              <w:spacing w:after="0"/>
              <w:rPr>
                <w:sz w:val="1"/>
                <w:szCs w:val="1"/>
                <w:color w:val="auto"/>
              </w:rPr>
            </w:pPr>
          </w:p>
        </w:tc>
      </w:tr>
      <w:tr>
        <w:trPr>
          <w:trHeight w:val="129"/>
        </w:trPr>
        <w:tc>
          <w:tcPr>
            <w:tcW w:w="8140" w:type="dxa"/>
            <w:vAlign w:val="bottom"/>
            <w:gridSpan w:val="2"/>
            <w:vMerge w:val="continue"/>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purchased</w:t>
            </w:r>
          </w:p>
        </w:tc>
        <w:tc>
          <w:tcPr>
            <w:tcW w:w="100" w:type="dxa"/>
            <w:vAlign w:val="bottom"/>
          </w:tcPr>
          <w:p>
            <w:pPr>
              <w:spacing w:after="0"/>
              <w:rPr>
                <w:sz w:val="11"/>
                <w:szCs w:val="11"/>
                <w:color w:val="auto"/>
              </w:rPr>
            </w:pP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0" w:type="dxa"/>
            <w:vAlign w:val="bottom"/>
          </w:tcPr>
          <w:p>
            <w:pPr>
              <w:spacing w:after="0"/>
              <w:rPr>
                <w:sz w:val="1"/>
                <w:szCs w:val="1"/>
                <w:color w:val="auto"/>
              </w:rPr>
            </w:pPr>
          </w:p>
        </w:tc>
      </w:tr>
      <w:tr>
        <w:trPr>
          <w:trHeight w:val="128"/>
        </w:trPr>
        <w:tc>
          <w:tcPr>
            <w:tcW w:w="8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Timothy A. Springer, Ph.D.</w:t>
            </w: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99,140.326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below issuances and sales to related parties of the Company were made subject to the 2023 Private Placement during the year ended December 31, 2023.</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Shares of Series A Preferred Stock</w:t>
            </w:r>
          </w:p>
        </w:tc>
        <w:tc>
          <w:tcPr>
            <w:tcW w:w="100" w:type="dxa"/>
            <w:vAlign w:val="bottom"/>
          </w:tcPr>
          <w:p>
            <w:pPr>
              <w:spacing w:after="0"/>
              <w:rPr>
                <w:sz w:val="10"/>
                <w:szCs w:val="10"/>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95"/>
              </w:rPr>
              <w:t>Total aggregate purchase price</w:t>
            </w:r>
          </w:p>
        </w:tc>
        <w:tc>
          <w:tcPr>
            <w:tcW w:w="0" w:type="dxa"/>
            <w:vAlign w:val="bottom"/>
          </w:tcPr>
          <w:p>
            <w:pPr>
              <w:spacing w:after="0"/>
              <w:rPr>
                <w:sz w:val="1"/>
                <w:szCs w:val="1"/>
                <w:color w:val="auto"/>
              </w:rPr>
            </w:pPr>
          </w:p>
        </w:tc>
      </w:tr>
      <w:tr>
        <w:trPr>
          <w:trHeight w:val="130"/>
        </w:trPr>
        <w:tc>
          <w:tcPr>
            <w:tcW w:w="8140" w:type="dxa"/>
            <w:vAlign w:val="bottom"/>
            <w:gridSpan w:val="2"/>
            <w:vMerge w:val="continue"/>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purchased</w:t>
            </w:r>
          </w:p>
        </w:tc>
        <w:tc>
          <w:tcPr>
            <w:tcW w:w="100" w:type="dxa"/>
            <w:vAlign w:val="bottom"/>
          </w:tcPr>
          <w:p>
            <w:pPr>
              <w:spacing w:after="0"/>
              <w:rPr>
                <w:sz w:val="11"/>
                <w:szCs w:val="11"/>
                <w:color w:val="auto"/>
              </w:rPr>
            </w:pPr>
          </w:p>
        </w:tc>
        <w:tc>
          <w:tcPr>
            <w:tcW w:w="144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0" w:type="dxa"/>
            <w:vAlign w:val="bottom"/>
          </w:tcPr>
          <w:p>
            <w:pPr>
              <w:spacing w:after="0"/>
              <w:rPr>
                <w:sz w:val="1"/>
                <w:szCs w:val="1"/>
                <w:color w:val="auto"/>
              </w:rPr>
            </w:pPr>
          </w:p>
        </w:tc>
      </w:tr>
      <w:tr>
        <w:trPr>
          <w:trHeight w:val="129"/>
        </w:trPr>
        <w:tc>
          <w:tcPr>
            <w:tcW w:w="8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Timothy A. Springer, Ph.D.</w:t>
            </w: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24,785.081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0" w:type="dxa"/>
            <w:vAlign w:val="bottom"/>
          </w:tcPr>
          <w:p>
            <w:pPr>
              <w:spacing w:after="0"/>
              <w:rPr>
                <w:sz w:val="1"/>
                <w:szCs w:val="1"/>
                <w:color w:val="auto"/>
              </w:rPr>
            </w:pPr>
          </w:p>
        </w:tc>
      </w:tr>
      <w:tr>
        <w:trPr>
          <w:trHeight w:val="129"/>
        </w:trPr>
        <w:tc>
          <w:tcPr>
            <w:tcW w:w="8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TAS Partners LLC (affiliate of Timothy A. Springer, Ph.D.)</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24,785.081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0" w:type="dxa"/>
            <w:vAlign w:val="bottom"/>
          </w:tcPr>
          <w:p>
            <w:pPr>
              <w:spacing w:after="0"/>
              <w:rPr>
                <w:sz w:val="1"/>
                <w:szCs w:val="1"/>
                <w:color w:val="auto"/>
              </w:rPr>
            </w:pPr>
          </w:p>
        </w:tc>
      </w:tr>
      <w:tr>
        <w:trPr>
          <w:trHeight w:val="141"/>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Seven One Eight Three Four Irrevocable Trust (affiliate of Murat Kalayoglu, MD, Ph.D.)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619.627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Exercise of Amended 2019 Warrants</w:t>
      </w:r>
    </w:p>
    <w:p>
      <w:pPr>
        <w:spacing w:after="0" w:line="80" w:lineRule="exact"/>
        <w:rPr>
          <w:sz w:val="20"/>
          <w:szCs w:val="20"/>
          <w:color w:val="auto"/>
        </w:rPr>
      </w:pPr>
    </w:p>
    <w:p>
      <w:pPr>
        <w:ind w:left="8" w:right="200" w:firstLine="216"/>
        <w:spacing w:after="0" w:line="279" w:lineRule="auto"/>
        <w:rPr>
          <w:sz w:val="20"/>
          <w:szCs w:val="20"/>
          <w:color w:val="auto"/>
        </w:rPr>
      </w:pPr>
      <w:r>
        <w:rPr>
          <w:rFonts w:ascii="Times New Roman" w:cs="Times New Roman" w:eastAsia="Times New Roman" w:hAnsi="Times New Roman"/>
          <w:sz w:val="12"/>
          <w:szCs w:val="12"/>
          <w:color w:val="auto"/>
        </w:rPr>
        <w:t>On March 26, 2024, TAS Partners LLC exercised 65,681 Amended 2019 Warrants, paid the per-share exercise price of $43.80 in cash for an aggregate exercise price of $2.9 million, and received 65,681 shares of common stock and 1,970,443 CVRs.</w:t>
      </w:r>
    </w:p>
    <w:p>
      <w:pPr>
        <w:spacing w:after="0" w:line="269" w:lineRule="exact"/>
        <w:rPr>
          <w:sz w:val="20"/>
          <w:szCs w:val="20"/>
          <w:color w:val="auto"/>
        </w:rPr>
      </w:pPr>
    </w:p>
    <w:p>
      <w:pPr>
        <w:ind w:left="8" w:right="9140" w:hanging="8"/>
        <w:spacing w:after="0" w:line="379" w:lineRule="auto"/>
        <w:tabs>
          <w:tab w:leader="none" w:pos="188" w:val="left"/>
        </w:tabs>
        <w:numPr>
          <w:ilvl w:val="0"/>
          <w:numId w:val="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Collaboration and License Agreements Biogen MA, Inc.</w:t>
      </w:r>
    </w:p>
    <w:p>
      <w:pPr>
        <w:ind w:left="8" w:right="140" w:firstLine="216"/>
        <w:spacing w:after="0" w:line="300" w:lineRule="auto"/>
        <w:rPr>
          <w:sz w:val="20"/>
          <w:szCs w:val="20"/>
          <w:color w:val="auto"/>
        </w:rPr>
      </w:pPr>
      <w:r>
        <w:rPr>
          <w:rFonts w:ascii="Times New Roman" w:cs="Times New Roman" w:eastAsia="Times New Roman" w:hAnsi="Times New Roman"/>
          <w:sz w:val="11"/>
          <w:szCs w:val="11"/>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30" w:lineRule="exact"/>
        <w:rPr>
          <w:sz w:val="20"/>
          <w:szCs w:val="20"/>
          <w:color w:val="auto"/>
        </w:rPr>
      </w:pPr>
    </w:p>
    <w:p>
      <w:pPr>
        <w:jc w:val="both"/>
        <w:ind w:left="8" w:right="40" w:firstLine="216"/>
        <w:spacing w:after="0" w:line="265" w:lineRule="auto"/>
        <w:rPr>
          <w:sz w:val="20"/>
          <w:szCs w:val="20"/>
          <w:color w:val="auto"/>
        </w:rPr>
      </w:pPr>
      <w:r>
        <w:rPr>
          <w:rFonts w:ascii="Times New Roman" w:cs="Times New Roman" w:eastAsia="Times New Roman" w:hAnsi="Times New Roman"/>
          <w:sz w:val="12"/>
          <w:szCs w:val="12"/>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47" w:lineRule="exact"/>
        <w:rPr>
          <w:sz w:val="20"/>
          <w:szCs w:val="20"/>
          <w:color w:val="auto"/>
        </w:rPr>
      </w:pPr>
    </w:p>
    <w:p>
      <w:pPr>
        <w:ind w:left="8" w:right="200" w:firstLine="216"/>
        <w:spacing w:after="0" w:line="265" w:lineRule="auto"/>
        <w:rPr>
          <w:sz w:val="20"/>
          <w:szCs w:val="20"/>
          <w:color w:val="auto"/>
        </w:rPr>
      </w:pPr>
      <w:r>
        <w:rPr>
          <w:rFonts w:ascii="Times New Roman" w:cs="Times New Roman" w:eastAsia="Times New Roman" w:hAnsi="Times New Roman"/>
          <w:sz w:val="12"/>
          <w:szCs w:val="12"/>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National Cancer Institute of the National Institutes of Health</w:t>
      </w:r>
    </w:p>
    <w:p>
      <w:pPr>
        <w:spacing w:after="0" w:line="82" w:lineRule="exact"/>
        <w:rPr>
          <w:sz w:val="20"/>
          <w:szCs w:val="20"/>
          <w:color w:val="auto"/>
        </w:rPr>
      </w:pPr>
    </w:p>
    <w:p>
      <w:pPr>
        <w:ind w:left="8" w:right="40" w:firstLine="216"/>
        <w:spacing w:after="0" w:line="279" w:lineRule="auto"/>
        <w:rPr>
          <w:sz w:val="20"/>
          <w:szCs w:val="20"/>
          <w:color w:val="auto"/>
        </w:rPr>
      </w:pPr>
      <w:r>
        <w:rPr>
          <w:rFonts w:ascii="Times New Roman" w:cs="Times New Roman" w:eastAsia="Times New Roman" w:hAnsi="Times New Roman"/>
          <w:sz w:val="12"/>
          <w:szCs w:val="12"/>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39" w:lineRule="exact"/>
        <w:rPr>
          <w:sz w:val="20"/>
          <w:szCs w:val="20"/>
          <w:color w:val="auto"/>
        </w:rPr>
      </w:pPr>
    </w:p>
    <w:p>
      <w:pPr>
        <w:ind w:left="8" w:right="200" w:firstLine="216"/>
        <w:spacing w:after="0" w:line="265" w:lineRule="auto"/>
        <w:rPr>
          <w:sz w:val="20"/>
          <w:szCs w:val="20"/>
          <w:color w:val="auto"/>
        </w:rPr>
      </w:pPr>
      <w:r>
        <w:rPr>
          <w:rFonts w:ascii="Times New Roman" w:cs="Times New Roman" w:eastAsia="Times New Roman" w:hAnsi="Times New Roman"/>
          <w:sz w:val="12"/>
          <w:szCs w:val="12"/>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47" w:lineRule="exact"/>
        <w:rPr>
          <w:sz w:val="20"/>
          <w:szCs w:val="20"/>
          <w:color w:val="auto"/>
        </w:rPr>
      </w:pPr>
    </w:p>
    <w:p>
      <w:pPr>
        <w:jc w:val="both"/>
        <w:ind w:left="8" w:right="6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47" w:lineRule="exact"/>
        <w:rPr>
          <w:sz w:val="20"/>
          <w:szCs w:val="20"/>
          <w:color w:val="auto"/>
        </w:rPr>
      </w:pPr>
    </w:p>
    <w:p>
      <w:pPr>
        <w:jc w:val="both"/>
        <w:ind w:left="8" w:right="40" w:firstLine="216"/>
        <w:spacing w:after="0" w:line="279" w:lineRule="auto"/>
        <w:rPr>
          <w:sz w:val="20"/>
          <w:szCs w:val="20"/>
          <w:color w:val="auto"/>
        </w:rPr>
      </w:pPr>
      <w:r>
        <w:rPr>
          <w:rFonts w:ascii="Times New Roman" w:cs="Times New Roman" w:eastAsia="Times New Roman" w:hAnsi="Times New Roman"/>
          <w:sz w:val="12"/>
          <w:szCs w:val="12"/>
          <w:color w:val="auto"/>
        </w:rPr>
        <w:t>Under the NCI Agreement, the Company must use reasonable commercial efforts to bring licensed products and licensed processes to the point of Practical Application (as defined in the NCI Agreement). Upon the Company’s first commercial sale,</w:t>
      </w:r>
    </w:p>
    <w:p>
      <w:pPr>
        <w:spacing w:after="0" w:line="3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50"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39"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w:t>
      </w:r>
    </w:p>
    <w:p>
      <w:pPr>
        <w:spacing w:after="0" w:line="44" w:lineRule="exact"/>
        <w:rPr>
          <w:sz w:val="20"/>
          <w:szCs w:val="20"/>
          <w:color w:val="auto"/>
        </w:rPr>
      </w:pPr>
    </w:p>
    <w:p>
      <w:pPr>
        <w:ind w:right="120" w:firstLine="216"/>
        <w:spacing w:after="0" w:line="249" w:lineRule="auto"/>
        <w:rPr>
          <w:sz w:val="20"/>
          <w:szCs w:val="20"/>
          <w:color w:val="auto"/>
        </w:rPr>
      </w:pPr>
      <w:r>
        <w:rPr>
          <w:rFonts w:ascii="Times New Roman" w:cs="Times New Roman" w:eastAsia="Times New Roman" w:hAnsi="Times New Roman"/>
          <w:sz w:val="12"/>
          <w:szCs w:val="12"/>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third-parties’ use of the licensed patent rights and licensed products or licensed processes developed in connection with the licensed patent rights.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Ginkgo Bioworks Holdings, Inc.</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Collaboration and License Agreements</w:t>
      </w:r>
    </w:p>
    <w:p>
      <w:pPr>
        <w:spacing w:after="0" w:line="80" w:lineRule="exact"/>
        <w:rPr>
          <w:sz w:val="20"/>
          <w:szCs w:val="20"/>
          <w:color w:val="auto"/>
        </w:rPr>
      </w:pPr>
    </w:p>
    <w:p>
      <w:pPr>
        <w:ind w:right="140" w:firstLine="216"/>
        <w:spacing w:after="0" w:line="254" w:lineRule="auto"/>
        <w:rPr>
          <w:sz w:val="20"/>
          <w:szCs w:val="20"/>
          <w:color w:val="auto"/>
        </w:rPr>
      </w:pPr>
      <w:r>
        <w:rPr>
          <w:rFonts w:ascii="Times New Roman" w:cs="Times New Roman" w:eastAsia="Times New Roman" w:hAnsi="Times New Roman"/>
          <w:sz w:val="12"/>
          <w:szCs w:val="12"/>
          <w:color w:val="auto"/>
        </w:rPr>
        <w:t>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56"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June 13, 2022, the Company was notified of the achievement of the midpoint of the technical development plan under the First Ginkgo Agreement by Ginkgo. This milestone resulted in the payment of $0.5 million and issuance of 29,761 shares of the Company’s common stock then-valued at $1.0 million to Ginkgo during the year ended December 31, 2022.</w:t>
      </w:r>
    </w:p>
    <w:p>
      <w:pPr>
        <w:spacing w:after="0" w:line="39"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Genovis AB (publ.)</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License Agreement</w:t>
      </w:r>
    </w:p>
    <w:p>
      <w:pPr>
        <w:spacing w:after="0" w:line="71" w:lineRule="exact"/>
        <w:rPr>
          <w:sz w:val="20"/>
          <w:szCs w:val="20"/>
          <w:color w:val="auto"/>
        </w:rPr>
      </w:pPr>
    </w:p>
    <w:p>
      <w:pPr>
        <w:ind w:firstLine="216"/>
        <w:spacing w:after="0"/>
        <w:rPr>
          <w:sz w:val="20"/>
          <w:szCs w:val="20"/>
          <w:color w:val="auto"/>
        </w:rPr>
      </w:pPr>
      <w:r>
        <w:rPr>
          <w:rFonts w:ascii="Times New Roman" w:cs="Times New Roman" w:eastAsia="Times New Roman" w:hAnsi="Times New Roman"/>
          <w:sz w:val="12"/>
          <w:szCs w:val="12"/>
          <w:color w:val="auto"/>
        </w:rPr>
        <w:t>On October 21, 2021, the Company entered into the Genovis Agreement with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was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was to expense costs related to the Genovis Agreement as incurred until regulatory approval was received in accordance with ASC 730. The Company would have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Genovis tiered royalties of low double digit percentages of worldwide annual net sales of collaboration products which would have been expensed as the commercial sales occurred.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February 2023, the Company made a $4.0 million payment to Genovis as a result of the sublicense of Xork to Astellas. See Note 14 to these consolidated financial statements for further discussion on the Astellas Agreement.</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March 2024, the Company notified Genovis of its intention to terminate the Genovis Agreement, which occurred effective September 13,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Cyrus Biotechnology, Inc.</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Collaboration and License Agreement</w:t>
      </w:r>
    </w:p>
    <w:p>
      <w:pPr>
        <w:spacing w:after="0" w:line="71" w:lineRule="exact"/>
        <w:rPr>
          <w:sz w:val="20"/>
          <w:szCs w:val="20"/>
          <w:color w:val="auto"/>
        </w:rPr>
      </w:pPr>
    </w:p>
    <w:p>
      <w:pPr>
        <w:ind w:right="40" w:firstLine="216"/>
        <w:spacing w:after="0" w:line="237" w:lineRule="auto"/>
        <w:rPr>
          <w:sz w:val="20"/>
          <w:szCs w:val="20"/>
          <w:color w:val="auto"/>
        </w:rPr>
      </w:pPr>
      <w:r>
        <w:rPr>
          <w:rFonts w:ascii="Times New Roman" w:cs="Times New Roman" w:eastAsia="Times New Roman" w:hAnsi="Times New Roman"/>
          <w:sz w:val="12"/>
          <w:szCs w:val="12"/>
          <w:color w:val="auto"/>
        </w:rPr>
        <w:t>On September 7,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62" w:lineRule="exact"/>
        <w:rPr>
          <w:sz w:val="20"/>
          <w:szCs w:val="20"/>
          <w:color w:val="auto"/>
        </w:rPr>
      </w:pPr>
    </w:p>
    <w:p>
      <w:pPr>
        <w:ind w:left="200" w:right="4840"/>
        <w:spacing w:after="0" w:line="375" w:lineRule="auto"/>
        <w:rPr>
          <w:sz w:val="20"/>
          <w:szCs w:val="20"/>
          <w:color w:val="auto"/>
        </w:rPr>
      </w:pPr>
      <w:r>
        <w:rPr>
          <w:rFonts w:ascii="Times New Roman" w:cs="Times New Roman" w:eastAsia="Times New Roman" w:hAnsi="Times New Roman"/>
          <w:sz w:val="12"/>
          <w:szCs w:val="12"/>
          <w:color w:val="auto"/>
        </w:rPr>
        <w:t xml:space="preserve">On June 13, 2022, the Company and Cyrus mutually agreed that the preclinical key in-vitro success milestone had been achieved. In October 2023, the Company notified Cyrus of its termination of the Cyrus Agreement, effective December 29, 2023. </w:t>
      </w:r>
      <w:r>
        <w:rPr>
          <w:rFonts w:ascii="Times New Roman" w:cs="Times New Roman" w:eastAsia="Times New Roman" w:hAnsi="Times New Roman"/>
          <w:sz w:val="12"/>
          <w:szCs w:val="12"/>
          <w:i w:val="1"/>
          <w:iCs w:val="1"/>
          <w:color w:val="auto"/>
        </w:rPr>
        <w:t>Stock Purchase Agreement</w:t>
      </w:r>
    </w:p>
    <w:p>
      <w:pPr>
        <w:spacing w:after="0" w:line="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39" w:lineRule="exact"/>
        <w:rPr>
          <w:sz w:val="20"/>
          <w:szCs w:val="20"/>
          <w:color w:val="auto"/>
        </w:rPr>
      </w:pPr>
    </w:p>
    <w:p>
      <w:pPr>
        <w:jc w:val="both"/>
        <w:ind w:right="420" w:firstLine="216"/>
        <w:spacing w:after="0" w:line="265" w:lineRule="auto"/>
        <w:rPr>
          <w:sz w:val="20"/>
          <w:szCs w:val="20"/>
          <w:color w:val="auto"/>
        </w:rPr>
      </w:pPr>
      <w:r>
        <w:rPr>
          <w:rFonts w:ascii="Times New Roman" w:cs="Times New Roman" w:eastAsia="Times New Roman" w:hAnsi="Times New Roman"/>
          <w:sz w:val="12"/>
          <w:szCs w:val="12"/>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85" w:lineRule="exact"/>
        <w:rPr>
          <w:sz w:val="20"/>
          <w:szCs w:val="20"/>
          <w:color w:val="auto"/>
        </w:rPr>
      </w:pPr>
    </w:p>
    <w:p>
      <w:pPr>
        <w:ind w:right="100" w:firstLine="216"/>
        <w:spacing w:after="0" w:line="249" w:lineRule="auto"/>
        <w:rPr>
          <w:sz w:val="20"/>
          <w:szCs w:val="20"/>
          <w:color w:val="auto"/>
        </w:rPr>
      </w:pPr>
      <w:r>
        <w:rPr>
          <w:rFonts w:ascii="Times New Roman" w:cs="Times New Roman" w:eastAsia="Times New Roman" w:hAnsi="Times New Roman"/>
          <w:sz w:val="12"/>
          <w:szCs w:val="12"/>
          <w:color w:val="auto"/>
        </w:rPr>
        <w:t>As of December 31, 2024, no impairment indicators are present and there were no observable price changes. Therefore, the carrying value of the investment in Cyrus is $2.0 million on the accompanying consolidated balance sheets. The Company’s maximum exposure to loss related to this VIE is limited to the carrying value of the investment. The Company has not provided financing to Cyrus other than the amount contractually required by the Series B Preferred Stock Purchase Agreement.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Asklepios Biopharmaceutical, Inc.</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Feasibility Study and License Agreement</w:t>
      </w:r>
    </w:p>
    <w:p>
      <w:pPr>
        <w:spacing w:after="0" w:line="71" w:lineRule="exact"/>
        <w:rPr>
          <w:sz w:val="20"/>
          <w:szCs w:val="20"/>
          <w:color w:val="auto"/>
        </w:rPr>
      </w:pPr>
    </w:p>
    <w:p>
      <w:pPr>
        <w:jc w:val="both"/>
        <w:ind w:right="20" w:firstLine="216"/>
        <w:spacing w:after="0" w:line="249" w:lineRule="auto"/>
        <w:rPr>
          <w:sz w:val="20"/>
          <w:szCs w:val="20"/>
          <w:color w:val="auto"/>
        </w:rPr>
      </w:pPr>
      <w:r>
        <w:rPr>
          <w:rFonts w:ascii="Times New Roman" w:cs="Times New Roman" w:eastAsia="Times New Roman" w:hAnsi="Times New Roman"/>
          <w:sz w:val="12"/>
          <w:szCs w:val="12"/>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57"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47"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and AskBio mutually agreed to the termination of the AskBio Collaboration Agreement, effective December 13, 2023.</w:t>
      </w:r>
    </w:p>
    <w:p>
      <w:pPr>
        <w:spacing w:after="0" w:line="78"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2024 and 2023, the Company recognized no and $0.1 million, respectively, of collaboration expense under the AskBio Collaboration Agreement in which actual costs incurred by both parties approximate a 50% cost share.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Shenyang Sunshine Pharmaceutical Co., Ltd</w:t>
      </w:r>
    </w:p>
    <w:p>
      <w:pPr>
        <w:spacing w:after="0" w:line="8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Income Taxes</w:t>
      </w:r>
    </w:p>
    <w:p>
      <w:pPr>
        <w:spacing w:after="0" w:line="82"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3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On November 13, 2023, the Company acquired, in accordance with the terms of the Merger Agreement, the assets of Old Cartesian. In accordance with ASC 805-740-25-3, recognition of deferred tax assets and liabilities is required for substantially all temporary differences and acquired tax carryforwards and credits. The Company has computed estimated temporary differences and acquired tax carryforwards and credits as of the transaction date. The Company will not have tax basis in IPR&amp;D booked as part of the purchase accounting. For accounting purposes, the IPR&amp;D will not be amortized and only subject to impairment review and testing. Though the tax effects may be delayed indefinitely, ASC 740-10-55-63 states that “deferred tax liabilities may not be eliminated or reduced because a reporting entity may be able to delay the settlement of those liabilities by delaying the events that would cause taxable temporary differences to reverse.” The Company can potentially only utilize indefinite-lived assets as it relates to this indefinite lived intangible deferred tax liability reversal. As such, the Company has booked a deferred tax liability for the portion of the liability that cannot be reduced based on scheduling. Additionally, a portion of this target deferred tax liability is offset with the Company’s pre-Merger deferred tax assets on a combined basis, and as such the portion of deferred tax liability reduced by the Company’s pre-Merger deferred tax assets has been charged to income rather than to goodwill.</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2024, the Company recognized a current tax expense of $0.3 million. For the year ended December 31, 2023, the Company recognized a current tax benefit of $19.0 million. The following table reconciles the federal statutory income tax rate to the Company’s effective income tax rate: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860" w:type="dxa"/>
            <w:vAlign w:val="bottom"/>
            <w:tcBorders>
              <w:bottom w:val="single" w:sz="8" w:color="auto"/>
            </w:tcBorders>
          </w:tcPr>
          <w:p>
            <w:pPr>
              <w:spacing w:after="0"/>
              <w:rPr>
                <w:sz w:val="11"/>
                <w:szCs w:val="11"/>
                <w:color w:val="auto"/>
              </w:rPr>
            </w:pPr>
          </w:p>
        </w:tc>
      </w:tr>
      <w:tr>
        <w:trPr>
          <w:trHeight w:val="162"/>
        </w:trPr>
        <w:tc>
          <w:tcPr>
            <w:tcW w:w="83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9"/>
        </w:trPr>
        <w:tc>
          <w:tcPr>
            <w:tcW w:w="83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Statutory U.S. federal rate</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21.0 %</w:t>
            </w: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State income taxes - net of federal benefit</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r>
      <w:tr>
        <w:trPr>
          <w:trHeight w:val="15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Permanent items</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Research tax credits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0.6 %</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fair value of contingent value right liability</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127.9 %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Change in fair value of forward contract liabilities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Valuation allowance, net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2.8 %</w:t>
            </w:r>
          </w:p>
        </w:tc>
      </w:tr>
      <w:tr>
        <w:trPr>
          <w:trHeight w:val="135"/>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0.9 %</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w:t>
            </w:r>
          </w:p>
        </w:tc>
      </w:tr>
      <w:tr>
        <w:trPr>
          <w:trHeight w:val="14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Effective income tax rate</w:t>
            </w: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8.0 %</w:t>
            </w:r>
          </w:p>
        </w:tc>
      </w:tr>
      <w:tr>
        <w:trPr>
          <w:trHeight w:val="430"/>
        </w:trPr>
        <w:tc>
          <w:tcPr>
            <w:tcW w:w="8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tax effects of temporary differences that give rise to the Company’s net deferred tax assets are as follows (in thousands):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3"/>
        </w:trPr>
        <w:tc>
          <w:tcPr>
            <w:tcW w:w="8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r>
      <w:tr>
        <w:trPr>
          <w:trHeight w:val="162"/>
        </w:trPr>
        <w:tc>
          <w:tcPr>
            <w:tcW w:w="8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0"/>
        </w:trPr>
        <w:tc>
          <w:tcPr>
            <w:tcW w:w="832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Deferred Tax Assets</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Net operating loss carryforwards</w:t>
            </w:r>
          </w:p>
        </w:tc>
        <w:tc>
          <w:tcPr>
            <w:tcW w:w="940" w:type="dxa"/>
            <w:vAlign w:val="bottom"/>
            <w:gridSpan w:val="2"/>
          </w:tcPr>
          <w:p>
            <w:pPr>
              <w:jc w:val="right"/>
              <w:ind w:right="686"/>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44,062</w:t>
            </w:r>
          </w:p>
        </w:tc>
        <w:tc>
          <w:tcPr>
            <w:tcW w:w="120" w:type="dxa"/>
            <w:vAlign w:val="bottom"/>
          </w:tcPr>
          <w:p>
            <w:pPr>
              <w:spacing w:after="0"/>
              <w:rPr>
                <w:sz w:val="11"/>
                <w:szCs w:val="11"/>
                <w:color w:val="auto"/>
              </w:rPr>
            </w:pPr>
          </w:p>
        </w:tc>
        <w:tc>
          <w:tcPr>
            <w:tcW w:w="540" w:type="dxa"/>
            <w:vAlign w:val="bottom"/>
            <w:gridSpan w:val="2"/>
          </w:tcPr>
          <w:p>
            <w:pPr>
              <w:jc w:val="right"/>
              <w:ind w:right="3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29,841</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Research and development credits</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6,024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5,649</w:t>
            </w:r>
          </w:p>
        </w:tc>
      </w:tr>
      <w:tr>
        <w:trPr>
          <w:trHeight w:val="135"/>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1,070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expenses</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705</w:t>
            </w: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Deferred revenue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75,567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84,626</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3,848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2,718</w:t>
            </w: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Contingent value right liability</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108,832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R&amp;E Capitalization</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26,863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19,778</w:t>
            </w:r>
          </w:p>
        </w:tc>
      </w:tr>
      <w:tr>
        <w:trPr>
          <w:trHeight w:val="136"/>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Patent and license costs</w:t>
            </w: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8,540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9,140</w:t>
            </w:r>
          </w:p>
        </w:tc>
      </w:tr>
      <w:tr>
        <w:trPr>
          <w:trHeight w:val="14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deferred tax assets</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274,806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152,465</w:t>
            </w: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Deferred Tax Liabilities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5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Intangible assets</w:t>
            </w:r>
          </w:p>
        </w:tc>
        <w:tc>
          <w:tcPr>
            <w:tcW w:w="940" w:type="dxa"/>
            <w:vAlign w:val="bottom"/>
            <w:gridSpan w:val="2"/>
            <w:shd w:val="clear" w:color="auto" w:fill="CCEEFF"/>
          </w:tcPr>
          <w:p>
            <w:pPr>
              <w:jc w:val="right"/>
              <w:ind w:right="686"/>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(41,441)</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(41,144)</w:t>
            </w:r>
          </w:p>
        </w:tc>
      </w:tr>
      <w:tr>
        <w:trPr>
          <w:trHeight w:val="136"/>
        </w:trPr>
        <w:tc>
          <w:tcPr>
            <w:tcW w:w="8320" w:type="dxa"/>
            <w:vAlign w:val="bottom"/>
          </w:tcPr>
          <w:p>
            <w:pPr>
              <w:spacing w:after="0"/>
              <w:rPr>
                <w:sz w:val="20"/>
                <w:szCs w:val="20"/>
                <w:color w:val="auto"/>
              </w:rPr>
            </w:pPr>
            <w:r>
              <w:rPr>
                <w:rFonts w:ascii="Times New Roman" w:cs="Times New Roman" w:eastAsia="Times New Roman" w:hAnsi="Times New Roman"/>
                <w:sz w:val="10"/>
                <w:szCs w:val="10"/>
                <w:color w:val="auto"/>
              </w:rPr>
              <w:t>Depreciation</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w:t>
            </w:r>
          </w:p>
        </w:tc>
      </w:tr>
      <w:tr>
        <w:trPr>
          <w:trHeight w:val="15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lease right-of-use assets</w:t>
            </w:r>
          </w:p>
        </w:tc>
        <w:tc>
          <w:tcPr>
            <w:tcW w:w="1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(1,523)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(2,751)</w:t>
            </w:r>
          </w:p>
        </w:tc>
      </w:tr>
      <w:tr>
        <w:trPr>
          <w:trHeight w:val="125"/>
        </w:trPr>
        <w:tc>
          <w:tcPr>
            <w:tcW w:w="832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Gross deferred tax liabilities</w:t>
            </w:r>
          </w:p>
        </w:tc>
        <w:tc>
          <w:tcPr>
            <w:tcW w:w="1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(43,079)</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(44,023)</w:t>
            </w:r>
          </w:p>
        </w:tc>
      </w:tr>
      <w:tr>
        <w:trPr>
          <w:trHeight w:val="141"/>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deferred tax assets before valuation allowance</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231,727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108,442</w:t>
            </w:r>
          </w:p>
        </w:tc>
      </w:tr>
      <w:tr>
        <w:trPr>
          <w:trHeight w:val="136"/>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Valuation allowance</w:t>
            </w: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(247,867)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(124,295)</w:t>
            </w:r>
          </w:p>
        </w:tc>
      </w:tr>
      <w:tr>
        <w:trPr>
          <w:trHeight w:val="13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deferred tax assets/(liabilities)</w:t>
            </w:r>
          </w:p>
        </w:tc>
        <w:tc>
          <w:tcPr>
            <w:tcW w:w="14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(16,140)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(15,853)</w:t>
            </w:r>
          </w:p>
        </w:tc>
      </w:tr>
    </w:tbl>
    <w:p>
      <w:pPr>
        <w:spacing w:after="0" w:line="115"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Company has provided a full valuation allowance against its net deferred tax assets, outside of the indefinite tax liability booked as part of the Merger. The Company believes that it is more likely than not that the net deferred tax assets will not be realized.</w:t>
      </w:r>
    </w:p>
    <w:p>
      <w:pPr>
        <w:spacing w:after="0" w:line="39" w:lineRule="exact"/>
        <w:rPr>
          <w:sz w:val="20"/>
          <w:szCs w:val="20"/>
          <w:color w:val="auto"/>
        </w:rPr>
      </w:pPr>
    </w:p>
    <w:p>
      <w:pPr>
        <w:ind w:right="160" w:firstLine="216"/>
        <w:spacing w:after="0" w:line="291" w:lineRule="auto"/>
        <w:rPr>
          <w:sz w:val="20"/>
          <w:szCs w:val="20"/>
          <w:color w:val="auto"/>
        </w:rPr>
      </w:pPr>
      <w:r>
        <w:rPr>
          <w:rFonts w:ascii="Times New Roman" w:cs="Times New Roman" w:eastAsia="Times New Roman" w:hAnsi="Times New Roman"/>
          <w:sz w:val="11"/>
          <w:szCs w:val="11"/>
          <w:color w:val="auto"/>
        </w:rPr>
        <w:t>Realization of future tax benefits is dependent on many factors, including the Company’s ability to generate taxable income. The Company has evaluated the positive and negative evidence bearing upon the realizability of its deferred tax assets and concluded that it is more likely than not that the Company will not realize the benefit of its net deferred tax assets. The valuation allowance increased by $123.6 million for the year ended December 31, 2024, primarily as a result of tax loss in the current year and the recognition of a $108.8 million tax benefit related to the Company’s CVR liability. The valuation allowance decreased by $3.5 million for the year ended December 31, 2023, primarily as a result of a tax benefit booked as part of the Merger. As of December 31, 2024, the Company is in the process of winding down operations in Russia and does not expect any tax liability relating to such operations.</w:t>
      </w:r>
    </w:p>
    <w:p>
      <w:pPr>
        <w:spacing w:after="0" w:line="2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2"/>
          <w:szCs w:val="12"/>
          <w:color w:val="auto"/>
        </w:rPr>
        <w:t>At December 31, 2024, the Company has federal net operating loss carryforward of $152.6 million, which can be carried forward indefinitely, subject to an 80% limitation and state net operating loss carryforward of $187.8 million, of which $74.4 million has an unlimited carryforward and the remaining $113.4 million will expire at various times through 2044. The Company has $5.2 million and $1.0 million, respectively, of federal and state research and development tax credit carryforwards, which will expire at various times through 2044. Utilization of the NOL carryforwards and research and orphan drug credit carryforwards may be subject to a substantial annual limitation under Section 382 of the Internal Revenue Code of 1986, as amended, or the Code, and similar state law due to ownership changes that could occur in the future.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2" w:name="page123"/>
    <w:bookmarkEnd w:id="12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6" w:lineRule="exact"/>
        <w:rPr>
          <w:sz w:val="20"/>
          <w:szCs w:val="20"/>
          <w:color w:val="auto"/>
        </w:rPr>
      </w:pPr>
    </w:p>
    <w:p>
      <w:pPr>
        <w:ind w:left="8" w:right="20" w:firstLine="216"/>
        <w:spacing w:after="0" w:line="257" w:lineRule="auto"/>
        <w:rPr>
          <w:sz w:val="20"/>
          <w:szCs w:val="20"/>
          <w:color w:val="auto"/>
        </w:rPr>
      </w:pPr>
      <w:r>
        <w:rPr>
          <w:rFonts w:ascii="Times New Roman" w:cs="Times New Roman" w:eastAsia="Times New Roman" w:hAnsi="Times New Roman"/>
          <w:sz w:val="12"/>
          <w:szCs w:val="12"/>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 performed an analysis of ownership changes through December 31, 2023. Based on this analysis, the Company does not believe that any of its tax attributes through December 31, 2023 will expire unutilized due to Section 382 limitations. To the extent the Company enters into future equity transactions, there could be a limitation on the Company’s tax attributes.</w:t>
      </w:r>
    </w:p>
    <w:p>
      <w:pPr>
        <w:spacing w:after="0" w:line="53" w:lineRule="exact"/>
        <w:rPr>
          <w:sz w:val="20"/>
          <w:szCs w:val="20"/>
          <w:color w:val="auto"/>
        </w:rPr>
      </w:pPr>
    </w:p>
    <w:p>
      <w:pPr>
        <w:ind w:left="8" w:right="60" w:firstLine="216"/>
        <w:spacing w:after="0" w:line="279" w:lineRule="auto"/>
        <w:rPr>
          <w:sz w:val="20"/>
          <w:szCs w:val="20"/>
          <w:color w:val="auto"/>
        </w:rPr>
      </w:pPr>
      <w:r>
        <w:rPr>
          <w:rFonts w:ascii="Times New Roman" w:cs="Times New Roman" w:eastAsia="Times New Roman" w:hAnsi="Times New Roman"/>
          <w:sz w:val="12"/>
          <w:szCs w:val="12"/>
          <w:color w:val="auto"/>
        </w:rPr>
        <w:t>The Company applies ASC 740, Income Taxes to uncertain tax positions. As of the adoption date on January 1, 2010 and through December 31, 2024, the Company had no unrecognized tax benefits or related interest and penalties accrued.</w:t>
      </w:r>
    </w:p>
    <w:p>
      <w:pPr>
        <w:spacing w:after="0" w:line="39" w:lineRule="exact"/>
        <w:rPr>
          <w:sz w:val="20"/>
          <w:szCs w:val="20"/>
          <w:color w:val="auto"/>
        </w:rPr>
      </w:pPr>
    </w:p>
    <w:p>
      <w:pPr>
        <w:jc w:val="both"/>
        <w:ind w:left="8" w:right="160" w:firstLine="216"/>
        <w:spacing w:after="0" w:line="327" w:lineRule="auto"/>
        <w:rPr>
          <w:sz w:val="20"/>
          <w:szCs w:val="20"/>
          <w:color w:val="auto"/>
        </w:rPr>
      </w:pPr>
      <w:r>
        <w:rPr>
          <w:rFonts w:ascii="Times New Roman" w:cs="Times New Roman" w:eastAsia="Times New Roman" w:hAnsi="Times New Roman"/>
          <w:sz w:val="11"/>
          <w:szCs w:val="11"/>
          <w:color w:val="auto"/>
        </w:rPr>
        <w:t>As of December 31, 2024, the Company has not completed a detailed study of its research and development and orphan drug credits for the tax years ending December 31, 2023 and December 31, 2024. As a result, the Company will adjust its deferred tax asset balances and include the impacts in the research tax credits and state income taxes – net of federal benefit lines in the effective rate reconciliation next year, once the updated study has been completed.</w:t>
      </w:r>
    </w:p>
    <w:p>
      <w:pPr>
        <w:spacing w:after="0" w:line="15"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The Tax Cuts and Jobs Act requires taxpayers to capitalize and amortize, rather than deduct, research and experimental, or R&amp;E, expenditures under Section 174 for tax years beginning after December 31, 2021. These rules became effective for the Company during the year ended December 31, 2022. As a result, the Company has capitalized R&amp;E costs of $45.1 million and $43.9 million for the years ended December 31, 2024 and December 31, 2023, respectively. The Company will amortize these costs for tax purposes over five years if the R&amp;E was performed in the United States and over 15 years if the R&amp;E was performed outside the United States.</w:t>
      </w:r>
    </w:p>
    <w:p>
      <w:pPr>
        <w:spacing w:after="0" w:line="47" w:lineRule="exact"/>
        <w:rPr>
          <w:sz w:val="20"/>
          <w:szCs w:val="20"/>
          <w:color w:val="auto"/>
        </w:rPr>
      </w:pPr>
    </w:p>
    <w:p>
      <w:pPr>
        <w:ind w:left="8" w:right="280" w:firstLine="216"/>
        <w:spacing w:after="0" w:line="279" w:lineRule="auto"/>
        <w:rPr>
          <w:sz w:val="20"/>
          <w:szCs w:val="20"/>
          <w:color w:val="auto"/>
        </w:rPr>
      </w:pPr>
      <w:r>
        <w:rPr>
          <w:rFonts w:ascii="Times New Roman" w:cs="Times New Roman" w:eastAsia="Times New Roman" w:hAnsi="Times New Roman"/>
          <w:sz w:val="12"/>
          <w:szCs w:val="12"/>
          <w:color w:val="auto"/>
        </w:rPr>
        <w:t>Interest and penalty charges, if any, related to unrecognized tax benefits would be classified as income tax expense in the accompanying statement of operations. As of December 31, 2024, the Company had no accrued interest related to uncertain tax positions.</w:t>
      </w:r>
    </w:p>
    <w:p>
      <w:pPr>
        <w:spacing w:after="0" w:line="39" w:lineRule="exact"/>
        <w:rPr>
          <w:sz w:val="20"/>
          <w:szCs w:val="20"/>
          <w:color w:val="auto"/>
        </w:rPr>
      </w:pPr>
    </w:p>
    <w:p>
      <w:pPr>
        <w:ind w:left="8" w:right="60" w:firstLine="216"/>
        <w:spacing w:after="0" w:line="265" w:lineRule="auto"/>
        <w:rPr>
          <w:sz w:val="20"/>
          <w:szCs w:val="20"/>
          <w:color w:val="auto"/>
        </w:rPr>
      </w:pPr>
      <w:r>
        <w:rPr>
          <w:rFonts w:ascii="Times New Roman" w:cs="Times New Roman" w:eastAsia="Times New Roman" w:hAnsi="Times New Roman"/>
          <w:sz w:val="12"/>
          <w:szCs w:val="12"/>
          <w:color w:val="auto"/>
        </w:rPr>
        <w:t>The statute of limitations for assessment by the Internal Revenue Service and state tax authorities is open for tax years 2020 to the present. To the extent the Company has tax attribute carryforwards, the tax years in which the attribute was generated may still be adjusted upon examination by the Internal Revenue Service, or state tax authorities to the extent utilized in a future period. The Company files income tax returns in the United States, Massachusetts, and Maryland. There are currently no federal, state or foreign audits in progress.</w:t>
      </w:r>
    </w:p>
    <w:p>
      <w:pPr>
        <w:spacing w:after="0" w:line="277" w:lineRule="exact"/>
        <w:rPr>
          <w:sz w:val="20"/>
          <w:szCs w:val="20"/>
          <w:color w:val="auto"/>
        </w:rPr>
      </w:pPr>
    </w:p>
    <w:p>
      <w:pPr>
        <w:jc w:val="both"/>
        <w:ind w:left="8" w:right="9920" w:hanging="8"/>
        <w:spacing w:after="0" w:line="413" w:lineRule="auto"/>
        <w:tabs>
          <w:tab w:leader="none" w:pos="188" w:val="left"/>
        </w:tabs>
        <w:numPr>
          <w:ilvl w:val="0"/>
          <w:numId w:val="4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Employee Benefit Plans Defined Contribution Plan</w:t>
      </w:r>
    </w:p>
    <w:p>
      <w:pPr>
        <w:spacing w:after="0" w:line="1" w:lineRule="exact"/>
        <w:rPr>
          <w:sz w:val="20"/>
          <w:szCs w:val="20"/>
          <w:color w:val="auto"/>
        </w:rPr>
      </w:pPr>
    </w:p>
    <w:p>
      <w:pPr>
        <w:ind w:left="8" w:right="60" w:firstLine="216"/>
        <w:spacing w:after="0" w:line="300" w:lineRule="auto"/>
        <w:rPr>
          <w:sz w:val="20"/>
          <w:szCs w:val="20"/>
          <w:color w:val="auto"/>
        </w:rPr>
      </w:pPr>
      <w:r>
        <w:rPr>
          <w:rFonts w:ascii="Times New Roman" w:cs="Times New Roman" w:eastAsia="Times New Roman" w:hAnsi="Times New Roman"/>
          <w:sz w:val="11"/>
          <w:szCs w:val="11"/>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two years and participant contributions vest immediately. Contributions by the Company totaled $0.2 million and $0.3 million during the years ended December 31, 2024 and 2023, respectively.</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Employee Stock Purchase Plan</w:t>
      </w:r>
    </w:p>
    <w:p>
      <w:pPr>
        <w:spacing w:after="0" w:line="82" w:lineRule="exact"/>
        <w:rPr>
          <w:sz w:val="20"/>
          <w:szCs w:val="20"/>
          <w:color w:val="auto"/>
        </w:rPr>
      </w:pPr>
    </w:p>
    <w:p>
      <w:pPr>
        <w:ind w:left="8" w:right="60" w:firstLine="216"/>
        <w:spacing w:after="0" w:line="279" w:lineRule="auto"/>
        <w:rPr>
          <w:sz w:val="20"/>
          <w:szCs w:val="20"/>
          <w:color w:val="auto"/>
        </w:rPr>
      </w:pPr>
      <w:r>
        <w:rPr>
          <w:rFonts w:ascii="Times New Roman" w:cs="Times New Roman" w:eastAsia="Times New Roman" w:hAnsi="Times New Roman"/>
          <w:sz w:val="12"/>
          <w:szCs w:val="12"/>
          <w:color w:val="auto"/>
        </w:rPr>
        <w:t>In June 2016, the Company approved the 2016 Employee Stock Purchase Plan, or the ESPP, which initially authorized 5,769 shares of common stock for future issuance under the ESPP to participating employees. As of December 31, 2024, 45,795 shares remain available for future issuance under the ESPP. In connection with the Merger, the Board of Directors suspended offerings under the ESPP.</w:t>
      </w:r>
    </w:p>
    <w:p>
      <w:pPr>
        <w:spacing w:after="0" w:line="39" w:lineRule="exact"/>
        <w:rPr>
          <w:sz w:val="20"/>
          <w:szCs w:val="20"/>
          <w:color w:val="auto"/>
        </w:rPr>
      </w:pPr>
    </w:p>
    <w:p>
      <w:pPr>
        <w:ind w:left="8" w:right="300" w:firstLine="216"/>
        <w:spacing w:after="0" w:line="279" w:lineRule="auto"/>
        <w:rPr>
          <w:sz w:val="20"/>
          <w:szCs w:val="20"/>
          <w:color w:val="auto"/>
        </w:rPr>
      </w:pPr>
      <w:r>
        <w:rPr>
          <w:rFonts w:ascii="Times New Roman" w:cs="Times New Roman" w:eastAsia="Times New Roman" w:hAnsi="Times New Roman"/>
          <w:sz w:val="12"/>
          <w:szCs w:val="12"/>
          <w:color w:val="auto"/>
        </w:rPr>
        <w:t>The Company recognized no stock-based compensation expense under the ESPP for the year ended December 31, 2024 and $0.1 million of stock-based compensation expense under the ESPP for the year ended December 31, 2023.</w:t>
      </w:r>
    </w:p>
    <w:p>
      <w:pPr>
        <w:spacing w:after="0" w:line="2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19. Commitments and Contingencies</w:t>
      </w:r>
    </w:p>
    <w:p>
      <w:pPr>
        <w:spacing w:after="0" w:line="8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As of December 31, 2024, the Company was not a party to any litigation that could have a material adverse effect on the Company’s business, financial position, results of operations or cash flows.</w:t>
      </w:r>
    </w:p>
    <w:p>
      <w:pPr>
        <w:spacing w:after="0" w:line="3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w:t>
      </w:r>
    </w:p>
    <w:p>
      <w:pPr>
        <w:spacing w:after="0" w:line="82"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As permitted under Delaware law, the Company indemnifies its officers, directors, consultants and employees for certain events or occurrences that happen by reason of the relationship with, or position held at, the Company. Through December 31,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4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53"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Restructuring</w:t>
      </w:r>
    </w:p>
    <w:p>
      <w:pPr>
        <w:spacing w:after="0" w:line="82"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 April 2023, in light of current market conditions, the Board of Directors took steps to extend the Company’s cash runway by pausing further development of the Company’s product candidate, SEL-302, for the treatment of methylmalonic acidemia and conducting a targeted headcount reduction. On August 17, 2023, the Company announced additional steps to extend cash runway and maximize value for stockholders by continuing to prioritize development of the Company’s product candidate, SEL-212, and support of its collaboration with Astellas for Xork, and pausing further development of all of the Company’s other clinical and preclinical product candidates that it was no longer actively advancing.</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a result of these measures, the Company implemented a restructuring plan that resulted in an approximate 90% reduction of the Company’s existing headcount as of December 31, 2024.</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the change in the Company’s accrued restructuring balance included in accrued expenses and other current liabilities on its consolidated balance sheets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740" w:type="dxa"/>
            <w:vAlign w:val="bottom"/>
          </w:tcPr>
          <w:p>
            <w:pPr>
              <w:spacing w:after="0"/>
              <w:rPr>
                <w:sz w:val="11"/>
                <w:szCs w:val="11"/>
                <w:color w:val="auto"/>
              </w:rPr>
            </w:pP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360" w:type="dxa"/>
            <w:vAlign w:val="bottom"/>
          </w:tcPr>
          <w:p>
            <w:pPr>
              <w:spacing w:after="0"/>
              <w:rPr>
                <w:sz w:val="11"/>
                <w:szCs w:val="1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Cash Payments</w:t>
            </w:r>
          </w:p>
        </w:tc>
        <w:tc>
          <w:tcPr>
            <w:tcW w:w="280" w:type="dxa"/>
            <w:vAlign w:val="bottom"/>
          </w:tcPr>
          <w:p>
            <w:pPr>
              <w:spacing w:after="0"/>
              <w:rPr>
                <w:sz w:val="11"/>
                <w:szCs w:val="11"/>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14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Severance liability</w:t>
            </w:r>
          </w:p>
        </w:tc>
        <w:tc>
          <w:tcPr>
            <w:tcW w:w="32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6,431</w:t>
            </w:r>
          </w:p>
        </w:tc>
        <w:tc>
          <w:tcPr>
            <w:tcW w:w="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(2,535)</w:t>
            </w: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3,896</w:t>
            </w:r>
          </w:p>
        </w:tc>
      </w:tr>
      <w:tr>
        <w:trPr>
          <w:trHeight w:val="271"/>
        </w:trPr>
        <w:tc>
          <w:tcPr>
            <w:tcW w:w="2740" w:type="dxa"/>
            <w:vAlign w:val="bottom"/>
          </w:tcPr>
          <w:p>
            <w:pPr>
              <w:spacing w:after="0"/>
              <w:rPr>
                <w:sz w:val="23"/>
                <w:szCs w:val="23"/>
                <w:color w:val="auto"/>
              </w:rPr>
            </w:pP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6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Cash Payments</w:t>
            </w:r>
          </w:p>
        </w:tc>
        <w:tc>
          <w:tcPr>
            <w:tcW w:w="280" w:type="dxa"/>
            <w:vAlign w:val="bottom"/>
          </w:tcPr>
          <w:p>
            <w:pPr>
              <w:spacing w:after="0"/>
              <w:rPr>
                <w:sz w:val="23"/>
                <w:szCs w:val="23"/>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14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Severance liability</w:t>
            </w:r>
          </w:p>
        </w:tc>
        <w:tc>
          <w:tcPr>
            <w:tcW w:w="32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3,896</w:t>
            </w:r>
          </w:p>
        </w:tc>
        <w:tc>
          <w:tcPr>
            <w:tcW w:w="118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798</w:t>
            </w:r>
          </w:p>
        </w:tc>
        <w:tc>
          <w:tcPr>
            <w:tcW w:w="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(4,614)</w:t>
            </w: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r>
    </w:tbl>
    <w:p>
      <w:pPr>
        <w:spacing w:after="0" w:line="12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 recognized restructuring expenses consisting of one-time cash severance payments and other employee-related costs. The Company recorded these restructuring charges based on each employee’s role to the respective research and development and general and administrative operating expense categories on its consolidated statements of operations and comprehensive loss. For the years ended December 31, 2024 and 2023, the Company recognized $0.2 million and $5.6 million in research and development expenses, respectively, and $0.6 million and $0.8 million in general and administrative expenses, respectively. Payments for the restructuring plan were substantially complete by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Segment Reporting</w:t>
      </w:r>
    </w:p>
    <w:p>
      <w:pPr>
        <w:spacing w:after="0" w:line="82"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3.</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selected financial information with respect to the Company’s single operating segment for the years ended December 31, 2024 and 2023 (in thousands):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4" w:name="page125"/>
    <w:bookmarkEnd w:id="124"/>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76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460" w:type="dxa"/>
            <w:vAlign w:val="bottom"/>
            <w:tcBorders>
              <w:bottom w:val="single" w:sz="8" w:color="auto"/>
            </w:tcBorders>
          </w:tcPr>
          <w:p>
            <w:pPr>
              <w:spacing w:after="0"/>
              <w:rPr>
                <w:sz w:val="11"/>
                <w:szCs w:val="11"/>
                <w:color w:val="auto"/>
              </w:rPr>
            </w:pPr>
          </w:p>
        </w:tc>
      </w:tr>
      <w:tr>
        <w:trPr>
          <w:trHeight w:val="128"/>
        </w:trPr>
        <w:tc>
          <w:tcPr>
            <w:tcW w:w="676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0"/>
        </w:trPr>
        <w:tc>
          <w:tcPr>
            <w:tcW w:w="6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Revenue:</w:t>
            </w:r>
          </w:p>
        </w:tc>
        <w:tc>
          <w:tcPr>
            <w:tcW w:w="1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153"/>
        </w:trPr>
        <w:tc>
          <w:tcPr>
            <w:tcW w:w="6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Collaboration and license revenue</w:t>
            </w:r>
          </w:p>
        </w:tc>
        <w:tc>
          <w:tcPr>
            <w:tcW w:w="1460" w:type="dxa"/>
            <w:vAlign w:val="bottom"/>
          </w:tcPr>
          <w:p>
            <w:pPr>
              <w:jc w:val="right"/>
              <w:ind w:right="134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38,275</w:t>
            </w:r>
          </w:p>
        </w:tc>
        <w:tc>
          <w:tcPr>
            <w:tcW w:w="20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26,004</w:t>
            </w:r>
          </w:p>
        </w:tc>
      </w:tr>
      <w:tr>
        <w:trPr>
          <w:trHeight w:val="15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Grant revenue</w:t>
            </w:r>
          </w:p>
        </w:tc>
        <w:tc>
          <w:tcPr>
            <w:tcW w:w="14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2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760" w:type="dxa"/>
            <w:vAlign w:val="bottom"/>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14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38,913</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26,004</w:t>
            </w:r>
          </w:p>
        </w:tc>
      </w:tr>
      <w:tr>
        <w:trPr>
          <w:trHeight w:val="13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Less</w:t>
            </w:r>
          </w:p>
        </w:tc>
        <w:tc>
          <w:tcPr>
            <w:tcW w:w="1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29"/>
        </w:trPr>
        <w:tc>
          <w:tcPr>
            <w:tcW w:w="6760" w:type="dxa"/>
            <w:vAlign w:val="bottom"/>
          </w:tcPr>
          <w:p>
            <w:pPr>
              <w:spacing w:after="0"/>
              <w:rPr>
                <w:sz w:val="20"/>
                <w:szCs w:val="20"/>
                <w:color w:val="auto"/>
              </w:rPr>
            </w:pPr>
            <w:r>
              <w:rPr>
                <w:rFonts w:ascii="Times New Roman" w:cs="Times New Roman" w:eastAsia="Times New Roman" w:hAnsi="Times New Roman"/>
                <w:sz w:val="10"/>
                <w:szCs w:val="10"/>
                <w:color w:val="auto"/>
              </w:rPr>
              <w:t>Operating expenses:</w:t>
            </w: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5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Legacy Selecta programs</w:t>
            </w:r>
          </w:p>
        </w:tc>
        <w:tc>
          <w:tcPr>
            <w:tcW w:w="14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6,150</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31,826</w:t>
            </w:r>
          </w:p>
        </w:tc>
      </w:tr>
      <w:tr>
        <w:trPr>
          <w:trHeight w:val="153"/>
        </w:trPr>
        <w:tc>
          <w:tcPr>
            <w:tcW w:w="6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Descartes-08 for MG</w:t>
            </w:r>
          </w:p>
        </w:tc>
        <w:tc>
          <w:tcPr>
            <w:tcW w:w="1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12,142</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343</w:t>
            </w:r>
          </w:p>
        </w:tc>
      </w:tr>
      <w:tr>
        <w:trPr>
          <w:trHeight w:val="15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Early stage programs</w:t>
            </w:r>
          </w:p>
        </w:tc>
        <w:tc>
          <w:tcPr>
            <w:tcW w:w="14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595</w:t>
            </w:r>
          </w:p>
        </w:tc>
      </w:tr>
      <w:tr>
        <w:trPr>
          <w:trHeight w:val="153"/>
        </w:trPr>
        <w:tc>
          <w:tcPr>
            <w:tcW w:w="6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Research and development employee expenses</w:t>
            </w:r>
          </w:p>
        </w:tc>
        <w:tc>
          <w:tcPr>
            <w:tcW w:w="1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11,952</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18,363</w:t>
            </w:r>
          </w:p>
        </w:tc>
      </w:tr>
      <w:tr>
        <w:trPr>
          <w:trHeight w:val="15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Research and development stock-based compensation expense</w:t>
            </w:r>
          </w:p>
        </w:tc>
        <w:tc>
          <w:tcPr>
            <w:tcW w:w="14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3,217</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12,985</w:t>
            </w:r>
          </w:p>
        </w:tc>
      </w:tr>
      <w:tr>
        <w:trPr>
          <w:trHeight w:val="153"/>
        </w:trPr>
        <w:tc>
          <w:tcPr>
            <w:tcW w:w="6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Research and development facilities and other expenses</w:t>
            </w:r>
          </w:p>
        </w:tc>
        <w:tc>
          <w:tcPr>
            <w:tcW w:w="1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10,616</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7,148</w:t>
            </w:r>
          </w:p>
        </w:tc>
      </w:tr>
      <w:tr>
        <w:trPr>
          <w:trHeight w:val="15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4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30,126</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40,450</w:t>
            </w:r>
          </w:p>
        </w:tc>
      </w:tr>
      <w:tr>
        <w:trPr>
          <w:trHeight w:val="153"/>
        </w:trPr>
        <w:tc>
          <w:tcPr>
            <w:tcW w:w="67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Impairment of long-lived assets</w:t>
            </w:r>
          </w:p>
        </w:tc>
        <w:tc>
          <w:tcPr>
            <w:tcW w:w="1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7,579</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710</w:t>
            </w:r>
          </w:p>
        </w:tc>
      </w:tr>
      <w:tr>
        <w:trPr>
          <w:trHeight w:val="15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expense, net (1)</w:t>
            </w:r>
          </w:p>
        </w:tc>
        <w:tc>
          <w:tcPr>
            <w:tcW w:w="14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33,527</w:t>
            </w:r>
          </w:p>
        </w:tc>
        <w:tc>
          <w:tcPr>
            <w:tcW w:w="2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133,294</w:t>
            </w:r>
          </w:p>
        </w:tc>
      </w:tr>
      <w:tr>
        <w:trPr>
          <w:trHeight w:val="142"/>
        </w:trPr>
        <w:tc>
          <w:tcPr>
            <w:tcW w:w="676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1460" w:type="dxa"/>
            <w:vAlign w:val="bottom"/>
            <w:tcBorders>
              <w:bottom w:val="single" w:sz="8" w:color="auto"/>
            </w:tcBorders>
          </w:tcPr>
          <w:p>
            <w:pPr>
              <w:jc w:val="right"/>
              <w:ind w:right="134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(77,424)</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(219,710)</w:t>
            </w:r>
          </w:p>
        </w:tc>
      </w:tr>
      <w:tr>
        <w:trPr>
          <w:trHeight w:val="20"/>
        </w:trPr>
        <w:tc>
          <w:tcPr>
            <w:tcW w:w="6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8" w:right="80" w:firstLine="208"/>
        <w:spacing w:after="0" w:line="279" w:lineRule="auto"/>
        <w:tabs>
          <w:tab w:leader="none" w:pos="394"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impairment of long-lived assets, interest income, foreign currency transaction, net, interest expense, change in fair value of warrant liabilities, change in fair value of contingent value right liability, change in fair value of forward contract liabilities, other income, net, and income tax (expense) benefit.</w:t>
      </w:r>
    </w:p>
    <w:p>
      <w:pPr>
        <w:spacing w:after="0" w:line="35" w:lineRule="exact"/>
        <w:rPr>
          <w:rFonts w:ascii="Times New Roman" w:cs="Times New Roman" w:eastAsia="Times New Roman" w:hAnsi="Times New Roman"/>
          <w:sz w:val="12"/>
          <w:szCs w:val="12"/>
          <w:color w:val="auto"/>
        </w:rPr>
      </w:pPr>
    </w:p>
    <w:p>
      <w:pPr>
        <w:ind w:left="188" w:hanging="188"/>
        <w:spacing w:after="0"/>
        <w:tabs>
          <w:tab w:leader="none" w:pos="188" w:val="left"/>
        </w:tabs>
        <w:numPr>
          <w:ilvl w:val="0"/>
          <w:numId w:val="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Subsequent Events</w:t>
      </w:r>
    </w:p>
    <w:p>
      <w:pPr>
        <w:spacing w:after="0" w:line="82" w:lineRule="exact"/>
        <w:rPr>
          <w:sz w:val="20"/>
          <w:szCs w:val="20"/>
          <w:color w:val="auto"/>
        </w:rPr>
      </w:pPr>
    </w:p>
    <w:p>
      <w:pPr>
        <w:ind w:left="8" w:right="140" w:firstLine="216"/>
        <w:spacing w:after="0" w:line="279" w:lineRule="auto"/>
        <w:rPr>
          <w:sz w:val="20"/>
          <w:szCs w:val="20"/>
          <w:color w:val="auto"/>
        </w:rPr>
      </w:pPr>
      <w:r>
        <w:rPr>
          <w:rFonts w:ascii="Times New Roman" w:cs="Times New Roman" w:eastAsia="Times New Roman" w:hAnsi="Times New Roman"/>
          <w:sz w:val="12"/>
          <w:szCs w:val="12"/>
          <w:color w:val="auto"/>
        </w:rPr>
        <w:t>The Company has evaluated subsequent events through the date on which the consolidated financial statements were issued. The Company has concluded that no subsequent events have occurred that require disclosure, except as disclosed within these consolidated financial statements.</w:t>
      </w:r>
    </w:p>
    <w:p>
      <w:pPr>
        <w:spacing w:after="0" w:line="3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F-49</w:t>
      </w:r>
    </w:p>
    <w:p>
      <w:pPr>
        <w:sectPr>
          <w:pgSz w:w="11900" w:h="16838" w:orient="portrait"/>
          <w:cols w:equalWidth="0" w:num="1">
            <w:col w:w="11308"/>
          </w:cols>
          <w:pgMar w:left="292" w:top="129" w:right="299" w:bottom="1440"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ind w:left="10680"/>
        <w:spacing w:after="0"/>
        <w:rPr>
          <w:sz w:val="20"/>
          <w:szCs w:val="20"/>
          <w:color w:val="auto"/>
        </w:rPr>
      </w:pPr>
      <w:r>
        <w:rPr>
          <w:rFonts w:ascii="Times New Roman" w:cs="Times New Roman" w:eastAsia="Times New Roman" w:hAnsi="Times New Roman"/>
          <w:sz w:val="11"/>
          <w:szCs w:val="11"/>
          <w:b w:val="1"/>
          <w:bCs w:val="1"/>
          <w:color w:val="auto"/>
        </w:rPr>
        <w:t>Exhibit 4.12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THE REGISTRANT’S SECURITIES</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 AS AMENDED</w:t>
      </w:r>
    </w:p>
    <w:p>
      <w:pPr>
        <w:spacing w:after="0" w:line="129"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2"/>
          <w:szCs w:val="12"/>
          <w:color w:val="auto"/>
        </w:rPr>
        <w:t>As of December 31, 2024, Cartesian Therapeutics, Inc. (the “Company,” “we,” “us” and “our”) had two classes of securities registered under Section 12 of the Securities Exchange Act of 1934, as amended: our common stock, par value $0.0001 per share (“common stock”), and contingent value rights (“CVRs”).</w:t>
      </w:r>
    </w:p>
    <w:p>
      <w:pPr>
        <w:spacing w:after="0" w:line="134" w:lineRule="exact"/>
        <w:rPr>
          <w:sz w:val="20"/>
          <w:szCs w:val="20"/>
          <w:color w:val="auto"/>
        </w:rPr>
      </w:pPr>
    </w:p>
    <w:p>
      <w:pPr>
        <w:jc w:val="both"/>
        <w:ind w:firstLine="432"/>
        <w:spacing w:after="0" w:line="215" w:lineRule="auto"/>
        <w:rPr>
          <w:sz w:val="20"/>
          <w:szCs w:val="20"/>
          <w:color w:val="auto"/>
        </w:rPr>
      </w:pPr>
      <w:r>
        <w:rPr>
          <w:rFonts w:ascii="Times New Roman" w:cs="Times New Roman" w:eastAsia="Times New Roman" w:hAnsi="Times New Roman"/>
          <w:sz w:val="12"/>
          <w:szCs w:val="12"/>
          <w:color w:val="auto"/>
        </w:rPr>
        <w:t>The following description of our securities is a summary and does not purport to be complete. It is subject to and qualified in its entirety by reference to our restated certificate of incorporation, as amended (the “Charter”), our amended and restated by-laws (the “Bylaws”), the Certificate of Designation of Preferences, Rights and Limitations of the Series A Non-Voting Convertible Preferred Stock, as amended (the “Series A Certificate of Designation”) governing the Company’s Series A Non-Voting Convertible Preferred Stock, par value $0.0001 per share (the “Series A Preferred Stock”), the Certificate of Designation of Preferences, Rights and Limitations of the Series B Non-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Voting Convertible Preferred Stock (the “Series B Certificate of Designation”) governing the Company’s Series B Non-Voting Convertible Preferred Stock, par value $0.0001 per share (the “Series B Preferred Stock”), the Contingent Value Rights Agreement (the “CVR Agreement”) by and between the Company and Equiniti Trust Company, LLC (in such capacity, the “Trustee”), dated December 6, 2023, and applicable provisions of the Delaware General Corporation Law (“DGCL”). Our Charter, Bylaws, the Series A Certificate of Designation, the Series B Certificate of Designation, and the CVR Agreement are included as exhibits to the Annual Report on Form 10-K of which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4.12 forms a part. We encourage you to carefully read each of the foregoing documents and the applicable provisions of the DGCL for additional information.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CAPITAL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11"/>
          <w:szCs w:val="11"/>
          <w:color w:val="auto"/>
        </w:rPr>
        <w:t>Our authorized capital stock consists of 360,000,000 shares, comprised of 350,000,000 shares of common stock, $0.0001 par value per share, and 10,000,000 shares of preferred stock, $0.0001 par value per share (“preferred stock”), of which 134,904.563 shares of preferred stock have been designated as Series A Preferred Stock, 437,927 shares of preferred stock have been designated as Series B Preferred Stock, and 9,427,168.437 shares of preferred stock remain undesignated. As of February 28, 2025, there were 25,907,101 shares of our common stock outstanding, 120,790.402 shares of Series A Preferred Stock outstanding, 437,927 shares of Series B Preferred Stock outstanding, no</w:t>
      </w:r>
    </w:p>
    <w:p>
      <w:pPr>
        <w:jc w:val="both"/>
        <w:spacing w:after="0" w:line="226" w:lineRule="auto"/>
        <w:rPr>
          <w:sz w:val="20"/>
          <w:szCs w:val="20"/>
          <w:color w:val="auto"/>
        </w:rPr>
      </w:pPr>
      <w:r>
        <w:rPr>
          <w:rFonts w:ascii="Times New Roman" w:cs="Times New Roman" w:eastAsia="Times New Roman" w:hAnsi="Times New Roman"/>
          <w:sz w:val="12"/>
          <w:szCs w:val="12"/>
          <w:color w:val="auto"/>
        </w:rPr>
        <w:t>undesignated shares of preferred stock outstanding, and 177,746,054 CVRs outstanding, and an additional 204,397 CVRs held in nominee accounts and reserved for future distribution to holders of certain warrants to purchase common stock (and to be so distributed if and to the extend such warrants are exercised).</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transfer agent and registrar for our common stock, Series A Preferred Stock, and Series B Preferred Stock is Broadridge Corporate Issuer Solutions, Inc. Broadridge Corporate Issuer Solutions, Inc.’s address is P.O. Box</w:t>
      </w:r>
    </w:p>
    <w:p>
      <w:pPr>
        <w:spacing w:after="0" w:line="203" w:lineRule="auto"/>
        <w:rPr>
          <w:sz w:val="20"/>
          <w:szCs w:val="20"/>
          <w:color w:val="auto"/>
        </w:rPr>
      </w:pPr>
      <w:r>
        <w:rPr>
          <w:rFonts w:ascii="Times New Roman" w:cs="Times New Roman" w:eastAsia="Times New Roman" w:hAnsi="Times New Roman"/>
          <w:sz w:val="12"/>
          <w:szCs w:val="12"/>
          <w:color w:val="auto"/>
        </w:rPr>
        <w:t>1342, Brentwood, New York 11717 and its telephone number is (877) 830-4932. Equiniti Trust Company, LLC acts as Trustee for the CVRs. Equiniti Trust Company, LLC’s address is Wall Street, Floor 23, New York, New York,</w:t>
      </w:r>
    </w:p>
    <w:p>
      <w:pPr>
        <w:spacing w:after="0"/>
        <w:rPr>
          <w:sz w:val="20"/>
          <w:szCs w:val="20"/>
          <w:color w:val="auto"/>
        </w:rPr>
      </w:pPr>
      <w:r>
        <w:rPr>
          <w:rFonts w:ascii="Times New Roman" w:cs="Times New Roman" w:eastAsia="Times New Roman" w:hAnsi="Times New Roman"/>
          <w:sz w:val="12"/>
          <w:szCs w:val="12"/>
          <w:color w:val="auto"/>
        </w:rPr>
        <w:t>10005, and its telephone number is (800) 937-5449.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common stock is listed on the Nasdaq Global Market under the symbol “RNAC.” The outstanding shares of our common stock are duly authorized, validly issued, fully paid and nonassessable.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Holders of our common stock are entitled to one vote for each share held on all matters submitted to a vote of stockholders and do not have cumulative voting rights. An election of directors by our stockholders shall be</w:t>
      </w:r>
    </w:p>
    <w:p>
      <w:pPr>
        <w:jc w:val="both"/>
        <w:spacing w:after="0" w:line="208" w:lineRule="auto"/>
        <w:rPr>
          <w:sz w:val="20"/>
          <w:szCs w:val="20"/>
          <w:color w:val="auto"/>
        </w:rPr>
      </w:pPr>
      <w:r>
        <w:rPr>
          <w:rFonts w:ascii="Times New Roman" w:cs="Times New Roman" w:eastAsia="Times New Roman" w:hAnsi="Times New Roman"/>
          <w:sz w:val="12"/>
          <w:szCs w:val="12"/>
          <w:color w:val="auto"/>
        </w:rPr>
        <w:t>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capital stock entitled to vote thereon is required to amend or repeal, or to adopt any provision inconsistent with, several of the provisions of our Charter.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Rights Upon Liquidation</w:t>
      </w:r>
    </w:p>
    <w:p>
      <w:pPr>
        <w:sectPr>
          <w:pgSz w:w="11900" w:h="16838" w:orient="portrait"/>
          <w:cols w:equalWidth="0" w:num="1">
            <w:col w:w="11300"/>
          </w:cols>
          <w:pgMar w:left="300" w:top="115" w:right="299" w:bottom="1440" w:gutter="0" w:footer="0" w:header="0"/>
        </w:sectPr>
      </w:pPr>
    </w:p>
    <w:bookmarkStart w:id="129" w:name="page130"/>
    <w:bookmarkEnd w:id="129"/>
    <w:p>
      <w:pPr>
        <w:jc w:val="both"/>
        <w:ind w:firstLine="432"/>
        <w:spacing w:after="0" w:line="236" w:lineRule="auto"/>
        <w:rPr>
          <w:sz w:val="20"/>
          <w:szCs w:val="20"/>
          <w:color w:val="auto"/>
        </w:rPr>
      </w:pPr>
      <w:r>
        <w:rPr>
          <w:rFonts w:ascii="Times New Roman" w:cs="Times New Roman" w:eastAsia="Times New Roman" w:hAnsi="Times New Roman"/>
          <w:sz w:val="12"/>
          <w:szCs w:val="12"/>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Holders of common stock are entitled to receive proportionately any dividends as may be declared by our board of directors, subject to any preferential dividend rights of outstanding preferred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Rights</w:t>
      </w:r>
    </w:p>
    <w:p>
      <w:pPr>
        <w:spacing w:after="0" w:line="154"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2"/>
          <w:szCs w:val="12"/>
          <w:color w:val="auto"/>
        </w:rPr>
        <w:t>Holders of common stock have no preemptive, subscription, redemption or conversion rights. The rights, preferences and privileges of holders of our common stock are subject to, and may be adversely affected by, the rights of the holders of shares of any series of preferred stock we may designate and issue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154" w:lineRule="exact"/>
        <w:rPr>
          <w:sz w:val="20"/>
          <w:szCs w:val="20"/>
          <w:color w:val="auto"/>
        </w:rPr>
      </w:pPr>
    </w:p>
    <w:p>
      <w:pPr>
        <w:jc w:val="both"/>
        <w:ind w:firstLine="432"/>
        <w:spacing w:after="0" w:line="215" w:lineRule="auto"/>
        <w:rPr>
          <w:sz w:val="20"/>
          <w:szCs w:val="20"/>
          <w:color w:val="auto"/>
        </w:rPr>
      </w:pPr>
      <w:r>
        <w:rPr>
          <w:rFonts w:ascii="Times New Roman" w:cs="Times New Roman" w:eastAsia="Times New Roman" w:hAnsi="Times New Roman"/>
          <w:sz w:val="12"/>
          <w:szCs w:val="12"/>
          <w:color w:val="auto"/>
        </w:rPr>
        <w:t>Pursuant to our Charter, our board of directors is authorized, without stockholder approval, subject to limitations prescribed by law, to issue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 134,904.563 shares of preferred stock have been designated as Series A Preferred Stock and 437,927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of preferred stock have been designated as Series B Preferred Stock.</w:t>
      </w:r>
    </w:p>
    <w:p>
      <w:pPr>
        <w:spacing w:after="0" w:line="129"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2"/>
          <w:szCs w:val="12"/>
          <w:color w:val="auto"/>
        </w:rPr>
        <w:t>We will fix the voting rights, designations, preferences and rights of the preferred stock of each series, as well as the qualifications, limitations or restrictions thereof, in the certificate of designation relating to such series. Any description of our securities that we file with the Securities and Exchange Commission (the “Commission”) describing any such certification of designation may include:</w:t>
      </w:r>
    </w:p>
    <w:p>
      <w:pPr>
        <w:spacing w:after="0" w:line="134" w:lineRule="exact"/>
        <w:rPr>
          <w:sz w:val="20"/>
          <w:szCs w:val="20"/>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and stated value;</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offered;</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liquidation preference per share;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price per share;</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rate(s), period(s) and/or payment date(s) or method(s) of calculation for dividends;</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dividends are cumulative or non-cumulative and, if cumulative, the date from which dividends will accumulate;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right, if any, to defer payment of dividends and the maximum length of such deferral period;</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procedures for auction and remarketing, if any;</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for a sinking fund, if any;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 for redemption or repurchase, if applicable, and any restrictions on our ability to exercise those redemption and repurchase rights;</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listing of the preferred stock on any securities exchange or market;</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conditions, if applicable, upon which the preferred stock will be convertible into common stock, including the conversion price (or manner of calculation) and conversion period;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preferred stock will be exchangeable into debt securities, and, if applicable, the exchange price, or how it will be calculated, and the exchange period;</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voting rights, if any, of the preferred stock;</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preemptive rights, if any;</w:t>
      </w:r>
    </w:p>
    <w:p>
      <w:pPr>
        <w:sectPr>
          <w:pgSz w:w="11900" w:h="16838" w:orient="portrait"/>
          <w:cols w:equalWidth="0" w:num="1">
            <w:col w:w="11300"/>
          </w:cols>
          <w:pgMar w:left="300" w:top="984" w:right="299" w:bottom="1440" w:gutter="0" w:footer="0" w:header="0"/>
        </w:sectPr>
      </w:pPr>
    </w:p>
    <w:bookmarkStart w:id="130" w:name="page131"/>
    <w:bookmarkEnd w:id="130"/>
    <w:p>
      <w:pPr>
        <w:ind w:left="640" w:hanging="216"/>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transfer, sale or other assignment, if any;</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interests in the preferred stock will be represented by depositary shares;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discussion of any material and/or special U.S. federal income tax considerations applicable to the preferred stock;</w:t>
      </w:r>
    </w:p>
    <w:p>
      <w:pPr>
        <w:spacing w:after="0" w:line="14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ranking and preferences of the preferred stock as to dividend rights and rights upon the liquidation, dissolution or winding up of our affairs;</w:t>
      </w:r>
    </w:p>
    <w:p>
      <w:pPr>
        <w:spacing w:after="0" w:line="141" w:lineRule="exact"/>
        <w:rPr>
          <w:rFonts w:ascii="Times New Roman" w:cs="Times New Roman" w:eastAsia="Times New Roman" w:hAnsi="Times New Roman"/>
          <w:sz w:val="12"/>
          <w:szCs w:val="12"/>
          <w:color w:val="auto"/>
        </w:rPr>
      </w:pPr>
    </w:p>
    <w:p>
      <w:pPr>
        <w:ind w:left="640" w:right="20" w:hanging="216"/>
        <w:spacing w:after="0" w:line="248" w:lineRule="auto"/>
        <w:tabs>
          <w:tab w:leader="none" w:pos="637"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1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specific terms, preferences, rights, limitations or restrictions of the preferred stock.</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board of directors can also increase or decrease the number of shares of any series of preferred stock, but not below the number of shares of that series then outstanding, without any further vote or action by our</w:t>
      </w:r>
    </w:p>
    <w:p>
      <w:pPr>
        <w:jc w:val="both"/>
        <w:spacing w:after="0" w:line="208" w:lineRule="auto"/>
        <w:rPr>
          <w:sz w:val="20"/>
          <w:szCs w:val="20"/>
          <w:color w:val="auto"/>
        </w:rPr>
      </w:pPr>
      <w:r>
        <w:rPr>
          <w:rFonts w:ascii="Times New Roman" w:cs="Times New Roman" w:eastAsia="Times New Roman" w:hAnsi="Times New Roman"/>
          <w:sz w:val="12"/>
          <w:szCs w:val="12"/>
          <w:color w:val="auto"/>
        </w:rPr>
        <w:t>stockholders.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holders of common stock will receive dividend payments and payments upon liquidation. We have no current plan to issue any shares of preferred stock other than the shares of our Series A Preferred Stock and Series B Preferred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that have been issued to date.</w:t>
      </w:r>
    </w:p>
    <w:p>
      <w:pPr>
        <w:spacing w:after="0" w:line="129" w:lineRule="exact"/>
        <w:rPr>
          <w:sz w:val="20"/>
          <w:szCs w:val="20"/>
          <w:color w:val="auto"/>
        </w:rPr>
      </w:pPr>
    </w:p>
    <w:p>
      <w:pPr>
        <w:jc w:val="both"/>
        <w:ind w:right="20" w:firstLine="432"/>
        <w:spacing w:after="0" w:line="236" w:lineRule="auto"/>
        <w:rPr>
          <w:sz w:val="20"/>
          <w:szCs w:val="20"/>
          <w:color w:val="auto"/>
        </w:rPr>
      </w:pPr>
      <w:r>
        <w:rPr>
          <w:rFonts w:ascii="Times New Roman" w:cs="Times New Roman" w:eastAsia="Times New Roman" w:hAnsi="Times New Roman"/>
          <w:sz w:val="12"/>
          <w:szCs w:val="12"/>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A Preferred Stock</w:t>
      </w:r>
    </w:p>
    <w:p>
      <w:pPr>
        <w:spacing w:after="0" w:line="143"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Conversion</w:t>
      </w:r>
      <w:r>
        <w:rPr>
          <w:rFonts w:ascii="Times New Roman" w:cs="Times New Roman" w:eastAsia="Times New Roman" w:hAnsi="Times New Roman"/>
          <w:sz w:val="12"/>
          <w:szCs w:val="12"/>
          <w:color w:val="auto"/>
        </w:rPr>
        <w:t>. On March 27, 2024, we held a special meeting of stockholders at which our common stockholders approved a proposal (the “Conversion Proposal”) to issue shares of common stock upon conversion of shares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Series A Preferred Stock, subject to a beneficial ownership limitation described below.</w:t>
      </w:r>
    </w:p>
    <w:p>
      <w:pPr>
        <w:spacing w:after="0" w:line="133" w:lineRule="exact"/>
        <w:rPr>
          <w:sz w:val="20"/>
          <w:szCs w:val="20"/>
          <w:color w:val="auto"/>
        </w:rPr>
      </w:pPr>
    </w:p>
    <w:p>
      <w:pPr>
        <w:ind w:right="120" w:firstLine="432"/>
        <w:spacing w:after="0" w:line="235" w:lineRule="auto"/>
        <w:rPr>
          <w:sz w:val="20"/>
          <w:szCs w:val="20"/>
          <w:color w:val="auto"/>
        </w:rPr>
      </w:pPr>
      <w:r>
        <w:rPr>
          <w:rFonts w:ascii="Times New Roman" w:cs="Times New Roman" w:eastAsia="Times New Roman" w:hAnsi="Times New Roman"/>
          <w:sz w:val="11"/>
          <w:szCs w:val="11"/>
          <w:color w:val="auto"/>
        </w:rPr>
        <w:t>Prior to the stockholder approval of the Conversion Proposal, the shares of Series A Preferred Stock were not convertible into shares of common stock. Following the stockholder approval of the Conversion Proposal, each share of Series A Preferred Stock automatically converted into 33.333 shares of common stock, subject to the beneficial ownership limitation that a holder of Series A Preferred Stock is prohibited from converting shares of Series A Preferred Stock into shares of common stock to the extent that, as a result of such conversion, such holder, together with its affiliates, would beneficially own more than a specified percentage (initially set by the holder at a number up</w:t>
      </w:r>
    </w:p>
    <w:p>
      <w:pPr>
        <w:ind w:right="140"/>
        <w:spacing w:after="0" w:line="218" w:lineRule="auto"/>
        <w:rPr>
          <w:sz w:val="20"/>
          <w:szCs w:val="20"/>
          <w:color w:val="auto"/>
        </w:rPr>
      </w:pPr>
      <w:r>
        <w:rPr>
          <w:rFonts w:ascii="Times New Roman" w:cs="Times New Roman" w:eastAsia="Times New Roman" w:hAnsi="Times New Roman"/>
          <w:sz w:val="12"/>
          <w:szCs w:val="12"/>
          <w:color w:val="auto"/>
        </w:rPr>
        <w:t>to 19.9% and thereafter adjusted, provided that no such adjustment exceeds 19.9%) of the total number of shares of common stock issued and outstanding immediately after giving effect to such conversion. Such beneficial ownership limitation does not apply to any holder of Series A Preferred Stock who beneficially owned greater than 19.9% of our common stock immediately prior to our November 2023 merger (the “Merger”) with the private company then-known as Cartesian Therapeutics, Inc. (“Old Cartesian”).</w:t>
      </w:r>
    </w:p>
    <w:p>
      <w:pPr>
        <w:spacing w:after="0" w:line="134" w:lineRule="exact"/>
        <w:rPr>
          <w:sz w:val="20"/>
          <w:szCs w:val="20"/>
          <w:color w:val="auto"/>
        </w:rPr>
      </w:pPr>
    </w:p>
    <w:p>
      <w:pPr>
        <w:ind w:right="360" w:firstLine="432"/>
        <w:spacing w:after="0" w:line="236" w:lineRule="auto"/>
        <w:rPr>
          <w:sz w:val="20"/>
          <w:szCs w:val="20"/>
          <w:color w:val="auto"/>
        </w:rPr>
      </w:pPr>
      <w:r>
        <w:rPr>
          <w:rFonts w:ascii="Times New Roman" w:cs="Times New Roman" w:eastAsia="Times New Roman" w:hAnsi="Times New Roman"/>
          <w:sz w:val="12"/>
          <w:szCs w:val="12"/>
          <w:color w:val="auto"/>
        </w:rPr>
        <w:t>Each share of Series A Preferred Stock outstanding that was not otherwise automatically converted into common stock as a result of the beneficial ownership limitation shall be convertible at any time at the option of the holder, only to the extent the beneficial ownership limitation does not apply to the shares of Series A Preferred Stock to be converted.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Voting Rights. </w:t>
      </w:r>
      <w:r>
        <w:rPr>
          <w:rFonts w:ascii="Times New Roman" w:cs="Times New Roman" w:eastAsia="Times New Roman" w:hAnsi="Times New Roman"/>
          <w:sz w:val="12"/>
          <w:szCs w:val="12"/>
          <w:color w:val="auto"/>
        </w:rPr>
        <w:t>Except as otherwise required by law (e.g., voting on a change to the authorized shares of Series A Preferred Stock or the rights of such shares as required by the DGCL) and the Series A Certificate of</w:t>
      </w:r>
    </w:p>
    <w:p>
      <w:pPr>
        <w:spacing w:after="0" w:line="2"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1"/>
          <w:szCs w:val="11"/>
          <w:color w:val="auto"/>
        </w:rPr>
        <w:t>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Series A Certificate of Designation, (c) amend the Charter or other organizational documents in any manner that adversely affects any rights of the holders of Series A Preferred Stock, (d) issue further shares of Series A Preferred Stock, (e) at any time while at least 30% of the originally issued</w:t>
      </w:r>
    </w:p>
    <w:p>
      <w:pPr>
        <w:spacing w:after="0" w:line="1"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2"/>
          <w:szCs w:val="12"/>
          <w:color w:val="auto"/>
        </w:rPr>
        <w:t>Series A Preferred Stock remains issued and outstanding, consummate either (A) a Fundamental Transaction (as defined in the Certificate of Designation) or (B) any merger or consolidation of the Company or other business combination in which our stockholders immediately before such transaction do not hold at least a</w:t>
      </w:r>
    </w:p>
    <w:p>
      <w:pPr>
        <w:sectPr>
          <w:pgSz w:w="11900" w:h="16838" w:orient="portrait"/>
          <w:cols w:equalWidth="0" w:num="1">
            <w:col w:w="11300"/>
          </w:cols>
          <w:pgMar w:left="300" w:top="984" w:right="299" w:bottom="1440" w:gutter="0" w:footer="0" w:header="0"/>
        </w:sectPr>
      </w:pPr>
    </w:p>
    <w:bookmarkStart w:id="131" w:name="page132"/>
    <w:bookmarkEnd w:id="131"/>
    <w:p>
      <w:pPr>
        <w:ind w:right="220"/>
        <w:spacing w:after="0" w:line="241" w:lineRule="auto"/>
        <w:rPr>
          <w:sz w:val="20"/>
          <w:szCs w:val="20"/>
          <w:color w:val="auto"/>
        </w:rPr>
      </w:pPr>
      <w:r>
        <w:rPr>
          <w:rFonts w:ascii="Times New Roman" w:cs="Times New Roman" w:eastAsia="Times New Roman" w:hAnsi="Times New Roman"/>
          <w:sz w:val="11"/>
          <w:szCs w:val="11"/>
          <w:color w:val="auto"/>
        </w:rPr>
        <w:t>majority of our capital stock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(the “Support Agreements”), or agree to any transfer, sale or disposition of such shares subject to the Support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for such transfers, sales or dispositions with respect to which the approval of the Company is not required pursuant to the applicable Support Agreement) or (g) enter into any agreement with respect to any of the foregoing.</w:t>
      </w:r>
    </w:p>
    <w:p>
      <w:pPr>
        <w:spacing w:after="0" w:line="127"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Dividends</w:t>
      </w:r>
      <w:r>
        <w:rPr>
          <w:rFonts w:ascii="Times New Roman" w:cs="Times New Roman" w:eastAsia="Times New Roman" w:hAnsi="Times New Roman"/>
          <w:sz w:val="12"/>
          <w:szCs w:val="12"/>
          <w:color w:val="auto"/>
        </w:rPr>
        <w:t>. Holders of Series A Preferred Stock are entitled to receive non-cumulative dividends on shares of Series A Preferred Stock equal, on an as-if-converted-to-common-stock basis, and in the same form as dividends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actually paid on shares of the common stock.</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Liquidation and Dissolution</w:t>
      </w:r>
      <w:r>
        <w:rPr>
          <w:rFonts w:ascii="Times New Roman" w:cs="Times New Roman" w:eastAsia="Times New Roman" w:hAnsi="Times New Roman"/>
          <w:sz w:val="12"/>
          <w:szCs w:val="12"/>
          <w:color w:val="auto"/>
        </w:rPr>
        <w:t>. The Series A Preferred Stock ranks on parity with common stock and the Series B Preferred Stock upon any liquidation, dissolution or winding-up of the Company.</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Preemptive Rights</w:t>
      </w:r>
      <w:r>
        <w:rPr>
          <w:rFonts w:ascii="Times New Roman" w:cs="Times New Roman" w:eastAsia="Times New Roman" w:hAnsi="Times New Roman"/>
          <w:sz w:val="12"/>
          <w:szCs w:val="12"/>
          <w:color w:val="auto"/>
        </w:rPr>
        <w:t>. The Series A Preferred Stock does not have preemptive rights.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Transferability</w:t>
      </w:r>
      <w:r>
        <w:rPr>
          <w:rFonts w:ascii="Times New Roman" w:cs="Times New Roman" w:eastAsia="Times New Roman" w:hAnsi="Times New Roman"/>
          <w:sz w:val="12"/>
          <w:szCs w:val="12"/>
          <w:color w:val="auto"/>
        </w:rPr>
        <w:t>. The Series A Certificate of Designation does not contain any restrictions upon the transfer of the Series A Preferred Stock.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Redemption</w:t>
      </w:r>
      <w:r>
        <w:rPr>
          <w:rFonts w:ascii="Times New Roman" w:cs="Times New Roman" w:eastAsia="Times New Roman" w:hAnsi="Times New Roman"/>
          <w:sz w:val="12"/>
          <w:szCs w:val="12"/>
          <w:color w:val="auto"/>
        </w:rPr>
        <w:t>. The Series A Preferred Stock is not redeemable.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B Preferred Stock</w:t>
      </w:r>
    </w:p>
    <w:p>
      <w:pPr>
        <w:spacing w:after="0" w:line="14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Conversion</w:t>
      </w:r>
      <w:r>
        <w:rPr>
          <w:rFonts w:ascii="Times New Roman" w:cs="Times New Roman" w:eastAsia="Times New Roman" w:hAnsi="Times New Roman"/>
          <w:sz w:val="12"/>
          <w:szCs w:val="12"/>
          <w:color w:val="auto"/>
        </w:rPr>
        <w:t>. On September 20, 2024, we held a special meeting of stockholders at which our common stockholders approved a proposal (the “Series B Conversion Proposal”) to issue shares of common stock upon conversion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shares of Series B Preferred Stock, subject to a beneficial ownership limitation described below.</w:t>
      </w:r>
    </w:p>
    <w:p>
      <w:pPr>
        <w:spacing w:after="0" w:line="117" w:lineRule="exact"/>
        <w:rPr>
          <w:sz w:val="20"/>
          <w:szCs w:val="20"/>
          <w:color w:val="auto"/>
        </w:rPr>
      </w:pPr>
    </w:p>
    <w:p>
      <w:pPr>
        <w:ind w:right="120" w:firstLine="432"/>
        <w:spacing w:after="0" w:line="241" w:lineRule="auto"/>
        <w:rPr>
          <w:sz w:val="20"/>
          <w:szCs w:val="20"/>
          <w:color w:val="auto"/>
        </w:rPr>
      </w:pPr>
      <w:r>
        <w:rPr>
          <w:rFonts w:ascii="Times New Roman" w:cs="Times New Roman" w:eastAsia="Times New Roman" w:hAnsi="Times New Roman"/>
          <w:sz w:val="11"/>
          <w:szCs w:val="11"/>
          <w:color w:val="auto"/>
        </w:rPr>
        <w:t>Prior to the stockholder approval of the Series B Conversion Proposal, the shares of Series B Preferred Stock were not convertible into shares of common stock. Following the stockholder approval of the Series B Conversion Proposal, each share of Series B Preferred Stock automatically converted into one share of common stock, subject to the beneficial ownership limitation that a holder of Series B Preferred Stock is prohibited from converting shares of</w:t>
      </w:r>
    </w:p>
    <w:p>
      <w:pPr>
        <w:spacing w:after="0" w:line="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2"/>
          <w:szCs w:val="12"/>
          <w:color w:val="auto"/>
        </w:rPr>
        <w:t>Series B Preferred Stock into shares of common stock to the extent that, as a result of such conversion, such holder, together with its affiliates, would beneficially own more than a specified percentage (initially set by the holder at a number up to 19.9% and thereafter adjusted, provided that no such adjustment exceeds 19.9%) of the total number of shares of common stock issued and outstanding immediately after giving effect to such conversion. Such beneficial ownership limitation does not apply to TAS Partners LLC or any of its affiliates.</w:t>
      </w:r>
    </w:p>
    <w:p>
      <w:pPr>
        <w:spacing w:after="0" w:line="44" w:lineRule="exact"/>
        <w:rPr>
          <w:sz w:val="20"/>
          <w:szCs w:val="20"/>
          <w:color w:val="auto"/>
        </w:rPr>
      </w:pPr>
    </w:p>
    <w:p>
      <w:pPr>
        <w:ind w:right="220" w:firstLine="432"/>
        <w:spacing w:after="0" w:line="236" w:lineRule="auto"/>
        <w:rPr>
          <w:sz w:val="20"/>
          <w:szCs w:val="20"/>
          <w:color w:val="auto"/>
        </w:rPr>
      </w:pPr>
      <w:r>
        <w:rPr>
          <w:rFonts w:ascii="Times New Roman" w:cs="Times New Roman" w:eastAsia="Times New Roman" w:hAnsi="Times New Roman"/>
          <w:sz w:val="12"/>
          <w:szCs w:val="12"/>
          <w:color w:val="auto"/>
        </w:rPr>
        <w:t>Each share of Series B Preferred Stock outstanding that was not automatically converted into common stock as a result of the stockholder approval of the Series B Conversion Proposal shall be convertible at any time at the option of the holder, only to the extent the beneficial ownership limitation does not apply to the shares of Series B Preferred Stock to be converted.</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Voting Rights. </w:t>
      </w:r>
      <w:r>
        <w:rPr>
          <w:rFonts w:ascii="Times New Roman" w:cs="Times New Roman" w:eastAsia="Times New Roman" w:hAnsi="Times New Roman"/>
          <w:sz w:val="12"/>
          <w:szCs w:val="12"/>
          <w:color w:val="auto"/>
        </w:rPr>
        <w:t>Except as otherwise required by law (e.g., voting on a change to the authorized shares of Series B Preferred Stock or the rights of such shares as required by the DGCL) and the Series B Certificate of</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2"/>
          <w:szCs w:val="12"/>
          <w:color w:val="auto"/>
        </w:rPr>
        <w:t>Designation, the Series B Preferred Stock does not have voting rights. However, as long as any shares of Series B Preferred Stock are outstanding, we will not, without the affirmative vote of the holders of a majority of the then-outstanding shares of the Series B Preferred Stock, (a) alter or change adversely the powers, preferences or rights given to the Series B Preferred Stock, (b) alter or amend the Series B Certificate of Designation, or (c) amend the Charter or other organizational documents in any manner that alters or changes the preferences, rights, privileges, or powers of, or restrictions provided for the benefit of the holders of Series B Preferred Stock.</w:t>
      </w:r>
    </w:p>
    <w:p>
      <w:pPr>
        <w:spacing w:after="0" w:line="132" w:lineRule="exact"/>
        <w:rPr>
          <w:sz w:val="20"/>
          <w:szCs w:val="20"/>
          <w:color w:val="auto"/>
        </w:rPr>
      </w:pPr>
    </w:p>
    <w:p>
      <w:pPr>
        <w:ind w:right="220"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 xml:space="preserve">Dividends. </w:t>
      </w:r>
      <w:r>
        <w:rPr>
          <w:rFonts w:ascii="Times New Roman" w:cs="Times New Roman" w:eastAsia="Times New Roman" w:hAnsi="Times New Roman"/>
          <w:sz w:val="12"/>
          <w:szCs w:val="12"/>
          <w:color w:val="auto"/>
        </w:rPr>
        <w:t>Holders of Series B Preferred Stock are entitled to receive non-cumulative dividends on shares of Series B Preferred Stock equal, on an as-if-converted-to-common-stock basis, and in the same form as dividends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paid on shares of the common stock.</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Liquidation and Dissolution</w:t>
      </w:r>
      <w:r>
        <w:rPr>
          <w:rFonts w:ascii="Times New Roman" w:cs="Times New Roman" w:eastAsia="Times New Roman" w:hAnsi="Times New Roman"/>
          <w:sz w:val="12"/>
          <w:szCs w:val="12"/>
          <w:color w:val="auto"/>
        </w:rPr>
        <w:t>. The Series B Preferred Stock ranks on parity with common stock and the Series A Preferred Stock upon any liquidation, dissolution or winding-up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Preemptive Rights</w:t>
      </w:r>
      <w:r>
        <w:rPr>
          <w:rFonts w:ascii="Times New Roman" w:cs="Times New Roman" w:eastAsia="Times New Roman" w:hAnsi="Times New Roman"/>
          <w:sz w:val="12"/>
          <w:szCs w:val="12"/>
          <w:color w:val="auto"/>
        </w:rPr>
        <w:t>. The Series B Preferred Stock does not have preemptive rights.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Transferability</w:t>
      </w:r>
      <w:r>
        <w:rPr>
          <w:rFonts w:ascii="Times New Roman" w:cs="Times New Roman" w:eastAsia="Times New Roman" w:hAnsi="Times New Roman"/>
          <w:sz w:val="12"/>
          <w:szCs w:val="12"/>
          <w:color w:val="auto"/>
        </w:rPr>
        <w:t>. The Series B Certificate of Designation does not contain any restrictions upon the transfer of the Series B Preferred Stock.</w:t>
      </w:r>
    </w:p>
    <w:p>
      <w:pPr>
        <w:sectPr>
          <w:pgSz w:w="11900" w:h="16838" w:orient="portrait"/>
          <w:cols w:equalWidth="0" w:num="1">
            <w:col w:w="11300"/>
          </w:cols>
          <w:pgMar w:left="300" w:top="984" w:right="299" w:bottom="1440" w:gutter="0" w:footer="0" w:header="0"/>
        </w:sectPr>
      </w:pPr>
    </w:p>
    <w:bookmarkStart w:id="132" w:name="page133"/>
    <w:bookmarkEnd w:id="132"/>
    <w:p>
      <w:pPr>
        <w:ind w:left="420"/>
        <w:spacing w:after="0"/>
        <w:rPr>
          <w:sz w:val="20"/>
          <w:szCs w:val="20"/>
          <w:color w:val="auto"/>
        </w:rPr>
      </w:pPr>
      <w:r>
        <w:rPr>
          <w:rFonts w:ascii="Times New Roman" w:cs="Times New Roman" w:eastAsia="Times New Roman" w:hAnsi="Times New Roman"/>
          <w:sz w:val="12"/>
          <w:szCs w:val="12"/>
          <w:i w:val="1"/>
          <w:iCs w:val="1"/>
          <w:color w:val="auto"/>
        </w:rPr>
        <w:t>Redemption</w:t>
      </w:r>
      <w:r>
        <w:rPr>
          <w:rFonts w:ascii="Times New Roman" w:cs="Times New Roman" w:eastAsia="Times New Roman" w:hAnsi="Times New Roman"/>
          <w:sz w:val="12"/>
          <w:szCs w:val="12"/>
          <w:color w:val="auto"/>
        </w:rPr>
        <w:t>. The Series B Preferred Stock is not redeemable.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Contingent Value Rights</w:t>
      </w:r>
    </w:p>
    <w:p>
      <w:pPr>
        <w:spacing w:after="0" w:line="154" w:lineRule="exact"/>
        <w:rPr>
          <w:sz w:val="20"/>
          <w:szCs w:val="20"/>
          <w:color w:val="auto"/>
        </w:rPr>
      </w:pPr>
    </w:p>
    <w:p>
      <w:pPr>
        <w:ind w:right="20" w:firstLine="432"/>
        <w:spacing w:after="0" w:line="236" w:lineRule="auto"/>
        <w:rPr>
          <w:sz w:val="20"/>
          <w:szCs w:val="20"/>
          <w:color w:val="auto"/>
        </w:rPr>
      </w:pPr>
      <w:r>
        <w:rPr>
          <w:rFonts w:ascii="Times New Roman" w:cs="Times New Roman" w:eastAsia="Times New Roman" w:hAnsi="Times New Roman"/>
          <w:sz w:val="12"/>
          <w:szCs w:val="12"/>
          <w:color w:val="auto"/>
        </w:rPr>
        <w:t>Each CVR entitles the holder thereof to distributions of the following, pro-rated on a per-CVR basis, during the period ending on the date on which the Royalty Term (as defined in our License and Development Agreement, as amended, with Swedish Orphan Biovitrum AB (publ.) (the “Sobi License”)) ends (the “Termination Date”):</w:t>
      </w:r>
    </w:p>
    <w:p>
      <w:pPr>
        <w:spacing w:after="0" w:line="125" w:lineRule="exact"/>
        <w:rPr>
          <w:sz w:val="20"/>
          <w:szCs w:val="20"/>
          <w:color w:val="auto"/>
        </w:rPr>
      </w:pPr>
    </w:p>
    <w:p>
      <w:pPr>
        <w:ind w:firstLine="133"/>
        <w:spacing w:after="0" w:line="248" w:lineRule="auto"/>
        <w:tabs>
          <w:tab w:leader="none" w:pos="39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all milestone payments, royalties and other amounts paid to us or our controlled affiliates (the “Company Entities”) prior to the Termination Date under the Sobi License or, following certain terminations of the Sobi License, any agreement a Company Entity enters into that provides for the development and commercialization of SEL-212 (a “New Applicable Agreement”); and</w:t>
      </w:r>
    </w:p>
    <w:p>
      <w:pPr>
        <w:spacing w:after="0" w:line="119" w:lineRule="exact"/>
        <w:rPr>
          <w:rFonts w:ascii="Times New Roman" w:cs="Times New Roman" w:eastAsia="Times New Roman" w:hAnsi="Times New Roman"/>
          <w:sz w:val="12"/>
          <w:szCs w:val="12"/>
          <w:color w:val="auto"/>
        </w:rPr>
      </w:pPr>
    </w:p>
    <w:p>
      <w:pPr>
        <w:jc w:val="both"/>
        <w:ind w:firstLine="148"/>
        <w:spacing w:after="0" w:line="230" w:lineRule="auto"/>
        <w:tabs>
          <w:tab w:leader="none" w:pos="458"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(a “Disposition”) other than those exclusively licensed under the Sobi License or which the Company Entities are required to continue to own in order to comply with the Sobi License (a “Disposition Agreement”).</w:t>
      </w:r>
    </w:p>
    <w:p>
      <w:pPr>
        <w:spacing w:after="0" w:line="125" w:lineRule="exact"/>
        <w:rPr>
          <w:sz w:val="20"/>
          <w:szCs w:val="20"/>
          <w:color w:val="auto"/>
        </w:rPr>
      </w:pPr>
    </w:p>
    <w:p>
      <w:pPr>
        <w:jc w:val="both"/>
        <w:ind w:firstLine="432"/>
        <w:spacing w:after="0" w:line="221" w:lineRule="auto"/>
        <w:rPr>
          <w:sz w:val="20"/>
          <w:szCs w:val="20"/>
          <w:color w:val="auto"/>
        </w:rPr>
      </w:pPr>
      <w:r>
        <w:rPr>
          <w:rFonts w:ascii="Times New Roman" w:cs="Times New Roman" w:eastAsia="Times New Roman" w:hAnsi="Times New Roman"/>
          <w:sz w:val="12"/>
          <w:szCs w:val="12"/>
          <w:color w:val="auto"/>
        </w:rPr>
        <w:t>The distributions in respect of the CVRs will be made on a semi-annual basis, and will be subject to a number of deductions, subject to certain exceptions or limitations, including for (A) certain taxes, (B) certain out-of-pocket expenses incurred by the Company Entities, including audit and accounting fees incurred in connection with reporting obligations relating to the CVRs, in respect of its performance of the Sobi License or any New Applicable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1"/>
          <w:szCs w:val="11"/>
          <w:color w:val="auto"/>
        </w:rPr>
        <w:t>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 by the Company Entities, (D) in the case of a distribution that includes payments for certain milestones under clause (ii) above and for the upfront portion, if any, of the consideration payable under a Disposition Agreement (a “Trigger Distribution”), the sum of payments made under any liabilities of the Company Entities arising under real property leases in effect as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immediately prior to the closing (the “Closing”) of the Merger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our Xork product candidate (“Xork Liabilities”) after the Closing and the aggregate remaining payment obligations under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our License and Development Agreement with Audentes Therapeutics, Inc. (the “Astellas Agreement”), when such termination, transfer, assignment or completion occurs.</w:t>
      </w:r>
    </w:p>
    <w:p>
      <w:pPr>
        <w:spacing w:after="0" w:line="134" w:lineRule="exact"/>
        <w:rPr>
          <w:sz w:val="20"/>
          <w:szCs w:val="20"/>
          <w:color w:val="auto"/>
        </w:rPr>
      </w:pPr>
    </w:p>
    <w:p>
      <w:pPr>
        <w:jc w:val="both"/>
        <w:ind w:firstLine="432"/>
        <w:spacing w:after="0" w:line="215" w:lineRule="auto"/>
        <w:rPr>
          <w:sz w:val="20"/>
          <w:szCs w:val="20"/>
          <w:color w:val="auto"/>
        </w:rPr>
      </w:pPr>
      <w:r>
        <w:rPr>
          <w:rFonts w:ascii="Times New Roman" w:cs="Times New Roman" w:eastAsia="Times New Roman" w:hAnsi="Times New Roman"/>
          <w:sz w:val="12"/>
          <w:szCs w:val="12"/>
          <w:color w:val="auto"/>
        </w:rPr>
        <w:t>We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 end on June 30), commencing on September 15, 2024 (each such date, a “Distribution Payment Date”),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we may elect to defer such distribution until the next Distribution Payment Date when the aggregate per-CVR distribution would be $0.02 or greater.</w:t>
      </w:r>
    </w:p>
    <w:p>
      <w:pPr>
        <w:spacing w:after="0" w:line="134" w:lineRule="exact"/>
        <w:rPr>
          <w:sz w:val="20"/>
          <w:szCs w:val="20"/>
          <w:color w:val="auto"/>
        </w:rPr>
      </w:pPr>
    </w:p>
    <w:p>
      <w:pPr>
        <w:jc w:val="both"/>
        <w:ind w:firstLine="432"/>
        <w:spacing w:after="0" w:line="215" w:lineRule="auto"/>
        <w:rPr>
          <w:sz w:val="20"/>
          <w:szCs w:val="20"/>
          <w:color w:val="auto"/>
        </w:rPr>
      </w:pPr>
      <w:r>
        <w:rPr>
          <w:rFonts w:ascii="Times New Roman" w:cs="Times New Roman" w:eastAsia="Times New Roman" w:hAnsi="Times New Roman"/>
          <w:sz w:val="12"/>
          <w:szCs w:val="12"/>
          <w:color w:val="auto"/>
        </w:rPr>
        <w:t>Under the CVR Agreement, as long as any CVRs are outstanding, we will not: (i) without the affirmative vote of the holders of at least 66 and 2/3% of the then-outstanding CVRs modify in a manner adverse to the CVR holders any provision contained in the CVR Agreement with respect to the termination of the CVR Agreement or the CVRs, or the time for payment and amount of any distribution, or modify in any manner any provision of the CVR Agreement if such modification would reduce the amounts payable in respect of the CVRs or modify any other payment term or payment date, (ii) without the consent of each holder of each outstanding CVR affected thereby, reduce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number of CVRs, or modify any provision referenced in the preceding clause (i) or this clause (ii), except</w:t>
      </w:r>
    </w:p>
    <w:p>
      <w:pPr>
        <w:sectPr>
          <w:pgSz w:w="11900" w:h="16838" w:orient="portrait"/>
          <w:cols w:equalWidth="0" w:num="1">
            <w:col w:w="11300"/>
          </w:cols>
          <w:pgMar w:left="300" w:top="1144" w:right="299" w:bottom="1440" w:gutter="0" w:footer="0" w:header="0"/>
        </w:sectPr>
      </w:pPr>
    </w:p>
    <w:bookmarkStart w:id="133" w:name="page134"/>
    <w:bookmarkEnd w:id="133"/>
    <w:p>
      <w:pPr>
        <w:ind w:left="8"/>
        <w:spacing w:after="0"/>
        <w:rPr>
          <w:sz w:val="20"/>
          <w:szCs w:val="20"/>
          <w:color w:val="auto"/>
        </w:rPr>
      </w:pPr>
      <w:r>
        <w:rPr>
          <w:rFonts w:ascii="Times New Roman" w:cs="Times New Roman" w:eastAsia="Times New Roman" w:hAnsi="Times New Roman"/>
          <w:sz w:val="11"/>
          <w:szCs w:val="11"/>
          <w:color w:val="auto"/>
        </w:rPr>
        <w:t>to increase the percentage of CVR holders from whom consent is required or to provide that certain other provisions of the CVR Agreement cannot be modified or waived without the consent of the holder of each CVR affected thereby,</w:t>
      </w:r>
    </w:p>
    <w:p>
      <w:pPr>
        <w:spacing w:after="0" w:line="3" w:lineRule="exact"/>
        <w:rPr>
          <w:sz w:val="20"/>
          <w:szCs w:val="20"/>
          <w:color w:val="auto"/>
        </w:rPr>
      </w:pPr>
    </w:p>
    <w:p>
      <w:pPr>
        <w:jc w:val="both"/>
        <w:ind w:left="8" w:hanging="8"/>
        <w:spacing w:after="0" w:line="218" w:lineRule="auto"/>
        <w:tabs>
          <w:tab w:leader="none" w:pos="224"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the consent of the affirmative vote of the holders of a majority of the then-outstanding CVRs, alter, change, amend, or modify, in each case in any material respect or in any manner adverse to the CVR holders, the Sobi License, the Astellas Agreement, or our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 limited exceptions, issue any additional CVRs, other than pursuant to the Agreement and Plan of Merger between us, Old Cartesian, and the merger subsidiary parties thereto to former holders of Selecta’s common stock or to holders of warrants to purchase common stock.</w:t>
      </w:r>
    </w:p>
    <w:p>
      <w:pPr>
        <w:spacing w:after="0" w:line="126" w:lineRule="exact"/>
        <w:rPr>
          <w:sz w:val="20"/>
          <w:szCs w:val="20"/>
          <w:color w:val="auto"/>
        </w:rPr>
      </w:pPr>
    </w:p>
    <w:p>
      <w:pPr>
        <w:jc w:val="both"/>
        <w:ind w:left="8" w:firstLine="432"/>
        <w:spacing w:after="0" w:line="236" w:lineRule="auto"/>
        <w:rPr>
          <w:sz w:val="20"/>
          <w:szCs w:val="20"/>
          <w:color w:val="auto"/>
        </w:rPr>
      </w:pPr>
      <w:r>
        <w:rPr>
          <w:rFonts w:ascii="Times New Roman" w:cs="Times New Roman" w:eastAsia="Times New Roman" w:hAnsi="Times New Roman"/>
          <w:sz w:val="12"/>
          <w:szCs w:val="12"/>
          <w:color w:val="auto"/>
        </w:rPr>
        <w:t>Additionally, in the event of certain terminations of the Sobi License at a time when any CVRs are outstanding, we will, and will cause our applicable related entities to, exercise our rights to obtain a “reversion license” and enforce any of our rights under the terminated Sobi License that survive the termination or expiration thereof.</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Under the CVR Agreement, the Trustee has, and holders of at least 20% of the CVRs then outstanding may also instruct the Trustee to exercise, certain rights to inspection, audit, and enforcement on behalf of all holders of the</w:t>
      </w:r>
    </w:p>
    <w:p>
      <w:pPr>
        <w:ind w:left="8"/>
        <w:spacing w:after="0"/>
        <w:rPr>
          <w:sz w:val="20"/>
          <w:szCs w:val="20"/>
          <w:color w:val="auto"/>
        </w:rPr>
      </w:pPr>
      <w:r>
        <w:rPr>
          <w:rFonts w:ascii="Times New Roman" w:cs="Times New Roman" w:eastAsia="Times New Roman" w:hAnsi="Times New Roman"/>
          <w:sz w:val="12"/>
          <w:szCs w:val="12"/>
          <w:color w:val="auto"/>
        </w:rPr>
        <w:t>CVRs.</w:t>
      </w:r>
    </w:p>
    <w:p>
      <w:pPr>
        <w:spacing w:after="0" w:line="12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CVR holders, solely by virtue of their holding of a CVR, are not entitled to dividends issued by us, do not have voting rights with respect to affairs of our Company, and shall have no rights upon a liquidation of our Company.</w:t>
      </w:r>
    </w:p>
    <w:p>
      <w:pPr>
        <w:ind w:left="8"/>
        <w:spacing w:after="0"/>
        <w:rPr>
          <w:sz w:val="20"/>
          <w:szCs w:val="20"/>
          <w:color w:val="auto"/>
        </w:rPr>
      </w:pPr>
      <w:r>
        <w:rPr>
          <w:rFonts w:ascii="Times New Roman" w:cs="Times New Roman" w:eastAsia="Times New Roman" w:hAnsi="Times New Roman"/>
          <w:sz w:val="12"/>
          <w:szCs w:val="12"/>
          <w:color w:val="auto"/>
        </w:rPr>
        <w:t>The CVRs are not convertible or redeemable and do not constitute a debt or obligation of our Company.</w:t>
      </w:r>
    </w:p>
    <w:p>
      <w:pPr>
        <w:spacing w:after="0" w:line="12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CVRs are transferable but are not expected to be listed on any securities exchange and no transaction involving the CVRs is expected to be registered under the Securities Act of 1933, as amended (the “Securities Act”).</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Registration Rights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Certain holders of our common stock or their transferees are entitled to the following rights with respect to the registration of such shares for public resale under the Securities Act.</w:t>
      </w:r>
    </w:p>
    <w:p>
      <w:pPr>
        <w:spacing w:after="0" w:line="141" w:lineRule="exact"/>
        <w:rPr>
          <w:sz w:val="20"/>
          <w:szCs w:val="20"/>
          <w:color w:val="auto"/>
        </w:rPr>
      </w:pPr>
    </w:p>
    <w:p>
      <w:pPr>
        <w:jc w:val="both"/>
        <w:ind w:left="8" w:firstLine="432"/>
        <w:spacing w:after="0" w:line="221" w:lineRule="auto"/>
        <w:rPr>
          <w:sz w:val="20"/>
          <w:szCs w:val="20"/>
          <w:color w:val="auto"/>
        </w:rPr>
      </w:pPr>
      <w:r>
        <w:rPr>
          <w:rFonts w:ascii="Times New Roman" w:cs="Times New Roman" w:eastAsia="Times New Roman" w:hAnsi="Times New Roman"/>
          <w:sz w:val="12"/>
          <w:szCs w:val="12"/>
          <w:color w:val="auto"/>
        </w:rPr>
        <w:t>These registration rights are granted pursuant to (i) a registration rights agreement we entered into on July 2, 2024 (the “2024 Registration Rights Agreement”), in connection with the private placement of 3,563,246 shares of our common stock and 2,937,903 shares of Series B Preferred Stock (the “2024 Private Placement”), (ii) a registration rights agreement we entered into on November 13, 2023 (the “2023 Registration Rights Agreement”), in connection</w:t>
      </w:r>
    </w:p>
    <w:p>
      <w:pPr>
        <w:spacing w:after="0" w:line="1" w:lineRule="exact"/>
        <w:rPr>
          <w:sz w:val="20"/>
          <w:szCs w:val="20"/>
          <w:color w:val="auto"/>
        </w:rPr>
      </w:pPr>
    </w:p>
    <w:p>
      <w:pPr>
        <w:jc w:val="both"/>
        <w:ind w:left="8"/>
        <w:spacing w:after="0" w:line="226" w:lineRule="auto"/>
        <w:rPr>
          <w:sz w:val="20"/>
          <w:szCs w:val="20"/>
          <w:color w:val="auto"/>
        </w:rPr>
      </w:pPr>
      <w:r>
        <w:rPr>
          <w:rFonts w:ascii="Times New Roman" w:cs="Times New Roman" w:eastAsia="Times New Roman" w:hAnsi="Times New Roman"/>
          <w:sz w:val="12"/>
          <w:szCs w:val="12"/>
          <w:color w:val="auto"/>
        </w:rPr>
        <w:t>with the Merger and the private placement of 149,330.115 shares of Series A Preferred Stock (the “2023 Private Placement”), and (iii) a registration rights agreement we entered into on June 11, 2020 (as amended, the “2020 Registration Rights Agreement”), we entered into in connection with the private placement of 5,416,390 shares of our common stock (the “2020 Private Placement”).</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2024 Registration Rights Agreement</w:t>
      </w:r>
    </w:p>
    <w:p>
      <w:pPr>
        <w:spacing w:after="0" w:line="154" w:lineRule="exact"/>
        <w:rPr>
          <w:sz w:val="20"/>
          <w:szCs w:val="20"/>
          <w:color w:val="auto"/>
        </w:rPr>
      </w:pPr>
    </w:p>
    <w:p>
      <w:pPr>
        <w:jc w:val="both"/>
        <w:ind w:left="8" w:firstLine="432"/>
        <w:spacing w:after="0" w:line="235" w:lineRule="auto"/>
        <w:rPr>
          <w:sz w:val="20"/>
          <w:szCs w:val="20"/>
          <w:color w:val="auto"/>
        </w:rPr>
      </w:pPr>
      <w:r>
        <w:rPr>
          <w:rFonts w:ascii="Times New Roman" w:cs="Times New Roman" w:eastAsia="Times New Roman" w:hAnsi="Times New Roman"/>
          <w:sz w:val="11"/>
          <w:szCs w:val="11"/>
          <w:color w:val="auto"/>
        </w:rPr>
        <w:t>On July 2, 2024, we entered into the 2024 Registration Rights Agreement with the purchasers party thereto. Pursuant to the 2024 Registration Rights Agreement, we agreed to prepare and file a resale registration statement with the Commission within 30 days of July 3, 2024 and to use our reasonable best efforts to cause this registration statement to be declared effective by the Commission within 90 calendar days of July 3, 2024 (or within 120 calendar days of July 3, 2024 if the Commission reviews the registration statement). We have filed a registration statement in satisfaction of such obligations, and for so long as such registration statement remains effective, the resale shares to which</w:t>
      </w:r>
    </w:p>
    <w:p>
      <w:pPr>
        <w:jc w:val="both"/>
        <w:ind w:left="8" w:right="20"/>
        <w:spacing w:after="0" w:line="226" w:lineRule="auto"/>
        <w:rPr>
          <w:sz w:val="20"/>
          <w:szCs w:val="20"/>
          <w:color w:val="auto"/>
        </w:rPr>
      </w:pPr>
      <w:r>
        <w:rPr>
          <w:rFonts w:ascii="Times New Roman" w:cs="Times New Roman" w:eastAsia="Times New Roman" w:hAnsi="Times New Roman"/>
          <w:sz w:val="12"/>
          <w:szCs w:val="12"/>
          <w:color w:val="auto"/>
        </w:rPr>
        <w:t>such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12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We have also agreed, among other things, to indemnify the purchasers party thereto and each of their respective officers, directors, agents, partners, members, managers, stockholders, affiliates, investment advisers and</w:t>
      </w:r>
    </w:p>
    <w:p>
      <w:pPr>
        <w:ind w:left="8" w:right="140"/>
        <w:spacing w:after="0" w:line="226" w:lineRule="auto"/>
        <w:rPr>
          <w:sz w:val="20"/>
          <w:szCs w:val="20"/>
          <w:color w:val="auto"/>
        </w:rPr>
      </w:pPr>
      <w:r>
        <w:rPr>
          <w:rFonts w:ascii="Times New Roman" w:cs="Times New Roman" w:eastAsia="Times New Roman" w:hAnsi="Times New Roman"/>
          <w:sz w:val="12"/>
          <w:szCs w:val="12"/>
          <w:color w:val="auto"/>
        </w:rPr>
        <w:t>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2024 Registration Rights Agreement.</w:t>
      </w:r>
    </w:p>
    <w:p>
      <w:pPr>
        <w:spacing w:after="0" w:line="12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Securities of a holder cease to be registrable securities under the 2024 Registration Rights Agreement upon the earlier to occur of the following: (A) a sale pursuant to a registration statement or Rule 144 under the Securities</w:t>
      </w:r>
    </w:p>
    <w:p>
      <w:pPr>
        <w:sectPr>
          <w:pgSz w:w="11900" w:h="16838" w:orient="portrait"/>
          <w:cols w:equalWidth="0" w:num="1">
            <w:col w:w="11308"/>
          </w:cols>
          <w:pgMar w:left="292" w:top="984" w:right="299" w:bottom="1440" w:gutter="0" w:footer="0" w:header="0"/>
        </w:sectPr>
      </w:pPr>
    </w:p>
    <w:bookmarkStart w:id="134" w:name="page135"/>
    <w:bookmarkEnd w:id="134"/>
    <w:p>
      <w:pPr>
        <w:ind w:right="120"/>
        <w:spacing w:after="0" w:line="236" w:lineRule="auto"/>
        <w:rPr>
          <w:sz w:val="20"/>
          <w:szCs w:val="20"/>
          <w:color w:val="auto"/>
        </w:rPr>
      </w:pPr>
      <w:r>
        <w:rPr>
          <w:rFonts w:ascii="Times New Roman" w:cs="Times New Roman" w:eastAsia="Times New Roman" w:hAnsi="Times New Roman"/>
          <w:sz w:val="12"/>
          <w:szCs w:val="12"/>
          <w:color w:val="auto"/>
        </w:rPr>
        <w:t>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2023 Registration Rights Agreement</w:t>
      </w:r>
    </w:p>
    <w:p>
      <w:pPr>
        <w:spacing w:after="0" w:line="145" w:lineRule="exact"/>
        <w:rPr>
          <w:sz w:val="20"/>
          <w:szCs w:val="20"/>
          <w:color w:val="auto"/>
        </w:rPr>
      </w:pPr>
    </w:p>
    <w:p>
      <w:pPr>
        <w:jc w:val="both"/>
        <w:ind w:firstLine="432"/>
        <w:spacing w:after="0" w:line="221" w:lineRule="auto"/>
        <w:rPr>
          <w:sz w:val="20"/>
          <w:szCs w:val="20"/>
          <w:color w:val="auto"/>
        </w:rPr>
      </w:pPr>
      <w:r>
        <w:rPr>
          <w:rFonts w:ascii="Times New Roman" w:cs="Times New Roman" w:eastAsia="Times New Roman" w:hAnsi="Times New Roman"/>
          <w:sz w:val="12"/>
          <w:szCs w:val="12"/>
          <w:color w:val="auto"/>
        </w:rPr>
        <w:t>In connection with the Merger and the 2023 Private Placement, we entered into the 2023 Registration Rights Agreement, pursuant to which we agreed to prepare and file a resale registration statement with the Commission within 90 calendar days following November 15, 2023, with respect to the shares of common stock underlying the Series A Preferred Stock issued in the 2023 Private Placement and the common stock and shares of common stock</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underlying the Series A Preferred Stock issued to the signatories to the 2023 Registration Rights Agreement in the Merger. We also agreed to use our commercially reasonable efforts to cause such registration statement to be declared effective by the Commission by March 29, 2024 (or by May 13, 2024 if the Commission reviews the registration statement). The parties to the 2023 Registration Rights Agreement previously waived these registration requirements during the period in which we were not eligible to use Form S-3 to register resales of the registrable securities under the 2023 Registration Rights Agreement, and one signatory to the 2023 Registration Rights Agreement has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irrevocably waived such registration requirements. We have filed a registration statement in satisfaction of our remaining obligations under the 2023 Registration Rights Agreement, and for so long as such registration statement remains effective, the resale shares to which such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134"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Registration Rights Agreement.</w:t>
      </w:r>
    </w:p>
    <w:p>
      <w:pPr>
        <w:spacing w:after="0" w:line="134" w:lineRule="exact"/>
        <w:rPr>
          <w:sz w:val="20"/>
          <w:szCs w:val="20"/>
          <w:color w:val="auto"/>
        </w:rPr>
      </w:pPr>
    </w:p>
    <w:p>
      <w:pPr>
        <w:jc w:val="both"/>
        <w:ind w:firstLine="216"/>
        <w:spacing w:after="0" w:line="225" w:lineRule="auto"/>
        <w:rPr>
          <w:sz w:val="20"/>
          <w:szCs w:val="20"/>
          <w:color w:val="auto"/>
        </w:rPr>
      </w:pPr>
      <w:r>
        <w:rPr>
          <w:rFonts w:ascii="Times New Roman" w:cs="Times New Roman" w:eastAsia="Times New Roman" w:hAnsi="Times New Roman"/>
          <w:sz w:val="12"/>
          <w:szCs w:val="12"/>
          <w:color w:val="auto"/>
        </w:rPr>
        <w:t>Securities of a holder cease to be registrable securities under the 2023 Registration Rights Agreement upon the earlier to occur of the following: (A) a sale pursuant to a registration statement or Rule 144 under the Securities Act; and (B) the time such shares become eligible for resale by such holder under Rule 144 without the requirement for us to be in compliance with the current public information required thereunder and without volume or manner-of-sale restrictions, pursuant to a written opinion letter of counsel for our Company to such effect, addressed, delivered and reasonably acceptable to our transfer agent.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2020 Registration Rights Agreement</w:t>
      </w:r>
    </w:p>
    <w:p>
      <w:pPr>
        <w:spacing w:after="0" w:line="145" w:lineRule="exact"/>
        <w:rPr>
          <w:sz w:val="20"/>
          <w:szCs w:val="20"/>
          <w:color w:val="auto"/>
        </w:rPr>
      </w:pPr>
    </w:p>
    <w:p>
      <w:pPr>
        <w:jc w:val="both"/>
        <w:ind w:firstLine="432"/>
        <w:spacing w:after="0" w:line="221" w:lineRule="auto"/>
        <w:rPr>
          <w:sz w:val="20"/>
          <w:szCs w:val="20"/>
          <w:color w:val="auto"/>
        </w:rPr>
      </w:pPr>
      <w:r>
        <w:rPr>
          <w:rFonts w:ascii="Times New Roman" w:cs="Times New Roman" w:eastAsia="Times New Roman" w:hAnsi="Times New Roman"/>
          <w:sz w:val="12"/>
          <w:szCs w:val="12"/>
          <w:color w:val="auto"/>
        </w:rPr>
        <w:t>Holders of registrable securities under the 2020 Registration Rights Agreement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rights being exercised would enable holders to trade these shares without restriction under the Securities Act when the applicable registration statement is declared effective.</w:t>
      </w:r>
    </w:p>
    <w:p>
      <w:pPr>
        <w:spacing w:after="0" w:line="127"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2"/>
          <w:szCs w:val="12"/>
          <w:i w:val="1"/>
          <w:iCs w:val="1"/>
          <w:color w:val="auto"/>
        </w:rPr>
        <w:t>Piggyback Registration Rights</w:t>
      </w:r>
      <w:r>
        <w:rPr>
          <w:rFonts w:ascii="Times New Roman" w:cs="Times New Roman" w:eastAsia="Times New Roman" w:hAnsi="Times New Roman"/>
          <w:sz w:val="12"/>
          <w:szCs w:val="12"/>
          <w:color w:val="auto"/>
        </w:rPr>
        <w:t>. Any time we propose to register any shares of our common stock under the Securities Act, subject to certain exceptions, the holders of registrable securities are entitled to notice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registration and to include their shares of registrable securities in the registration. If our proposed registration involves an underwriting, the managing underwriter of such offering will have the right to limit the number of shares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underwritten for reasons related to the marketing of the shares.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Demand Registration Rights</w:t>
      </w:r>
      <w:r>
        <w:rPr>
          <w:rFonts w:ascii="Times New Roman" w:cs="Times New Roman" w:eastAsia="Times New Roman" w:hAnsi="Times New Roman"/>
          <w:sz w:val="12"/>
          <w:szCs w:val="12"/>
          <w:color w:val="auto"/>
        </w:rPr>
        <w:t>. If the holders of registrable securities request in writing that we effect a registration with respect to all of the registrable securities, we will be required to effect such registration.</w:t>
      </w:r>
    </w:p>
    <w:p>
      <w:pPr>
        <w:spacing w:after="0" w:line="141" w:lineRule="exact"/>
        <w:rPr>
          <w:sz w:val="20"/>
          <w:szCs w:val="20"/>
          <w:color w:val="auto"/>
        </w:rPr>
      </w:pPr>
    </w:p>
    <w:p>
      <w:pPr>
        <w:jc w:val="both"/>
        <w:ind w:right="20"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Expenses</w:t>
      </w:r>
      <w:r>
        <w:rPr>
          <w:rFonts w:ascii="Times New Roman" w:cs="Times New Roman" w:eastAsia="Times New Roman" w:hAnsi="Times New Roman"/>
          <w:sz w:val="12"/>
          <w:szCs w:val="12"/>
          <w:color w:val="auto"/>
        </w:rPr>
        <w:t>. Ordinarily, other than underwriting discounts and commissions, we will be required to pay all expenses incurred by us related to any registration effected pursuant to the exercise of these registration rights.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expenses may include all registration and filing fees, printing expenses, fees and disbursements of our counsel, reasonable fees and disbursements of a counsel for the selling security holders and blue sky fees and expenses.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Termination of Registration Rights</w:t>
      </w:r>
      <w:r>
        <w:rPr>
          <w:rFonts w:ascii="Times New Roman" w:cs="Times New Roman" w:eastAsia="Times New Roman" w:hAnsi="Times New Roman"/>
          <w:sz w:val="12"/>
          <w:szCs w:val="12"/>
          <w:color w:val="auto"/>
        </w:rPr>
        <w:t>. The registration rights terminate upon the earlier of (i) such time as there are no longer any registrable securities held by the purchaser, its affiliates or permitted transferees and (ii) such</w:t>
      </w:r>
    </w:p>
    <w:p>
      <w:pPr>
        <w:sectPr>
          <w:pgSz w:w="11900" w:h="16838" w:orient="portrait"/>
          <w:cols w:equalWidth="0" w:num="1">
            <w:col w:w="11300"/>
          </w:cols>
          <w:pgMar w:left="300" w:top="984" w:right="2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color w:val="auto"/>
        </w:rPr>
        <w:t>time as all of the securities can otherwise be sold without regard to the volume or manner-of-sale restrictions pursuant to Rule 144.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Anti-Takeover Effects of Delaware Law and Our Charter and Bylaws</w:t>
      </w:r>
    </w:p>
    <w:p>
      <w:pPr>
        <w:spacing w:after="0" w:line="154"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34"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32"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2"/>
          <w:szCs w:val="12"/>
          <w:i w:val="1"/>
          <w:iCs w:val="1"/>
          <w:color w:val="auto"/>
        </w:rPr>
        <w:t>Undesignated Preferred Stock</w:t>
      </w:r>
      <w:r>
        <w:rPr>
          <w:rFonts w:ascii="Times New Roman" w:cs="Times New Roman" w:eastAsia="Times New Roman" w:hAnsi="Times New Roman"/>
          <w:sz w:val="12"/>
          <w:szCs w:val="12"/>
          <w:color w:val="auto"/>
        </w:rPr>
        <w:t>. The ability of our board of directors, without action by the stockholders, to issue up to 10,000,000 shares of undesignated preferred stock with voting or other rights or preferences as designated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our board of directors could impede the success of any attempt to effect a change in control of us. These and other provisions may have the effect of deferring hostile takeovers or delaying changes in control or management of our Company.</w:t>
      </w:r>
    </w:p>
    <w:p>
      <w:pPr>
        <w:spacing w:after="0" w:line="132" w:lineRule="exact"/>
        <w:rPr>
          <w:sz w:val="20"/>
          <w:szCs w:val="20"/>
          <w:color w:val="auto"/>
        </w:rPr>
      </w:pPr>
    </w:p>
    <w:p>
      <w:pPr>
        <w:jc w:val="both"/>
        <w:ind w:right="20"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Stockholder Meetings</w:t>
      </w:r>
      <w:r>
        <w:rPr>
          <w:rFonts w:ascii="Times New Roman" w:cs="Times New Roman" w:eastAsia="Times New Roman" w:hAnsi="Times New Roman"/>
          <w:sz w:val="12"/>
          <w:szCs w:val="12"/>
          <w:color w:val="auto"/>
        </w:rPr>
        <w:t>. Our Bylaws provide that a special meeting of stockholders may be called only by our chairman of the board of directors, chief executive officer or president (in the absence of a chief executive officer),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a resolution adopted by a majority of our board of directors.</w:t>
      </w:r>
    </w:p>
    <w:p>
      <w:pPr>
        <w:spacing w:after="0" w:line="12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Requirements for Advance Notification of Stockholder Nominations and Proposals</w:t>
      </w:r>
      <w:r>
        <w:rPr>
          <w:rFonts w:ascii="Times New Roman" w:cs="Times New Roman" w:eastAsia="Times New Roman" w:hAnsi="Times New Roman"/>
          <w:sz w:val="12"/>
          <w:szCs w:val="12"/>
          <w:color w:val="auto"/>
        </w:rPr>
        <w:t>. Our Bylaws establish advance notice procedures with respect to stockholder proposals to be brought before a stockholder meeting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nomination of candidates for election as directors, other than nominations made by or at the direction of the board of directors or a committee of the board of directors.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Elimination of Stockholder Action by Written Consent</w:t>
      </w:r>
      <w:r>
        <w:rPr>
          <w:rFonts w:ascii="Times New Roman" w:cs="Times New Roman" w:eastAsia="Times New Roman" w:hAnsi="Times New Roman"/>
          <w:sz w:val="12"/>
          <w:szCs w:val="12"/>
          <w:color w:val="auto"/>
        </w:rPr>
        <w:t>. Our Charter eliminates the right of stockholders to act by written consent without a meeting.</w:t>
      </w:r>
    </w:p>
    <w:p>
      <w:pPr>
        <w:spacing w:after="0" w:line="141" w:lineRule="exact"/>
        <w:rPr>
          <w:sz w:val="20"/>
          <w:szCs w:val="20"/>
          <w:color w:val="auto"/>
        </w:rPr>
      </w:pPr>
    </w:p>
    <w:p>
      <w:pPr>
        <w:jc w:val="both"/>
        <w:ind w:right="20"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Staggered Board</w:t>
      </w:r>
      <w:r>
        <w:rPr>
          <w:rFonts w:ascii="Times New Roman" w:cs="Times New Roman" w:eastAsia="Times New Roman" w:hAnsi="Times New Roman"/>
          <w:sz w:val="12"/>
          <w:szCs w:val="12"/>
          <w:color w:val="auto"/>
        </w:rPr>
        <w:t>. Our board of directors is divided into three classes. The directors in each class will serve for a three-year term, one class being elected each year by our stockholders. This system of electing and removing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directors may tend to discourage a third party from making a tender offer or otherwise attempting to obtain control of us, because it generally makes it more difficult for stockholders to replace a majority of the directors.</w:t>
      </w:r>
    </w:p>
    <w:p>
      <w:pPr>
        <w:spacing w:after="0" w:line="115"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Removal of Directors</w:t>
      </w:r>
      <w:r>
        <w:rPr>
          <w:rFonts w:ascii="Times New Roman" w:cs="Times New Roman" w:eastAsia="Times New Roman" w:hAnsi="Times New Roman"/>
          <w:sz w:val="12"/>
          <w:szCs w:val="12"/>
          <w:color w:val="auto"/>
        </w:rPr>
        <w:t>. Our Charter provides that no member of our board of directors may be removed from office by our stockholders except for cause and, in addition to any other vote required by law, upon the approval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holders of at least two-thirds in voting power of the outstanding shares of common stock entitled to vote in the election of directors.</w:t>
      </w:r>
    </w:p>
    <w:p>
      <w:pPr>
        <w:spacing w:after="0" w:line="131"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Stockholders Not Entitled to Cumulative Voting</w:t>
      </w:r>
      <w:r>
        <w:rPr>
          <w:rFonts w:ascii="Times New Roman" w:cs="Times New Roman" w:eastAsia="Times New Roman" w:hAnsi="Times New Roman"/>
          <w:sz w:val="12"/>
          <w:szCs w:val="12"/>
          <w:color w:val="auto"/>
        </w:rPr>
        <w:t>. Our Charter does not permit stockholders to cumulate their votes in the election of directors. Accordingly, the holders of a majority of the outstanding shares of our common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entitled to vote in any election of directors can elect all of the directors standing for election, if they choose, other than any directors that holders of our preferred stock may be entitled to elect.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Delaware Anti-Takeover Statute</w:t>
      </w:r>
      <w:r>
        <w:rPr>
          <w:rFonts w:ascii="Times New Roman" w:cs="Times New Roman" w:eastAsia="Times New Roman" w:hAnsi="Times New Roman"/>
          <w:sz w:val="12"/>
          <w:szCs w:val="12"/>
          <w:color w:val="auto"/>
        </w:rPr>
        <w:t>. We are subject to Section 203 of the DGCL, which prohibits persons deemed to be “interested stockholders” from engaging in a “business combination” with a publicly held Delaware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have an anti-takeover effect with respect to transactions not approved in advance by the board of directors.</w:t>
      </w:r>
    </w:p>
    <w:p>
      <w:pPr>
        <w:sectPr>
          <w:pgSz w:w="11900" w:h="16838" w:orient="portrait"/>
          <w:cols w:equalWidth="0" w:num="1">
            <w:col w:w="11300"/>
          </w:cols>
          <w:pgMar w:left="300" w:top="984" w:right="299" w:bottom="1440" w:gutter="0" w:footer="0" w:header="0"/>
        </w:sectPr>
      </w:pPr>
    </w:p>
    <w:bookmarkStart w:id="136" w:name="page137"/>
    <w:bookmarkEnd w:id="136"/>
    <w:p>
      <w:pPr>
        <w:jc w:val="both"/>
        <w:ind w:firstLine="432"/>
        <w:spacing w:after="0" w:line="243" w:lineRule="auto"/>
        <w:rPr>
          <w:sz w:val="20"/>
          <w:szCs w:val="20"/>
          <w:color w:val="auto"/>
        </w:rPr>
      </w:pPr>
      <w:r>
        <w:rPr>
          <w:rFonts w:ascii="Times New Roman" w:cs="Times New Roman" w:eastAsia="Times New Roman" w:hAnsi="Times New Roman"/>
          <w:sz w:val="11"/>
          <w:szCs w:val="11"/>
          <w:i w:val="1"/>
          <w:iCs w:val="1"/>
          <w:color w:val="auto"/>
        </w:rPr>
        <w:t>Choice of Forum</w:t>
      </w:r>
      <w:r>
        <w:rPr>
          <w:rFonts w:ascii="Times New Roman" w:cs="Times New Roman" w:eastAsia="Times New Roman" w:hAnsi="Times New Roman"/>
          <w:sz w:val="11"/>
          <w:szCs w:val="11"/>
          <w:color w:val="auto"/>
        </w:rPr>
        <w:t>. Our Charter provides that, unless we consent in writing to the selection of an alternative form, the Court of Chancery of the State of Delaware will be the sole and exclusive forum for: (1) any derivative action</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or proceeding brought on our behalf; (2) any action asserting a claim of breach of a fiduciary duty or other wrongdoing by any of our directors, officers, employees or agents to us or our stockholders; (3) any action asserting a claim</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against us arising pursuant to any provision of the DGCL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and Section 22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Act generally creates concurrent jurisdiction for the state and federal courts over suits brought to enforce any duty or liability created by the Securities Act or the rules and regulations thereunder.</w:t>
      </w:r>
    </w:p>
    <w:p>
      <w:pPr>
        <w:spacing w:after="0" w:line="127"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Amendment of Charter</w:t>
      </w:r>
      <w:r>
        <w:rPr>
          <w:rFonts w:ascii="Times New Roman" w:cs="Times New Roman" w:eastAsia="Times New Roman" w:hAnsi="Times New Roman"/>
          <w:sz w:val="12"/>
          <w:szCs w:val="12"/>
          <w:color w:val="auto"/>
        </w:rPr>
        <w:t>. The amendment of any of the above provisions in our Charter, except for the provision making it possible for our board of directors to issue preferred stock and the provision prohibiting cumulative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voting, would require approval by holders of at least two-thirds in voting power of the outstanding shares of stock entitled to vote thereon.</w:t>
      </w:r>
    </w:p>
    <w:p>
      <w:pPr>
        <w:spacing w:after="0" w:line="133"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ectPr>
          <w:pgSz w:w="11900" w:h="16838" w:orient="portrait"/>
          <w:cols w:equalWidth="0" w:num="1">
            <w:col w:w="11300"/>
          </w:cols>
          <w:pgMar w:left="300" w:top="982" w:right="2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3"/>
          <w:szCs w:val="13"/>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481965</wp:posOffset>
            </wp:positionV>
            <wp:extent cx="7183755" cy="3371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183755"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p>
      <w:pPr>
        <w:spacing w:after="0" w:line="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AMENDED AND RESTATED 2018 EMPLOYMENT</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INDUCEMENT INCENTIVE AWARD PLAN</w:t>
      </w:r>
    </w:p>
    <w:p>
      <w:pPr>
        <w:spacing w:after="0" w:line="8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PURPOSE</w:t>
      </w:r>
    </w:p>
    <w:p>
      <w:pPr>
        <w:spacing w:after="0" w:line="143"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spacing w:after="0" w:line="1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ELIGIBILITY</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Eligible Individuals are eligible to be granted Awards under the Plan, subject to the limitations described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ADMINISTRATION AND DELEGATION</w:t>
      </w:r>
    </w:p>
    <w:p>
      <w:pPr>
        <w:spacing w:after="0" w:line="14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Administration</w:t>
      </w:r>
      <w:r>
        <w:rPr>
          <w:rFonts w:ascii="Times New Roman" w:cs="Times New Roman" w:eastAsia="Times New Roman" w:hAnsi="Times New Roman"/>
          <w:sz w:val="13"/>
          <w:szCs w:val="13"/>
          <w:color w:val="auto"/>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spacing w:after="0" w:line="127"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Appointment of Committees</w:t>
      </w:r>
      <w:r>
        <w:rPr>
          <w:rFonts w:ascii="Times New Roman" w:cs="Times New Roman" w:eastAsia="Times New Roman" w:hAnsi="Times New Roman"/>
          <w:sz w:val="13"/>
          <w:szCs w:val="13"/>
          <w:color w:val="auto"/>
        </w:rPr>
        <w:t>. To the extent Applicable Laws permit, the Board may delegate any or all of its powers under the Plan to one or more Committees. The Board may abolish any Committee or re-vest in itself any previously delegated authority at any time.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AVAILABLE FOR AWARDS</w:t>
      </w:r>
    </w:p>
    <w:p>
      <w:pPr>
        <w:spacing w:after="0" w:line="13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Number of Shares</w:t>
      </w:r>
      <w:r>
        <w:rPr>
          <w:rFonts w:ascii="Times New Roman" w:cs="Times New Roman" w:eastAsia="Times New Roman" w:hAnsi="Times New Roman"/>
          <w:sz w:val="13"/>
          <w:szCs w:val="13"/>
          <w:color w:val="auto"/>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pacing w:after="0" w:line="92"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u w:val="single" w:color="auto"/>
          <w:color w:val="auto"/>
        </w:rPr>
        <w:t>Share Recycling</w:t>
      </w:r>
      <w:r>
        <w:rPr>
          <w:rFonts w:ascii="Times New Roman" w:cs="Times New Roman" w:eastAsia="Times New Roman" w:hAnsi="Times New Roman"/>
          <w:sz w:val="13"/>
          <w:szCs w:val="13"/>
          <w:color w:val="auto"/>
        </w:rPr>
        <w:t>. If all or any part of an Award expires, lapses or is terminated, exchanged for cash, surrendered, repurchased, canceled without having been fully exercised or forfeited,</w:t>
      </w:r>
    </w:p>
    <w:p>
      <w:pPr>
        <w:sectPr>
          <w:pgSz w:w="11900" w:h="16838" w:orient="portrait"/>
          <w:cols w:equalWidth="0" w:num="1">
            <w:col w:w="11300"/>
          </w:cols>
          <w:pgMar w:left="300" w:top="114" w:right="299" w:bottom="1440" w:gutter="0" w:footer="0" w:header="0"/>
        </w:sectPr>
      </w:pPr>
    </w:p>
    <w:bookmarkStart w:id="138" w:name="page139"/>
    <w:bookmarkEnd w:id="138"/>
    <w:p>
      <w:pPr>
        <w:jc w:val="both"/>
        <w:spacing w:after="0" w:line="261" w:lineRule="auto"/>
        <w:rPr>
          <w:sz w:val="20"/>
          <w:szCs w:val="20"/>
          <w:color w:val="auto"/>
        </w:rPr>
      </w:pPr>
      <w:r>
        <w:rPr>
          <w:rFonts w:ascii="Times New Roman" w:cs="Times New Roman" w:eastAsia="Times New Roman" w:hAnsi="Times New Roman"/>
          <w:sz w:val="13"/>
          <w:szCs w:val="13"/>
          <w:color w:val="auto"/>
        </w:rPr>
        <w:t>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OPTIONS AND STOCK APPRECIATION RIGHTS</w:t>
      </w:r>
    </w:p>
    <w:p>
      <w:pPr>
        <w:spacing w:after="0" w:line="13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General</w:t>
      </w:r>
      <w:r>
        <w:rPr>
          <w:rFonts w:ascii="Times New Roman" w:cs="Times New Roman" w:eastAsia="Times New Roman" w:hAnsi="Times New Roman"/>
          <w:sz w:val="13"/>
          <w:szCs w:val="13"/>
          <w:color w:val="auto"/>
        </w:rPr>
        <w:t>.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23"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Exercise Price</w:t>
      </w:r>
      <w:r>
        <w:rPr>
          <w:rFonts w:ascii="Times New Roman" w:cs="Times New Roman" w:eastAsia="Times New Roman" w:hAnsi="Times New Roman"/>
          <w:sz w:val="13"/>
          <w:szCs w:val="13"/>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0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Duration</w:t>
      </w:r>
      <w:r>
        <w:rPr>
          <w:rFonts w:ascii="Times New Roman" w:cs="Times New Roman" w:eastAsia="Times New Roman" w:hAnsi="Times New Roman"/>
          <w:sz w:val="13"/>
          <w:szCs w:val="13"/>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989" w:right="299" w:bottom="1440" w:gutter="0" w:footer="0" w:header="0"/>
        </w:sectPr>
      </w:pPr>
    </w:p>
    <w:bookmarkStart w:id="139" w:name="page140"/>
    <w:bookmarkEnd w:id="139"/>
    <w:p>
      <w:pPr>
        <w:jc w:val="both"/>
        <w:spacing w:after="0" w:line="261" w:lineRule="auto"/>
        <w:rPr>
          <w:sz w:val="20"/>
          <w:szCs w:val="20"/>
          <w:color w:val="auto"/>
        </w:rPr>
      </w:pPr>
      <w:r>
        <w:rPr>
          <w:rFonts w:ascii="Times New Roman" w:cs="Times New Roman" w:eastAsia="Times New Roman" w:hAnsi="Times New Roman"/>
          <w:sz w:val="13"/>
          <w:szCs w:val="13"/>
          <w:color w:val="auto"/>
        </w:rPr>
        <w:t>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12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Exercise</w:t>
      </w:r>
      <w:r>
        <w:rPr>
          <w:rFonts w:ascii="Times New Roman" w:cs="Times New Roman" w:eastAsia="Times New Roman" w:hAnsi="Times New Roman"/>
          <w:sz w:val="13"/>
          <w:szCs w:val="13"/>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16"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5.5</w:t>
      </w:r>
      <w:r>
        <w:rPr>
          <w:sz w:val="20"/>
          <w:szCs w:val="20"/>
          <w:color w:val="auto"/>
        </w:rPr>
        <w:tab/>
      </w:r>
      <w:r>
        <w:rPr>
          <w:rFonts w:ascii="Times New Roman" w:cs="Times New Roman" w:eastAsia="Times New Roman" w:hAnsi="Times New Roman"/>
          <w:sz w:val="13"/>
          <w:szCs w:val="13"/>
          <w:u w:val="single" w:color="auto"/>
          <w:color w:val="auto"/>
        </w:rPr>
        <w:t>Payment Upon Exercise</w:t>
      </w:r>
      <w:r>
        <w:rPr>
          <w:rFonts w:ascii="Times New Roman" w:cs="Times New Roman" w:eastAsia="Times New Roman" w:hAnsi="Times New Roman"/>
          <w:sz w:val="13"/>
          <w:szCs w:val="13"/>
          <w:color w:val="auto"/>
        </w:rPr>
        <w:t>. Subject to Section 10.9, any Company insider trading policy (including blackout periods) and Applicable Laws, the exercise price of an Option must be paid by:</w:t>
      </w:r>
    </w:p>
    <w:p>
      <w:pPr>
        <w:spacing w:after="0" w:line="148" w:lineRule="exact"/>
        <w:rPr>
          <w:sz w:val="20"/>
          <w:szCs w:val="20"/>
          <w:color w:val="auto"/>
        </w:rPr>
      </w:pPr>
    </w:p>
    <w:p>
      <w:pPr>
        <w:ind w:firstLine="856"/>
        <w:spacing w:after="0" w:line="295" w:lineRule="auto"/>
        <w:tabs>
          <w:tab w:leader="none" w:pos="1147"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00" w:lineRule="exact"/>
        <w:rPr>
          <w:rFonts w:ascii="Times New Roman" w:cs="Times New Roman" w:eastAsia="Times New Roman" w:hAnsi="Times New Roman"/>
          <w:sz w:val="13"/>
          <w:szCs w:val="13"/>
          <w:color w:val="auto"/>
        </w:rPr>
      </w:pPr>
    </w:p>
    <w:p>
      <w:pPr>
        <w:jc w:val="both"/>
        <w:ind w:firstLine="856"/>
        <w:spacing w:after="0" w:line="262" w:lineRule="auto"/>
        <w:tabs>
          <w:tab w:leader="none" w:pos="1173"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21"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by the Administrator, delivery (either by actual delivery or attestation) of Shares owned by the Participant valued at their Fair Market Value;</w:t>
      </w:r>
    </w:p>
    <w:p>
      <w:pPr>
        <w:spacing w:after="0" w:line="156"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by the Administrator, surrendering Shares then issuable upon the Option’s exercise valued at their Fair Market Value on the exercise date;</w:t>
      </w:r>
    </w:p>
    <w:p>
      <w:pPr>
        <w:spacing w:after="0" w:line="147"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by the Administrator, delivery of a promissory note or any other property that the Administrator determines is good and valuable consideration; or</w:t>
      </w:r>
    </w:p>
    <w:p>
      <w:pPr>
        <w:spacing w:after="0" w:line="156" w:lineRule="exact"/>
        <w:rPr>
          <w:rFonts w:ascii="Times New Roman" w:cs="Times New Roman" w:eastAsia="Times New Roman" w:hAnsi="Times New Roman"/>
          <w:sz w:val="13"/>
          <w:szCs w:val="13"/>
          <w:color w:val="auto"/>
        </w:rPr>
      </w:pPr>
    </w:p>
    <w:p>
      <w:pPr>
        <w:ind w:left="1120" w:hanging="264"/>
        <w:spacing w:after="0"/>
        <w:tabs>
          <w:tab w:leader="none" w:pos="11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by the Company, any combination of the above payment forms approved by the Administrator.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RESTRICTED STOCK UNITS</w:t>
      </w:r>
    </w:p>
    <w:p>
      <w:pPr>
        <w:spacing w:after="0" w:line="138"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General</w:t>
      </w:r>
      <w:r>
        <w:rPr>
          <w:rFonts w:ascii="Times New Roman" w:cs="Times New Roman" w:eastAsia="Times New Roman" w:hAnsi="Times New Roman"/>
          <w:sz w:val="13"/>
          <w:szCs w:val="13"/>
          <w:color w:val="auto"/>
        </w:rPr>
        <w:t>. The Administrator may grant Restricted Stock, or the right to purchase Restricted Stock, to any Eligible Individual, subject to the Company’s right to repurchase all or part of such shares at their issue price or other stated or formula price from the Participant (or to require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300"/>
          </w:cols>
          <w:pgMar w:left="300" w:top="989" w:right="299" w:bottom="1440" w:gutter="0" w:footer="0" w:header="0"/>
        </w:sectPr>
      </w:pPr>
    </w:p>
    <w:bookmarkStart w:id="140" w:name="page141"/>
    <w:bookmarkEnd w:id="140"/>
    <w:p>
      <w:pPr>
        <w:jc w:val="both"/>
        <w:spacing w:after="0" w:line="267" w:lineRule="auto"/>
        <w:rPr>
          <w:sz w:val="20"/>
          <w:szCs w:val="20"/>
          <w:color w:val="auto"/>
        </w:rPr>
      </w:pPr>
      <w:r>
        <w:rPr>
          <w:rFonts w:ascii="Times New Roman" w:cs="Times New Roman" w:eastAsia="Times New Roman" w:hAnsi="Times New Roman"/>
          <w:sz w:val="13"/>
          <w:szCs w:val="13"/>
          <w:color w:val="auto"/>
        </w:rPr>
        <w:t>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09"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6.2</w:t>
      </w:r>
      <w:r>
        <w:rPr>
          <w:sz w:val="20"/>
          <w:szCs w:val="20"/>
          <w:color w:val="auto"/>
        </w:rPr>
        <w:tab/>
      </w:r>
      <w:r>
        <w:rPr>
          <w:rFonts w:ascii="Times New Roman" w:cs="Times New Roman" w:eastAsia="Times New Roman" w:hAnsi="Times New Roman"/>
          <w:sz w:val="13"/>
          <w:szCs w:val="13"/>
          <w:u w:val="single" w:color="auto"/>
          <w:color w:val="auto"/>
        </w:rPr>
        <w:t>Restricted Stock</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jc w:val="both"/>
        <w:ind w:firstLine="856"/>
        <w:spacing w:after="0" w:line="270" w:lineRule="auto"/>
        <w:tabs>
          <w:tab w:leader="none" w:pos="116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16" w:lineRule="exact"/>
        <w:rPr>
          <w:rFonts w:ascii="Times New Roman" w:cs="Times New Roman" w:eastAsia="Times New Roman" w:hAnsi="Times New Roman"/>
          <w:sz w:val="13"/>
          <w:szCs w:val="13"/>
          <w:color w:val="auto"/>
        </w:rPr>
      </w:pPr>
    </w:p>
    <w:p>
      <w:pPr>
        <w:ind w:firstLine="856"/>
        <w:spacing w:after="0" w:line="281" w:lineRule="auto"/>
        <w:tabs>
          <w:tab w:leader="none" w:pos="117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 Certificates</w:t>
      </w:r>
      <w:r>
        <w:rPr>
          <w:rFonts w:ascii="Times New Roman" w:cs="Times New Roman" w:eastAsia="Times New Roman" w:hAnsi="Times New Roman"/>
          <w:sz w:val="13"/>
          <w:szCs w:val="13"/>
          <w:color w:val="auto"/>
        </w:rPr>
        <w:t>. The Company may require that the Participant deposit in escrow with the Company (or its designee) any stock certificates issued in respect of shares of Restricted Stock, together with a stock power endorsed in blank.</w:t>
      </w:r>
    </w:p>
    <w:p>
      <w:pPr>
        <w:spacing w:after="0" w:line="109"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6.3</w:t>
      </w:r>
      <w:r>
        <w:rPr>
          <w:sz w:val="20"/>
          <w:szCs w:val="20"/>
          <w:color w:val="auto"/>
        </w:rPr>
        <w:tab/>
      </w:r>
      <w:r>
        <w:rPr>
          <w:rFonts w:ascii="Times New Roman" w:cs="Times New Roman" w:eastAsia="Times New Roman" w:hAnsi="Times New Roman"/>
          <w:sz w:val="13"/>
          <w:szCs w:val="13"/>
          <w:u w:val="single" w:color="auto"/>
          <w:color w:val="auto"/>
        </w:rPr>
        <w:t>Restricted Stock Units.</w:t>
      </w:r>
    </w:p>
    <w:p>
      <w:pPr>
        <w:spacing w:after="0" w:line="157" w:lineRule="exact"/>
        <w:rPr>
          <w:sz w:val="20"/>
          <w:szCs w:val="20"/>
          <w:color w:val="auto"/>
        </w:rPr>
      </w:pPr>
    </w:p>
    <w:p>
      <w:pPr>
        <w:ind w:firstLine="856"/>
        <w:spacing w:after="0" w:line="281" w:lineRule="auto"/>
        <w:tabs>
          <w:tab w:leader="none" w:pos="1142"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w:t>
      </w:r>
      <w:r>
        <w:rPr>
          <w:rFonts w:ascii="Times New Roman" w:cs="Times New Roman" w:eastAsia="Times New Roman" w:hAnsi="Times New Roman"/>
          <w:sz w:val="13"/>
          <w:szCs w:val="13"/>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08" w:lineRule="exact"/>
        <w:rPr>
          <w:rFonts w:ascii="Times New Roman" w:cs="Times New Roman" w:eastAsia="Times New Roman" w:hAnsi="Times New Roman"/>
          <w:sz w:val="13"/>
          <w:szCs w:val="13"/>
          <w:color w:val="auto"/>
        </w:rPr>
      </w:pPr>
    </w:p>
    <w:p>
      <w:pPr>
        <w:ind w:firstLine="856"/>
        <w:spacing w:after="0" w:line="281" w:lineRule="auto"/>
        <w:tabs>
          <w:tab w:leader="none" w:pos="115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Stockholder Rights</w:t>
      </w:r>
      <w:r>
        <w:rPr>
          <w:rFonts w:ascii="Times New Roman" w:cs="Times New Roman" w:eastAsia="Times New Roman" w:hAnsi="Times New Roman"/>
          <w:sz w:val="13"/>
          <w:szCs w:val="13"/>
          <w:color w:val="auto"/>
        </w:rPr>
        <w:t>. A Participant will have no rights of a stockholder with respect to Shares subject to any Restricted Stock Unit unless and until the Shares are delivered in settlement of the Restricted Stock Unit.</w:t>
      </w:r>
    </w:p>
    <w:p>
      <w:pPr>
        <w:spacing w:after="0" w:line="108" w:lineRule="exact"/>
        <w:rPr>
          <w:rFonts w:ascii="Times New Roman" w:cs="Times New Roman" w:eastAsia="Times New Roman" w:hAnsi="Times New Roman"/>
          <w:sz w:val="13"/>
          <w:szCs w:val="13"/>
          <w:color w:val="auto"/>
        </w:rPr>
      </w:pPr>
    </w:p>
    <w:p>
      <w:pPr>
        <w:jc w:val="both"/>
        <w:ind w:firstLine="856"/>
        <w:spacing w:after="0" w:line="270" w:lineRule="auto"/>
        <w:tabs>
          <w:tab w:leader="none" w:pos="1151"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 Equivalents</w:t>
      </w:r>
      <w:r>
        <w:rPr>
          <w:rFonts w:ascii="Times New Roman" w:cs="Times New Roman" w:eastAsia="Times New Roman" w:hAnsi="Times New Roman"/>
          <w:sz w:val="13"/>
          <w:szCs w:val="13"/>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STOCK OR CASH BASED AWARDS</w:t>
      </w:r>
    </w:p>
    <w:p>
      <w:pPr>
        <w:spacing w:after="0" w:line="14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300"/>
          </w:cols>
          <w:pgMar w:left="300" w:top="989" w:right="299" w:bottom="1440" w:gutter="0" w:footer="0" w:header="0"/>
        </w:sectPr>
      </w:pPr>
    </w:p>
    <w:bookmarkStart w:id="141" w:name="page142"/>
    <w:bookmarkEnd w:id="141"/>
    <w:p>
      <w:pPr>
        <w:jc w:val="both"/>
        <w:spacing w:after="0" w:line="295" w:lineRule="auto"/>
        <w:rPr>
          <w:sz w:val="20"/>
          <w:szCs w:val="20"/>
          <w:color w:val="auto"/>
        </w:rPr>
      </w:pPr>
      <w:r>
        <w:rPr>
          <w:rFonts w:ascii="Times New Roman" w:cs="Times New Roman" w:eastAsia="Times New Roman" w:hAnsi="Times New Roman"/>
          <w:sz w:val="13"/>
          <w:szCs w:val="13"/>
          <w:color w:val="auto"/>
        </w:rPr>
        <w:t>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9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ADJUSTMENTS FOR CHANGES IN COMMON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 CERTAIN OTHER EVENTS</w:t>
      </w:r>
    </w:p>
    <w:p>
      <w:pPr>
        <w:spacing w:after="0" w:line="143"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Equity Restructuring</w:t>
      </w:r>
      <w:r>
        <w:rPr>
          <w:rFonts w:ascii="Times New Roman" w:cs="Times New Roman" w:eastAsia="Times New Roman" w:hAnsi="Times New Roman"/>
          <w:sz w:val="13"/>
          <w:szCs w:val="13"/>
          <w:color w:val="auto"/>
        </w:rPr>
        <w:t>(a)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0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Corporate Transactions</w:t>
      </w:r>
      <w:r>
        <w:rPr>
          <w:rFonts w:ascii="Times New Roman" w:cs="Times New Roman" w:eastAsia="Times New Roman" w:hAnsi="Times New Roman"/>
          <w:sz w:val="13"/>
          <w:szCs w:val="13"/>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12" w:lineRule="exact"/>
        <w:rPr>
          <w:sz w:val="20"/>
          <w:szCs w:val="20"/>
          <w:color w:val="auto"/>
        </w:rPr>
      </w:pPr>
    </w:p>
    <w:p>
      <w:pPr>
        <w:jc w:val="both"/>
        <w:ind w:firstLine="856"/>
        <w:spacing w:after="0" w:line="270" w:lineRule="auto"/>
        <w:tabs>
          <w:tab w:leader="none" w:pos="114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16"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that such Award shall vest and, to the extent applicable, be exercisable as to all shares covered thereby, notwithstanding anything to the contrary in the Plan or the provisions of such</w:t>
      </w:r>
    </w:p>
    <w:p>
      <w:pPr>
        <w:spacing w:after="0" w:line="17"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Award;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300"/>
          </w:cols>
          <w:pgMar w:left="300" w:top="989" w:right="299" w:bottom="1440" w:gutter="0" w:footer="0" w:header="0"/>
        </w:sectPr>
      </w:pPr>
    </w:p>
    <w:bookmarkStart w:id="142" w:name="page143"/>
    <w:bookmarkEnd w:id="142"/>
    <w:p>
      <w:pPr>
        <w:jc w:val="both"/>
        <w:ind w:firstLine="856"/>
        <w:spacing w:after="0" w:line="295" w:lineRule="auto"/>
        <w:tabs>
          <w:tab w:leader="none" w:pos="115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91" w:lineRule="exact"/>
        <w:rPr>
          <w:rFonts w:ascii="Times New Roman" w:cs="Times New Roman" w:eastAsia="Times New Roman" w:hAnsi="Times New Roman"/>
          <w:sz w:val="13"/>
          <w:szCs w:val="13"/>
          <w:color w:val="auto"/>
        </w:rPr>
      </w:pPr>
    </w:p>
    <w:p>
      <w:pPr>
        <w:jc w:val="both"/>
        <w:ind w:firstLine="856"/>
        <w:spacing w:after="0" w:line="270" w:lineRule="auto"/>
        <w:tabs>
          <w:tab w:leader="none" w:pos="116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16"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replace such Award with other rights or property selected by the Administrator; and/or</w:t>
      </w:r>
    </w:p>
    <w:p>
      <w:pPr>
        <w:spacing w:after="0" w:line="156" w:lineRule="exact"/>
        <w:rPr>
          <w:rFonts w:ascii="Times New Roman" w:cs="Times New Roman" w:eastAsia="Times New Roman" w:hAnsi="Times New Roman"/>
          <w:sz w:val="13"/>
          <w:szCs w:val="13"/>
          <w:color w:val="auto"/>
        </w:rPr>
      </w:pPr>
    </w:p>
    <w:p>
      <w:pPr>
        <w:ind w:left="1120" w:hanging="264"/>
        <w:spacing w:after="0"/>
        <w:tabs>
          <w:tab w:leader="none" w:pos="11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that the Award will terminate and cannot vest, be exercised or become payable after the applicable event.</w:t>
      </w:r>
    </w:p>
    <w:p>
      <w:pPr>
        <w:spacing w:after="0" w:line="14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Non-Assumption</w:t>
      </w:r>
      <w:r>
        <w:rPr>
          <w:rFonts w:ascii="Times New Roman" w:cs="Times New Roman" w:eastAsia="Times New Roman" w:hAnsi="Times New Roman"/>
          <w:sz w:val="13"/>
          <w:szCs w:val="13"/>
          <w:color w:val="auto"/>
        </w:rPr>
        <w:t>.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Times New Roman" w:cs="Times New Roman" w:eastAsia="Times New Roman" w:hAnsi="Times New Roman"/>
          <w:sz w:val="13"/>
          <w:szCs w:val="13"/>
          <w:b w:val="1"/>
          <w:bCs w:val="1"/>
          <w:i w:val="1"/>
          <w:iCs w:val="1"/>
          <w:color w:val="auto"/>
        </w:rPr>
        <w:t>Assumption</w:t>
      </w:r>
      <w:r>
        <w:rPr>
          <w:rFonts w:ascii="Times New Roman" w:cs="Times New Roman" w:eastAsia="Times New Roman" w:hAnsi="Times New Roman"/>
          <w:sz w:val="13"/>
          <w:szCs w:val="13"/>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18"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Administrative Stand Still</w:t>
      </w:r>
      <w:r>
        <w:rPr>
          <w:rFonts w:ascii="Times New Roman" w:cs="Times New Roman" w:eastAsia="Times New Roman" w:hAnsi="Times New Roman"/>
          <w:sz w:val="13"/>
          <w:szCs w:val="13"/>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General</w:t>
      </w:r>
      <w:r>
        <w:rPr>
          <w:rFonts w:ascii="Times New Roman" w:cs="Times New Roman" w:eastAsia="Times New Roman" w:hAnsi="Times New Roman"/>
          <w:sz w:val="13"/>
          <w:szCs w:val="13"/>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300"/>
          </w:cols>
          <w:pgMar w:left="300" w:top="989" w:right="299" w:bottom="1440" w:gutter="0" w:footer="0" w:header="0"/>
        </w:sectPr>
      </w:pPr>
    </w:p>
    <w:bookmarkStart w:id="143" w:name="page144"/>
    <w:bookmarkEnd w:id="143"/>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GENERAL PROVISIONS APPLICABLE TO AWARDS</w:t>
      </w:r>
    </w:p>
    <w:p>
      <w:pPr>
        <w:spacing w:after="0" w:line="138"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Transferability</w:t>
      </w:r>
      <w:r>
        <w:rPr>
          <w:rFonts w:ascii="Times New Roman" w:cs="Times New Roman" w:eastAsia="Times New Roman" w:hAnsi="Times New Roman"/>
          <w:sz w:val="13"/>
          <w:szCs w:val="13"/>
          <w:color w:val="auto"/>
        </w:rPr>
        <w:t>. Except as the Administrator may determine or provide in an Award Agreement or otherwise,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16"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Documentation</w:t>
      </w:r>
      <w:r>
        <w:rPr>
          <w:rFonts w:ascii="Times New Roman" w:cs="Times New Roman" w:eastAsia="Times New Roman" w:hAnsi="Times New Roman"/>
          <w:sz w:val="13"/>
          <w:szCs w:val="13"/>
          <w:color w:val="auto"/>
        </w:rPr>
        <w:t>. Each Award will be evidenced in an Award Agreement, which may be written or electronic, as the Administrator determines. Each Award may contain terms and conditions in addition to those set forth in the Plan.</w:t>
      </w:r>
    </w:p>
    <w:p>
      <w:pPr>
        <w:spacing w:after="0" w:line="92"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u w:val="single" w:color="auto"/>
          <w:color w:val="auto"/>
        </w:rPr>
        <w:t>Discretion</w:t>
      </w:r>
      <w:r>
        <w:rPr>
          <w:rFonts w:ascii="Times New Roman" w:cs="Times New Roman" w:eastAsia="Times New Roman" w:hAnsi="Times New Roman"/>
          <w:sz w:val="13"/>
          <w:szCs w:val="13"/>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92" w:lineRule="exact"/>
        <w:rPr>
          <w:sz w:val="20"/>
          <w:szCs w:val="20"/>
          <w:color w:val="auto"/>
        </w:rPr>
      </w:pPr>
    </w:p>
    <w:p>
      <w:pPr>
        <w:jc w:val="both"/>
        <w:ind w:left="8" w:firstLine="432"/>
        <w:spacing w:after="0" w:line="277" w:lineRule="auto"/>
        <w:rPr>
          <w:sz w:val="20"/>
          <w:szCs w:val="20"/>
          <w:color w:val="auto"/>
        </w:rPr>
      </w:pPr>
      <w:r>
        <w:rPr>
          <w:rFonts w:ascii="Times New Roman" w:cs="Times New Roman" w:eastAsia="Times New Roman" w:hAnsi="Times New Roman"/>
          <w:sz w:val="13"/>
          <w:szCs w:val="13"/>
          <w:color w:val="auto"/>
        </w:rPr>
        <w:t xml:space="preserve">9.4 </w:t>
      </w:r>
      <w:r>
        <w:rPr>
          <w:rFonts w:ascii="Times New Roman" w:cs="Times New Roman" w:eastAsia="Times New Roman" w:hAnsi="Times New Roman"/>
          <w:sz w:val="13"/>
          <w:szCs w:val="13"/>
          <w:u w:val="single" w:color="auto"/>
          <w:color w:val="auto"/>
        </w:rPr>
        <w:t>Termination of Status</w:t>
      </w:r>
      <w:r>
        <w:rPr>
          <w:rFonts w:ascii="Times New Roman" w:cs="Times New Roman" w:eastAsia="Times New Roman" w:hAnsi="Times New Roman"/>
          <w:sz w:val="13"/>
          <w:szCs w:val="13"/>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03"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3"/>
          <w:szCs w:val="13"/>
          <w:color w:val="auto"/>
        </w:rPr>
        <w:t xml:space="preserve">9.5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w:t>
      </w:r>
    </w:p>
    <w:p>
      <w:pPr>
        <w:spacing w:after="0" w:line="1" w:lineRule="exact"/>
        <w:rPr>
          <w:sz w:val="20"/>
          <w:szCs w:val="20"/>
          <w:color w:val="auto"/>
        </w:rPr>
      </w:pPr>
    </w:p>
    <w:p>
      <w:pPr>
        <w:jc w:val="both"/>
        <w:ind w:left="8" w:right="20" w:hanging="8"/>
        <w:spacing w:after="0" w:line="266" w:lineRule="auto"/>
        <w:tabs>
          <w:tab w:leader="none" w:pos="234"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308"/>
          </w:cols>
          <w:pgMar w:left="292" w:top="987" w:right="299" w:bottom="1440" w:gutter="0" w:footer="0" w:header="0"/>
        </w:sectPr>
      </w:pPr>
    </w:p>
    <w:bookmarkStart w:id="144" w:name="page145"/>
    <w:bookmarkEnd w:id="144"/>
    <w:p>
      <w:pPr>
        <w:jc w:val="both"/>
        <w:spacing w:after="0" w:line="295" w:lineRule="auto"/>
        <w:rPr>
          <w:sz w:val="20"/>
          <w:szCs w:val="20"/>
          <w:color w:val="auto"/>
        </w:rPr>
      </w:pPr>
      <w:r>
        <w:rPr>
          <w:rFonts w:ascii="Times New Roman" w:cs="Times New Roman" w:eastAsia="Times New Roman" w:hAnsi="Times New Roman"/>
          <w:sz w:val="13"/>
          <w:szCs w:val="13"/>
          <w:color w:val="auto"/>
        </w:rPr>
        <w:t>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9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3"/>
          <w:szCs w:val="13"/>
          <w:color w:val="auto"/>
        </w:rPr>
        <w:t xml:space="preserve">9.6 </w:t>
      </w:r>
      <w:r>
        <w:rPr>
          <w:rFonts w:ascii="Times New Roman" w:cs="Times New Roman" w:eastAsia="Times New Roman" w:hAnsi="Times New Roman"/>
          <w:sz w:val="13"/>
          <w:szCs w:val="13"/>
          <w:u w:val="single" w:color="auto"/>
          <w:color w:val="auto"/>
        </w:rPr>
        <w:t>Amendment of Award; Repricing</w:t>
      </w:r>
      <w:r>
        <w:rPr>
          <w:rFonts w:ascii="Times New Roman" w:cs="Times New Roman" w:eastAsia="Times New Roman" w:hAnsi="Times New Roman"/>
          <w:sz w:val="13"/>
          <w:szCs w:val="13"/>
          <w:color w:val="auto"/>
        </w:rPr>
        <w:t>. The Administrator may amend, modify or terminate any outstanding Award, including by substituting another Award of the same or a different type or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3"/>
          <w:szCs w:val="13"/>
          <w:color w:val="auto"/>
        </w:rPr>
        <w:t xml:space="preserve">9.7 </w:t>
      </w:r>
      <w:r>
        <w:rPr>
          <w:rFonts w:ascii="Times New Roman" w:cs="Times New Roman" w:eastAsia="Times New Roman" w:hAnsi="Times New Roman"/>
          <w:sz w:val="13"/>
          <w:szCs w:val="13"/>
          <w:u w:val="single" w:color="auto"/>
          <w:color w:val="auto"/>
        </w:rPr>
        <w:t>Conditions on Delivery of Stock</w:t>
      </w:r>
      <w:r>
        <w:rPr>
          <w:rFonts w:ascii="Times New Roman" w:cs="Times New Roman" w:eastAsia="Times New Roman" w:hAnsi="Times New Roman"/>
          <w:sz w:val="13"/>
          <w:szCs w:val="13"/>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9.8 </w:t>
      </w:r>
      <w:r>
        <w:rPr>
          <w:rFonts w:ascii="Times New Roman" w:cs="Times New Roman" w:eastAsia="Times New Roman" w:hAnsi="Times New Roman"/>
          <w:sz w:val="13"/>
          <w:szCs w:val="13"/>
          <w:u w:val="single" w:color="auto"/>
          <w:color w:val="auto"/>
        </w:rPr>
        <w:t>Acceleration</w:t>
      </w:r>
      <w:r>
        <w:rPr>
          <w:rFonts w:ascii="Times New Roman" w:cs="Times New Roman" w:eastAsia="Times New Roman" w:hAnsi="Times New Roman"/>
          <w:sz w:val="13"/>
          <w:szCs w:val="13"/>
          <w:color w:val="auto"/>
        </w:rPr>
        <w:t>. The Administrator may at any time provide that any Award will become immediately vested and fully or partially exercisable, free of some or all restrictions or conditions, or otherwise fully or partially realizable.</w:t>
      </w:r>
    </w:p>
    <w:p>
      <w:pPr>
        <w:spacing w:after="0" w:line="9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9.9 </w:t>
      </w:r>
      <w:r>
        <w:rPr>
          <w:rFonts w:ascii="Times New Roman" w:cs="Times New Roman" w:eastAsia="Times New Roman" w:hAnsi="Times New Roman"/>
          <w:sz w:val="13"/>
          <w:szCs w:val="13"/>
          <w:u w:val="single" w:color="auto"/>
          <w:color w:val="auto"/>
        </w:rPr>
        <w:t>Action Required Upon Grant of Award</w:t>
      </w:r>
      <w:r>
        <w:rPr>
          <w:rFonts w:ascii="Times New Roman" w:cs="Times New Roman" w:eastAsia="Times New Roman" w:hAnsi="Times New Roman"/>
          <w:sz w:val="13"/>
          <w:szCs w:val="13"/>
          <w:color w:val="auto"/>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4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No Right to Employment or Other Status</w:t>
      </w:r>
      <w:r>
        <w:rPr>
          <w:rFonts w:ascii="Times New Roman" w:cs="Times New Roman" w:eastAsia="Times New Roman" w:hAnsi="Times New Roman"/>
          <w:sz w:val="13"/>
          <w:szCs w:val="13"/>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0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u w:val="single" w:color="auto"/>
          <w:color w:val="auto"/>
        </w:rPr>
        <w:t>No Rights as Stockholder; Certificates</w:t>
      </w:r>
      <w:r>
        <w:rPr>
          <w:rFonts w:ascii="Times New Roman" w:cs="Times New Roman" w:eastAsia="Times New Roman" w:hAnsi="Times New Roman"/>
          <w:sz w:val="13"/>
          <w:szCs w:val="13"/>
          <w:color w:val="auto"/>
        </w:rPr>
        <w:t>. Subject to the Award Agreement, no Participant or Designated Beneficiary will have any rights as a stockholder with respect to any Shares to be distributed under an Award until becoming the record holder of such Shares. Notwithstanding any other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300"/>
          </w:cols>
          <w:pgMar w:left="300" w:top="989" w:right="299" w:bottom="1440" w:gutter="0" w:footer="0" w:header="0"/>
        </w:sectPr>
      </w:pPr>
    </w:p>
    <w:bookmarkStart w:id="145" w:name="page146"/>
    <w:bookmarkEnd w:id="145"/>
    <w:p>
      <w:pPr>
        <w:jc w:val="both"/>
        <w:spacing w:after="0" w:line="270" w:lineRule="auto"/>
        <w:rPr>
          <w:sz w:val="20"/>
          <w:szCs w:val="20"/>
          <w:color w:val="auto"/>
        </w:rPr>
      </w:pPr>
      <w:r>
        <w:rPr>
          <w:rFonts w:ascii="Times New Roman" w:cs="Times New Roman" w:eastAsia="Times New Roman" w:hAnsi="Times New Roman"/>
          <w:sz w:val="13"/>
          <w:szCs w:val="13"/>
          <w:color w:val="auto"/>
        </w:rPr>
        <w:t>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16"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Effective Date and Term of Plan</w:t>
      </w:r>
      <w:r>
        <w:rPr>
          <w:rFonts w:ascii="Times New Roman" w:cs="Times New Roman" w:eastAsia="Times New Roman" w:hAnsi="Times New Roman"/>
          <w:sz w:val="13"/>
          <w:szCs w:val="13"/>
          <w:color w:val="auto"/>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spacing w:after="0" w:line="10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 xml:space="preserve">10.4 </w:t>
      </w:r>
      <w:r>
        <w:rPr>
          <w:rFonts w:ascii="Times New Roman" w:cs="Times New Roman" w:eastAsia="Times New Roman" w:hAnsi="Times New Roman"/>
          <w:sz w:val="13"/>
          <w:szCs w:val="13"/>
          <w:u w:val="single" w:color="auto"/>
          <w:color w:val="auto"/>
        </w:rPr>
        <w:t>Stockholder Approval Not Required</w:t>
      </w:r>
      <w:r>
        <w:rPr>
          <w:rFonts w:ascii="Times New Roman" w:cs="Times New Roman" w:eastAsia="Times New Roman" w:hAnsi="Times New Roman"/>
          <w:sz w:val="13"/>
          <w:szCs w:val="13"/>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113"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10.5 </w:t>
      </w:r>
      <w:r>
        <w:rPr>
          <w:rFonts w:ascii="Times New Roman" w:cs="Times New Roman" w:eastAsia="Times New Roman" w:hAnsi="Times New Roman"/>
          <w:sz w:val="13"/>
          <w:szCs w:val="13"/>
          <w:u w:val="single" w:color="auto"/>
          <w:color w:val="auto"/>
        </w:rPr>
        <w:t>Amendment of Plan</w:t>
      </w:r>
      <w:r>
        <w:rPr>
          <w:rFonts w:ascii="Times New Roman" w:cs="Times New Roman" w:eastAsia="Times New Roman" w:hAnsi="Times New Roman"/>
          <w:sz w:val="13"/>
          <w:szCs w:val="13"/>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18"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 xml:space="preserve">10.6 </w:t>
      </w:r>
      <w:r>
        <w:rPr>
          <w:rFonts w:ascii="Times New Roman" w:cs="Times New Roman" w:eastAsia="Times New Roman" w:hAnsi="Times New Roman"/>
          <w:sz w:val="13"/>
          <w:szCs w:val="13"/>
          <w:u w:val="single" w:color="auto"/>
          <w:color w:val="auto"/>
        </w:rPr>
        <w:t>Provisions for Foreign Participants</w:t>
      </w:r>
      <w:r>
        <w:rPr>
          <w:rFonts w:ascii="Times New Roman" w:cs="Times New Roman" w:eastAsia="Times New Roman" w:hAnsi="Times New Roman"/>
          <w:sz w:val="13"/>
          <w:szCs w:val="13"/>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09"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3"/>
          <w:szCs w:val="13"/>
          <w:color w:val="auto"/>
        </w:rPr>
        <w:t>10.7</w:t>
      </w:r>
      <w:r>
        <w:rPr>
          <w:sz w:val="20"/>
          <w:szCs w:val="20"/>
          <w:color w:val="auto"/>
        </w:rPr>
        <w:tab/>
      </w:r>
      <w:r>
        <w:rPr>
          <w:rFonts w:ascii="Times New Roman" w:cs="Times New Roman" w:eastAsia="Times New Roman" w:hAnsi="Times New Roman"/>
          <w:sz w:val="13"/>
          <w:szCs w:val="13"/>
          <w:u w:val="single" w:color="auto"/>
          <w:color w:val="auto"/>
        </w:rPr>
        <w:t>Section 409A</w:t>
      </w:r>
      <w:r>
        <w:rPr>
          <w:rFonts w:ascii="Times New Roman" w:cs="Times New Roman" w:eastAsia="Times New Roman" w:hAnsi="Times New Roman"/>
          <w:sz w:val="13"/>
          <w:szCs w:val="13"/>
          <w:color w:val="auto"/>
        </w:rPr>
        <w:t>.</w:t>
      </w:r>
    </w:p>
    <w:p>
      <w:pPr>
        <w:spacing w:after="0" w:line="148" w:lineRule="exact"/>
        <w:rPr>
          <w:sz w:val="20"/>
          <w:szCs w:val="20"/>
          <w:color w:val="auto"/>
        </w:rPr>
      </w:pPr>
    </w:p>
    <w:p>
      <w:pPr>
        <w:jc w:val="both"/>
        <w:ind w:firstLine="856"/>
        <w:spacing w:after="0" w:line="270" w:lineRule="auto"/>
        <w:tabs>
          <w:tab w:leader="none" w:pos="123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General</w:t>
      </w:r>
      <w:r>
        <w:rPr>
          <w:rFonts w:ascii="Times New Roman" w:cs="Times New Roman" w:eastAsia="Times New Roman" w:hAnsi="Times New Roman"/>
          <w:sz w:val="13"/>
          <w:szCs w:val="13"/>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300"/>
          </w:cols>
          <w:pgMar w:left="300" w:top="989" w:right="299" w:bottom="1440" w:gutter="0" w:footer="0" w:header="0"/>
        </w:sectPr>
      </w:pPr>
    </w:p>
    <w:bookmarkStart w:id="146" w:name="page147"/>
    <w:bookmarkEnd w:id="146"/>
    <w:p>
      <w:pPr>
        <w:jc w:val="both"/>
        <w:spacing w:after="0" w:line="267" w:lineRule="auto"/>
        <w:rPr>
          <w:sz w:val="20"/>
          <w:szCs w:val="20"/>
          <w:color w:val="auto"/>
        </w:rPr>
      </w:pPr>
      <w:r>
        <w:rPr>
          <w:rFonts w:ascii="Times New Roman" w:cs="Times New Roman" w:eastAsia="Times New Roman" w:hAnsi="Times New Roman"/>
          <w:sz w:val="13"/>
          <w:szCs w:val="13"/>
          <w:color w:val="auto"/>
        </w:rPr>
        <w:t>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09" w:lineRule="exact"/>
        <w:rPr>
          <w:sz w:val="20"/>
          <w:szCs w:val="20"/>
          <w:color w:val="auto"/>
        </w:rPr>
      </w:pPr>
    </w:p>
    <w:p>
      <w:pPr>
        <w:jc w:val="both"/>
        <w:ind w:firstLine="856"/>
        <w:spacing w:after="0" w:line="267" w:lineRule="auto"/>
        <w:tabs>
          <w:tab w:leader="none" w:pos="117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Separation from Service</w:t>
      </w:r>
      <w:r>
        <w:rPr>
          <w:rFonts w:ascii="Times New Roman" w:cs="Times New Roman" w:eastAsia="Times New Roman" w:hAnsi="Times New Roman"/>
          <w:sz w:val="13"/>
          <w:szCs w:val="13"/>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17" w:lineRule="exact"/>
        <w:rPr>
          <w:rFonts w:ascii="Times New Roman" w:cs="Times New Roman" w:eastAsia="Times New Roman" w:hAnsi="Times New Roman"/>
          <w:sz w:val="13"/>
          <w:szCs w:val="13"/>
          <w:color w:val="auto"/>
        </w:rPr>
      </w:pPr>
    </w:p>
    <w:p>
      <w:pPr>
        <w:jc w:val="both"/>
        <w:ind w:firstLine="856"/>
        <w:spacing w:after="0" w:line="261" w:lineRule="auto"/>
        <w:tabs>
          <w:tab w:leader="none" w:pos="1151"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Payments to Specified Employees</w:t>
      </w:r>
      <w:r>
        <w:rPr>
          <w:rFonts w:ascii="Times New Roman" w:cs="Times New Roman" w:eastAsia="Times New Roman" w:hAnsi="Times New Roman"/>
          <w:sz w:val="13"/>
          <w:szCs w:val="13"/>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2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 xml:space="preserve">10.8 </w:t>
      </w:r>
      <w:r>
        <w:rPr>
          <w:rFonts w:ascii="Times New Roman" w:cs="Times New Roman" w:eastAsia="Times New Roman" w:hAnsi="Times New Roman"/>
          <w:sz w:val="13"/>
          <w:szCs w:val="13"/>
          <w:u w:val="single" w:color="auto"/>
          <w:color w:val="auto"/>
        </w:rPr>
        <w:t>Limitations on Liability</w:t>
      </w:r>
      <w:r>
        <w:rPr>
          <w:rFonts w:ascii="Times New Roman" w:cs="Times New Roman" w:eastAsia="Times New Roman" w:hAnsi="Times New Roman"/>
          <w:sz w:val="13"/>
          <w:szCs w:val="13"/>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14"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10.9 </w:t>
      </w:r>
      <w:r>
        <w:rPr>
          <w:rFonts w:ascii="Times New Roman" w:cs="Times New Roman" w:eastAsia="Times New Roman" w:hAnsi="Times New Roman"/>
          <w:sz w:val="13"/>
          <w:szCs w:val="13"/>
          <w:u w:val="single" w:color="auto"/>
          <w:color w:val="auto"/>
        </w:rPr>
        <w:t>Lock-Up Period</w:t>
      </w:r>
      <w:r>
        <w:rPr>
          <w:rFonts w:ascii="Times New Roman" w:cs="Times New Roman" w:eastAsia="Times New Roman" w:hAnsi="Times New Roman"/>
          <w:sz w:val="13"/>
          <w:szCs w:val="13"/>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300"/>
          </w:cols>
          <w:pgMar w:left="300" w:top="989" w:right="299" w:bottom="1440" w:gutter="0" w:footer="0" w:header="0"/>
        </w:sectPr>
      </w:pPr>
    </w:p>
    <w:bookmarkStart w:id="147" w:name="page148"/>
    <w:bookmarkEnd w:id="147"/>
    <w:p>
      <w:pPr>
        <w:jc w:val="both"/>
        <w:ind w:firstLine="432"/>
        <w:spacing w:after="0" w:line="257" w:lineRule="auto"/>
        <w:rPr>
          <w:sz w:val="20"/>
          <w:szCs w:val="20"/>
          <w:color w:val="auto"/>
        </w:rPr>
      </w:pPr>
      <w:r>
        <w:rPr>
          <w:rFonts w:ascii="Times New Roman" w:cs="Times New Roman" w:eastAsia="Times New Roman" w:hAnsi="Times New Roman"/>
          <w:sz w:val="13"/>
          <w:szCs w:val="13"/>
          <w:color w:val="auto"/>
        </w:rPr>
        <w:t xml:space="preserve">10.10 </w:t>
      </w:r>
      <w:r>
        <w:rPr>
          <w:rFonts w:ascii="Times New Roman" w:cs="Times New Roman" w:eastAsia="Times New Roman" w:hAnsi="Times New Roman"/>
          <w:sz w:val="13"/>
          <w:szCs w:val="13"/>
          <w:u w:val="single" w:color="auto"/>
          <w:color w:val="auto"/>
        </w:rPr>
        <w:t>Data Privacy</w:t>
      </w:r>
      <w:r>
        <w:rPr>
          <w:rFonts w:ascii="Times New Roman" w:cs="Times New Roman" w:eastAsia="Times New Roman" w:hAnsi="Times New Roman"/>
          <w:sz w:val="13"/>
          <w:szCs w:val="13"/>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3"/>
          <w:szCs w:val="13"/>
          <w:b w:val="1"/>
          <w:bCs w:val="1"/>
          <w:i w:val="1"/>
          <w:iCs w:val="1"/>
          <w:color w:val="auto"/>
        </w:rPr>
        <w:t>Data</w:t>
      </w:r>
      <w:r>
        <w:rPr>
          <w:rFonts w:ascii="Times New Roman" w:cs="Times New Roman" w:eastAsia="Times New Roman" w:hAnsi="Times New Roman"/>
          <w:sz w:val="13"/>
          <w:szCs w:val="13"/>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spacing w:after="0" w:line="124"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 xml:space="preserve">10.11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0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10.12 </w:t>
      </w:r>
      <w:r>
        <w:rPr>
          <w:rFonts w:ascii="Times New Roman" w:cs="Times New Roman" w:eastAsia="Times New Roman" w:hAnsi="Times New Roman"/>
          <w:sz w:val="13"/>
          <w:szCs w:val="13"/>
          <w:u w:val="single" w:color="auto"/>
          <w:color w:val="auto"/>
        </w:rPr>
        <w:t>Governing Documents</w:t>
      </w:r>
      <w:r>
        <w:rPr>
          <w:rFonts w:ascii="Times New Roman" w:cs="Times New Roman" w:eastAsia="Times New Roman" w:hAnsi="Times New Roman"/>
          <w:sz w:val="13"/>
          <w:szCs w:val="13"/>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92"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3"/>
          <w:szCs w:val="13"/>
          <w:color w:val="auto"/>
        </w:rPr>
        <w:t xml:space="preserve">10.13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9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10.14 </w:t>
      </w:r>
      <w:r>
        <w:rPr>
          <w:rFonts w:ascii="Times New Roman" w:cs="Times New Roman" w:eastAsia="Times New Roman" w:hAnsi="Times New Roman"/>
          <w:sz w:val="13"/>
          <w:szCs w:val="13"/>
          <w:u w:val="single" w:color="auto"/>
          <w:color w:val="auto"/>
        </w:rPr>
        <w:t>Claw-back Provisions</w:t>
      </w:r>
      <w:r>
        <w:rPr>
          <w:rFonts w:ascii="Times New Roman" w:cs="Times New Roman" w:eastAsia="Times New Roman" w:hAnsi="Times New Roman"/>
          <w:sz w:val="13"/>
          <w:szCs w:val="13"/>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300"/>
          </w:cols>
          <w:pgMar w:left="300" w:top="989" w:right="299" w:bottom="1440" w:gutter="0" w:footer="0" w:header="0"/>
        </w:sectPr>
      </w:pPr>
    </w:p>
    <w:bookmarkStart w:id="148" w:name="page149"/>
    <w:bookmarkEnd w:id="148"/>
    <w:p>
      <w:pPr>
        <w:ind w:left="420"/>
        <w:spacing w:after="0"/>
        <w:tabs>
          <w:tab w:leader="none" w:pos="840" w:val="left"/>
        </w:tabs>
        <w:rPr>
          <w:sz w:val="20"/>
          <w:szCs w:val="20"/>
          <w:color w:val="auto"/>
        </w:rPr>
      </w:pPr>
      <w:r>
        <w:rPr>
          <w:rFonts w:ascii="Times New Roman" w:cs="Times New Roman" w:eastAsia="Times New Roman" w:hAnsi="Times New Roman"/>
          <w:sz w:val="13"/>
          <w:szCs w:val="13"/>
          <w:color w:val="auto"/>
        </w:rPr>
        <w:t>10.15</w:t>
      </w:r>
      <w:r>
        <w:rPr>
          <w:sz w:val="20"/>
          <w:szCs w:val="20"/>
          <w:color w:val="auto"/>
        </w:rPr>
        <w:tab/>
      </w:r>
      <w:r>
        <w:rPr>
          <w:rFonts w:ascii="Times New Roman" w:cs="Times New Roman" w:eastAsia="Times New Roman" w:hAnsi="Times New Roman"/>
          <w:sz w:val="13"/>
          <w:szCs w:val="13"/>
          <w:u w:val="single" w:color="auto"/>
          <w:color w:val="auto"/>
        </w:rPr>
        <w:t>Titles and Headings</w:t>
      </w:r>
      <w:r>
        <w:rPr>
          <w:rFonts w:ascii="Times New Roman" w:cs="Times New Roman" w:eastAsia="Times New Roman" w:hAnsi="Times New Roman"/>
          <w:sz w:val="13"/>
          <w:szCs w:val="13"/>
          <w:color w:val="auto"/>
        </w:rPr>
        <w:t>. The titles and headings in the Plan are for convenience of reference only and, if any conflict, the Plan’s text, rather than such titles or headings, will control.</w:t>
      </w:r>
    </w:p>
    <w:p>
      <w:pPr>
        <w:spacing w:after="0" w:line="157"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10.16 </w:t>
      </w:r>
      <w:r>
        <w:rPr>
          <w:rFonts w:ascii="Times New Roman" w:cs="Times New Roman" w:eastAsia="Times New Roman" w:hAnsi="Times New Roman"/>
          <w:sz w:val="13"/>
          <w:szCs w:val="13"/>
          <w:u w:val="single" w:color="auto"/>
          <w:color w:val="auto"/>
        </w:rPr>
        <w:t>Conformity to Securities Laws</w:t>
      </w:r>
      <w:r>
        <w:rPr>
          <w:rFonts w:ascii="Times New Roman" w:cs="Times New Roman" w:eastAsia="Times New Roman" w:hAnsi="Times New Roman"/>
          <w:sz w:val="13"/>
          <w:szCs w:val="13"/>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0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10.17 </w:t>
      </w:r>
      <w:r>
        <w:rPr>
          <w:rFonts w:ascii="Times New Roman" w:cs="Times New Roman" w:eastAsia="Times New Roman" w:hAnsi="Times New Roman"/>
          <w:sz w:val="13"/>
          <w:szCs w:val="13"/>
          <w:u w:val="single" w:color="auto"/>
          <w:color w:val="auto"/>
        </w:rPr>
        <w:t>Relationship to Other Benefits</w:t>
      </w:r>
      <w:r>
        <w:rPr>
          <w:rFonts w:ascii="Times New Roman" w:cs="Times New Roman" w:eastAsia="Times New Roman" w:hAnsi="Times New Roman"/>
          <w:sz w:val="13"/>
          <w:szCs w:val="13"/>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0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3"/>
          <w:szCs w:val="13"/>
          <w:color w:val="auto"/>
        </w:rPr>
        <w:t xml:space="preserve">10.18 </w:t>
      </w:r>
      <w:r>
        <w:rPr>
          <w:rFonts w:ascii="Times New Roman" w:cs="Times New Roman" w:eastAsia="Times New Roman" w:hAnsi="Times New Roman"/>
          <w:sz w:val="13"/>
          <w:szCs w:val="13"/>
          <w:u w:val="single" w:color="auto"/>
          <w:color w:val="auto"/>
        </w:rPr>
        <w:t>Broker-Assisted Sales</w:t>
      </w:r>
      <w:r>
        <w:rPr>
          <w:rFonts w:ascii="Times New Roman" w:cs="Times New Roman" w:eastAsia="Times New Roman" w:hAnsi="Times New Roman"/>
          <w:sz w:val="13"/>
          <w:szCs w:val="13"/>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used in the Plan, the following words and phrases will have the following meanings:</w:t>
      </w:r>
    </w:p>
    <w:p>
      <w:pPr>
        <w:spacing w:after="0" w:line="153"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3"/>
          <w:szCs w:val="13"/>
          <w:color w:val="auto"/>
        </w:rPr>
        <w:t>11.1</w:t>
        <w:tab/>
        <w:t>“</w:t>
      </w:r>
      <w:r>
        <w:rPr>
          <w:rFonts w:ascii="Times New Roman" w:cs="Times New Roman" w:eastAsia="Times New Roman" w:hAnsi="Times New Roman"/>
          <w:sz w:val="13"/>
          <w:szCs w:val="13"/>
          <w:b w:val="1"/>
          <w:bCs w:val="1"/>
          <w:i w:val="1"/>
          <w:iCs w:val="1"/>
          <w:color w:val="auto"/>
        </w:rPr>
        <w:t>Administrator</w:t>
      </w:r>
      <w:r>
        <w:rPr>
          <w:rFonts w:ascii="Times New Roman" w:cs="Times New Roman" w:eastAsia="Times New Roman" w:hAnsi="Times New Roman"/>
          <w:sz w:val="13"/>
          <w:szCs w:val="13"/>
          <w:color w:val="auto"/>
        </w:rPr>
        <w:t>” means the Board or a Committee to the extent that the Board’s powers or authority under the Plan have been delegated to such Committee.</w:t>
      </w:r>
    </w:p>
    <w:p>
      <w:pPr>
        <w:spacing w:after="0" w:line="148" w:lineRule="exact"/>
        <w:rPr>
          <w:sz w:val="20"/>
          <w:szCs w:val="20"/>
          <w:color w:val="auto"/>
        </w:rPr>
      </w:pPr>
    </w:p>
    <w:p>
      <w:pPr>
        <w:jc w:val="both"/>
        <w:ind w:right="20" w:firstLine="432"/>
        <w:spacing w:after="0" w:line="301" w:lineRule="auto"/>
        <w:rPr>
          <w:sz w:val="20"/>
          <w:szCs w:val="20"/>
          <w:color w:val="auto"/>
        </w:rPr>
      </w:pPr>
      <w:r>
        <w:rPr>
          <w:rFonts w:ascii="Times New Roman" w:cs="Times New Roman" w:eastAsia="Times New Roman" w:hAnsi="Times New Roman"/>
          <w:sz w:val="13"/>
          <w:szCs w:val="13"/>
          <w:color w:val="auto"/>
        </w:rPr>
        <w:t>11.2 “</w:t>
      </w:r>
      <w:r>
        <w:rPr>
          <w:rFonts w:ascii="Times New Roman" w:cs="Times New Roman" w:eastAsia="Times New Roman" w:hAnsi="Times New Roman"/>
          <w:sz w:val="13"/>
          <w:szCs w:val="13"/>
          <w:b w:val="1"/>
          <w:bCs w:val="1"/>
          <w:i w:val="1"/>
          <w:iCs w:val="1"/>
          <w:color w:val="auto"/>
        </w:rPr>
        <w:t>Applicable Laws</w:t>
      </w:r>
      <w:r>
        <w:rPr>
          <w:rFonts w:ascii="Times New Roman" w:cs="Times New Roman" w:eastAsia="Times New Roman" w:hAnsi="Times New Roman"/>
          <w:sz w:val="13"/>
          <w:szCs w:val="13"/>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84"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3"/>
          <w:szCs w:val="13"/>
          <w:color w:val="auto"/>
        </w:rPr>
        <w:t>11.3</w:t>
        <w:tab/>
        <w:t>“</w:t>
      </w:r>
      <w:r>
        <w:rPr>
          <w:rFonts w:ascii="Times New Roman" w:cs="Times New Roman" w:eastAsia="Times New Roman" w:hAnsi="Times New Roman"/>
          <w:sz w:val="13"/>
          <w:szCs w:val="13"/>
          <w:b w:val="1"/>
          <w:bCs w:val="1"/>
          <w:i w:val="1"/>
          <w:iCs w:val="1"/>
          <w:color w:val="auto"/>
        </w:rPr>
        <w:t>Award</w:t>
      </w:r>
      <w:r>
        <w:rPr>
          <w:rFonts w:ascii="Times New Roman" w:cs="Times New Roman" w:eastAsia="Times New Roman" w:hAnsi="Times New Roman"/>
          <w:sz w:val="13"/>
          <w:szCs w:val="13"/>
          <w:color w:val="auto"/>
        </w:rPr>
        <w:t>” means, individually or collectively, a grant under the Plan of Options, Stock Appreciation Rights, Restricted Stock, Restricted Stock Units or Other Stock or Cash Based Awards.</w:t>
      </w:r>
    </w:p>
    <w:p>
      <w:pPr>
        <w:spacing w:after="0" w:line="157" w:lineRule="exact"/>
        <w:rPr>
          <w:sz w:val="20"/>
          <w:szCs w:val="20"/>
          <w:color w:val="auto"/>
        </w:rPr>
      </w:pPr>
    </w:p>
    <w:p>
      <w:pPr>
        <w:jc w:val="both"/>
        <w:ind w:right="20" w:firstLine="432"/>
        <w:spacing w:after="0" w:line="287" w:lineRule="auto"/>
        <w:rPr>
          <w:sz w:val="20"/>
          <w:szCs w:val="20"/>
          <w:color w:val="auto"/>
        </w:rPr>
      </w:pPr>
      <w:r>
        <w:rPr>
          <w:rFonts w:ascii="Times New Roman" w:cs="Times New Roman" w:eastAsia="Times New Roman" w:hAnsi="Times New Roman"/>
          <w:sz w:val="13"/>
          <w:szCs w:val="13"/>
          <w:color w:val="auto"/>
        </w:rPr>
        <w:t>11.4 “</w:t>
      </w:r>
      <w:r>
        <w:rPr>
          <w:rFonts w:ascii="Times New Roman" w:cs="Times New Roman" w:eastAsia="Times New Roman" w:hAnsi="Times New Roman"/>
          <w:sz w:val="13"/>
          <w:szCs w:val="13"/>
          <w:b w:val="1"/>
          <w:bCs w:val="1"/>
          <w:i w:val="1"/>
          <w:iCs w:val="1"/>
          <w:color w:val="auto"/>
        </w:rPr>
        <w:t>Award Agreement</w:t>
      </w:r>
      <w:r>
        <w:rPr>
          <w:rFonts w:ascii="Times New Roman" w:cs="Times New Roman" w:eastAsia="Times New Roman" w:hAnsi="Times New Roman"/>
          <w:sz w:val="13"/>
          <w:szCs w:val="13"/>
          <w:color w:val="auto"/>
        </w:rPr>
        <w:t>” means a written agreement evidencing an Award, which may be electronic, that contains such terms and conditions as the Administrator determines, consistent with and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300"/>
          </w:cols>
          <w:pgMar w:left="300" w:top="989" w:right="299" w:bottom="1440" w:gutter="0" w:footer="0" w:header="0"/>
        </w:sectPr>
      </w:pPr>
    </w:p>
    <w:bookmarkStart w:id="149" w:name="page150"/>
    <w:bookmarkEnd w:id="149"/>
    <w:p>
      <w:pPr>
        <w:ind w:left="420"/>
        <w:spacing w:after="0"/>
        <w:tabs>
          <w:tab w:leader="none" w:pos="760" w:val="left"/>
        </w:tabs>
        <w:rPr>
          <w:sz w:val="20"/>
          <w:szCs w:val="20"/>
          <w:color w:val="auto"/>
        </w:rPr>
      </w:pPr>
      <w:r>
        <w:rPr>
          <w:rFonts w:ascii="Times New Roman" w:cs="Times New Roman" w:eastAsia="Times New Roman" w:hAnsi="Times New Roman"/>
          <w:sz w:val="13"/>
          <w:szCs w:val="13"/>
          <w:color w:val="auto"/>
        </w:rPr>
        <w:t>11.5</w:t>
        <w:tab/>
        <w:t>“</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means the Board of Directors of the Company.</w:t>
      </w:r>
    </w:p>
    <w:p>
      <w:pPr>
        <w:spacing w:after="0" w:line="15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3"/>
          <w:szCs w:val="13"/>
          <w:color w:val="auto"/>
        </w:rPr>
        <w:t>11.6 “</w:t>
      </w:r>
      <w:r>
        <w:rPr>
          <w:rFonts w:ascii="Times New Roman" w:cs="Times New Roman" w:eastAsia="Times New Roman" w:hAnsi="Times New Roman"/>
          <w:sz w:val="13"/>
          <w:szCs w:val="13"/>
          <w:b w:val="1"/>
          <w:bCs w:val="1"/>
          <w:i w:val="1"/>
          <w:iCs w:val="1"/>
          <w:color w:val="auto"/>
        </w:rPr>
        <w:t>Cause</w:t>
      </w:r>
      <w:r>
        <w:rPr>
          <w:rFonts w:ascii="Times New Roman" w:cs="Times New Roman" w:eastAsia="Times New Roman" w:hAnsi="Times New Roman"/>
          <w:sz w:val="13"/>
          <w:szCs w:val="13"/>
          <w:color w:val="auto"/>
        </w:rPr>
        <w:t>” means (i) if a Participant is a party to a written employment or consulting agreement with the Company or any of its Subsidiaries or an Award Agreement in which the term “cause” is defined (a “</w:t>
      </w:r>
      <w:r>
        <w:rPr>
          <w:rFonts w:ascii="Times New Roman" w:cs="Times New Roman" w:eastAsia="Times New Roman" w:hAnsi="Times New Roman"/>
          <w:sz w:val="13"/>
          <w:szCs w:val="13"/>
          <w:b w:val="1"/>
          <w:bCs w:val="1"/>
          <w:i w:val="1"/>
          <w:iCs w:val="1"/>
          <w:color w:val="auto"/>
        </w:rPr>
        <w:t>Relevant Agreement</w:t>
      </w:r>
      <w:r>
        <w:rPr>
          <w:rFonts w:ascii="Times New Roman" w:cs="Times New Roman" w:eastAsia="Times New Roman" w:hAnsi="Times New Roman"/>
          <w:sz w:val="13"/>
          <w:szCs w:val="13"/>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22"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3"/>
          <w:szCs w:val="13"/>
          <w:color w:val="auto"/>
        </w:rPr>
        <w:t>11.7</w:t>
        <w:tab/>
        <w:t>“</w:t>
      </w:r>
      <w:r>
        <w:rPr>
          <w:rFonts w:ascii="Times New Roman" w:cs="Times New Roman" w:eastAsia="Times New Roman" w:hAnsi="Times New Roman"/>
          <w:sz w:val="13"/>
          <w:szCs w:val="13"/>
          <w:b w:val="1"/>
          <w:bCs w:val="1"/>
          <w:i w:val="1"/>
          <w:iCs w:val="1"/>
          <w:color w:val="auto"/>
        </w:rPr>
        <w:t>Change in Control</w:t>
      </w:r>
      <w:r>
        <w:rPr>
          <w:rFonts w:ascii="Times New Roman" w:cs="Times New Roman" w:eastAsia="Times New Roman" w:hAnsi="Times New Roman"/>
          <w:sz w:val="13"/>
          <w:szCs w:val="13"/>
          <w:color w:val="auto"/>
        </w:rPr>
        <w:t>” means and includes each of the following:</w:t>
      </w:r>
    </w:p>
    <w:p>
      <w:pPr>
        <w:spacing w:after="0" w:line="152" w:lineRule="exact"/>
        <w:rPr>
          <w:sz w:val="20"/>
          <w:szCs w:val="20"/>
          <w:color w:val="auto"/>
        </w:rPr>
      </w:pPr>
    </w:p>
    <w:p>
      <w:pPr>
        <w:jc w:val="both"/>
        <w:ind w:firstLine="856"/>
        <w:spacing w:after="0" w:line="265" w:lineRule="auto"/>
        <w:tabs>
          <w:tab w:leader="none" w:pos="115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10" w:lineRule="exact"/>
        <w:rPr>
          <w:rFonts w:ascii="Times New Roman" w:cs="Times New Roman" w:eastAsia="Times New Roman" w:hAnsi="Times New Roman"/>
          <w:sz w:val="13"/>
          <w:szCs w:val="13"/>
          <w:color w:val="auto"/>
        </w:rPr>
      </w:pPr>
    </w:p>
    <w:p>
      <w:pPr>
        <w:jc w:val="both"/>
        <w:ind w:firstLine="856"/>
        <w:spacing w:after="0" w:line="267" w:lineRule="auto"/>
        <w:tabs>
          <w:tab w:leader="none" w:pos="11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17" w:lineRule="exact"/>
        <w:rPr>
          <w:rFonts w:ascii="Times New Roman" w:cs="Times New Roman" w:eastAsia="Times New Roman" w:hAnsi="Times New Roman"/>
          <w:sz w:val="13"/>
          <w:szCs w:val="13"/>
          <w:color w:val="auto"/>
        </w:rPr>
      </w:pPr>
    </w:p>
    <w:p>
      <w:pPr>
        <w:jc w:val="both"/>
        <w:ind w:firstLine="856"/>
        <w:spacing w:after="0" w:line="270" w:lineRule="auto"/>
        <w:tabs>
          <w:tab w:leader="none" w:pos="1209"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07" w:lineRule="exact"/>
        <w:rPr>
          <w:rFonts w:ascii="Times New Roman" w:cs="Times New Roman" w:eastAsia="Times New Roman" w:hAnsi="Times New Roman"/>
          <w:sz w:val="13"/>
          <w:szCs w:val="13"/>
          <w:color w:val="auto"/>
        </w:rPr>
      </w:pPr>
    </w:p>
    <w:p>
      <w:pPr>
        <w:ind w:firstLine="1288"/>
        <w:spacing w:after="0" w:line="295" w:lineRule="auto"/>
        <w:tabs>
          <w:tab w:leader="none" w:pos="1587"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1300"/>
          </w:cols>
          <w:pgMar w:left="300" w:top="985" w:right="299" w:bottom="1440" w:gutter="0" w:footer="0" w:header="0"/>
        </w:sectPr>
      </w:pPr>
    </w:p>
    <w:bookmarkStart w:id="150" w:name="page151"/>
    <w:bookmarkEnd w:id="150"/>
    <w:p>
      <w:pPr>
        <w:ind w:right="20"/>
        <w:spacing w:after="0" w:line="301" w:lineRule="auto"/>
        <w:rPr>
          <w:sz w:val="20"/>
          <w:szCs w:val="20"/>
          <w:color w:val="auto"/>
        </w:rPr>
      </w:pPr>
      <w:r>
        <w:rPr>
          <w:rFonts w:ascii="Times New Roman" w:cs="Times New Roman" w:eastAsia="Times New Roman" w:hAnsi="Times New Roman"/>
          <w:sz w:val="13"/>
          <w:szCs w:val="13"/>
          <w:color w:val="auto"/>
        </w:rPr>
        <w:t>Company’s assets or otherwise succeeds to the business of the Company (the Company or such person, the “</w:t>
      </w:r>
      <w:r>
        <w:rPr>
          <w:rFonts w:ascii="Times New Roman" w:cs="Times New Roman" w:eastAsia="Times New Roman" w:hAnsi="Times New Roman"/>
          <w:sz w:val="13"/>
          <w:szCs w:val="13"/>
          <w:b w:val="1"/>
          <w:bCs w:val="1"/>
          <w:i w:val="1"/>
          <w:iCs w:val="1"/>
          <w:color w:val="auto"/>
        </w:rPr>
        <w:t>Successor Entity</w:t>
      </w:r>
      <w:r>
        <w:rPr>
          <w:rFonts w:ascii="Times New Roman" w:cs="Times New Roman" w:eastAsia="Times New Roman" w:hAnsi="Times New Roman"/>
          <w:sz w:val="13"/>
          <w:szCs w:val="13"/>
          <w:color w:val="auto"/>
        </w:rPr>
        <w:t>”)) directly or indirectly, at least a majority of the combined voting power of the Successor Entity’s outstanding voting securities immediately after the transaction, and</w:t>
      </w:r>
    </w:p>
    <w:p>
      <w:pPr>
        <w:spacing w:after="0" w:line="88" w:lineRule="exact"/>
        <w:rPr>
          <w:sz w:val="20"/>
          <w:szCs w:val="20"/>
          <w:color w:val="auto"/>
        </w:rPr>
      </w:pPr>
    </w:p>
    <w:p>
      <w:pPr>
        <w:jc w:val="both"/>
        <w:ind w:firstLine="1288"/>
        <w:spacing w:after="0" w:line="270" w:lineRule="auto"/>
        <w:tabs>
          <w:tab w:leader="none" w:pos="159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1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1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12"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3"/>
          <w:szCs w:val="13"/>
          <w:color w:val="auto"/>
        </w:rPr>
        <w:t>11.8</w:t>
        <w:tab/>
        <w:t>“</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means the Internal Revenue Code of 1986, as amended, and the regulations issued thereunder.</w:t>
      </w:r>
    </w:p>
    <w:p>
      <w:pPr>
        <w:spacing w:after="0" w:line="148"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3"/>
          <w:szCs w:val="13"/>
          <w:color w:val="auto"/>
        </w:rPr>
        <w:t>11.9 “</w:t>
      </w:r>
      <w:r>
        <w:rPr>
          <w:rFonts w:ascii="Times New Roman" w:cs="Times New Roman" w:eastAsia="Times New Roman" w:hAnsi="Times New Roman"/>
          <w:sz w:val="13"/>
          <w:szCs w:val="13"/>
          <w:b w:val="1"/>
          <w:bCs w:val="1"/>
          <w:i w:val="1"/>
          <w:iCs w:val="1"/>
          <w:color w:val="auto"/>
        </w:rPr>
        <w:t>Committee</w:t>
      </w:r>
      <w:r>
        <w:rPr>
          <w:rFonts w:ascii="Times New Roman" w:cs="Times New Roman" w:eastAsia="Times New Roman" w:hAnsi="Times New Roman"/>
          <w:sz w:val="13"/>
          <w:szCs w:val="13"/>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13"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11.10</w:t>
        <w:tab/>
        <w:t>“</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means the common stock of the Company.</w:t>
      </w:r>
    </w:p>
    <w:p>
      <w:pPr>
        <w:spacing w:after="0" w:line="14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11.11</w:t>
        <w:tab/>
        <w:t>“</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means Cartesian Therapeutics, Inc., a Delaware corporation, or any successor.</w:t>
      </w:r>
    </w:p>
    <w:p>
      <w:pPr>
        <w:spacing w:after="0" w:line="157"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3"/>
          <w:szCs w:val="13"/>
          <w:color w:val="auto"/>
        </w:rPr>
        <w:t>11.12 “</w:t>
      </w:r>
      <w:r>
        <w:rPr>
          <w:rFonts w:ascii="Times New Roman" w:cs="Times New Roman" w:eastAsia="Times New Roman" w:hAnsi="Times New Roman"/>
          <w:sz w:val="13"/>
          <w:szCs w:val="13"/>
          <w:b w:val="1"/>
          <w:bCs w:val="1"/>
          <w:i w:val="1"/>
          <w:iCs w:val="1"/>
          <w:color w:val="auto"/>
        </w:rPr>
        <w:t>Consultant</w:t>
      </w:r>
      <w:r>
        <w:rPr>
          <w:rFonts w:ascii="Times New Roman" w:cs="Times New Roman" w:eastAsia="Times New Roman" w:hAnsi="Times New Roman"/>
          <w:sz w:val="13"/>
          <w:szCs w:val="13"/>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02"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11.13</w:t>
        <w:tab/>
        <w:t>“</w:t>
      </w:r>
      <w:r>
        <w:rPr>
          <w:rFonts w:ascii="Times New Roman" w:cs="Times New Roman" w:eastAsia="Times New Roman" w:hAnsi="Times New Roman"/>
          <w:sz w:val="13"/>
          <w:szCs w:val="13"/>
          <w:b w:val="1"/>
          <w:bCs w:val="1"/>
          <w:i w:val="1"/>
          <w:iCs w:val="1"/>
          <w:color w:val="auto"/>
        </w:rPr>
        <w:t>Designated Beneficiary</w:t>
      </w:r>
      <w:r>
        <w:rPr>
          <w:rFonts w:ascii="Times New Roman" w:cs="Times New Roman" w:eastAsia="Times New Roman" w:hAnsi="Times New Roman"/>
          <w:sz w:val="13"/>
          <w:szCs w:val="13"/>
          <w:color w:val="auto"/>
        </w:rPr>
        <w:t>” means the beneficiary or beneficiaries the Participant designates, in a manner the Administrator determines, to receive amounts due or exercise the Participant’s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1300"/>
          </w:cols>
          <w:pgMar w:left="300" w:top="985" w:right="2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color w:val="auto"/>
        </w:rPr>
        <w:t>rights if the Participant dies or becomes incapacitated. Without a Participant’s effective designation, “Designated Beneficiary” will mean the Participant’s estate.</w:t>
      </w:r>
    </w:p>
    <w:p>
      <w:pPr>
        <w:spacing w:after="0" w:line="153"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11.14</w:t>
        <w:tab/>
        <w:t>“</w:t>
      </w:r>
      <w:r>
        <w:rPr>
          <w:rFonts w:ascii="Times New Roman" w:cs="Times New Roman" w:eastAsia="Times New Roman" w:hAnsi="Times New Roman"/>
          <w:sz w:val="13"/>
          <w:szCs w:val="13"/>
          <w:b w:val="1"/>
          <w:bCs w:val="1"/>
          <w:i w:val="1"/>
          <w:iCs w:val="1"/>
          <w:color w:val="auto"/>
        </w:rPr>
        <w:t>Director</w:t>
      </w:r>
      <w:r>
        <w:rPr>
          <w:rFonts w:ascii="Times New Roman" w:cs="Times New Roman" w:eastAsia="Times New Roman" w:hAnsi="Times New Roman"/>
          <w:sz w:val="13"/>
          <w:szCs w:val="13"/>
          <w:color w:val="auto"/>
        </w:rPr>
        <w:t>” means a Board member.</w:t>
      </w:r>
    </w:p>
    <w:p>
      <w:pPr>
        <w:spacing w:after="0" w:line="14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11.15</w:t>
        <w:tab/>
        <w:t>“</w:t>
      </w:r>
      <w:r>
        <w:rPr>
          <w:rFonts w:ascii="Times New Roman" w:cs="Times New Roman" w:eastAsia="Times New Roman" w:hAnsi="Times New Roman"/>
          <w:sz w:val="13"/>
          <w:szCs w:val="13"/>
          <w:b w:val="1"/>
          <w:bCs w:val="1"/>
          <w:i w:val="1"/>
          <w:iCs w:val="1"/>
          <w:color w:val="auto"/>
        </w:rPr>
        <w:t>Disability</w:t>
      </w:r>
      <w:r>
        <w:rPr>
          <w:rFonts w:ascii="Times New Roman" w:cs="Times New Roman" w:eastAsia="Times New Roman" w:hAnsi="Times New Roman"/>
          <w:sz w:val="13"/>
          <w:szCs w:val="13"/>
          <w:color w:val="auto"/>
        </w:rPr>
        <w:t>” means a permanent and total disability under Section 22(e)(3) of the Code, as amended.</w:t>
      </w:r>
    </w:p>
    <w:p>
      <w:pPr>
        <w:spacing w:after="0" w:line="15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11.16</w:t>
        <w:tab/>
        <w:t>“</w:t>
      </w:r>
      <w:r>
        <w:rPr>
          <w:rFonts w:ascii="Times New Roman" w:cs="Times New Roman" w:eastAsia="Times New Roman" w:hAnsi="Times New Roman"/>
          <w:sz w:val="13"/>
          <w:szCs w:val="13"/>
          <w:b w:val="1"/>
          <w:bCs w:val="1"/>
          <w:i w:val="1"/>
          <w:iCs w:val="1"/>
          <w:color w:val="auto"/>
        </w:rPr>
        <w:t>Dividend Equivalents</w:t>
      </w:r>
      <w:r>
        <w:rPr>
          <w:rFonts w:ascii="Times New Roman" w:cs="Times New Roman" w:eastAsia="Times New Roman" w:hAnsi="Times New Roman"/>
          <w:sz w:val="13"/>
          <w:szCs w:val="13"/>
          <w:color w:val="auto"/>
        </w:rPr>
        <w:t>” means a right granted to a Participant under the Plan to receive the equivalent value (in cash or Shares) of dividends paid on Shares.</w:t>
      </w:r>
    </w:p>
    <w:p>
      <w:pPr>
        <w:spacing w:after="0" w:line="148" w:lineRule="exact"/>
        <w:rPr>
          <w:sz w:val="20"/>
          <w:szCs w:val="20"/>
          <w:color w:val="auto"/>
        </w:rPr>
      </w:pPr>
    </w:p>
    <w:p>
      <w:pPr>
        <w:jc w:val="both"/>
        <w:ind w:firstLine="432"/>
        <w:spacing w:after="0" w:line="301" w:lineRule="auto"/>
        <w:rPr>
          <w:sz w:val="20"/>
          <w:szCs w:val="20"/>
          <w:color w:val="auto"/>
        </w:rPr>
      </w:pPr>
      <w:r>
        <w:rPr>
          <w:rFonts w:ascii="Times New Roman" w:cs="Times New Roman" w:eastAsia="Times New Roman" w:hAnsi="Times New Roman"/>
          <w:sz w:val="13"/>
          <w:szCs w:val="13"/>
          <w:color w:val="auto"/>
        </w:rPr>
        <w:t>11.17 “</w:t>
      </w:r>
      <w:r>
        <w:rPr>
          <w:rFonts w:ascii="Times New Roman" w:cs="Times New Roman" w:eastAsia="Times New Roman" w:hAnsi="Times New Roman"/>
          <w:sz w:val="13"/>
          <w:szCs w:val="13"/>
          <w:b w:val="1"/>
          <w:bCs w:val="1"/>
          <w:i w:val="1"/>
          <w:iCs w:val="1"/>
          <w:color w:val="auto"/>
        </w:rPr>
        <w:t>Eligible Individual</w:t>
      </w:r>
      <w:r>
        <w:rPr>
          <w:rFonts w:ascii="Times New Roman" w:cs="Times New Roman" w:eastAsia="Times New Roman" w:hAnsi="Times New Roman"/>
          <w:sz w:val="13"/>
          <w:szCs w:val="13"/>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spacing w:after="0" w:line="93"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11.18</w:t>
        <w:tab/>
        <w:t>“</w:t>
      </w:r>
      <w:r>
        <w:rPr>
          <w:rFonts w:ascii="Times New Roman" w:cs="Times New Roman" w:eastAsia="Times New Roman" w:hAnsi="Times New Roman"/>
          <w:sz w:val="13"/>
          <w:szCs w:val="13"/>
          <w:b w:val="1"/>
          <w:bCs w:val="1"/>
          <w:i w:val="1"/>
          <w:iCs w:val="1"/>
          <w:color w:val="auto"/>
        </w:rPr>
        <w:t>Employee</w:t>
      </w:r>
      <w:r>
        <w:rPr>
          <w:rFonts w:ascii="Times New Roman" w:cs="Times New Roman" w:eastAsia="Times New Roman" w:hAnsi="Times New Roman"/>
          <w:sz w:val="13"/>
          <w:szCs w:val="13"/>
          <w:color w:val="auto"/>
        </w:rPr>
        <w:t>” means any employee of the Company or its Subsidiaries.</w:t>
      </w:r>
    </w:p>
    <w:p>
      <w:pPr>
        <w:spacing w:after="0" w:line="148"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3"/>
          <w:szCs w:val="13"/>
          <w:color w:val="auto"/>
        </w:rPr>
        <w:t>11.19 “</w:t>
      </w:r>
      <w:r>
        <w:rPr>
          <w:rFonts w:ascii="Times New Roman" w:cs="Times New Roman" w:eastAsia="Times New Roman" w:hAnsi="Times New Roman"/>
          <w:sz w:val="13"/>
          <w:szCs w:val="13"/>
          <w:b w:val="1"/>
          <w:bCs w:val="1"/>
          <w:i w:val="1"/>
          <w:iCs w:val="1"/>
          <w:color w:val="auto"/>
        </w:rPr>
        <w:t>Equity Restructuring</w:t>
      </w:r>
      <w:r>
        <w:rPr>
          <w:rFonts w:ascii="Times New Roman" w:cs="Times New Roman" w:eastAsia="Times New Roman" w:hAnsi="Times New Roman"/>
          <w:sz w:val="13"/>
          <w:szCs w:val="13"/>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1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11.20</w:t>
        <w:tab/>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57"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3"/>
          <w:szCs w:val="13"/>
          <w:color w:val="auto"/>
        </w:rPr>
        <w:t>11.21 “</w:t>
      </w:r>
      <w:r>
        <w:rPr>
          <w:rFonts w:ascii="Times New Roman" w:cs="Times New Roman" w:eastAsia="Times New Roman" w:hAnsi="Times New Roman"/>
          <w:sz w:val="13"/>
          <w:szCs w:val="13"/>
          <w:b w:val="1"/>
          <w:bCs w:val="1"/>
          <w:i w:val="1"/>
          <w:iCs w:val="1"/>
          <w:color w:val="auto"/>
        </w:rPr>
        <w:t>Fair Market Value</w:t>
      </w:r>
      <w:r>
        <w:rPr>
          <w:rFonts w:ascii="Times New Roman" w:cs="Times New Roman" w:eastAsia="Times New Roman" w:hAnsi="Times New Roman"/>
          <w:sz w:val="13"/>
          <w:szCs w:val="13"/>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11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11.22</w:t>
        <w:tab/>
        <w:t>“</w:t>
      </w:r>
      <w:r>
        <w:rPr>
          <w:rFonts w:ascii="Times New Roman" w:cs="Times New Roman" w:eastAsia="Times New Roman" w:hAnsi="Times New Roman"/>
          <w:sz w:val="13"/>
          <w:szCs w:val="13"/>
          <w:b w:val="1"/>
          <w:bCs w:val="1"/>
          <w:i w:val="1"/>
          <w:iCs w:val="1"/>
          <w:color w:val="auto"/>
        </w:rPr>
        <w:t>Incentive Stock Option</w:t>
      </w:r>
      <w:r>
        <w:rPr>
          <w:rFonts w:ascii="Times New Roman" w:cs="Times New Roman" w:eastAsia="Times New Roman" w:hAnsi="Times New Roman"/>
          <w:sz w:val="13"/>
          <w:szCs w:val="13"/>
          <w:color w:val="auto"/>
        </w:rPr>
        <w:t>” means an Option intended to qualify as an “incentive stock option” as defined in Section 422 of the Code.</w:t>
      </w:r>
    </w:p>
    <w:p>
      <w:pPr>
        <w:spacing w:after="0" w:line="14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11.23</w:t>
        <w:tab/>
        <w:t>“</w:t>
      </w:r>
      <w:r>
        <w:rPr>
          <w:rFonts w:ascii="Times New Roman" w:cs="Times New Roman" w:eastAsia="Times New Roman" w:hAnsi="Times New Roman"/>
          <w:sz w:val="13"/>
          <w:szCs w:val="13"/>
          <w:b w:val="1"/>
          <w:bCs w:val="1"/>
          <w:i w:val="1"/>
          <w:iCs w:val="1"/>
          <w:color w:val="auto"/>
        </w:rPr>
        <w:t>Independent Director</w:t>
      </w:r>
      <w:r>
        <w:rPr>
          <w:rFonts w:ascii="Times New Roman" w:cs="Times New Roman" w:eastAsia="Times New Roman" w:hAnsi="Times New Roman"/>
          <w:sz w:val="13"/>
          <w:szCs w:val="13"/>
          <w:color w:val="auto"/>
        </w:rPr>
        <w:t>” means a Director who qualifies as “independent” within the meaning of NASDAQ Rule 5635(c)(4), or any successor rule, as such rule may be amended from time to time.</w:t>
      </w:r>
    </w:p>
    <w:p>
      <w:pPr>
        <w:spacing w:after="0" w:line="157" w:lineRule="exact"/>
        <w:rPr>
          <w:sz w:val="20"/>
          <w:szCs w:val="20"/>
          <w:color w:val="auto"/>
        </w:rPr>
      </w:pPr>
    </w:p>
    <w:p>
      <w:pPr>
        <w:jc w:val="both"/>
        <w:ind w:right="20" w:firstLine="432"/>
        <w:spacing w:after="0" w:line="287" w:lineRule="auto"/>
        <w:rPr>
          <w:sz w:val="20"/>
          <w:szCs w:val="20"/>
          <w:color w:val="auto"/>
        </w:rPr>
      </w:pPr>
      <w:r>
        <w:rPr>
          <w:rFonts w:ascii="Times New Roman" w:cs="Times New Roman" w:eastAsia="Times New Roman" w:hAnsi="Times New Roman"/>
          <w:sz w:val="13"/>
          <w:szCs w:val="13"/>
          <w:color w:val="auto"/>
        </w:rPr>
        <w:t>11.24 “</w:t>
      </w:r>
      <w:r>
        <w:rPr>
          <w:rFonts w:ascii="Times New Roman" w:cs="Times New Roman" w:eastAsia="Times New Roman" w:hAnsi="Times New Roman"/>
          <w:sz w:val="13"/>
          <w:szCs w:val="13"/>
          <w:b w:val="1"/>
          <w:bCs w:val="1"/>
          <w:i w:val="1"/>
          <w:iCs w:val="1"/>
          <w:color w:val="auto"/>
        </w:rPr>
        <w:t>NASDAQ Rule 5635(c)(4)</w:t>
      </w:r>
      <w:r>
        <w:rPr>
          <w:rFonts w:ascii="Times New Roman" w:cs="Times New Roman" w:eastAsia="Times New Roman" w:hAnsi="Times New Roman"/>
          <w:sz w:val="13"/>
          <w:szCs w:val="13"/>
          <w:color w:val="auto"/>
        </w:rPr>
        <w:t>” means NASDAQ Rule 5635(c)(4), or any successor rule, and all guidance and other interpretative authority thereunder, as such rule, guidance and other authority may be amended from time to time.</w:t>
      </w:r>
    </w:p>
    <w:p>
      <w:pPr>
        <w:spacing w:after="0" w:line="10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11.25</w:t>
        <w:tab/>
        <w:t>“</w:t>
      </w:r>
      <w:r>
        <w:rPr>
          <w:rFonts w:ascii="Times New Roman" w:cs="Times New Roman" w:eastAsia="Times New Roman" w:hAnsi="Times New Roman"/>
          <w:sz w:val="13"/>
          <w:szCs w:val="13"/>
          <w:b w:val="1"/>
          <w:bCs w:val="1"/>
          <w:i w:val="1"/>
          <w:iCs w:val="1"/>
          <w:color w:val="auto"/>
        </w:rPr>
        <w:t>Non-Qualified Stock Option</w:t>
      </w:r>
      <w:r>
        <w:rPr>
          <w:rFonts w:ascii="Times New Roman" w:cs="Times New Roman" w:eastAsia="Times New Roman" w:hAnsi="Times New Roman"/>
          <w:sz w:val="13"/>
          <w:szCs w:val="13"/>
          <w:color w:val="auto"/>
        </w:rPr>
        <w:t>” means an Option not intended to qualify as an Incentive Stock Option.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1300"/>
          </w:cols>
          <w:pgMar w:left="300" w:top="989" w:right="299" w:bottom="1440" w:gutter="0" w:footer="0" w:header="0"/>
        </w:sectPr>
      </w:pPr>
    </w:p>
    <w:bookmarkStart w:id="152" w:name="page153"/>
    <w:bookmarkEnd w:id="152"/>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11.26</w:t>
        <w:tab/>
        <w:t>“</w:t>
      </w:r>
      <w:r>
        <w:rPr>
          <w:rFonts w:ascii="Times New Roman" w:cs="Times New Roman" w:eastAsia="Times New Roman" w:hAnsi="Times New Roman"/>
          <w:sz w:val="13"/>
          <w:szCs w:val="13"/>
          <w:b w:val="1"/>
          <w:bCs w:val="1"/>
          <w:i w:val="1"/>
          <w:iCs w:val="1"/>
          <w:color w:val="auto"/>
        </w:rPr>
        <w:t>Option</w:t>
      </w:r>
      <w:r>
        <w:rPr>
          <w:rFonts w:ascii="Times New Roman" w:cs="Times New Roman" w:eastAsia="Times New Roman" w:hAnsi="Times New Roman"/>
          <w:sz w:val="13"/>
          <w:szCs w:val="13"/>
          <w:color w:val="auto"/>
        </w:rPr>
        <w:t>” means an option to purchase Shares.</w:t>
      </w:r>
    </w:p>
    <w:p>
      <w:pPr>
        <w:spacing w:after="0" w:line="15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11.27</w:t>
        <w:tab/>
        <w:t>“</w:t>
      </w:r>
      <w:r>
        <w:rPr>
          <w:rFonts w:ascii="Times New Roman" w:cs="Times New Roman" w:eastAsia="Times New Roman" w:hAnsi="Times New Roman"/>
          <w:sz w:val="13"/>
          <w:szCs w:val="13"/>
          <w:b w:val="1"/>
          <w:bCs w:val="1"/>
          <w:i w:val="1"/>
          <w:iCs w:val="1"/>
          <w:color w:val="auto"/>
        </w:rPr>
        <w:t>Other Stock or Cash Based Awards</w:t>
      </w:r>
      <w:r>
        <w:rPr>
          <w:rFonts w:ascii="Times New Roman" w:cs="Times New Roman" w:eastAsia="Times New Roman" w:hAnsi="Times New Roman"/>
          <w:sz w:val="13"/>
          <w:szCs w:val="13"/>
          <w:color w:val="auto"/>
        </w:rPr>
        <w:t>” means cash awards, awards of Shares, and other awards valued wholly or partially by referring to, or are otherwise based on, Shares or other property.</w:t>
      </w:r>
    </w:p>
    <w:p>
      <w:pPr>
        <w:spacing w:after="0" w:line="14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11.28</w:t>
        <w:tab/>
        <w:t>“</w:t>
      </w:r>
      <w:r>
        <w:rPr>
          <w:rFonts w:ascii="Times New Roman" w:cs="Times New Roman" w:eastAsia="Times New Roman" w:hAnsi="Times New Roman"/>
          <w:sz w:val="13"/>
          <w:szCs w:val="13"/>
          <w:b w:val="1"/>
          <w:bCs w:val="1"/>
          <w:i w:val="1"/>
          <w:iCs w:val="1"/>
          <w:color w:val="auto"/>
        </w:rPr>
        <w:t>Overall Share Limit</w:t>
      </w:r>
      <w:r>
        <w:rPr>
          <w:rFonts w:ascii="Times New Roman" w:cs="Times New Roman" w:eastAsia="Times New Roman" w:hAnsi="Times New Roman"/>
          <w:sz w:val="13"/>
          <w:szCs w:val="13"/>
          <w:color w:val="auto"/>
        </w:rPr>
        <w:t>” means 976,666.</w:t>
      </w:r>
    </w:p>
    <w:p>
      <w:pPr>
        <w:spacing w:after="0" w:line="157"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3"/>
          <w:szCs w:val="13"/>
          <w:color w:val="auto"/>
        </w:rPr>
        <w:t>11.29</w:t>
        <w:tab/>
        <w:t>“</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means an Eligible Individual who has been granted an Award.</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11.30 “</w:t>
      </w:r>
      <w:r>
        <w:rPr>
          <w:rFonts w:ascii="Times New Roman" w:cs="Times New Roman" w:eastAsia="Times New Roman" w:hAnsi="Times New Roman"/>
          <w:sz w:val="13"/>
          <w:szCs w:val="13"/>
          <w:b w:val="1"/>
          <w:bCs w:val="1"/>
          <w:i w:val="1"/>
          <w:iCs w:val="1"/>
          <w:color w:val="auto"/>
        </w:rPr>
        <w:t>Performance Criteria</w:t>
      </w:r>
      <w:r>
        <w:rPr>
          <w:rFonts w:ascii="Times New Roman" w:cs="Times New Roman" w:eastAsia="Times New Roman" w:hAnsi="Times New Roman"/>
          <w:sz w:val="13"/>
          <w:szCs w:val="13"/>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28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11.31</w:t>
        <w:tab/>
        <w:t>“</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means this 2018 Employment Inducement Incentive Award Plan.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1300"/>
          </w:cols>
          <w:pgMar w:left="300" w:top="985" w:right="299" w:bottom="1440" w:gutter="0" w:footer="0" w:header="0"/>
        </w:sectPr>
      </w:pPr>
    </w:p>
    <w:bookmarkStart w:id="153" w:name="page154"/>
    <w:bookmarkEnd w:id="153"/>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11.32</w:t>
        <w:tab/>
        <w:t>“</w:t>
      </w:r>
      <w:r>
        <w:rPr>
          <w:rFonts w:ascii="Times New Roman" w:cs="Times New Roman" w:eastAsia="Times New Roman" w:hAnsi="Times New Roman"/>
          <w:sz w:val="13"/>
          <w:szCs w:val="13"/>
          <w:b w:val="1"/>
          <w:bCs w:val="1"/>
          <w:i w:val="1"/>
          <w:iCs w:val="1"/>
          <w:color w:val="auto"/>
        </w:rPr>
        <w:t>Restricted Stock</w:t>
      </w:r>
      <w:r>
        <w:rPr>
          <w:rFonts w:ascii="Times New Roman" w:cs="Times New Roman" w:eastAsia="Times New Roman" w:hAnsi="Times New Roman"/>
          <w:sz w:val="13"/>
          <w:szCs w:val="13"/>
          <w:color w:val="auto"/>
        </w:rPr>
        <w:t>” means Shares awarded to a Participant under Article VI subject to certain vesting conditions and other restrictions.</w:t>
      </w:r>
    </w:p>
    <w:p>
      <w:pPr>
        <w:spacing w:after="0" w:line="157" w:lineRule="exact"/>
        <w:rPr>
          <w:sz w:val="20"/>
          <w:szCs w:val="20"/>
          <w:color w:val="auto"/>
        </w:rPr>
      </w:pPr>
    </w:p>
    <w:p>
      <w:pPr>
        <w:jc w:val="both"/>
        <w:ind w:right="20" w:firstLine="432"/>
        <w:spacing w:after="0" w:line="287" w:lineRule="auto"/>
        <w:rPr>
          <w:sz w:val="20"/>
          <w:szCs w:val="20"/>
          <w:color w:val="auto"/>
        </w:rPr>
      </w:pPr>
      <w:r>
        <w:rPr>
          <w:rFonts w:ascii="Times New Roman" w:cs="Times New Roman" w:eastAsia="Times New Roman" w:hAnsi="Times New Roman"/>
          <w:sz w:val="13"/>
          <w:szCs w:val="13"/>
          <w:color w:val="auto"/>
        </w:rPr>
        <w:t>11.33 “</w:t>
      </w:r>
      <w:r>
        <w:rPr>
          <w:rFonts w:ascii="Times New Roman" w:cs="Times New Roman" w:eastAsia="Times New Roman" w:hAnsi="Times New Roman"/>
          <w:sz w:val="13"/>
          <w:szCs w:val="13"/>
          <w:b w:val="1"/>
          <w:bCs w:val="1"/>
          <w:i w:val="1"/>
          <w:iCs w:val="1"/>
          <w:color w:val="auto"/>
        </w:rPr>
        <w:t>Restricted Stock Unit</w:t>
      </w:r>
      <w:r>
        <w:rPr>
          <w:rFonts w:ascii="Times New Roman" w:cs="Times New Roman" w:eastAsia="Times New Roman" w:hAnsi="Times New Roman"/>
          <w:sz w:val="13"/>
          <w:szCs w:val="13"/>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01"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11.34</w:t>
        <w:tab/>
        <w:t>“</w:t>
      </w:r>
      <w:r>
        <w:rPr>
          <w:rFonts w:ascii="Times New Roman" w:cs="Times New Roman" w:eastAsia="Times New Roman" w:hAnsi="Times New Roman"/>
          <w:sz w:val="13"/>
          <w:szCs w:val="13"/>
          <w:b w:val="1"/>
          <w:bCs w:val="1"/>
          <w:i w:val="1"/>
          <w:iCs w:val="1"/>
          <w:color w:val="auto"/>
        </w:rPr>
        <w:t>Rule 16b-3</w:t>
      </w:r>
      <w:r>
        <w:rPr>
          <w:rFonts w:ascii="Times New Roman" w:cs="Times New Roman" w:eastAsia="Times New Roman" w:hAnsi="Times New Roman"/>
          <w:sz w:val="13"/>
          <w:szCs w:val="13"/>
          <w:color w:val="auto"/>
        </w:rPr>
        <w:t>” means Rule 16b-3 promulgated under the Exchange Act.</w:t>
      </w:r>
    </w:p>
    <w:p>
      <w:pPr>
        <w:spacing w:after="0" w:line="14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11.35</w:t>
        <w:tab/>
        <w:t>“</w:t>
      </w:r>
      <w:r>
        <w:rPr>
          <w:rFonts w:ascii="Times New Roman" w:cs="Times New Roman" w:eastAsia="Times New Roman" w:hAnsi="Times New Roman"/>
          <w:sz w:val="13"/>
          <w:szCs w:val="13"/>
          <w:b w:val="1"/>
          <w:bCs w:val="1"/>
          <w:i w:val="1"/>
          <w:iCs w:val="1"/>
          <w:color w:val="auto"/>
        </w:rPr>
        <w:t>Section 409A</w:t>
      </w:r>
      <w:r>
        <w:rPr>
          <w:rFonts w:ascii="Times New Roman" w:cs="Times New Roman" w:eastAsia="Times New Roman" w:hAnsi="Times New Roman"/>
          <w:sz w:val="13"/>
          <w:szCs w:val="13"/>
          <w:color w:val="auto"/>
        </w:rPr>
        <w:t>” means Section 409A of the Code and all regulations, guidance, compliance programs and other interpretative authority thereunder.</w:t>
      </w:r>
    </w:p>
    <w:p>
      <w:pPr>
        <w:spacing w:after="0" w:line="15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11.36</w:t>
        <w:tab/>
        <w:t>“</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11.37</w:t>
        <w:tab/>
        <w:t>“</w:t>
      </w:r>
      <w:r>
        <w:rPr>
          <w:rFonts w:ascii="Times New Roman" w:cs="Times New Roman" w:eastAsia="Times New Roman" w:hAnsi="Times New Roman"/>
          <w:sz w:val="13"/>
          <w:szCs w:val="13"/>
          <w:b w:val="1"/>
          <w:bCs w:val="1"/>
          <w:i w:val="1"/>
          <w:iCs w:val="1"/>
          <w:color w:val="auto"/>
        </w:rPr>
        <w:t>Service Provider</w:t>
      </w:r>
      <w:r>
        <w:rPr>
          <w:rFonts w:ascii="Times New Roman" w:cs="Times New Roman" w:eastAsia="Times New Roman" w:hAnsi="Times New Roman"/>
          <w:sz w:val="13"/>
          <w:szCs w:val="13"/>
          <w:color w:val="auto"/>
        </w:rPr>
        <w:t>” means an Employee, Consultant or Director.</w:t>
      </w:r>
    </w:p>
    <w:p>
      <w:pPr>
        <w:spacing w:after="0" w:line="14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11.38</w:t>
        <w:tab/>
        <w:t>“</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means shares of Common Stock.</w:t>
      </w:r>
    </w:p>
    <w:p>
      <w:pPr>
        <w:spacing w:after="0" w:line="15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11.39</w:t>
        <w:tab/>
        <w:t>“</w:t>
      </w:r>
      <w:r>
        <w:rPr>
          <w:rFonts w:ascii="Times New Roman" w:cs="Times New Roman" w:eastAsia="Times New Roman" w:hAnsi="Times New Roman"/>
          <w:sz w:val="13"/>
          <w:szCs w:val="13"/>
          <w:b w:val="1"/>
          <w:bCs w:val="1"/>
          <w:i w:val="1"/>
          <w:iCs w:val="1"/>
          <w:color w:val="auto"/>
        </w:rPr>
        <w:t>Stock Appreciation Right</w:t>
      </w:r>
      <w:r>
        <w:rPr>
          <w:rFonts w:ascii="Times New Roman" w:cs="Times New Roman" w:eastAsia="Times New Roman" w:hAnsi="Times New Roman"/>
          <w:sz w:val="13"/>
          <w:szCs w:val="13"/>
          <w:color w:val="auto"/>
        </w:rPr>
        <w:t>” means a stock appreciation right granted under Article V.</w:t>
      </w:r>
    </w:p>
    <w:p>
      <w:pPr>
        <w:spacing w:after="0" w:line="148"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11.40 “</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96"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3"/>
          <w:szCs w:val="13"/>
          <w:color w:val="auto"/>
        </w:rPr>
        <w:t>11.41</w:t>
        <w:tab/>
        <w:t>“</w:t>
      </w:r>
      <w:r>
        <w:rPr>
          <w:rFonts w:ascii="Times New Roman" w:cs="Times New Roman" w:eastAsia="Times New Roman" w:hAnsi="Times New Roman"/>
          <w:sz w:val="13"/>
          <w:szCs w:val="13"/>
          <w:b w:val="1"/>
          <w:bCs w:val="1"/>
          <w:i w:val="1"/>
          <w:iCs w:val="1"/>
          <w:color w:val="auto"/>
        </w:rPr>
        <w:t>Termination of Service</w:t>
      </w:r>
      <w:r>
        <w:rPr>
          <w:rFonts w:ascii="Times New Roman" w:cs="Times New Roman" w:eastAsia="Times New Roman" w:hAnsi="Times New Roman"/>
          <w:sz w:val="13"/>
          <w:szCs w:val="13"/>
          <w:color w:val="auto"/>
        </w:rPr>
        <w:t>” means the date the Participant ceases to be a Service Provider.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1300"/>
          </w:cols>
          <w:pgMar w:left="300" w:top="985" w:right="29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2000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83755" cy="200025"/>
                    </a:xfrm>
                    <a:prstGeom prst="rect">
                      <a:avLst/>
                    </a:prstGeom>
                    <a:noFill/>
                  </pic:spPr>
                </pic:pic>
              </a:graphicData>
            </a:graphic>
          </wp:anchor>
        </w:drawing>
        <w:t>CARTESIAN THERAPEUTICS,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 2018 EMPLOYMENT INDUCEMENT INCENTIVE AWARD PLAN</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UNIT GRANT NOTICE</w:t>
      </w:r>
    </w:p>
    <w:p>
      <w:pPr>
        <w:spacing w:after="0" w:line="146" w:lineRule="exact"/>
        <w:rPr>
          <w:sz w:val="20"/>
          <w:szCs w:val="20"/>
          <w:color w:val="auto"/>
        </w:rPr>
      </w:pPr>
    </w:p>
    <w:p>
      <w:pPr>
        <w:jc w:val="both"/>
        <w:ind w:firstLine="432"/>
        <w:spacing w:after="0" w:line="301" w:lineRule="auto"/>
        <w:rPr>
          <w:sz w:val="20"/>
          <w:szCs w:val="20"/>
          <w:color w:val="auto"/>
        </w:rPr>
      </w:pPr>
      <w:r>
        <w:rPr>
          <w:rFonts w:ascii="Times New Roman" w:cs="Times New Roman" w:eastAsia="Times New Roman" w:hAnsi="Times New Roman"/>
          <w:sz w:val="13"/>
          <w:szCs w:val="13"/>
          <w:color w:val="auto"/>
        </w:rPr>
        <w:t>Capitalized terms not specifically defined in this Restricted Stock Unit Grant Notice (the “</w:t>
      </w:r>
      <w:r>
        <w:rPr>
          <w:rFonts w:ascii="Times New Roman" w:cs="Times New Roman" w:eastAsia="Times New Roman" w:hAnsi="Times New Roman"/>
          <w:sz w:val="13"/>
          <w:szCs w:val="13"/>
          <w:b w:val="1"/>
          <w:bCs w:val="1"/>
          <w:i w:val="1"/>
          <w:iCs w:val="1"/>
          <w:color w:val="auto"/>
        </w:rPr>
        <w:t>Grant Notice</w:t>
      </w:r>
      <w:r>
        <w:rPr>
          <w:rFonts w:ascii="Times New Roman" w:cs="Times New Roman" w:eastAsia="Times New Roman" w:hAnsi="Times New Roman"/>
          <w:sz w:val="13"/>
          <w:szCs w:val="13"/>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of Cartesian Therapeutics, Inc.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w:t>
      </w:r>
    </w:p>
    <w:p>
      <w:pPr>
        <w:spacing w:after="0" w:line="84" w:lineRule="exact"/>
        <w:rPr>
          <w:sz w:val="20"/>
          <w:szCs w:val="20"/>
          <w:color w:val="auto"/>
        </w:rPr>
      </w:pPr>
    </w:p>
    <w:p>
      <w:pPr>
        <w:jc w:val="both"/>
        <w:ind w:firstLine="432"/>
        <w:spacing w:after="0" w:line="301" w:lineRule="auto"/>
        <w:rPr>
          <w:sz w:val="20"/>
          <w:szCs w:val="20"/>
          <w:color w:val="auto"/>
        </w:rPr>
      </w:pPr>
      <w:r>
        <w:rPr>
          <w:rFonts w:ascii="Times New Roman" w:cs="Times New Roman" w:eastAsia="Times New Roman" w:hAnsi="Times New Roman"/>
          <w:sz w:val="13"/>
          <w:szCs w:val="13"/>
          <w:color w:val="auto"/>
        </w:rPr>
        <w:t>The Company has granted to the participant listed below (“</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the Restricted Stock Units described in this Grant Notice (the “</w:t>
      </w:r>
      <w:r>
        <w:rPr>
          <w:rFonts w:ascii="Times New Roman" w:cs="Times New Roman" w:eastAsia="Times New Roman" w:hAnsi="Times New Roman"/>
          <w:sz w:val="13"/>
          <w:szCs w:val="13"/>
          <w:b w:val="1"/>
          <w:bCs w:val="1"/>
          <w:i w:val="1"/>
          <w:iCs w:val="1"/>
          <w:color w:val="auto"/>
        </w:rPr>
        <w:t>RSUs</w:t>
      </w:r>
      <w:r>
        <w:rPr>
          <w:rFonts w:ascii="Times New Roman" w:cs="Times New Roman" w:eastAsia="Times New Roman" w:hAnsi="Times New Roman"/>
          <w:sz w:val="13"/>
          <w:szCs w:val="13"/>
          <w:color w:val="auto"/>
        </w:rPr>
        <w:t xml:space="preserve">”), subject to the terms and conditions of the Plan and the Restricted Stock Unit Agreement attached as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both of which are incorporated into this Grant Notice by reference.</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Number of RSUs:</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Vesting Commencement Date:</w:t>
      </w:r>
    </w:p>
    <w:p>
      <w:pPr>
        <w:spacing w:after="0" w:line="85" w:lineRule="exact"/>
        <w:rPr>
          <w:sz w:val="20"/>
          <w:szCs w:val="20"/>
          <w:color w:val="auto"/>
        </w:rPr>
      </w:pPr>
    </w:p>
    <w:p>
      <w:pPr>
        <w:ind w:left="80"/>
        <w:spacing w:after="0"/>
        <w:tabs>
          <w:tab w:leader="none" w:pos="4460" w:val="left"/>
        </w:tabs>
        <w:rPr>
          <w:sz w:val="20"/>
          <w:szCs w:val="20"/>
          <w:color w:val="auto"/>
        </w:rPr>
      </w:pPr>
      <w:r>
        <w:rPr>
          <w:rFonts w:ascii="Times New Roman" w:cs="Times New Roman" w:eastAsia="Times New Roman" w:hAnsi="Times New Roman"/>
          <w:sz w:val="13"/>
          <w:szCs w:val="13"/>
          <w:b w:val="1"/>
          <w:bCs w:val="1"/>
          <w:color w:val="auto"/>
        </w:rPr>
        <w:t>Vesting Schedule:</w:t>
      </w:r>
      <w:r>
        <w:rPr>
          <w:sz w:val="20"/>
          <w:szCs w:val="20"/>
          <w:color w:val="auto"/>
        </w:rPr>
        <w:tab/>
      </w:r>
      <w:r>
        <w:rPr>
          <w:rFonts w:ascii="Times New Roman" w:cs="Times New Roman" w:eastAsia="Times New Roman" w:hAnsi="Times New Roman"/>
          <w:sz w:val="13"/>
          <w:szCs w:val="13"/>
          <w:color w:val="auto"/>
        </w:rPr>
        <w:t>[To be specified in individual award agreements]</w:t>
      </w:r>
    </w:p>
    <w:p>
      <w:pPr>
        <w:spacing w:after="0" w:line="200" w:lineRule="exact"/>
        <w:rPr>
          <w:sz w:val="20"/>
          <w:szCs w:val="20"/>
          <w:color w:val="auto"/>
        </w:rPr>
      </w:pPr>
    </w:p>
    <w:p>
      <w:pPr>
        <w:spacing w:after="0" w:line="20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tc>
        <w:tc>
          <w:tcPr>
            <w:tcW w:w="2760" w:type="dxa"/>
            <w:vAlign w:val="bottom"/>
            <w:gridSpan w:val="3"/>
          </w:tcPr>
          <w:p>
            <w:pPr>
              <w:ind w:left="1740"/>
              <w:spacing w:after="0"/>
              <w:rPr>
                <w:sz w:val="20"/>
                <w:szCs w:val="20"/>
                <w:color w:val="auto"/>
              </w:rPr>
            </w:pPr>
            <w:r>
              <w:rPr>
                <w:rFonts w:ascii="Times New Roman" w:cs="Times New Roman" w:eastAsia="Times New Roman" w:hAnsi="Times New Roman"/>
                <w:sz w:val="13"/>
                <w:szCs w:val="13"/>
                <w:b w:val="1"/>
                <w:bCs w:val="1"/>
                <w:color w:val="auto"/>
              </w:rPr>
              <w:t>PARTICIPANT</w:t>
            </w:r>
          </w:p>
        </w:tc>
      </w:tr>
      <w:tr>
        <w:trPr>
          <w:trHeight w:val="132"/>
        </w:trPr>
        <w:tc>
          <w:tcPr>
            <w:tcW w:w="92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By:</w:t>
            </w:r>
          </w:p>
        </w:tc>
        <w:tc>
          <w:tcPr>
            <w:tcW w:w="14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14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2760" w:type="dxa"/>
            <w:vAlign w:val="bottom"/>
            <w:gridSpan w:val="3"/>
          </w:tcPr>
          <w:p>
            <w:pPr>
              <w:ind w:left="1740"/>
              <w:spacing w:after="0"/>
              <w:rPr>
                <w:sz w:val="20"/>
                <w:szCs w:val="20"/>
                <w:color w:val="auto"/>
              </w:rPr>
            </w:pPr>
            <w:r>
              <w:rPr>
                <w:rFonts w:ascii="Times New Roman" w:cs="Times New Roman" w:eastAsia="Times New Roman" w:hAnsi="Times New Roman"/>
                <w:sz w:val="13"/>
                <w:szCs w:val="13"/>
                <w:color w:val="auto"/>
              </w:rPr>
              <w:t>[Participant Name]</w:t>
            </w: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4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ectPr>
          <w:pgSz w:w="11900" w:h="16838" w:orient="portrait"/>
          <w:cols w:equalWidth="0" w:num="1">
            <w:col w:w="11300"/>
          </w:cols>
          <w:pgMar w:left="300" w:top="1023" w:right="2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UNIT AGREEMENT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Capitalized terms not specifically defined in this Agreement have the meanings specified in the Grant Notice or, if not defined in the Grant Notice, in the Plan.</w:t>
      </w:r>
    </w:p>
    <w:p>
      <w:pPr>
        <w:spacing w:after="0" w:line="14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38"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1.1</w:t>
      </w:r>
      <w:r>
        <w:rPr>
          <w:sz w:val="20"/>
          <w:szCs w:val="20"/>
          <w:color w:val="auto"/>
        </w:rPr>
        <w:tab/>
      </w:r>
      <w:r>
        <w:rPr>
          <w:rFonts w:ascii="Times New Roman" w:cs="Times New Roman" w:eastAsia="Times New Roman" w:hAnsi="Times New Roman"/>
          <w:sz w:val="13"/>
          <w:szCs w:val="13"/>
          <w:u w:val="single" w:color="auto"/>
          <w:color w:val="auto"/>
        </w:rPr>
        <w:t>Award of RSUs and Dividend Equivalents</w:t>
      </w:r>
      <w:r>
        <w:rPr>
          <w:rFonts w:ascii="Times New Roman" w:cs="Times New Roman" w:eastAsia="Times New Roman" w:hAnsi="Times New Roman"/>
          <w:sz w:val="13"/>
          <w:szCs w:val="13"/>
          <w:color w:val="auto"/>
        </w:rPr>
        <w:t>.</w:t>
      </w:r>
    </w:p>
    <w:p>
      <w:pPr>
        <w:spacing w:after="0" w:line="153" w:lineRule="exact"/>
        <w:rPr>
          <w:sz w:val="20"/>
          <w:szCs w:val="20"/>
          <w:color w:val="auto"/>
        </w:rPr>
      </w:pPr>
    </w:p>
    <w:p>
      <w:pPr>
        <w:jc w:val="both"/>
        <w:ind w:firstLine="856"/>
        <w:spacing w:after="0" w:line="273" w:lineRule="auto"/>
        <w:tabs>
          <w:tab w:leader="none" w:pos="115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granted the RSUs to Participant effective as of the grant date set forth in the Grant Notice (the “</w:t>
      </w:r>
      <w:r>
        <w:rPr>
          <w:rFonts w:ascii="Times New Roman" w:cs="Times New Roman" w:eastAsia="Times New Roman" w:hAnsi="Times New Roman"/>
          <w:sz w:val="13"/>
          <w:szCs w:val="13"/>
          <w:b w:val="1"/>
          <w:bCs w:val="1"/>
          <w:i w:val="1"/>
          <w:iCs w:val="1"/>
          <w:color w:val="auto"/>
        </w:rPr>
        <w:t>Grant Date</w:t>
      </w:r>
      <w:r>
        <w:rPr>
          <w:rFonts w:ascii="Times New Roman" w:cs="Times New Roman" w:eastAsia="Times New Roman" w:hAnsi="Times New Roman"/>
          <w:sz w:val="13"/>
          <w:szCs w:val="13"/>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14" w:lineRule="exact"/>
        <w:rPr>
          <w:rFonts w:ascii="Times New Roman" w:cs="Times New Roman" w:eastAsia="Times New Roman" w:hAnsi="Times New Roman"/>
          <w:sz w:val="13"/>
          <w:szCs w:val="13"/>
          <w:color w:val="auto"/>
        </w:rPr>
      </w:pPr>
    </w:p>
    <w:p>
      <w:pPr>
        <w:jc w:val="both"/>
        <w:ind w:firstLine="856"/>
        <w:spacing w:after="0" w:line="267" w:lineRule="auto"/>
        <w:tabs>
          <w:tab w:leader="none" w:pos="1171"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13"/>
          <w:szCs w:val="13"/>
          <w:b w:val="1"/>
          <w:bCs w:val="1"/>
          <w:i w:val="1"/>
          <w:iCs w:val="1"/>
          <w:color w:val="auto"/>
        </w:rPr>
        <w:t>Dividend Equivalent Account</w:t>
      </w:r>
      <w:r>
        <w:rPr>
          <w:rFonts w:ascii="Times New Roman" w:cs="Times New Roman" w:eastAsia="Times New Roman" w:hAnsi="Times New Roman"/>
          <w:sz w:val="13"/>
          <w:szCs w:val="13"/>
          <w:color w:val="auto"/>
        </w:rPr>
        <w:t>”) for each Dividend Equivalent and credit the Dividend Equivalent Account (without interest) on the applicable dividend payment date with the amount of any such cash paid.</w:t>
      </w:r>
    </w:p>
    <w:p>
      <w:pPr>
        <w:spacing w:after="0" w:line="109"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Incorporation of Terms of Plan</w:t>
      </w:r>
      <w:r>
        <w:rPr>
          <w:rFonts w:ascii="Times New Roman" w:cs="Times New Roman" w:eastAsia="Times New Roman" w:hAnsi="Times New Roman"/>
          <w:sz w:val="13"/>
          <w:szCs w:val="13"/>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92"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1.3</w:t>
      </w:r>
      <w:r>
        <w:rPr>
          <w:sz w:val="20"/>
          <w:szCs w:val="20"/>
          <w:color w:val="auto"/>
        </w:rPr>
        <w:tab/>
      </w:r>
      <w:r>
        <w:rPr>
          <w:rFonts w:ascii="Times New Roman" w:cs="Times New Roman" w:eastAsia="Times New Roman" w:hAnsi="Times New Roman"/>
          <w:sz w:val="13"/>
          <w:szCs w:val="13"/>
          <w:u w:val="single" w:color="auto"/>
          <w:color w:val="auto"/>
        </w:rPr>
        <w:t>Unsecured Promise</w:t>
      </w:r>
      <w:r>
        <w:rPr>
          <w:rFonts w:ascii="Times New Roman" w:cs="Times New Roman" w:eastAsia="Times New Roman" w:hAnsi="Times New Roman"/>
          <w:sz w:val="13"/>
          <w:szCs w:val="13"/>
          <w:color w:val="auto"/>
        </w:rPr>
        <w:t>. The RSUs and Dividend Equivalents will at all times prior to settlement represent an unsecured Company obligation payable only from the Company’s general assets.</w:t>
      </w:r>
    </w:p>
    <w:p>
      <w:pPr>
        <w:spacing w:after="0" w:line="157"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3"/>
          <w:szCs w:val="13"/>
          <w:color w:val="auto"/>
        </w:rPr>
        <w:t xml:space="preserve">1.4 </w:t>
      </w:r>
      <w:r>
        <w:rPr>
          <w:rFonts w:ascii="Times New Roman" w:cs="Times New Roman" w:eastAsia="Times New Roman" w:hAnsi="Times New Roman"/>
          <w:sz w:val="13"/>
          <w:szCs w:val="13"/>
          <w:u w:val="single" w:color="auto"/>
          <w:color w:val="auto"/>
        </w:rPr>
        <w:t>Employment Inducement Award</w:t>
      </w:r>
      <w:r>
        <w:rPr>
          <w:rFonts w:ascii="Times New Roman" w:cs="Times New Roman" w:eastAsia="Times New Roman" w:hAnsi="Times New Roman"/>
          <w:sz w:val="13"/>
          <w:szCs w:val="13"/>
          <w:color w:val="auto"/>
        </w:rPr>
        <w:t>. The RSUs are intended to constitute an “employment inducement award” under NASDAQ Rule 5635(c)(4) that is exempt from the requirements of shareholder approval of equity-compensation plans under NASDAQ Rule 5635(c)(4). This Agreement and the terms and conditions of the RSUs will be interpreted consistent with such intent.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VESTING; FORFEITURE AND SETTLEMENT</w:t>
      </w:r>
    </w:p>
    <w:p>
      <w:pPr>
        <w:spacing w:after="0" w:line="13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Vesting; Forfeiture</w:t>
      </w:r>
      <w:r>
        <w:rPr>
          <w:rFonts w:ascii="Times New Roman" w:cs="Times New Roman" w:eastAsia="Times New Roman" w:hAnsi="Times New Roman"/>
          <w:sz w:val="13"/>
          <w:szCs w:val="13"/>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11300"/>
          </w:cols>
          <w:pgMar w:left="300" w:top="114" w:right="299" w:bottom="1440" w:gutter="0" w:footer="0" w:header="0"/>
        </w:sectPr>
      </w:pPr>
    </w:p>
    <w:bookmarkStart w:id="156" w:name="page157"/>
    <w:bookmarkEnd w:id="156"/>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2.2</w:t>
      </w:r>
      <w:r>
        <w:rPr>
          <w:sz w:val="20"/>
          <w:szCs w:val="20"/>
          <w:color w:val="auto"/>
        </w:rPr>
        <w:tab/>
      </w:r>
      <w:r>
        <w:rPr>
          <w:rFonts w:ascii="Times New Roman" w:cs="Times New Roman" w:eastAsia="Times New Roman" w:hAnsi="Times New Roman"/>
          <w:sz w:val="13"/>
          <w:szCs w:val="13"/>
          <w:u w:val="single" w:color="auto"/>
          <w:color w:val="auto"/>
        </w:rPr>
        <w:t>Settlement</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jc w:val="both"/>
        <w:ind w:firstLine="856"/>
        <w:spacing w:after="0" w:line="262" w:lineRule="auto"/>
        <w:tabs>
          <w:tab w:leader="none" w:pos="115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taxes under Section 409A.</w:t>
      </w:r>
    </w:p>
    <w:p>
      <w:pPr>
        <w:spacing w:after="0" w:line="121" w:lineRule="exact"/>
        <w:rPr>
          <w:rFonts w:ascii="Times New Roman" w:cs="Times New Roman" w:eastAsia="Times New Roman" w:hAnsi="Times New Roman"/>
          <w:sz w:val="13"/>
          <w:szCs w:val="13"/>
          <w:color w:val="auto"/>
        </w:rPr>
      </w:pPr>
    </w:p>
    <w:p>
      <w:pPr>
        <w:jc w:val="both"/>
        <w:ind w:firstLine="856"/>
        <w:spacing w:after="0" w:line="270" w:lineRule="auto"/>
        <w:tabs>
          <w:tab w:leader="none" w:pos="118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TAXATION AND TAX WITHHOLDING</w:t>
      </w:r>
    </w:p>
    <w:p>
      <w:pPr>
        <w:spacing w:after="0" w:line="143"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Representation</w:t>
      </w:r>
      <w:r>
        <w:rPr>
          <w:rFonts w:ascii="Times New Roman" w:cs="Times New Roman" w:eastAsia="Times New Roman" w:hAnsi="Times New Roman"/>
          <w:sz w:val="13"/>
          <w:szCs w:val="13"/>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92"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2"/>
          <w:szCs w:val="12"/>
          <w:u w:val="single" w:color="auto"/>
          <w:color w:val="auto"/>
        </w:rPr>
        <w:t>Tax Withholding</w:t>
      </w:r>
      <w:r>
        <w:rPr>
          <w:rFonts w:ascii="Times New Roman" w:cs="Times New Roman" w:eastAsia="Times New Roman" w:hAnsi="Times New Roman"/>
          <w:sz w:val="12"/>
          <w:szCs w:val="12"/>
          <w:color w:val="auto"/>
        </w:rPr>
        <w:t>.</w:t>
      </w:r>
    </w:p>
    <w:p>
      <w:pPr>
        <w:spacing w:after="0" w:line="157" w:lineRule="exact"/>
        <w:rPr>
          <w:sz w:val="20"/>
          <w:szCs w:val="20"/>
          <w:color w:val="auto"/>
        </w:rPr>
      </w:pPr>
    </w:p>
    <w:p>
      <w:pPr>
        <w:ind w:right="20" w:firstLine="856"/>
        <w:spacing w:after="0" w:line="281" w:lineRule="auto"/>
        <w:tabs>
          <w:tab w:leader="none" w:pos="115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08" w:lineRule="exact"/>
        <w:rPr>
          <w:rFonts w:ascii="Times New Roman" w:cs="Times New Roman" w:eastAsia="Times New Roman" w:hAnsi="Times New Roman"/>
          <w:sz w:val="13"/>
          <w:szCs w:val="13"/>
          <w:color w:val="auto"/>
        </w:rPr>
      </w:pPr>
    </w:p>
    <w:p>
      <w:pPr>
        <w:jc w:val="both"/>
        <w:ind w:firstLine="856"/>
        <w:spacing w:after="0" w:line="267" w:lineRule="auto"/>
        <w:tabs>
          <w:tab w:leader="none" w:pos="121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PROVISIONS</w:t>
      </w:r>
    </w:p>
    <w:p>
      <w:pPr>
        <w:spacing w:after="0" w:line="138"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Participant acknowledges that the RSUs, the Shares subject to the RSUs and the Dividend Equivalents are subject to adjustment, modification and termination in certain events as provided in this Agreement and the Plan.</w:t>
      </w:r>
    </w:p>
    <w:p>
      <w:pPr>
        <w:spacing w:after="0" w:line="101"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Any notice to be given under the terms of this Agreement to the Company must be in writing and addressed to the Company in care of the Company’s Secretary 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11300"/>
          </w:cols>
          <w:pgMar w:left="300" w:top="989" w:right="299" w:bottom="1440" w:gutter="0" w:footer="0" w:header="0"/>
        </w:sectPr>
      </w:pPr>
    </w:p>
    <w:bookmarkStart w:id="157" w:name="page158"/>
    <w:bookmarkEnd w:id="157"/>
    <w:p>
      <w:pPr>
        <w:jc w:val="both"/>
        <w:spacing w:after="0" w:line="267" w:lineRule="auto"/>
        <w:rPr>
          <w:sz w:val="20"/>
          <w:szCs w:val="20"/>
          <w:color w:val="auto"/>
        </w:rPr>
      </w:pPr>
      <w:r>
        <w:rPr>
          <w:rFonts w:ascii="Times New Roman" w:cs="Times New Roman" w:eastAsia="Times New Roman" w:hAnsi="Times New Roman"/>
          <w:sz w:val="13"/>
          <w:szCs w:val="13"/>
          <w:color w:val="auto"/>
        </w:rPr>
        <w:t>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09"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u w:val="single" w:color="auto"/>
          <w:color w:val="auto"/>
        </w:rPr>
        <w:t>Titles</w:t>
      </w:r>
      <w:r>
        <w:rPr>
          <w:rFonts w:ascii="Times New Roman" w:cs="Times New Roman" w:eastAsia="Times New Roman" w:hAnsi="Times New Roman"/>
          <w:sz w:val="13"/>
          <w:szCs w:val="13"/>
          <w:color w:val="auto"/>
        </w:rPr>
        <w:t>. Titles are provided herein for convenience only and are not to serve as a basis for interpretation or construction of this Agreement.</w:t>
      </w:r>
    </w:p>
    <w:p>
      <w:pPr>
        <w:spacing w:after="0" w:line="15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Conformity to Securities Laws</w:t>
      </w:r>
      <w:r>
        <w:rPr>
          <w:rFonts w:ascii="Times New Roman" w:cs="Times New Roman" w:eastAsia="Times New Roman" w:hAnsi="Times New Roman"/>
          <w:sz w:val="13"/>
          <w:szCs w:val="13"/>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9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Successors and Assigns</w:t>
      </w:r>
      <w:r>
        <w:rPr>
          <w:rFonts w:ascii="Times New Roman" w:cs="Times New Roman" w:eastAsia="Times New Roman" w:hAnsi="Times New Roman"/>
          <w:sz w:val="13"/>
          <w:szCs w:val="13"/>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1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Limitations Applicable to Section 16 Persons</w:t>
      </w:r>
      <w:r>
        <w:rPr>
          <w:rFonts w:ascii="Times New Roman" w:cs="Times New Roman" w:eastAsia="Times New Roman" w:hAnsi="Times New Roman"/>
          <w:sz w:val="13"/>
          <w:szCs w:val="13"/>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269"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01"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Agreement Severable</w:t>
      </w:r>
      <w:r>
        <w:rPr>
          <w:rFonts w:ascii="Times New Roman" w:cs="Times New Roman" w:eastAsia="Times New Roman" w:hAnsi="Times New Roman"/>
          <w:sz w:val="13"/>
          <w:szCs w:val="13"/>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0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u w:val="single" w:color="auto"/>
          <w:color w:val="auto"/>
        </w:rPr>
        <w:t>Limitation on Participant’s Rights</w:t>
      </w:r>
      <w:r>
        <w:rPr>
          <w:rFonts w:ascii="Times New Roman" w:cs="Times New Roman" w:eastAsia="Times New Roman" w:hAnsi="Times New Roman"/>
          <w:sz w:val="13"/>
          <w:szCs w:val="13"/>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21"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3"/>
          <w:szCs w:val="13"/>
          <w:color w:val="auto"/>
        </w:rPr>
        <w:t>4.10</w:t>
      </w:r>
      <w:r>
        <w:rPr>
          <w:sz w:val="20"/>
          <w:szCs w:val="20"/>
          <w:color w:val="auto"/>
        </w:rPr>
        <w:tab/>
      </w:r>
      <w:r>
        <w:rPr>
          <w:rFonts w:ascii="Times New Roman" w:cs="Times New Roman" w:eastAsia="Times New Roman" w:hAnsi="Times New Roman"/>
          <w:sz w:val="13"/>
          <w:szCs w:val="13"/>
          <w:u w:val="single" w:color="auto"/>
          <w:color w:val="auto"/>
        </w:rPr>
        <w:t>Not a Contract of Employment</w:t>
      </w:r>
      <w:r>
        <w:rPr>
          <w:rFonts w:ascii="Times New Roman" w:cs="Times New Roman" w:eastAsia="Times New Roman" w:hAnsi="Times New Roman"/>
          <w:sz w:val="13"/>
          <w:szCs w:val="13"/>
          <w:color w:val="auto"/>
        </w:rPr>
        <w:t>. Nothing in the Plan, the Grant Notice or this Agreement confers upon Participant any right to continue in the employ or service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11300"/>
          </w:cols>
          <w:pgMar w:left="300" w:top="989" w:right="299" w:bottom="1440" w:gutter="0" w:footer="0" w:header="0"/>
        </w:sectPr>
      </w:pPr>
    </w:p>
    <w:bookmarkStart w:id="158" w:name="page159"/>
    <w:bookmarkEnd w:id="158"/>
    <w:p>
      <w:pPr>
        <w:spacing w:after="0" w:line="295" w:lineRule="auto"/>
        <w:rPr>
          <w:sz w:val="20"/>
          <w:szCs w:val="20"/>
          <w:color w:val="auto"/>
        </w:rPr>
      </w:pPr>
      <w:r>
        <w:rPr>
          <w:rFonts w:ascii="Times New Roman" w:cs="Times New Roman" w:eastAsia="Times New Roman" w:hAnsi="Times New Roman"/>
          <w:sz w:val="13"/>
          <w:szCs w:val="13"/>
          <w:color w:val="auto"/>
        </w:rPr>
        <w:t>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92"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A-4</w:t>
      </w:r>
    </w:p>
    <w:p>
      <w:pPr>
        <w:sectPr>
          <w:pgSz w:w="11900" w:h="16838" w:orient="portrait"/>
          <w:cols w:equalWidth="0" w:num="1">
            <w:col w:w="11300"/>
          </w:cols>
          <w:pgMar w:left="300" w:top="989" w:right="29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2000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183755" cy="200025"/>
                    </a:xfrm>
                    <a:prstGeom prst="rect">
                      <a:avLst/>
                    </a:prstGeom>
                    <a:noFill/>
                  </pic:spPr>
                </pic:pic>
              </a:graphicData>
            </a:graphic>
          </wp:anchor>
        </w:drawing>
        <w:t>CARTESIAN THERAPEUTICS,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 2018 EMPLOYMENT INDUCEMENT INCENTIVE AWARD PLAN</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OPTION GRANT NOTICE</w:t>
      </w:r>
    </w:p>
    <w:p>
      <w:pPr>
        <w:spacing w:after="0" w:line="146" w:lineRule="exact"/>
        <w:rPr>
          <w:sz w:val="20"/>
          <w:szCs w:val="20"/>
          <w:color w:val="auto"/>
        </w:rPr>
      </w:pPr>
    </w:p>
    <w:p>
      <w:pPr>
        <w:ind w:firstLine="432"/>
        <w:spacing w:after="0" w:line="301" w:lineRule="auto"/>
        <w:rPr>
          <w:sz w:val="20"/>
          <w:szCs w:val="20"/>
          <w:color w:val="auto"/>
        </w:rPr>
      </w:pPr>
      <w:r>
        <w:rPr>
          <w:rFonts w:ascii="Times New Roman" w:cs="Times New Roman" w:eastAsia="Times New Roman" w:hAnsi="Times New Roman"/>
          <w:sz w:val="13"/>
          <w:szCs w:val="13"/>
          <w:color w:val="auto"/>
        </w:rPr>
        <w:t>Capitalized terms not specifically defined in this Stock Option Grant Notice (the “</w:t>
      </w:r>
      <w:r>
        <w:rPr>
          <w:rFonts w:ascii="Times New Roman" w:cs="Times New Roman" w:eastAsia="Times New Roman" w:hAnsi="Times New Roman"/>
          <w:sz w:val="13"/>
          <w:szCs w:val="13"/>
          <w:b w:val="1"/>
          <w:bCs w:val="1"/>
          <w:i w:val="1"/>
          <w:iCs w:val="1"/>
          <w:color w:val="auto"/>
        </w:rPr>
        <w:t>Grant Notice</w:t>
      </w:r>
      <w:r>
        <w:rPr>
          <w:rFonts w:ascii="Times New Roman" w:cs="Times New Roman" w:eastAsia="Times New Roman" w:hAnsi="Times New Roman"/>
          <w:sz w:val="13"/>
          <w:szCs w:val="13"/>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of Cartesian Therapeutics, Inc.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w:t>
      </w:r>
    </w:p>
    <w:p>
      <w:pPr>
        <w:spacing w:after="0" w:line="84" w:lineRule="exact"/>
        <w:rPr>
          <w:sz w:val="20"/>
          <w:szCs w:val="20"/>
          <w:color w:val="auto"/>
        </w:rPr>
      </w:pPr>
    </w:p>
    <w:p>
      <w:pPr>
        <w:ind w:firstLine="432"/>
        <w:spacing w:after="0" w:line="301" w:lineRule="auto"/>
        <w:rPr>
          <w:sz w:val="20"/>
          <w:szCs w:val="20"/>
          <w:color w:val="auto"/>
        </w:rPr>
      </w:pPr>
      <w:r>
        <w:rPr>
          <w:rFonts w:ascii="Times New Roman" w:cs="Times New Roman" w:eastAsia="Times New Roman" w:hAnsi="Times New Roman"/>
          <w:sz w:val="13"/>
          <w:szCs w:val="13"/>
          <w:color w:val="auto"/>
        </w:rPr>
        <w:t>The Company has granted to the participant listed below (“</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the stock option described in this Grant Notice (the “</w:t>
      </w:r>
      <w:r>
        <w:rPr>
          <w:rFonts w:ascii="Times New Roman" w:cs="Times New Roman" w:eastAsia="Times New Roman" w:hAnsi="Times New Roman"/>
          <w:sz w:val="13"/>
          <w:szCs w:val="13"/>
          <w:b w:val="1"/>
          <w:bCs w:val="1"/>
          <w:i w:val="1"/>
          <w:iCs w:val="1"/>
          <w:color w:val="auto"/>
        </w:rPr>
        <w:t>Option</w:t>
      </w:r>
      <w:r>
        <w:rPr>
          <w:rFonts w:ascii="Times New Roman" w:cs="Times New Roman" w:eastAsia="Times New Roman" w:hAnsi="Times New Roman"/>
          <w:sz w:val="13"/>
          <w:szCs w:val="13"/>
          <w:color w:val="auto"/>
        </w:rPr>
        <w:t xml:space="preserve">”), subject to the terms and conditions of the Plan and the Stock Option Agreement attached as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both of which are incorporated into this Grant Notice by reference.</w:t>
      </w:r>
    </w:p>
    <w:p>
      <w:pPr>
        <w:sectPr>
          <w:pgSz w:w="11900" w:h="16838" w:orient="portrait"/>
          <w:cols w:equalWidth="0" w:num="1">
            <w:col w:w="11300"/>
          </w:cols>
          <w:pgMar w:left="300" w:top="1023" w:right="299" w:bottom="1440" w:gutter="0" w:footer="0" w:header="0"/>
        </w:sectPr>
      </w:pP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Exercise Price per Share: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Shares Subject to the Option:</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Final Expiration Date: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Vesting Commencement Date: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Vesting Schedule:</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Type of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be specified in individual award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Non-Qualified Stock Option</w:t>
      </w:r>
    </w:p>
    <w:p>
      <w:pPr>
        <w:spacing w:after="0" w:line="200" w:lineRule="exact"/>
        <w:rPr>
          <w:sz w:val="20"/>
          <w:szCs w:val="20"/>
          <w:color w:val="auto"/>
        </w:rPr>
      </w:pPr>
    </w:p>
    <w:p>
      <w:pPr>
        <w:sectPr>
          <w:pgSz w:w="11900" w:h="16838" w:orient="portrait"/>
          <w:cols w:equalWidth="0" w:num="2">
            <w:col w:w="3760" w:space="720"/>
            <w:col w:w="6820"/>
          </w:cols>
          <w:pgMar w:left="300" w:top="1023" w:right="299" w:bottom="1440" w:gutter="0" w:footer="0" w:header="0"/>
          <w:type w:val="continuous"/>
        </w:sectPr>
      </w:pPr>
    </w:p>
    <w:p>
      <w:pPr>
        <w:spacing w:after="0" w:line="19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tc>
        <w:tc>
          <w:tcPr>
            <w:tcW w:w="2760" w:type="dxa"/>
            <w:vAlign w:val="bottom"/>
            <w:gridSpan w:val="3"/>
          </w:tcPr>
          <w:p>
            <w:pPr>
              <w:ind w:left="1740"/>
              <w:spacing w:after="0"/>
              <w:rPr>
                <w:sz w:val="20"/>
                <w:szCs w:val="20"/>
                <w:color w:val="auto"/>
              </w:rPr>
            </w:pPr>
            <w:r>
              <w:rPr>
                <w:rFonts w:ascii="Times New Roman" w:cs="Times New Roman" w:eastAsia="Times New Roman" w:hAnsi="Times New Roman"/>
                <w:sz w:val="13"/>
                <w:szCs w:val="13"/>
                <w:b w:val="1"/>
                <w:bCs w:val="1"/>
                <w:color w:val="auto"/>
              </w:rPr>
              <w:t>PARTICIPANT</w:t>
            </w:r>
          </w:p>
        </w:tc>
      </w:tr>
      <w:tr>
        <w:trPr>
          <w:trHeight w:val="132"/>
        </w:trPr>
        <w:tc>
          <w:tcPr>
            <w:tcW w:w="92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By:</w:t>
            </w:r>
          </w:p>
        </w:tc>
        <w:tc>
          <w:tcPr>
            <w:tcW w:w="14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14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2760" w:type="dxa"/>
            <w:vAlign w:val="bottom"/>
            <w:gridSpan w:val="3"/>
          </w:tcPr>
          <w:p>
            <w:pPr>
              <w:ind w:left="1740"/>
              <w:spacing w:after="0"/>
              <w:rPr>
                <w:sz w:val="20"/>
                <w:szCs w:val="20"/>
                <w:color w:val="auto"/>
              </w:rPr>
            </w:pPr>
            <w:r>
              <w:rPr>
                <w:rFonts w:ascii="Times New Roman" w:cs="Times New Roman" w:eastAsia="Times New Roman" w:hAnsi="Times New Roman"/>
                <w:sz w:val="13"/>
                <w:szCs w:val="13"/>
                <w:color w:val="auto"/>
              </w:rPr>
              <w:t>[Participant Name]</w:t>
            </w: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4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ectPr>
          <w:pgSz w:w="11900" w:h="16838" w:orient="portrait"/>
          <w:cols w:equalWidth="0" w:num="1">
            <w:col w:w="11300"/>
          </w:cols>
          <w:pgMar w:left="300" w:top="1023" w:right="29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OPTION AGREEMENT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Capitalized terms not specifically defined in this Agreement have the meanings specified in the Grant Notice or, if not defined in the Grant Notice, in the Plan.</w:t>
      </w:r>
    </w:p>
    <w:p>
      <w:pPr>
        <w:spacing w:after="0" w:line="14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34"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1.1</w:t>
      </w:r>
      <w:r>
        <w:rPr>
          <w:sz w:val="20"/>
          <w:szCs w:val="20"/>
          <w:color w:val="auto"/>
        </w:rPr>
        <w:tab/>
      </w:r>
      <w:r>
        <w:rPr>
          <w:rFonts w:ascii="Times New Roman" w:cs="Times New Roman" w:eastAsia="Times New Roman" w:hAnsi="Times New Roman"/>
          <w:sz w:val="13"/>
          <w:szCs w:val="13"/>
          <w:u w:val="single" w:color="auto"/>
          <w:color w:val="auto"/>
        </w:rPr>
        <w:t>Grant of Option</w:t>
      </w:r>
      <w:r>
        <w:rPr>
          <w:rFonts w:ascii="Times New Roman" w:cs="Times New Roman" w:eastAsia="Times New Roman" w:hAnsi="Times New Roman"/>
          <w:sz w:val="13"/>
          <w:szCs w:val="13"/>
          <w:color w:val="auto"/>
        </w:rPr>
        <w:t>. The Company has granted to Participant the Option effective as of the grant date set forth in the Grant Notice (the “</w:t>
      </w:r>
      <w:r>
        <w:rPr>
          <w:rFonts w:ascii="Times New Roman" w:cs="Times New Roman" w:eastAsia="Times New Roman" w:hAnsi="Times New Roman"/>
          <w:sz w:val="13"/>
          <w:szCs w:val="13"/>
          <w:b w:val="1"/>
          <w:bCs w:val="1"/>
          <w:i w:val="1"/>
          <w:iCs w:val="1"/>
          <w:color w:val="auto"/>
        </w:rPr>
        <w:t>Grant Date</w:t>
      </w:r>
      <w:r>
        <w:rPr>
          <w:rFonts w:ascii="Times New Roman" w:cs="Times New Roman" w:eastAsia="Times New Roman" w:hAnsi="Times New Roman"/>
          <w:sz w:val="13"/>
          <w:szCs w:val="13"/>
          <w:color w:val="auto"/>
        </w:rPr>
        <w:t>”).</w:t>
      </w:r>
    </w:p>
    <w:p>
      <w:pPr>
        <w:spacing w:after="0" w:line="16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Incorporation of Terms of Plan</w:t>
      </w:r>
      <w:r>
        <w:rPr>
          <w:rFonts w:ascii="Times New Roman" w:cs="Times New Roman" w:eastAsia="Times New Roman" w:hAnsi="Times New Roman"/>
          <w:sz w:val="13"/>
          <w:szCs w:val="13"/>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9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u w:val="single" w:color="auto"/>
          <w:color w:val="auto"/>
        </w:rPr>
        <w:t>Employment Inducement Award</w:t>
      </w:r>
      <w:r>
        <w:rPr>
          <w:rFonts w:ascii="Times New Roman" w:cs="Times New Roman" w:eastAsia="Times New Roman" w:hAnsi="Times New Roman"/>
          <w:sz w:val="13"/>
          <w:szCs w:val="13"/>
          <w:color w:val="auto"/>
        </w:rPr>
        <w:t>. The Option is intended to constitute an “employment inducement award” under NASDAQ Rule 5635(c)(4) that is exempt from the requirements of shareholder approval of equity-compensation plans under NASDAQ Rule 5635(c)(4). This Agreement and the terms and conditions of the Option will be interpreted consistent with such intent.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PERIOD OF EXERCISABILITY</w:t>
      </w:r>
    </w:p>
    <w:p>
      <w:pPr>
        <w:spacing w:after="0" w:line="14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Commencement of Exercisability</w:t>
      </w:r>
      <w:r>
        <w:rPr>
          <w:rFonts w:ascii="Times New Roman" w:cs="Times New Roman" w:eastAsia="Times New Roman" w:hAnsi="Times New Roman"/>
          <w:sz w:val="13"/>
          <w:szCs w:val="13"/>
          <w:color w:val="auto"/>
        </w:rPr>
        <w:t>. The Option will vest and become exercisable according to the vesting schedule in the Grant Notice (the “</w:t>
      </w:r>
      <w:r>
        <w:rPr>
          <w:rFonts w:ascii="Times New Roman" w:cs="Times New Roman" w:eastAsia="Times New Roman" w:hAnsi="Times New Roman"/>
          <w:sz w:val="13"/>
          <w:szCs w:val="13"/>
          <w:b w:val="1"/>
          <w:bCs w:val="1"/>
          <w:i w:val="1"/>
          <w:iCs w:val="1"/>
          <w:color w:val="auto"/>
        </w:rPr>
        <w:t>Vesting Schedule</w:t>
      </w:r>
      <w:r>
        <w:rPr>
          <w:rFonts w:ascii="Times New Roman" w:cs="Times New Roman" w:eastAsia="Times New Roman" w:hAnsi="Times New Roman"/>
          <w:sz w:val="13"/>
          <w:szCs w:val="13"/>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2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Duration of Exercisability</w:t>
      </w:r>
      <w:r>
        <w:rPr>
          <w:rFonts w:ascii="Times New Roman" w:cs="Times New Roman" w:eastAsia="Times New Roman" w:hAnsi="Times New Roman"/>
          <w:sz w:val="13"/>
          <w:szCs w:val="13"/>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92"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3"/>
          <w:szCs w:val="13"/>
          <w:u w:val="single" w:color="auto"/>
          <w:color w:val="auto"/>
        </w:rPr>
        <w:t>Expiration of Option</w:t>
      </w:r>
      <w:r>
        <w:rPr>
          <w:rFonts w:ascii="Times New Roman" w:cs="Times New Roman" w:eastAsia="Times New Roman" w:hAnsi="Times New Roman"/>
          <w:sz w:val="13"/>
          <w:szCs w:val="13"/>
          <w:color w:val="auto"/>
        </w:rPr>
        <w:t>. The Option may not be exercised to any extent by anyone after, and will expire on, the first of the following to occur:</w:t>
      </w:r>
    </w:p>
    <w:p>
      <w:pPr>
        <w:spacing w:after="0" w:line="157" w:lineRule="exact"/>
        <w:rPr>
          <w:sz w:val="20"/>
          <w:szCs w:val="20"/>
          <w:color w:val="auto"/>
        </w:rPr>
      </w:pPr>
    </w:p>
    <w:p>
      <w:pPr>
        <w:ind w:left="1140" w:hanging="284"/>
        <w:spacing w:after="0"/>
        <w:tabs>
          <w:tab w:leader="none" w:pos="11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final expiration date in the Grant Notice;</w:t>
      </w:r>
    </w:p>
    <w:p>
      <w:pPr>
        <w:spacing w:after="0" w:line="147" w:lineRule="exact"/>
        <w:rPr>
          <w:rFonts w:ascii="Times New Roman" w:cs="Times New Roman" w:eastAsia="Times New Roman" w:hAnsi="Times New Roman"/>
          <w:sz w:val="13"/>
          <w:szCs w:val="13"/>
          <w:color w:val="auto"/>
        </w:rPr>
      </w:pPr>
    </w:p>
    <w:p>
      <w:pPr>
        <w:ind w:firstLine="856"/>
        <w:spacing w:after="0" w:line="295" w:lineRule="auto"/>
        <w:tabs>
          <w:tab w:leader="none" w:pos="1164"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91"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the Administrator may otherwise approve, the expiration of one (1) year from the date of Participant’s Termination of Service by reason of Participant’s death or Disability;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11300"/>
          </w:cols>
          <w:pgMar w:left="300" w:top="276" w:right="299" w:bottom="1440" w:gutter="0" w:footer="0" w:header="0"/>
        </w:sectPr>
      </w:pPr>
    </w:p>
    <w:bookmarkStart w:id="161" w:name="page162"/>
    <w:bookmarkEnd w:id="161"/>
    <w:p>
      <w:pPr>
        <w:ind w:left="1140" w:hanging="284"/>
        <w:spacing w:after="0"/>
        <w:tabs>
          <w:tab w:leader="none" w:pos="11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the Administrator may otherwise approve, Participant’s Termination of Service for Cause.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EXERCISE OF OPTION</w:t>
      </w:r>
    </w:p>
    <w:p>
      <w:pPr>
        <w:spacing w:after="0" w:line="143"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Person Eligible to Exercise</w:t>
      </w:r>
      <w:r>
        <w:rPr>
          <w:rFonts w:ascii="Times New Roman" w:cs="Times New Roman" w:eastAsia="Times New Roman" w:hAnsi="Times New Roman"/>
          <w:sz w:val="13"/>
          <w:szCs w:val="13"/>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09"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Partial Exercise</w:t>
      </w:r>
      <w:r>
        <w:rPr>
          <w:rFonts w:ascii="Times New Roman" w:cs="Times New Roman" w:eastAsia="Times New Roman" w:hAnsi="Times New Roman"/>
          <w:sz w:val="13"/>
          <w:szCs w:val="13"/>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92"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2"/>
          <w:szCs w:val="12"/>
          <w:u w:val="single" w:color="auto"/>
          <w:color w:val="auto"/>
        </w:rPr>
        <w:t>Tax Withholding</w:t>
      </w:r>
      <w:r>
        <w:rPr>
          <w:rFonts w:ascii="Times New Roman" w:cs="Times New Roman" w:eastAsia="Times New Roman" w:hAnsi="Times New Roman"/>
          <w:sz w:val="12"/>
          <w:szCs w:val="12"/>
          <w:color w:val="auto"/>
        </w:rPr>
        <w:t>.</w:t>
      </w:r>
    </w:p>
    <w:p>
      <w:pPr>
        <w:spacing w:after="0" w:line="157" w:lineRule="exact"/>
        <w:rPr>
          <w:sz w:val="20"/>
          <w:szCs w:val="20"/>
          <w:color w:val="auto"/>
        </w:rPr>
      </w:pPr>
    </w:p>
    <w:p>
      <w:pPr>
        <w:ind w:right="20" w:firstLine="856"/>
        <w:spacing w:after="0" w:line="281" w:lineRule="auto"/>
        <w:tabs>
          <w:tab w:leader="none" w:pos="1156"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08" w:lineRule="exact"/>
        <w:rPr>
          <w:rFonts w:ascii="Times New Roman" w:cs="Times New Roman" w:eastAsia="Times New Roman" w:hAnsi="Times New Roman"/>
          <w:sz w:val="13"/>
          <w:szCs w:val="13"/>
          <w:color w:val="auto"/>
        </w:rPr>
      </w:pPr>
    </w:p>
    <w:p>
      <w:pPr>
        <w:jc w:val="both"/>
        <w:ind w:firstLine="856"/>
        <w:spacing w:after="0" w:line="267" w:lineRule="auto"/>
        <w:tabs>
          <w:tab w:leader="none" w:pos="1173"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0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Non-Exempt Employees</w:t>
      </w:r>
      <w:r>
        <w:rPr>
          <w:rFonts w:ascii="Times New Roman" w:cs="Times New Roman" w:eastAsia="Times New Roman" w:hAnsi="Times New Roman"/>
          <w:sz w:val="13"/>
          <w:szCs w:val="13"/>
          <w:color w:val="auto"/>
        </w:rPr>
        <w:t>. If Participant is an Employee in the United States who is a non-exempt employee for purposes of the Fair Labor Standards Act of 1938, as amended, the Option will not be first exercisable until at least six (6) months following the Grant Date (although the Option may vest prior to such date if provided for pursuant to the Vesting Schedule). Consistent with the provisions of the Worker Economic Opportunity Act, (i) if such Participant dies or suffers a Disability, (ii) upon a Change in Control, or (iii) upon the Participant’s retirement (as determined in accordance with the Company’s then current employment policies and guidelines), the vested portion of the Option may be exercised earlier than six (6) months following the Grant Date. The foregoing provision is intended to operate so that any income derived by a Participant who is a non-exempt Employee in connection with the exercise or vesting of an Option will be exempt from his or her regular rate of pay.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PROVISIONS</w:t>
      </w:r>
    </w:p>
    <w:p>
      <w:pPr>
        <w:spacing w:after="0" w:line="138"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Participant acknowledges that the Option is subject to adjustment, modification and termination in certain events as provided in this Agreement and the Plan.</w:t>
      </w:r>
    </w:p>
    <w:p>
      <w:pPr>
        <w:spacing w:after="0" w:line="15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11300"/>
          </w:cols>
          <w:pgMar w:left="300" w:top="989" w:right="299" w:bottom="1440" w:gutter="0" w:footer="0" w:header="0"/>
        </w:sectPr>
      </w:pPr>
    </w:p>
    <w:bookmarkStart w:id="162" w:name="page163"/>
    <w:bookmarkEnd w:id="162"/>
    <w:p>
      <w:pPr>
        <w:jc w:val="both"/>
        <w:spacing w:after="0" w:line="267" w:lineRule="auto"/>
        <w:rPr>
          <w:sz w:val="20"/>
          <w:szCs w:val="20"/>
          <w:color w:val="auto"/>
        </w:rPr>
      </w:pPr>
      <w:r>
        <w:rPr>
          <w:rFonts w:ascii="Times New Roman" w:cs="Times New Roman" w:eastAsia="Times New Roman" w:hAnsi="Times New Roman"/>
          <w:sz w:val="13"/>
          <w:szCs w:val="13"/>
          <w:color w:val="auto"/>
        </w:rPr>
        <w:t>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09"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u w:val="single" w:color="auto"/>
          <w:color w:val="auto"/>
        </w:rPr>
        <w:t>Titles</w:t>
      </w:r>
      <w:r>
        <w:rPr>
          <w:rFonts w:ascii="Times New Roman" w:cs="Times New Roman" w:eastAsia="Times New Roman" w:hAnsi="Times New Roman"/>
          <w:sz w:val="13"/>
          <w:szCs w:val="13"/>
          <w:color w:val="auto"/>
        </w:rPr>
        <w:t>. Titles are provided herein for convenience only and are not to serve as a basis for interpretation or construction of this Agreement.</w:t>
      </w:r>
    </w:p>
    <w:p>
      <w:pPr>
        <w:spacing w:after="0" w:line="15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Conformity to Securities Laws</w:t>
      </w:r>
      <w:r>
        <w:rPr>
          <w:rFonts w:ascii="Times New Roman" w:cs="Times New Roman" w:eastAsia="Times New Roman" w:hAnsi="Times New Roman"/>
          <w:sz w:val="13"/>
          <w:szCs w:val="13"/>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9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Successors and Assigns</w:t>
      </w:r>
      <w:r>
        <w:rPr>
          <w:rFonts w:ascii="Times New Roman" w:cs="Times New Roman" w:eastAsia="Times New Roman" w:hAnsi="Times New Roman"/>
          <w:sz w:val="13"/>
          <w:szCs w:val="13"/>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1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Limitations Applicable to Section 16 Persons</w:t>
      </w:r>
      <w:r>
        <w:rPr>
          <w:rFonts w:ascii="Times New Roman" w:cs="Times New Roman" w:eastAsia="Times New Roman" w:hAnsi="Times New Roman"/>
          <w:sz w:val="13"/>
          <w:szCs w:val="13"/>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16"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0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Agreement Severable</w:t>
      </w:r>
      <w:r>
        <w:rPr>
          <w:rFonts w:ascii="Times New Roman" w:cs="Times New Roman" w:eastAsia="Times New Roman" w:hAnsi="Times New Roman"/>
          <w:sz w:val="13"/>
          <w:szCs w:val="13"/>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9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u w:val="single" w:color="auto"/>
          <w:color w:val="auto"/>
        </w:rPr>
        <w:t>Limitation on Participant’s Rights</w:t>
      </w:r>
      <w:r>
        <w:rPr>
          <w:rFonts w:ascii="Times New Roman" w:cs="Times New Roman" w:eastAsia="Times New Roman" w:hAnsi="Times New Roman"/>
          <w:sz w:val="13"/>
          <w:szCs w:val="13"/>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0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Not a Contract of Employment</w:t>
      </w:r>
      <w:r>
        <w:rPr>
          <w:rFonts w:ascii="Times New Roman" w:cs="Times New Roman" w:eastAsia="Times New Roman" w:hAnsi="Times New Roman"/>
          <w:sz w:val="13"/>
          <w:szCs w:val="13"/>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11300"/>
          </w:cols>
          <w:pgMar w:left="300" w:top="989" w:right="299" w:bottom="1440" w:gutter="0" w:footer="0" w:header="0"/>
        </w:sectPr>
      </w:pPr>
    </w:p>
    <w:bookmarkStart w:id="163" w:name="page164"/>
    <w:bookmarkEnd w:id="163"/>
    <w:p>
      <w:pPr>
        <w:spacing w:after="0" w:line="295" w:lineRule="auto"/>
        <w:rPr>
          <w:sz w:val="20"/>
          <w:szCs w:val="20"/>
          <w:color w:val="auto"/>
        </w:rPr>
      </w:pPr>
      <w:r>
        <w:rPr>
          <w:rFonts w:ascii="Times New Roman" w:cs="Times New Roman" w:eastAsia="Times New Roman" w:hAnsi="Times New Roman"/>
          <w:sz w:val="13"/>
          <w:szCs w:val="13"/>
          <w:color w:val="auto"/>
        </w:rPr>
        <w:t>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92"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A-4</w:t>
      </w:r>
    </w:p>
    <w:p>
      <w:pPr>
        <w:sectPr>
          <w:pgSz w:w="11900" w:h="16838" w:orient="portrait"/>
          <w:cols w:equalWidth="0" w:num="1">
            <w:col w:w="11300"/>
          </w:cols>
          <w:pgMar w:left="300" w:top="989" w:right="29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2000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83755" cy="200025"/>
                    </a:xfrm>
                    <a:prstGeom prst="rect">
                      <a:avLst/>
                    </a:prstGeom>
                    <a:noFill/>
                  </pic:spPr>
                </pic:pic>
              </a:graphicData>
            </a:graphic>
          </wp:anchor>
        </w:drawing>
        <w:t>CARTESIAN THERAPUETICS, INC.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 2018 EMPLOYMENT INDUCEMENT INCENTIVE AWARD PLAN</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GRANT NOTICE</w:t>
      </w:r>
    </w:p>
    <w:p>
      <w:pPr>
        <w:spacing w:after="0" w:line="146" w:lineRule="exact"/>
        <w:rPr>
          <w:sz w:val="20"/>
          <w:szCs w:val="20"/>
          <w:color w:val="auto"/>
        </w:rPr>
      </w:pPr>
    </w:p>
    <w:p>
      <w:pPr>
        <w:jc w:val="both"/>
        <w:ind w:right="20" w:firstLine="432"/>
        <w:spacing w:after="0" w:line="301" w:lineRule="auto"/>
        <w:rPr>
          <w:sz w:val="20"/>
          <w:szCs w:val="20"/>
          <w:color w:val="auto"/>
        </w:rPr>
      </w:pPr>
      <w:r>
        <w:rPr>
          <w:rFonts w:ascii="Times New Roman" w:cs="Times New Roman" w:eastAsia="Times New Roman" w:hAnsi="Times New Roman"/>
          <w:sz w:val="13"/>
          <w:szCs w:val="13"/>
          <w:color w:val="auto"/>
        </w:rPr>
        <w:t>Capitalized terms not specifically defined in this Restricted Stock Grant Notice (the “</w:t>
      </w:r>
      <w:r>
        <w:rPr>
          <w:rFonts w:ascii="Times New Roman" w:cs="Times New Roman" w:eastAsia="Times New Roman" w:hAnsi="Times New Roman"/>
          <w:sz w:val="13"/>
          <w:szCs w:val="13"/>
          <w:b w:val="1"/>
          <w:bCs w:val="1"/>
          <w:i w:val="1"/>
          <w:iCs w:val="1"/>
          <w:color w:val="auto"/>
        </w:rPr>
        <w:t>Grant Notice</w:t>
      </w:r>
      <w:r>
        <w:rPr>
          <w:rFonts w:ascii="Times New Roman" w:cs="Times New Roman" w:eastAsia="Times New Roman" w:hAnsi="Times New Roman"/>
          <w:sz w:val="13"/>
          <w:szCs w:val="13"/>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of Cartesian Therapeutics, Inc.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w:t>
      </w:r>
    </w:p>
    <w:p>
      <w:pPr>
        <w:spacing w:after="0" w:line="84" w:lineRule="exact"/>
        <w:rPr>
          <w:sz w:val="20"/>
          <w:szCs w:val="20"/>
          <w:color w:val="auto"/>
        </w:rPr>
      </w:pPr>
    </w:p>
    <w:p>
      <w:pPr>
        <w:jc w:val="both"/>
        <w:ind w:firstLine="432"/>
        <w:spacing w:after="0" w:line="301" w:lineRule="auto"/>
        <w:rPr>
          <w:sz w:val="20"/>
          <w:szCs w:val="20"/>
          <w:color w:val="auto"/>
        </w:rPr>
      </w:pPr>
      <w:r>
        <w:rPr>
          <w:rFonts w:ascii="Times New Roman" w:cs="Times New Roman" w:eastAsia="Times New Roman" w:hAnsi="Times New Roman"/>
          <w:sz w:val="13"/>
          <w:szCs w:val="13"/>
          <w:color w:val="auto"/>
        </w:rPr>
        <w:t>The Company has granted to the participant listed below (“</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the shares of Restricted Stock described in this Grant Notice (the “</w:t>
      </w:r>
      <w:r>
        <w:rPr>
          <w:rFonts w:ascii="Times New Roman" w:cs="Times New Roman" w:eastAsia="Times New Roman" w:hAnsi="Times New Roman"/>
          <w:sz w:val="13"/>
          <w:szCs w:val="13"/>
          <w:b w:val="1"/>
          <w:bCs w:val="1"/>
          <w:i w:val="1"/>
          <w:iCs w:val="1"/>
          <w:color w:val="auto"/>
        </w:rPr>
        <w:t>Restricted Shares</w:t>
      </w:r>
      <w:r>
        <w:rPr>
          <w:rFonts w:ascii="Times New Roman" w:cs="Times New Roman" w:eastAsia="Times New Roman" w:hAnsi="Times New Roman"/>
          <w:sz w:val="13"/>
          <w:szCs w:val="13"/>
          <w:color w:val="auto"/>
        </w:rPr>
        <w:t xml:space="preserve">”), subject to the terms and conditions of the Plan and the Restricted Stock Agreement attached as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both of which are incorporated into this Grant Notice by reference.</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Number of Restricted Shares:</w:t>
      </w:r>
    </w:p>
    <w:p>
      <w:pPr>
        <w:spacing w:after="0" w:line="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Vesting Commencement Date:</w:t>
      </w:r>
    </w:p>
    <w:p>
      <w:pPr>
        <w:spacing w:after="0" w:line="85" w:lineRule="exact"/>
        <w:rPr>
          <w:sz w:val="20"/>
          <w:szCs w:val="20"/>
          <w:color w:val="auto"/>
        </w:rPr>
      </w:pPr>
    </w:p>
    <w:p>
      <w:pPr>
        <w:ind w:left="80"/>
        <w:spacing w:after="0"/>
        <w:tabs>
          <w:tab w:leader="none" w:pos="4460" w:val="left"/>
        </w:tabs>
        <w:rPr>
          <w:sz w:val="20"/>
          <w:szCs w:val="20"/>
          <w:color w:val="auto"/>
        </w:rPr>
      </w:pPr>
      <w:r>
        <w:rPr>
          <w:rFonts w:ascii="Times New Roman" w:cs="Times New Roman" w:eastAsia="Times New Roman" w:hAnsi="Times New Roman"/>
          <w:sz w:val="13"/>
          <w:szCs w:val="13"/>
          <w:b w:val="1"/>
          <w:bCs w:val="1"/>
          <w:color w:val="auto"/>
        </w:rPr>
        <w:t>Vesting Schedule:</w:t>
      </w:r>
      <w:r>
        <w:rPr>
          <w:sz w:val="20"/>
          <w:szCs w:val="20"/>
          <w:color w:val="auto"/>
        </w:rPr>
        <w:tab/>
      </w:r>
      <w:r>
        <w:rPr>
          <w:rFonts w:ascii="Times New Roman" w:cs="Times New Roman" w:eastAsia="Times New Roman" w:hAnsi="Times New Roman"/>
          <w:sz w:val="13"/>
          <w:szCs w:val="13"/>
          <w:color w:val="auto"/>
        </w:rPr>
        <w:t>[To be specified in individual award agreements]</w:t>
      </w:r>
    </w:p>
    <w:p>
      <w:pPr>
        <w:spacing w:after="0" w:line="200" w:lineRule="exact"/>
        <w:rPr>
          <w:sz w:val="20"/>
          <w:szCs w:val="20"/>
          <w:color w:val="auto"/>
        </w:rPr>
      </w:pPr>
    </w:p>
    <w:p>
      <w:pPr>
        <w:spacing w:after="0" w:line="20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CARTESIAN THERAPEUTICS, INC.</w:t>
            </w:r>
          </w:p>
        </w:tc>
        <w:tc>
          <w:tcPr>
            <w:tcW w:w="2760" w:type="dxa"/>
            <w:vAlign w:val="bottom"/>
            <w:gridSpan w:val="3"/>
          </w:tcPr>
          <w:p>
            <w:pPr>
              <w:ind w:left="1740"/>
              <w:spacing w:after="0"/>
              <w:rPr>
                <w:sz w:val="20"/>
                <w:szCs w:val="20"/>
                <w:color w:val="auto"/>
              </w:rPr>
            </w:pPr>
            <w:r>
              <w:rPr>
                <w:rFonts w:ascii="Times New Roman" w:cs="Times New Roman" w:eastAsia="Times New Roman" w:hAnsi="Times New Roman"/>
                <w:sz w:val="13"/>
                <w:szCs w:val="13"/>
                <w:b w:val="1"/>
                <w:bCs w:val="1"/>
                <w:color w:val="auto"/>
              </w:rPr>
              <w:t>PARTICIPANT</w:t>
            </w:r>
          </w:p>
        </w:tc>
      </w:tr>
      <w:tr>
        <w:trPr>
          <w:trHeight w:val="132"/>
        </w:trPr>
        <w:tc>
          <w:tcPr>
            <w:tcW w:w="92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By:</w:t>
            </w:r>
          </w:p>
        </w:tc>
        <w:tc>
          <w:tcPr>
            <w:tcW w:w="14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14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2760" w:type="dxa"/>
            <w:vAlign w:val="bottom"/>
            <w:gridSpan w:val="3"/>
          </w:tcPr>
          <w:p>
            <w:pPr>
              <w:ind w:left="1740"/>
              <w:spacing w:after="0"/>
              <w:rPr>
                <w:sz w:val="20"/>
                <w:szCs w:val="20"/>
                <w:color w:val="auto"/>
              </w:rPr>
            </w:pPr>
            <w:r>
              <w:rPr>
                <w:rFonts w:ascii="Times New Roman" w:cs="Times New Roman" w:eastAsia="Times New Roman" w:hAnsi="Times New Roman"/>
                <w:sz w:val="13"/>
                <w:szCs w:val="13"/>
                <w:color w:val="auto"/>
              </w:rPr>
              <w:t>[Participant Name]</w:t>
            </w: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4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ectPr>
          <w:pgSz w:w="11900" w:h="16838" w:orient="portrait"/>
          <w:cols w:equalWidth="0" w:num="1">
            <w:col w:w="11300"/>
          </w:cols>
          <w:pgMar w:left="300" w:top="1023" w:right="29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AGREEMENT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Capitalized terms not specifically defined in this Agreement have the meanings specified in the Grant Notice or, if not defined in the Grant Notice, in the Plan.</w:t>
      </w:r>
    </w:p>
    <w:p>
      <w:pPr>
        <w:spacing w:after="0" w:line="14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3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Issuance of Restricted Shares</w:t>
      </w:r>
      <w:r>
        <w:rPr>
          <w:rFonts w:ascii="Times New Roman" w:cs="Times New Roman" w:eastAsia="Times New Roman" w:hAnsi="Times New Roman"/>
          <w:sz w:val="13"/>
          <w:szCs w:val="13"/>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18"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Incorporation of Terms of Plan</w:t>
      </w:r>
      <w:r>
        <w:rPr>
          <w:rFonts w:ascii="Times New Roman" w:cs="Times New Roman" w:eastAsia="Times New Roman" w:hAnsi="Times New Roman"/>
          <w:sz w:val="13"/>
          <w:szCs w:val="13"/>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09"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3"/>
          <w:szCs w:val="13"/>
          <w:color w:val="auto"/>
        </w:rPr>
        <w:t xml:space="preserve">1.3 </w:t>
      </w:r>
      <w:r>
        <w:rPr>
          <w:rFonts w:ascii="Times New Roman" w:cs="Times New Roman" w:eastAsia="Times New Roman" w:hAnsi="Times New Roman"/>
          <w:sz w:val="13"/>
          <w:szCs w:val="13"/>
          <w:u w:val="single" w:color="auto"/>
          <w:color w:val="auto"/>
        </w:rPr>
        <w:t>Employment Inducement Award</w:t>
      </w:r>
      <w:r>
        <w:rPr>
          <w:rFonts w:ascii="Times New Roman" w:cs="Times New Roman" w:eastAsia="Times New Roman" w:hAnsi="Times New Roman"/>
          <w:sz w:val="13"/>
          <w:szCs w:val="13"/>
          <w:color w:val="auto"/>
        </w:rPr>
        <w:t>. The Restricted Shares are intended to constitute an “employment inducement award” under NASDAQ Rule 5635(c)(4) that is exempt from the requirements of shareholder approval of equity-compensation plans under NASDAQ Rule 5635(c)(4). This Agreement and the terms and conditions of the Restricted Shares will be interpreted consistent with such intent.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VESTING, FORFEITURE AND ESCROW</w:t>
      </w:r>
    </w:p>
    <w:p>
      <w:pPr>
        <w:spacing w:after="0" w:line="134" w:lineRule="exact"/>
        <w:rPr>
          <w:sz w:val="20"/>
          <w:szCs w:val="20"/>
          <w:color w:val="auto"/>
        </w:rPr>
      </w:pPr>
    </w:p>
    <w:p>
      <w:pPr>
        <w:jc w:val="both"/>
        <w:ind w:firstLine="432"/>
        <w:spacing w:after="0" w:line="301"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The Restricted Shares will become vested Shares (the “</w:t>
      </w:r>
      <w:r>
        <w:rPr>
          <w:rFonts w:ascii="Times New Roman" w:cs="Times New Roman" w:eastAsia="Times New Roman" w:hAnsi="Times New Roman"/>
          <w:sz w:val="13"/>
          <w:szCs w:val="13"/>
          <w:b w:val="1"/>
          <w:bCs w:val="1"/>
          <w:i w:val="1"/>
          <w:iCs w:val="1"/>
          <w:color w:val="auto"/>
        </w:rPr>
        <w:t>Vested Shares</w:t>
      </w:r>
      <w:r>
        <w:rPr>
          <w:rFonts w:ascii="Times New Roman" w:cs="Times New Roman" w:eastAsia="Times New Roman" w:hAnsi="Times New Roman"/>
          <w:sz w:val="13"/>
          <w:szCs w:val="13"/>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9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Forfeiture</w:t>
      </w:r>
      <w:r>
        <w:rPr>
          <w:rFonts w:ascii="Times New Roman" w:cs="Times New Roman" w:eastAsia="Times New Roman" w:hAnsi="Times New Roman"/>
          <w:sz w:val="13"/>
          <w:szCs w:val="13"/>
          <w:color w:val="auto"/>
        </w:rPr>
        <w:t>. In the event of Participant’s Termination of Service for any reason, Participant will immediately and automatically forfeit to the Company any Shares that are not Vested Shares (the “</w:t>
      </w:r>
      <w:r>
        <w:rPr>
          <w:rFonts w:ascii="Times New Roman" w:cs="Times New Roman" w:eastAsia="Times New Roman" w:hAnsi="Times New Roman"/>
          <w:sz w:val="13"/>
          <w:szCs w:val="13"/>
          <w:b w:val="1"/>
          <w:bCs w:val="1"/>
          <w:i w:val="1"/>
          <w:iCs w:val="1"/>
          <w:color w:val="auto"/>
        </w:rPr>
        <w:t>Unvested Shares</w:t>
      </w:r>
      <w:r>
        <w:rPr>
          <w:rFonts w:ascii="Times New Roman" w:cs="Times New Roman" w:eastAsia="Times New Roman" w:hAnsi="Times New Roman"/>
          <w:sz w:val="13"/>
          <w:szCs w:val="13"/>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279"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2"/>
          <w:szCs w:val="12"/>
          <w:u w:val="single" w:color="auto"/>
          <w:color w:val="auto"/>
        </w:rPr>
        <w:t>Escrow</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firstLine="856"/>
        <w:spacing w:after="0" w:line="277" w:lineRule="auto"/>
        <w:tabs>
          <w:tab w:leader="none" w:pos="118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11300"/>
          </w:cols>
          <w:pgMar w:left="300" w:top="276" w:right="299" w:bottom="1440" w:gutter="0" w:footer="0" w:header="0"/>
        </w:sectPr>
      </w:pPr>
    </w:p>
    <w:bookmarkStart w:id="166" w:name="page167"/>
    <w:bookmarkEnd w:id="166"/>
    <w:p>
      <w:pPr>
        <w:ind w:right="20"/>
        <w:spacing w:after="0" w:line="295" w:lineRule="auto"/>
        <w:rPr>
          <w:sz w:val="20"/>
          <w:szCs w:val="20"/>
          <w:color w:val="auto"/>
        </w:rPr>
      </w:pPr>
      <w:r>
        <w:rPr>
          <w:rFonts w:ascii="Times New Roman" w:cs="Times New Roman" w:eastAsia="Times New Roman" w:hAnsi="Times New Roman"/>
          <w:sz w:val="13"/>
          <w:szCs w:val="13"/>
          <w:color w:val="auto"/>
        </w:rPr>
        <w:t>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88" w:lineRule="exact"/>
        <w:rPr>
          <w:sz w:val="20"/>
          <w:szCs w:val="20"/>
          <w:color w:val="auto"/>
        </w:rPr>
      </w:pPr>
    </w:p>
    <w:p>
      <w:pPr>
        <w:jc w:val="both"/>
        <w:ind w:firstLine="856"/>
        <w:spacing w:after="0" w:line="266" w:lineRule="auto"/>
        <w:tabs>
          <w:tab w:leader="none" w:pos="114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cash dividends and other distributions made or declared with respect to Unvested Shares (“</w:t>
      </w:r>
      <w:r>
        <w:rPr>
          <w:rFonts w:ascii="Times New Roman" w:cs="Times New Roman" w:eastAsia="Times New Roman" w:hAnsi="Times New Roman"/>
          <w:sz w:val="13"/>
          <w:szCs w:val="13"/>
          <w:b w:val="1"/>
          <w:bCs w:val="1"/>
          <w:i w:val="1"/>
          <w:iCs w:val="1"/>
          <w:color w:val="auto"/>
        </w:rPr>
        <w:t>Retained Distributions</w:t>
      </w:r>
      <w:r>
        <w:rPr>
          <w:rFonts w:ascii="Times New Roman" w:cs="Times New Roman" w:eastAsia="Times New Roman" w:hAnsi="Times New Roman"/>
          <w:sz w:val="13"/>
          <w:szCs w:val="13"/>
          <w:color w:val="auto"/>
        </w:rPr>
        <w:t>”) will be held by the Company until the time (if ever) when the Unvested Shares to which such Retained Distributions relate become Vested Shares. The Company will establish a separate Retained Distribution bookkeeping account (“</w:t>
      </w:r>
      <w:r>
        <w:rPr>
          <w:rFonts w:ascii="Times New Roman" w:cs="Times New Roman" w:eastAsia="Times New Roman" w:hAnsi="Times New Roman"/>
          <w:sz w:val="13"/>
          <w:szCs w:val="13"/>
          <w:b w:val="1"/>
          <w:bCs w:val="1"/>
          <w:i w:val="1"/>
          <w:iCs w:val="1"/>
          <w:color w:val="auto"/>
        </w:rPr>
        <w:t>Retained Distribution Account</w:t>
      </w:r>
      <w:r>
        <w:rPr>
          <w:rFonts w:ascii="Times New Roman" w:cs="Times New Roman" w:eastAsia="Times New Roman" w:hAnsi="Times New Roman"/>
          <w:sz w:val="13"/>
          <w:szCs w:val="13"/>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11" w:lineRule="exact"/>
        <w:rPr>
          <w:rFonts w:ascii="Times New Roman" w:cs="Times New Roman" w:eastAsia="Times New Roman" w:hAnsi="Times New Roman"/>
          <w:sz w:val="13"/>
          <w:szCs w:val="13"/>
          <w:color w:val="auto"/>
        </w:rPr>
      </w:pPr>
    </w:p>
    <w:p>
      <w:pPr>
        <w:jc w:val="both"/>
        <w:ind w:firstLine="856"/>
        <w:spacing w:after="0" w:line="270" w:lineRule="auto"/>
        <w:tabs>
          <w:tab w:leader="none" w:pos="1156"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16"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Rights as Stockholder</w:t>
      </w:r>
      <w:r>
        <w:rPr>
          <w:rFonts w:ascii="Times New Roman" w:cs="Times New Roman" w:eastAsia="Times New Roman" w:hAnsi="Times New Roman"/>
          <w:sz w:val="13"/>
          <w:szCs w:val="13"/>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TAXATION AND TAX WITHHOLDING</w:t>
      </w:r>
    </w:p>
    <w:p>
      <w:pPr>
        <w:spacing w:after="0" w:line="138"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Representation</w:t>
      </w:r>
      <w:r>
        <w:rPr>
          <w:rFonts w:ascii="Times New Roman" w:cs="Times New Roman" w:eastAsia="Times New Roman" w:hAnsi="Times New Roman"/>
          <w:sz w:val="13"/>
          <w:szCs w:val="13"/>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01"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Section 83(b) Election</w:t>
      </w:r>
      <w:r>
        <w:rPr>
          <w:rFonts w:ascii="Times New Roman" w:cs="Times New Roman" w:eastAsia="Times New Roman" w:hAnsi="Times New Roman"/>
          <w:sz w:val="13"/>
          <w:szCs w:val="13"/>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09"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2"/>
          <w:szCs w:val="12"/>
          <w:u w:val="single" w:color="auto"/>
          <w:color w:val="auto"/>
        </w:rPr>
        <w:t>Tax Withholding</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right="20" w:firstLine="856"/>
        <w:spacing w:after="0" w:line="295" w:lineRule="auto"/>
        <w:tabs>
          <w:tab w:leader="none" w:pos="1156"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91" w:lineRule="exact"/>
        <w:rPr>
          <w:rFonts w:ascii="Times New Roman" w:cs="Times New Roman" w:eastAsia="Times New Roman" w:hAnsi="Times New Roman"/>
          <w:sz w:val="13"/>
          <w:szCs w:val="13"/>
          <w:color w:val="auto"/>
        </w:rPr>
      </w:pPr>
    </w:p>
    <w:p>
      <w:pPr>
        <w:ind w:firstLine="856"/>
        <w:spacing w:after="0" w:line="295" w:lineRule="auto"/>
        <w:tabs>
          <w:tab w:leader="none" w:pos="122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11300"/>
          </w:cols>
          <w:pgMar w:left="300" w:top="989" w:right="299" w:bottom="1440" w:gutter="0" w:footer="0" w:header="0"/>
        </w:sectPr>
      </w:pPr>
    </w:p>
    <w:bookmarkStart w:id="167" w:name="page168"/>
    <w:bookmarkEnd w:id="167"/>
    <w:p>
      <w:pPr>
        <w:spacing w:after="0" w:line="295" w:lineRule="auto"/>
        <w:rPr>
          <w:sz w:val="20"/>
          <w:szCs w:val="20"/>
          <w:color w:val="auto"/>
        </w:rPr>
      </w:pPr>
      <w:r>
        <w:rPr>
          <w:rFonts w:ascii="Times New Roman" w:cs="Times New Roman" w:eastAsia="Times New Roman" w:hAnsi="Times New Roman"/>
          <w:sz w:val="13"/>
          <w:szCs w:val="13"/>
          <w:color w:val="auto"/>
        </w:rPr>
        <w:t>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RESTRICTIVE LEGENDS AND TRANSFERABILITY</w:t>
      </w:r>
    </w:p>
    <w:p>
      <w:pPr>
        <w:spacing w:after="0" w:line="138"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Any certificate representing a Restricted Share will bear the following legend until the Restricted Share becomes a Vested Share:</w:t>
      </w:r>
    </w:p>
    <w:p>
      <w:pPr>
        <w:spacing w:after="0" w:line="157" w:lineRule="exact"/>
        <w:rPr>
          <w:sz w:val="20"/>
          <w:szCs w:val="20"/>
          <w:color w:val="auto"/>
        </w:rPr>
      </w:pPr>
    </w:p>
    <w:p>
      <w:pPr>
        <w:jc w:val="both"/>
        <w:ind w:left="860" w:right="860"/>
        <w:spacing w:after="0" w:line="270" w:lineRule="auto"/>
        <w:rPr>
          <w:sz w:val="20"/>
          <w:szCs w:val="20"/>
          <w:color w:val="auto"/>
        </w:rPr>
      </w:pPr>
      <w:r>
        <w:rPr>
          <w:rFonts w:ascii="Times New Roman" w:cs="Times New Roman" w:eastAsia="Times New Roman" w:hAnsi="Times New Roman"/>
          <w:sz w:val="13"/>
          <w:szCs w:val="13"/>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1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Transferability</w:t>
      </w:r>
      <w:r>
        <w:rPr>
          <w:rFonts w:ascii="Times New Roman" w:cs="Times New Roman" w:eastAsia="Times New Roman" w:hAnsi="Times New Roman"/>
          <w:sz w:val="13"/>
          <w:szCs w:val="13"/>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PROVISIONS</w:t>
      </w:r>
    </w:p>
    <w:p>
      <w:pPr>
        <w:spacing w:after="0" w:line="143"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5.1</w:t>
      </w:r>
      <w:r>
        <w:rPr>
          <w:sz w:val="20"/>
          <w:szCs w:val="20"/>
          <w:color w:val="auto"/>
        </w:rPr>
        <w:tab/>
      </w: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Participant acknowledges that the Restricted Shares are subject to adjustment, modification and termination in certain events as provided in this Agreement and the Plan.</w:t>
      </w:r>
    </w:p>
    <w:p>
      <w:pPr>
        <w:spacing w:after="0" w:line="15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14"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3"/>
          <w:szCs w:val="13"/>
          <w:color w:val="auto"/>
        </w:rPr>
        <w:t>5.3</w:t>
      </w:r>
      <w:r>
        <w:rPr>
          <w:sz w:val="20"/>
          <w:szCs w:val="20"/>
          <w:color w:val="auto"/>
        </w:rPr>
        <w:tab/>
      </w:r>
      <w:r>
        <w:rPr>
          <w:rFonts w:ascii="Times New Roman" w:cs="Times New Roman" w:eastAsia="Times New Roman" w:hAnsi="Times New Roman"/>
          <w:sz w:val="13"/>
          <w:szCs w:val="13"/>
          <w:u w:val="single" w:color="auto"/>
          <w:color w:val="auto"/>
        </w:rPr>
        <w:t>Titles</w:t>
      </w:r>
      <w:r>
        <w:rPr>
          <w:rFonts w:ascii="Times New Roman" w:cs="Times New Roman" w:eastAsia="Times New Roman" w:hAnsi="Times New Roman"/>
          <w:sz w:val="13"/>
          <w:szCs w:val="13"/>
          <w:color w:val="auto"/>
        </w:rPr>
        <w:t>. Titles are provided herein for convenience only and are not to serve as a basis for interpretation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11300"/>
          </w:cols>
          <w:pgMar w:left="300" w:top="989" w:right="299" w:bottom="1440" w:gutter="0" w:footer="0" w:header="0"/>
        </w:sectPr>
      </w:pPr>
    </w:p>
    <w:bookmarkStart w:id="168" w:name="page169"/>
    <w:bookmarkEnd w:id="168"/>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Conformity to Securities Laws</w:t>
      </w:r>
      <w:r>
        <w:rPr>
          <w:rFonts w:ascii="Times New Roman" w:cs="Times New Roman" w:eastAsia="Times New Roman" w:hAnsi="Times New Roman"/>
          <w:sz w:val="13"/>
          <w:szCs w:val="13"/>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9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Successors and Assigns</w:t>
      </w:r>
      <w:r>
        <w:rPr>
          <w:rFonts w:ascii="Times New Roman" w:cs="Times New Roman" w:eastAsia="Times New Roman" w:hAnsi="Times New Roman"/>
          <w:sz w:val="13"/>
          <w:szCs w:val="13"/>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16" w:lineRule="exact"/>
        <w:rPr>
          <w:sz w:val="20"/>
          <w:szCs w:val="20"/>
          <w:color w:val="auto"/>
        </w:rPr>
      </w:pPr>
    </w:p>
    <w:p>
      <w:pPr>
        <w:jc w:val="both"/>
        <w:ind w:right="20" w:firstLine="432"/>
        <w:spacing w:after="0" w:line="270"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Limitations Applicable to Section 16 Persons</w:t>
      </w:r>
      <w:r>
        <w:rPr>
          <w:rFonts w:ascii="Times New Roman" w:cs="Times New Roman" w:eastAsia="Times New Roman" w:hAnsi="Times New Roman"/>
          <w:sz w:val="13"/>
          <w:szCs w:val="13"/>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16"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0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Agreement Severable</w:t>
      </w:r>
      <w:r>
        <w:rPr>
          <w:rFonts w:ascii="Times New Roman" w:cs="Times New Roman" w:eastAsia="Times New Roman" w:hAnsi="Times New Roman"/>
          <w:sz w:val="13"/>
          <w:szCs w:val="13"/>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9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Limitation on Participant’s Rights</w:t>
      </w:r>
      <w:r>
        <w:rPr>
          <w:rFonts w:ascii="Times New Roman" w:cs="Times New Roman" w:eastAsia="Times New Roman" w:hAnsi="Times New Roman"/>
          <w:sz w:val="13"/>
          <w:szCs w:val="13"/>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1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Not a Contract of Employment</w:t>
      </w:r>
      <w:r>
        <w:rPr>
          <w:rFonts w:ascii="Times New Roman" w:cs="Times New Roman" w:eastAsia="Times New Roman" w:hAnsi="Times New Roman"/>
          <w:sz w:val="13"/>
          <w:szCs w:val="13"/>
          <w:color w:val="auto"/>
        </w:rPr>
        <w:t xml:space="preserve">. Nothing in the Plan, the Grant Notice or this Agreement confers upon Participant any right to continue in the employ or service of the Company or any Subsidiary or interferes with or restricts in any way the rights of the Company and its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16"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A-4</w:t>
      </w:r>
    </w:p>
    <w:p>
      <w:pPr>
        <w:sectPr>
          <w:pgSz w:w="11900" w:h="16838" w:orient="portrait"/>
          <w:cols w:equalWidth="0" w:num="1">
            <w:col w:w="11300"/>
          </w:cols>
          <w:pgMar w:left="300" w:top="989" w:right="2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2"/>
          <w:szCs w:val="1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CARTESIAN THERAPEUTICS, INC.</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NON-EMPLOYEE DIRECTOR COMPENSATION PROGRAM</w:t>
      </w:r>
    </w:p>
    <w:p>
      <w:pPr>
        <w:spacing w:after="0" w:line="125" w:lineRule="exact"/>
        <w:rPr>
          <w:sz w:val="20"/>
          <w:szCs w:val="20"/>
          <w:color w:val="auto"/>
        </w:rPr>
      </w:pPr>
    </w:p>
    <w:p>
      <w:pPr>
        <w:jc w:val="both"/>
        <w:ind w:left="8"/>
        <w:spacing w:after="0" w:line="223" w:lineRule="auto"/>
        <w:rPr>
          <w:sz w:val="20"/>
          <w:szCs w:val="20"/>
          <w:color w:val="auto"/>
        </w:rPr>
      </w:pPr>
      <w:r>
        <w:rPr>
          <w:rFonts w:ascii="Times New Roman" w:cs="Times New Roman" w:eastAsia="Times New Roman" w:hAnsi="Times New Roman"/>
          <w:sz w:val="14"/>
          <w:szCs w:val="14"/>
          <w:color w:val="auto"/>
        </w:rPr>
        <w:t>Non-employee members of the board of directors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of Cartesian Therapeutics,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shall receive cash and equity compensation as set forth in this Non-Employee Director Compensation Program (this “</w:t>
      </w:r>
      <w:r>
        <w:rPr>
          <w:rFonts w:ascii="Times New Roman" w:cs="Times New Roman" w:eastAsia="Times New Roman" w:hAnsi="Times New Roman"/>
          <w:sz w:val="14"/>
          <w:szCs w:val="14"/>
          <w:b w:val="1"/>
          <w:bCs w:val="1"/>
          <w:i w:val="1"/>
          <w:iCs w:val="1"/>
          <w:color w:val="auto"/>
        </w:rPr>
        <w:t>Program</w:t>
      </w:r>
      <w:r>
        <w:rPr>
          <w:rFonts w:ascii="Times New Roman" w:cs="Times New Roman" w:eastAsia="Times New Roman" w:hAnsi="Times New Roman"/>
          <w:sz w:val="14"/>
          <w:szCs w:val="14"/>
          <w:color w:val="auto"/>
        </w:rPr>
        <w:t>”), as amended by the Board effective December 12,2024 (the “</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14"/>
          <w:szCs w:val="14"/>
          <w:b w:val="1"/>
          <w:bCs w:val="1"/>
          <w:i w:val="1"/>
          <w:iCs w:val="1"/>
          <w:color w:val="auto"/>
        </w:rPr>
        <w:t>Non-Employee Director</w:t>
      </w:r>
      <w:r>
        <w:rPr>
          <w:rFonts w:ascii="Times New Roman" w:cs="Times New Roman" w:eastAsia="Times New Roman" w:hAnsi="Times New Roman"/>
          <w:sz w:val="14"/>
          <w:szCs w:val="14"/>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or restricted stock units (“</w:t>
      </w:r>
      <w:r>
        <w:rPr>
          <w:rFonts w:ascii="Times New Roman" w:cs="Times New Roman" w:eastAsia="Times New Roman" w:hAnsi="Times New Roman"/>
          <w:sz w:val="14"/>
          <w:szCs w:val="14"/>
          <w:b w:val="1"/>
          <w:bCs w:val="1"/>
          <w:i w:val="1"/>
          <w:iCs w:val="1"/>
          <w:color w:val="auto"/>
        </w:rPr>
        <w:t>RSUs</w:t>
      </w:r>
      <w:r>
        <w:rPr>
          <w:rFonts w:ascii="Times New Roman" w:cs="Times New Roman" w:eastAsia="Times New Roman" w:hAnsi="Times New Roman"/>
          <w:sz w:val="14"/>
          <w:szCs w:val="14"/>
          <w:color w:val="auto"/>
        </w:rPr>
        <w:t>”) granted pursuant to the Program. This Program shall become effective on the Effective Date.</w:t>
      </w:r>
    </w:p>
    <w:p>
      <w:pPr>
        <w:spacing w:after="0" w:line="101" w:lineRule="exact"/>
        <w:rPr>
          <w:sz w:val="20"/>
          <w:szCs w:val="20"/>
          <w:color w:val="auto"/>
        </w:rPr>
      </w:pPr>
    </w:p>
    <w:p>
      <w:pPr>
        <w:ind w:left="428" w:hanging="428"/>
        <w:spacing w:after="0"/>
        <w:tabs>
          <w:tab w:leader="none" w:pos="428"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CASH COMPENSATION</w:t>
      </w:r>
    </w:p>
    <w:p>
      <w:pPr>
        <w:spacing w:after="0" w:line="129" w:lineRule="exact"/>
        <w:rPr>
          <w:rFonts w:ascii="Times New Roman" w:cs="Times New Roman" w:eastAsia="Times New Roman" w:hAnsi="Times New Roman"/>
          <w:sz w:val="14"/>
          <w:szCs w:val="14"/>
          <w:b w:val="1"/>
          <w:bCs w:val="1"/>
          <w:color w:val="auto"/>
        </w:rPr>
      </w:pPr>
    </w:p>
    <w:p>
      <w:pPr>
        <w:ind w:left="868" w:hanging="436"/>
        <w:spacing w:after="0"/>
        <w:tabs>
          <w:tab w:leader="none" w:pos="868"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u w:val="single" w:color="auto"/>
          <w:color w:val="auto"/>
        </w:rPr>
        <w:t>Annual Retainers</w:t>
      </w:r>
      <w:r>
        <w:rPr>
          <w:rFonts w:ascii="Times New Roman" w:cs="Times New Roman" w:eastAsia="Times New Roman" w:hAnsi="Times New Roman"/>
          <w:sz w:val="14"/>
          <w:szCs w:val="14"/>
          <w:color w:val="auto"/>
        </w:rPr>
        <w:t>. Each Non-Employee Director shall receive an annual retainer of $40,000 for service on the Board.</w:t>
      </w:r>
    </w:p>
    <w:p>
      <w:pPr>
        <w:spacing w:after="0" w:line="127"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u w:val="single" w:color="auto"/>
          <w:color w:val="auto"/>
        </w:rPr>
        <w:t>Additional Annual Retainers</w:t>
      </w:r>
      <w:r>
        <w:rPr>
          <w:rFonts w:ascii="Times New Roman" w:cs="Times New Roman" w:eastAsia="Times New Roman" w:hAnsi="Times New Roman"/>
          <w:sz w:val="14"/>
          <w:szCs w:val="14"/>
          <w:color w:val="auto"/>
        </w:rPr>
        <w:t>. In addition, each Non-Employee Director shall receive the following annual retainers:</w:t>
      </w:r>
    </w:p>
    <w:p>
      <w:pPr>
        <w:spacing w:after="0" w:line="125" w:lineRule="exact"/>
        <w:rPr>
          <w:rFonts w:ascii="Times New Roman" w:cs="Times New Roman" w:eastAsia="Times New Roman" w:hAnsi="Times New Roman"/>
          <w:sz w:val="12"/>
          <w:szCs w:val="12"/>
          <w:color w:val="auto"/>
        </w:rPr>
      </w:pPr>
    </w:p>
    <w:p>
      <w:pPr>
        <w:ind w:left="1288" w:hanging="424"/>
        <w:spacing w:after="0" w:line="258" w:lineRule="auto"/>
        <w:tabs>
          <w:tab w:leader="none" w:pos="1288" w:val="left"/>
        </w:tabs>
        <w:numPr>
          <w:ilvl w:val="2"/>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Chairperson of the Board or Lead Independent Director</w:t>
      </w:r>
      <w:r>
        <w:rPr>
          <w:rFonts w:ascii="Times New Roman" w:cs="Times New Roman" w:eastAsia="Times New Roman" w:hAnsi="Times New Roman"/>
          <w:sz w:val="14"/>
          <w:szCs w:val="14"/>
          <w:color w:val="auto"/>
        </w:rPr>
        <w:t>. A Non-Employee Director serving as Chairperson of the Board shall receive an additional annual retainer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$35,000 for such service, and a Non-Employee Director serving as Lead Independent Director shall receive an additional annual retainer of $25,000 for such service.</w:t>
      </w:r>
    </w:p>
    <w:p>
      <w:pPr>
        <w:spacing w:after="0" w:line="85" w:lineRule="exact"/>
        <w:rPr>
          <w:rFonts w:ascii="Times New Roman" w:cs="Times New Roman" w:eastAsia="Times New Roman" w:hAnsi="Times New Roman"/>
          <w:sz w:val="12"/>
          <w:szCs w:val="12"/>
          <w:color w:val="auto"/>
        </w:rPr>
      </w:pPr>
    </w:p>
    <w:p>
      <w:pPr>
        <w:ind w:left="1288" w:hanging="424"/>
        <w:spacing w:after="0" w:line="258" w:lineRule="auto"/>
        <w:tabs>
          <w:tab w:leader="none" w:pos="1288" w:val="left"/>
        </w:tabs>
        <w:numPr>
          <w:ilvl w:val="2"/>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Audit Committee</w:t>
      </w:r>
      <w:r>
        <w:rPr>
          <w:rFonts w:ascii="Times New Roman" w:cs="Times New Roman" w:eastAsia="Times New Roman" w:hAnsi="Times New Roman"/>
          <w:sz w:val="14"/>
          <w:szCs w:val="14"/>
          <w:color w:val="auto"/>
        </w:rPr>
        <w:t>. A Non-Employee Director serving as Chairperson of the Audit Committee shall receive an additional annual retainer of $20,000 for such service. A Non-Employee Director serving as a member other than the Chairperson of the Audit Committee shall receive an additional annual retainer of $10,000 for such service.</w:t>
      </w:r>
    </w:p>
    <w:p>
      <w:pPr>
        <w:spacing w:after="0" w:line="85" w:lineRule="exact"/>
        <w:rPr>
          <w:rFonts w:ascii="Times New Roman" w:cs="Times New Roman" w:eastAsia="Times New Roman" w:hAnsi="Times New Roman"/>
          <w:sz w:val="12"/>
          <w:szCs w:val="12"/>
          <w:color w:val="auto"/>
        </w:rPr>
      </w:pPr>
    </w:p>
    <w:p>
      <w:pPr>
        <w:jc w:val="both"/>
        <w:ind w:left="1288" w:hanging="424"/>
        <w:spacing w:after="0" w:line="237" w:lineRule="auto"/>
        <w:tabs>
          <w:tab w:leader="none" w:pos="1288" w:val="left"/>
        </w:tabs>
        <w:numPr>
          <w:ilvl w:val="2"/>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Compensation Committee</w:t>
      </w:r>
      <w:r>
        <w:rPr>
          <w:rFonts w:ascii="Times New Roman" w:cs="Times New Roman" w:eastAsia="Times New Roman" w:hAnsi="Times New Roman"/>
          <w:sz w:val="14"/>
          <w:szCs w:val="14"/>
          <w:color w:val="auto"/>
        </w:rPr>
        <w:t>. A Non-Employee Director serving as Chairperson of the Compensation Committee shall receive an additional annual retainer of $15,000 for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A Non-Employee Director serving as a member other than the Chairperson of the Compensation Committee shall receive an additional annual retainer of $7,500 for such service.</w:t>
      </w:r>
    </w:p>
    <w:p>
      <w:pPr>
        <w:spacing w:after="0" w:line="99" w:lineRule="exact"/>
        <w:rPr>
          <w:rFonts w:ascii="Times New Roman" w:cs="Times New Roman" w:eastAsia="Times New Roman" w:hAnsi="Times New Roman"/>
          <w:sz w:val="12"/>
          <w:szCs w:val="12"/>
          <w:color w:val="auto"/>
        </w:rPr>
      </w:pPr>
    </w:p>
    <w:p>
      <w:pPr>
        <w:jc w:val="both"/>
        <w:ind w:left="1288" w:hanging="424"/>
        <w:spacing w:after="0"/>
        <w:tabs>
          <w:tab w:leader="none" w:pos="1288" w:val="left"/>
        </w:tabs>
        <w:numPr>
          <w:ilvl w:val="2"/>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Nominating and Corporate Governance Committee</w:t>
      </w:r>
      <w:r>
        <w:rPr>
          <w:rFonts w:ascii="Times New Roman" w:cs="Times New Roman" w:eastAsia="Times New Roman" w:hAnsi="Times New Roman"/>
          <w:sz w:val="14"/>
          <w:szCs w:val="14"/>
          <w:color w:val="auto"/>
        </w:rPr>
        <w:t>. A Non-Employee Director serving as Chairperson of the Nominating and Corporate Governance Committee shall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receive an additional annual retainer of $10,000 for such service. A Non-Employee Director serving as a member other than the Chairperson of the Nominating and Corporate Governance</w:t>
      </w:r>
    </w:p>
    <w:p>
      <w:pPr>
        <w:sectPr>
          <w:pgSz w:w="11900" w:h="16838" w:orient="portrait"/>
          <w:cols w:equalWidth="0" w:num="1">
            <w:col w:w="11308"/>
          </w:cols>
          <w:pgMar w:left="292" w:top="118" w:right="299" w:bottom="1440" w:gutter="0" w:footer="0" w:header="0"/>
        </w:sectPr>
      </w:pPr>
    </w:p>
    <w:bookmarkStart w:id="170" w:name="page171"/>
    <w:bookmarkEnd w:id="170"/>
    <w:p>
      <w:pPr>
        <w:ind w:left="1288"/>
        <w:spacing w:after="0"/>
        <w:rPr>
          <w:sz w:val="20"/>
          <w:szCs w:val="20"/>
          <w:color w:val="auto"/>
        </w:rPr>
      </w:pPr>
      <w:r>
        <w:rPr>
          <w:rFonts w:ascii="Times New Roman" w:cs="Times New Roman" w:eastAsia="Times New Roman" w:hAnsi="Times New Roman"/>
          <w:sz w:val="14"/>
          <w:szCs w:val="14"/>
          <w:color w:val="auto"/>
        </w:rPr>
        <w:t>Committee shall receive an additional annual retainer of $5,000 for such service.</w:t>
      </w:r>
    </w:p>
    <w:p>
      <w:pPr>
        <w:spacing w:after="0" w:line="125" w:lineRule="exact"/>
        <w:rPr>
          <w:sz w:val="20"/>
          <w:szCs w:val="20"/>
          <w:color w:val="auto"/>
        </w:rPr>
      </w:pPr>
    </w:p>
    <w:p>
      <w:pPr>
        <w:jc w:val="both"/>
        <w:ind w:left="1288" w:hanging="424"/>
        <w:spacing w:after="0" w:line="237" w:lineRule="auto"/>
        <w:tabs>
          <w:tab w:leader="none" w:pos="1288" w:val="left"/>
        </w:tabs>
        <w:numPr>
          <w:ilvl w:val="2"/>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Science and Technology Committee</w:t>
      </w:r>
      <w:r>
        <w:rPr>
          <w:rFonts w:ascii="Times New Roman" w:cs="Times New Roman" w:eastAsia="Times New Roman" w:hAnsi="Times New Roman"/>
          <w:sz w:val="14"/>
          <w:szCs w:val="14"/>
          <w:color w:val="auto"/>
        </w:rPr>
        <w:t>. A Non-Employee Director serving as Chairperson of the Science and Technology Committee shall receive an additional annual retainer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$15,000 for such service. A Non-Employee Director serving as a member other than the Chairperson of the Science and Technology Committee shall receive an additional annual retainer of $7,500 for such service.</w:t>
      </w:r>
    </w:p>
    <w:p>
      <w:pPr>
        <w:spacing w:after="0" w:line="101" w:lineRule="exact"/>
        <w:rPr>
          <w:rFonts w:ascii="Times New Roman" w:cs="Times New Roman" w:eastAsia="Times New Roman" w:hAnsi="Times New Roman"/>
          <w:sz w:val="12"/>
          <w:szCs w:val="12"/>
          <w:color w:val="auto"/>
        </w:rPr>
      </w:pPr>
    </w:p>
    <w:p>
      <w:pPr>
        <w:jc w:val="both"/>
        <w:ind w:left="868" w:hanging="436"/>
        <w:spacing w:after="0" w:line="231" w:lineRule="auto"/>
        <w:tabs>
          <w:tab w:leader="none" w:pos="861"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u w:val="single" w:color="auto"/>
          <w:color w:val="auto"/>
        </w:rPr>
        <w:t>Payment of Retainers</w:t>
      </w:r>
      <w:r>
        <w:rPr>
          <w:rFonts w:ascii="Times New Roman" w:cs="Times New Roman" w:eastAsia="Times New Roman" w:hAnsi="Times New Roman"/>
          <w:sz w:val="14"/>
          <w:szCs w:val="14"/>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9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COMPENSATION</w:t>
      </w:r>
    </w:p>
    <w:p>
      <w:pPr>
        <w:spacing w:after="0" w:line="129" w:lineRule="exact"/>
        <w:rPr>
          <w:sz w:val="20"/>
          <w:szCs w:val="20"/>
          <w:color w:val="auto"/>
        </w:rPr>
      </w:pPr>
    </w:p>
    <w:p>
      <w:pPr>
        <w:jc w:val="both"/>
        <w:ind w:left="8"/>
        <w:spacing w:after="0" w:line="225" w:lineRule="auto"/>
        <w:rPr>
          <w:sz w:val="20"/>
          <w:szCs w:val="20"/>
          <w:color w:val="auto"/>
        </w:rPr>
      </w:pPr>
      <w:r>
        <w:rPr>
          <w:rFonts w:ascii="Times New Roman" w:cs="Times New Roman" w:eastAsia="Times New Roman" w:hAnsi="Times New Roman"/>
          <w:sz w:val="14"/>
          <w:szCs w:val="14"/>
          <w:color w:val="auto"/>
        </w:rPr>
        <w:t>Non-Employee Directors shall be granted the equity awards described below. The awards described below shall be granted under and shall be subject to the terms and provisions of the Company’s Amended and Restated 2016 Incentive Award Plan or any other applicable Company equity incentive plan then-maintained by the Company (the “</w:t>
      </w:r>
      <w:r>
        <w:rPr>
          <w:rFonts w:ascii="Times New Roman" w:cs="Times New Roman" w:eastAsia="Times New Roman" w:hAnsi="Times New Roman"/>
          <w:sz w:val="14"/>
          <w:szCs w:val="14"/>
          <w:b w:val="1"/>
          <w:bCs w:val="1"/>
          <w:color w:val="auto"/>
        </w:rPr>
        <w:t>Equity Plan</w:t>
      </w:r>
      <w:r>
        <w:rPr>
          <w:rFonts w:ascii="Times New Roman" w:cs="Times New Roman" w:eastAsia="Times New Roman" w:hAnsi="Times New Roman"/>
          <w:sz w:val="14"/>
          <w:szCs w:val="14"/>
          <w:color w:val="auto"/>
        </w:rPr>
        <w:t>”) and shall be granted subject to award agreements, including attached exhibits, in substantially the form previously approved by the Board or its delegate. All applicable terms of the Equity Plan apply to this Program as if fully set forth herein, and all grants of stock options and RSUs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02" w:lineRule="exact"/>
        <w:rPr>
          <w:sz w:val="20"/>
          <w:szCs w:val="20"/>
          <w:color w:val="auto"/>
        </w:rPr>
      </w:pPr>
    </w:p>
    <w:p>
      <w:pPr>
        <w:jc w:val="both"/>
        <w:ind w:left="868" w:right="20" w:hanging="436"/>
        <w:spacing w:after="0" w:line="231" w:lineRule="auto"/>
        <w:tabs>
          <w:tab w:leader="none" w:pos="86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u w:val="single" w:color="auto"/>
          <w:color w:val="auto"/>
        </w:rPr>
        <w:t>Initial Awards</w:t>
      </w:r>
      <w:r>
        <w:rPr>
          <w:rFonts w:ascii="Times New Roman" w:cs="Times New Roman" w:eastAsia="Times New Roman" w:hAnsi="Times New Roman"/>
          <w:sz w:val="14"/>
          <w:szCs w:val="14"/>
          <w:color w:val="auto"/>
        </w:rPr>
        <w:t>. Each Non-Employee Director who is initially elected or appointed to the Board after the Effective Date shall receive an option to purchase 17,200 shares of the Company’s common stock and 5,800 RSUs on the date of such initial election or appointment, except that a Non-Employee Director serving as Lead Independent Director shall receive an option to purchase 17,866 shares of the Company’s common stock and 5,800 RSUs. The awards described in this Section II(A) shall be referred to as “</w:t>
      </w:r>
      <w:r>
        <w:rPr>
          <w:rFonts w:ascii="Times New Roman" w:cs="Times New Roman" w:eastAsia="Times New Roman" w:hAnsi="Times New Roman"/>
          <w:sz w:val="14"/>
          <w:szCs w:val="14"/>
          <w:b w:val="1"/>
          <w:bCs w:val="1"/>
          <w:color w:val="auto"/>
        </w:rPr>
        <w:t>Initial Awards</w:t>
      </w:r>
      <w:r>
        <w:rPr>
          <w:rFonts w:ascii="Times New Roman" w:cs="Times New Roman" w:eastAsia="Times New Roman" w:hAnsi="Times New Roman"/>
          <w:sz w:val="14"/>
          <w:szCs w:val="14"/>
          <w:color w:val="auto"/>
        </w:rPr>
        <w:t>.” No Non-Employee Director shall be granted more than one Initial Award (consisting of both options and RSUs).</w:t>
      </w:r>
    </w:p>
    <w:p>
      <w:pPr>
        <w:spacing w:after="0" w:line="100" w:lineRule="exact"/>
        <w:rPr>
          <w:rFonts w:ascii="Times New Roman" w:cs="Times New Roman" w:eastAsia="Times New Roman" w:hAnsi="Times New Roman"/>
          <w:sz w:val="12"/>
          <w:szCs w:val="12"/>
          <w:color w:val="auto"/>
        </w:rPr>
      </w:pPr>
    </w:p>
    <w:p>
      <w:pPr>
        <w:jc w:val="both"/>
        <w:ind w:left="868" w:hanging="436"/>
        <w:spacing w:after="0" w:line="227" w:lineRule="auto"/>
        <w:tabs>
          <w:tab w:leader="none" w:pos="861"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u w:val="single" w:color="auto"/>
          <w:color w:val="auto"/>
        </w:rPr>
        <w:t>Subsequent Awards</w:t>
      </w:r>
      <w:r>
        <w:rPr>
          <w:rFonts w:ascii="Times New Roman" w:cs="Times New Roman" w:eastAsia="Times New Roman" w:hAnsi="Times New Roman"/>
          <w:sz w:val="14"/>
          <w:szCs w:val="14"/>
          <w:color w:val="auto"/>
        </w:rPr>
        <w:t>. A Non-Employee Director who (i) has been serving as a Non-Employee Director on the Board for at least six months as of the date of grant of any award made under this Program and (ii) will continue to serve as a Non- Employee Director immediately following such date, shall be automatically granted an option to purchase 7,800 shares of the Company’s common stock and 2,600 RSUs on the first business day of each new calendar year starting with January 2, 2025, provided, however that if such Non-Employee Director will serve as Chairperson of the Board as of immediately following the date of such date of grant, such Non-Employee Director shall receive an option to purchase 8,000 shares of the Company’s common stock and 2,600 RSUs on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8"/>
          </w:cols>
          <w:pgMar w:left="292" w:top="976" w:right="299" w:bottom="1440" w:gutter="0" w:footer="0" w:header="0"/>
        </w:sectPr>
      </w:pPr>
    </w:p>
    <w:bookmarkStart w:id="171" w:name="page172"/>
    <w:bookmarkEnd w:id="171"/>
    <w:p>
      <w:pPr>
        <w:jc w:val="both"/>
        <w:ind w:left="860"/>
        <w:spacing w:after="0" w:line="238" w:lineRule="auto"/>
        <w:rPr>
          <w:sz w:val="20"/>
          <w:szCs w:val="20"/>
          <w:color w:val="auto"/>
        </w:rPr>
      </w:pPr>
      <w:r>
        <w:rPr>
          <w:rFonts w:ascii="Times New Roman" w:cs="Times New Roman" w:eastAsia="Times New Roman" w:hAnsi="Times New Roman"/>
          <w:sz w:val="14"/>
          <w:szCs w:val="14"/>
          <w:color w:val="auto"/>
        </w:rPr>
        <w:t>business day of each new calendar year. The awards described in this Section II(B) shall be referred to as “</w:t>
      </w:r>
      <w:r>
        <w:rPr>
          <w:rFonts w:ascii="Times New Roman" w:cs="Times New Roman" w:eastAsia="Times New Roman" w:hAnsi="Times New Roman"/>
          <w:sz w:val="14"/>
          <w:szCs w:val="14"/>
          <w:b w:val="1"/>
          <w:bCs w:val="1"/>
          <w:i w:val="1"/>
          <w:iCs w:val="1"/>
          <w:color w:val="auto"/>
        </w:rPr>
        <w:t>Subsequent Awards</w:t>
      </w:r>
      <w:r>
        <w:rPr>
          <w:rFonts w:ascii="Times New Roman" w:cs="Times New Roman" w:eastAsia="Times New Roman" w:hAnsi="Times New Roman"/>
          <w:sz w:val="14"/>
          <w:szCs w:val="14"/>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01" w:lineRule="exact"/>
        <w:rPr>
          <w:sz w:val="20"/>
          <w:szCs w:val="20"/>
          <w:color w:val="auto"/>
        </w:rPr>
      </w:pPr>
    </w:p>
    <w:p>
      <w:pPr>
        <w:jc w:val="both"/>
        <w:ind w:left="860" w:hanging="436"/>
        <w:spacing w:after="0" w:line="231" w:lineRule="auto"/>
        <w:tabs>
          <w:tab w:leader="none" w:pos="853"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u w:val="single" w:color="auto"/>
          <w:color w:val="auto"/>
        </w:rPr>
        <w:t>Termination of Employment of Employee Directors</w:t>
      </w:r>
      <w:r>
        <w:rPr>
          <w:rFonts w:ascii="Times New Roman" w:cs="Times New Roman" w:eastAsia="Times New Roman" w:hAnsi="Times New Roman"/>
          <w:sz w:val="14"/>
          <w:szCs w:val="14"/>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0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u w:val="single" w:color="auto"/>
          <w:color w:val="auto"/>
        </w:rPr>
        <w:t>Terms of Awards Granted to Non-Employee Directors</w:t>
      </w:r>
    </w:p>
    <w:p>
      <w:pPr>
        <w:spacing w:after="0" w:line="125" w:lineRule="exact"/>
        <w:rPr>
          <w:rFonts w:ascii="Times New Roman" w:cs="Times New Roman" w:eastAsia="Times New Roman" w:hAnsi="Times New Roman"/>
          <w:sz w:val="12"/>
          <w:szCs w:val="12"/>
          <w:color w:val="auto"/>
        </w:rPr>
      </w:pPr>
    </w:p>
    <w:p>
      <w:pPr>
        <w:ind w:left="1280" w:hanging="424"/>
        <w:spacing w:after="0" w:line="258" w:lineRule="auto"/>
        <w:tabs>
          <w:tab w:leader="none" w:pos="1280" w:val="left"/>
        </w:tabs>
        <w:numPr>
          <w:ilvl w:val="2"/>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Exercise Price</w:t>
      </w:r>
      <w:r>
        <w:rPr>
          <w:rFonts w:ascii="Times New Roman" w:cs="Times New Roman" w:eastAsia="Times New Roman" w:hAnsi="Times New Roman"/>
          <w:sz w:val="14"/>
          <w:szCs w:val="14"/>
          <w:color w:val="auto"/>
        </w:rPr>
        <w:t>. The per share exercise price of each option granted to a Non-Employee Director shall equal the Fair Market Value (as defined in the Equity Plan) of a share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common stock on the date the option is granted.</w:t>
      </w:r>
    </w:p>
    <w:p>
      <w:pPr>
        <w:spacing w:after="0" w:line="85" w:lineRule="exact"/>
        <w:rPr>
          <w:rFonts w:ascii="Times New Roman" w:cs="Times New Roman" w:eastAsia="Times New Roman" w:hAnsi="Times New Roman"/>
          <w:sz w:val="12"/>
          <w:szCs w:val="12"/>
          <w:color w:val="auto"/>
        </w:rPr>
      </w:pPr>
    </w:p>
    <w:p>
      <w:pPr>
        <w:jc w:val="both"/>
        <w:ind w:left="1280" w:hanging="424"/>
        <w:spacing w:after="0"/>
        <w:tabs>
          <w:tab w:leader="none" w:pos="1280" w:val="left"/>
        </w:tabs>
        <w:numPr>
          <w:ilvl w:val="2"/>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Vesting</w:t>
      </w:r>
      <w:r>
        <w:rPr>
          <w:rFonts w:ascii="Times New Roman" w:cs="Times New Roman" w:eastAsia="Times New Roman" w:hAnsi="Times New Roman"/>
          <w:sz w:val="14"/>
          <w:szCs w:val="14"/>
          <w:color w:val="auto"/>
        </w:rPr>
        <w:t>. Each Initial Award that is an option shall vest and become exercisable in thirty-six (36) substantially equal monthly installments following the date of grant,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the Initial Award shall be fully vested on the third anniversary of the date of grant, subject to the Non-Employee Director continuing in service as a Non-Employee Director through each such vesting date. Each Initial Award that is an RSU shall vest and become exercisable in three (3) substantially equal annual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first anniversary of the date of grant,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35"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2"/>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Term</w:t>
      </w:r>
      <w:r>
        <w:rPr>
          <w:rFonts w:ascii="Times New Roman" w:cs="Times New Roman" w:eastAsia="Times New Roman" w:hAnsi="Times New Roman"/>
          <w:sz w:val="14"/>
          <w:szCs w:val="14"/>
          <w:color w:val="auto"/>
        </w:rPr>
        <w:t>. The maximum term of each stock option granted to a Non-Employee Director hereunder shall be ten (10) years from the date the option is granted.</w:t>
      </w:r>
    </w:p>
    <w:p>
      <w:pPr>
        <w:spacing w:after="0" w:line="127"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III.   COMPENSATION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972" w:right="299" w:bottom="1440" w:gutter="0" w:footer="0" w:header="0"/>
        </w:sectPr>
      </w:pPr>
    </w:p>
    <w:bookmarkStart w:id="172" w:name="page173"/>
    <w:bookmarkEnd w:id="172"/>
    <w:p>
      <w:pPr>
        <w:spacing w:after="0" w:line="255" w:lineRule="auto"/>
        <w:rPr>
          <w:sz w:val="20"/>
          <w:szCs w:val="20"/>
          <w:color w:val="auto"/>
        </w:rPr>
      </w:pPr>
      <w:r>
        <w:rPr>
          <w:rFonts w:ascii="Times New Roman" w:cs="Times New Roman" w:eastAsia="Times New Roman" w:hAnsi="Times New Roman"/>
          <w:sz w:val="14"/>
          <w:szCs w:val="14"/>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976" w:right="299" w:bottom="1440" w:gutter="0" w:footer="0" w:header="0"/>
        </w:sectPr>
      </w:pPr>
    </w:p>
    <w:bookmarkStart w:id="173" w:name="page174"/>
    <w:bookmarkEnd w:id="173"/>
    <w:p>
      <w:pPr>
        <w:ind w:left="10568"/>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CARTESIAN THERAPEUTICS, INC.</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200" w:lineRule="exact"/>
        <w:rPr>
          <w:sz w:val="20"/>
          <w:szCs w:val="20"/>
          <w:color w:val="auto"/>
        </w:rPr>
      </w:pPr>
    </w:p>
    <w:p>
      <w:pPr>
        <w:spacing w:after="0" w:line="260" w:lineRule="exact"/>
        <w:rPr>
          <w:sz w:val="20"/>
          <w:szCs w:val="20"/>
          <w:color w:val="auto"/>
        </w:rPr>
      </w:pPr>
    </w:p>
    <w:p>
      <w:pPr>
        <w:ind w:left="268" w:hanging="268"/>
        <w:spacing w:after="0"/>
        <w:tabs>
          <w:tab w:leader="none" w:pos="268"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PURPOSE</w:t>
      </w:r>
    </w:p>
    <w:p>
      <w:pPr>
        <w:spacing w:after="0" w:line="165"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4"/>
          <w:szCs w:val="14"/>
          <w:color w:val="auto"/>
        </w:rPr>
        <w:t>Cartesian Therapeutics, Inc. (“Cartesian” or the “Company”) has adopted the following policies and procedures with respect to trading in Cartesian securities by members of Company’s board of directors, officers and employees. These policies and procedures are designed to help you comply with insider trading laws, handle confidential information properly and avoid potentially embarrassing public disclosures and the appearance of impropriety. You are receiving this policy because you are a Cartesian officer, director or employee, or an external contractor or consultant who has or may have access to material nonpublic information, and are subject to this policy.</w:t>
      </w:r>
    </w:p>
    <w:p>
      <w:pPr>
        <w:spacing w:after="0" w:line="109" w:lineRule="exact"/>
        <w:rPr>
          <w:sz w:val="20"/>
          <w:szCs w:val="20"/>
          <w:color w:val="auto"/>
        </w:rPr>
      </w:pPr>
    </w:p>
    <w:p>
      <w:pPr>
        <w:jc w:val="both"/>
        <w:ind w:left="8" w:firstLine="432"/>
        <w:spacing w:after="0" w:line="282" w:lineRule="auto"/>
        <w:rPr>
          <w:sz w:val="20"/>
          <w:szCs w:val="20"/>
          <w:color w:val="auto"/>
        </w:rPr>
      </w:pPr>
      <w:r>
        <w:rPr>
          <w:rFonts w:ascii="Times New Roman" w:cs="Times New Roman" w:eastAsia="Times New Roman" w:hAnsi="Times New Roman"/>
          <w:sz w:val="14"/>
          <w:szCs w:val="14"/>
          <w:color w:val="auto"/>
        </w:rPr>
        <w:t>All directors, officers and employees, and external contractors and consultants who have access to material nonpublic information, are responsible for reading these policies and procedures and complying with them. Further, even after you are no longer employed by or affiliated with Cartesian, you must maintain the confidentiality of any confidential or proprietary information obtained during your employment or affiliation with Cartesian.</w:t>
      </w:r>
    </w:p>
    <w:p>
      <w:pPr>
        <w:spacing w:after="0" w:line="99"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4"/>
          <w:szCs w:val="14"/>
          <w:color w:val="auto"/>
        </w:rPr>
        <w:t>Penalties for violating these policies and procedures may involve any appropriate remedy, including termination of employment. In addition, the Securities and Exchange Commission (the “SEC”) and criminal prosecutors vigorously enforce insider trading laws. Violation of insider trading laws could result in civil and criminal penalties under applicable federal securities laws.</w:t>
      </w:r>
    </w:p>
    <w:p>
      <w:pPr>
        <w:spacing w:after="0" w:line="90" w:lineRule="exact"/>
        <w:rPr>
          <w:sz w:val="20"/>
          <w:szCs w:val="20"/>
          <w:color w:val="auto"/>
        </w:rPr>
      </w:pPr>
    </w:p>
    <w:p>
      <w:pPr>
        <w:jc w:val="both"/>
        <w:ind w:left="8" w:firstLine="432"/>
        <w:spacing w:after="0" w:line="282" w:lineRule="auto"/>
        <w:rPr>
          <w:sz w:val="20"/>
          <w:szCs w:val="20"/>
          <w:color w:val="auto"/>
        </w:rPr>
      </w:pPr>
      <w:r>
        <w:rPr>
          <w:rFonts w:ascii="Times New Roman" w:cs="Times New Roman" w:eastAsia="Times New Roman" w:hAnsi="Times New Roman"/>
          <w:sz w:val="14"/>
          <w:szCs w:val="14"/>
          <w:color w:val="auto"/>
        </w:rPr>
        <w:t>If you have any questions about the application of these policies and procedures, or if you would like to make a request for an exception, please contact the General Counsel. Although the Chief Executive Officer, Chief Financial Officer and General Counsel generally are responsible for the implementation of these policies and procedures, the Company’s board of directors may designate employees to carry out any of the duties described below.</w:t>
      </w:r>
    </w:p>
    <w:p>
      <w:pPr>
        <w:spacing w:after="0" w:line="97" w:lineRule="exact"/>
        <w:rPr>
          <w:sz w:val="20"/>
          <w:szCs w:val="20"/>
          <w:color w:val="auto"/>
        </w:rPr>
      </w:pPr>
    </w:p>
    <w:p>
      <w:pPr>
        <w:ind w:left="328" w:hanging="328"/>
        <w:spacing w:after="0"/>
        <w:tabs>
          <w:tab w:leader="none" w:pos="328"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PERSONS COVERED</w:t>
      </w:r>
    </w:p>
    <w:p>
      <w:pPr>
        <w:spacing w:after="0" w:line="156" w:lineRule="exact"/>
        <w:rPr>
          <w:sz w:val="20"/>
          <w:szCs w:val="20"/>
          <w:color w:val="auto"/>
        </w:rPr>
      </w:pPr>
    </w:p>
    <w:p>
      <w:pPr>
        <w:jc w:val="both"/>
        <w:ind w:left="8" w:firstLine="195"/>
        <w:spacing w:after="0" w:line="272" w:lineRule="auto"/>
        <w:rPr>
          <w:sz w:val="20"/>
          <w:szCs w:val="20"/>
          <w:color w:val="auto"/>
        </w:rPr>
      </w:pPr>
      <w:r>
        <w:rPr>
          <w:rFonts w:ascii="Times New Roman" w:cs="Times New Roman" w:eastAsia="Times New Roman" w:hAnsi="Times New Roman"/>
          <w:sz w:val="14"/>
          <w:szCs w:val="14"/>
          <w:color w:val="auto"/>
        </w:rPr>
        <w:t>This policy applies to all (i) directors, officers, employees (permanent or temporary, salaried or hourly) and (ii) external contractors and consultants who have access to material nonpublic information, of Cartesian and its subsidiaries, both inside and outside the United States (collectively, “covered persons”). This policy also applies to all immediate family members of covered persons, any other members of the covered person’s family, and other household members (other than tenants and household employees) of covered persons (collectively, “family members”). This policy further applies to all corporations, limited liability companies, partnerships, trusts or other entities controlled by covered persons or family members.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110" w:right="299" w:bottom="1440" w:gutter="0" w:footer="0" w:header="0"/>
        </w:sectPr>
      </w:pPr>
    </w:p>
    <w:bookmarkStart w:id="174" w:name="page175"/>
    <w:bookmarkEnd w:id="174"/>
    <w:p>
      <w:pPr>
        <w:ind w:left="348" w:hanging="348"/>
        <w:spacing w:after="0"/>
        <w:tabs>
          <w:tab w:leader="none" w:pos="348"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COVERED TRANSACTIONS</w:t>
      </w:r>
    </w:p>
    <w:p>
      <w:pPr>
        <w:spacing w:after="0" w:line="156" w:lineRule="exact"/>
        <w:rPr>
          <w:sz w:val="20"/>
          <w:szCs w:val="20"/>
          <w:color w:val="auto"/>
        </w:rPr>
      </w:pPr>
    </w:p>
    <w:p>
      <w:pPr>
        <w:jc w:val="both"/>
        <w:ind w:left="8" w:firstLine="180"/>
        <w:spacing w:after="0" w:line="282" w:lineRule="auto"/>
        <w:rPr>
          <w:sz w:val="20"/>
          <w:szCs w:val="20"/>
          <w:color w:val="auto"/>
        </w:rPr>
      </w:pPr>
      <w:r>
        <w:rPr>
          <w:rFonts w:ascii="Times New Roman" w:cs="Times New Roman" w:eastAsia="Times New Roman" w:hAnsi="Times New Roman"/>
          <w:sz w:val="14"/>
          <w:szCs w:val="14"/>
          <w:color w:val="auto"/>
        </w:rPr>
        <w:t>This policy applies to all transactions in all Cartesian securities, which may include common stock, preferred stock, debt securities, warrants or options to acquire common stock, derivative securities, units or any other type of securities that the Company may issue. This policy also applies to securities of other companies about which you learn material nonpublic information during the course of your relationship with Cartesian.</w:t>
      </w:r>
    </w:p>
    <w:p>
      <w:pPr>
        <w:spacing w:after="0" w:line="97"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4"/>
          <w:szCs w:val="14"/>
          <w:b w:val="1"/>
          <w:bCs w:val="1"/>
          <w:color w:val="auto"/>
        </w:rPr>
        <w:t>IV.</w:t>
        <w:tab/>
        <w:t>POLICY AGAINST INSIDER TRADING</w:t>
      </w:r>
    </w:p>
    <w:p>
      <w:pPr>
        <w:spacing w:after="0" w:line="154" w:lineRule="exact"/>
        <w:rPr>
          <w:sz w:val="20"/>
          <w:szCs w:val="20"/>
          <w:color w:val="auto"/>
        </w:rPr>
      </w:pPr>
    </w:p>
    <w:p>
      <w:pPr>
        <w:ind w:left="708" w:hanging="276"/>
        <w:spacing w:after="0"/>
        <w:tabs>
          <w:tab w:leader="none" w:pos="708"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Prohibition Against Insider Trading</w:t>
      </w:r>
    </w:p>
    <w:p>
      <w:pPr>
        <w:spacing w:after="0" w:line="156" w:lineRule="exact"/>
        <w:rPr>
          <w:sz w:val="20"/>
          <w:szCs w:val="20"/>
          <w:color w:val="auto"/>
        </w:rPr>
      </w:pPr>
    </w:p>
    <w:p>
      <w:pPr>
        <w:jc w:val="both"/>
        <w:ind w:left="8" w:firstLine="432"/>
        <w:spacing w:after="0" w:line="282" w:lineRule="auto"/>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4"/>
          <w:szCs w:val="14"/>
          <w:color w:val="auto"/>
        </w:rPr>
        <w:t>ederal and state laws prohibit “insider trading,” the purchase or sale of securities, in breach of a fiduciary duty or other relationship of trust and confidence, on the basis of material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nonpublic information about the security. Any covered person, or any other person designated by this policy, who has material nonpublic information relating to Cartesian may not, until the information becomes public or is no longer material:</w:t>
      </w:r>
    </w:p>
    <w:p>
      <w:pPr>
        <w:spacing w:after="0" w:line="99" w:lineRule="exact"/>
        <w:rPr>
          <w:sz w:val="20"/>
          <w:szCs w:val="20"/>
          <w:color w:val="auto"/>
        </w:rPr>
      </w:pPr>
    </w:p>
    <w:p>
      <w:pPr>
        <w:ind w:left="648" w:hanging="216"/>
        <w:spacing w:after="0"/>
        <w:tabs>
          <w:tab w:leader="none" w:pos="64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transactions in Cartesian securities, directly or indirectly, except as specifically noted herein;</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the purchase or sale of any Cartesian securities;</w:t>
      </w:r>
    </w:p>
    <w:p>
      <w:pPr>
        <w:spacing w:after="0" w:line="154" w:lineRule="exact"/>
        <w:rPr>
          <w:rFonts w:ascii="Times New Roman" w:cs="Times New Roman" w:eastAsia="Times New Roman" w:hAnsi="Times New Roman"/>
          <w:sz w:val="14"/>
          <w:szCs w:val="14"/>
          <w:color w:val="auto"/>
        </w:rPr>
      </w:pPr>
    </w:p>
    <w:p>
      <w:pPr>
        <w:ind w:left="648" w:right="20" w:hanging="216"/>
        <w:spacing w:after="0" w:line="309" w:lineRule="auto"/>
        <w:tabs>
          <w:tab w:leader="none" w:pos="64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any other action to take personal advantage of that information, including but not limited to, passing on or “tipping” that information to someone who uses it for personal gain, regardless of the quantity of securities traded;</w:t>
      </w:r>
    </w:p>
    <w:p>
      <w:pPr>
        <w:spacing w:after="0" w:line="80" w:lineRule="exact"/>
        <w:rPr>
          <w:rFonts w:ascii="Times New Roman" w:cs="Times New Roman" w:eastAsia="Times New Roman" w:hAnsi="Times New Roman"/>
          <w:sz w:val="14"/>
          <w:szCs w:val="14"/>
          <w:color w:val="auto"/>
        </w:rPr>
      </w:pPr>
    </w:p>
    <w:p>
      <w:pPr>
        <w:jc w:val="both"/>
        <w:ind w:left="648" w:hanging="216"/>
        <w:spacing w:after="0" w:line="275" w:lineRule="auto"/>
        <w:tabs>
          <w:tab w:leader="none" w:pos="64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 material nonpublic information to persons within Cartesian whose jobs do not require them to have that information, or outside of Cartesian to other persons, including, but not limited to family, friends, business associates, investors and expert consulting firms, unless any such disclosure is made in express accordance with Cartesian’s policies regarding the protection or authorized external disclosure of information concerning the Company; or</w:t>
      </w:r>
    </w:p>
    <w:p>
      <w:pPr>
        <w:spacing w:after="0" w:line="103"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anyone engaged in the above activities.</w:t>
      </w:r>
    </w:p>
    <w:p>
      <w:pPr>
        <w:spacing w:after="0" w:line="163"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4"/>
          <w:szCs w:val="14"/>
          <w:color w:val="auto"/>
        </w:rPr>
        <w:t>Tipping arises when a covered person discloses material nonpublic information about Cartesian or another publicly-traded entity to another person or recommends another person to trade in the securities of a company while in possession of material nonpublic information about that company, and that person either (i) trades in a security of the company in respect of which you provided information or (ii) provides the information to a third person who then makes a trade in a related security. Tipping is illegal even if you do not personally make a trade or otherwise benefit from disclosing the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8"/>
          </w:cols>
          <w:pgMar w:left="292" w:top="992" w:right="299" w:bottom="1440" w:gutter="0" w:footer="0" w:header="0"/>
        </w:sectPr>
      </w:pPr>
    </w:p>
    <w:bookmarkStart w:id="175" w:name="page176"/>
    <w:bookmarkEnd w:id="175"/>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In addition, any covered person who learns of material nonpublic information about another entity, including an entity with whom Cartesian does business, may not trade in that entity’s securities until the information becomes public.</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Although you may believe it is necessary or justifiable for independent reasons (such as the need to raise money for an emergency expenditure) to engage in a transaction involving Cartesian’s securities, there are no exceptions to this policy’s prohibition against insider trading. Even the appearance of impropriety must be avoided to preserve Cartesian’s reputation for adhering to the highest standards of conduct.</w:t>
      </w:r>
    </w:p>
    <w:p>
      <w:pPr>
        <w:spacing w:after="0" w:line="9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To ensure compliance with this policy, all covered persons must protect the confidentiality of material nonpublic information, by, for example, avoiding casual conversations about such information in public areas and storing files containing material nonpublic information in secure locations. This policy also covers communications and postings made through the Internet. You must not post any nonpublic or confidential information on the Internet, including through chatrooms, discussion groups, or social media platforms. This includes anonymous posts or discussion on the Internet.</w:t>
      </w:r>
    </w:p>
    <w:p>
      <w:pPr>
        <w:spacing w:after="0" w:line="107"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Because insider trading law is complex, you should contact the General Counsel if you have any questions about whether information in your possession is material or nonpublic or if a proposed transaction or communication would violate the insider trading laws. You must also report any unauthorized disclosure of material nonpublic information, whether inadvertent or otherwise, immediately to the Chief Executive Officer, Chief Financial Officer and General Counsel.</w:t>
      </w:r>
    </w:p>
    <w:p>
      <w:pPr>
        <w:spacing w:after="0" w:line="102"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B.</w:t>
        <w:tab/>
        <w:t>What Information is “Material”?</w:t>
      </w:r>
    </w:p>
    <w:p>
      <w:pPr>
        <w:spacing w:after="0" w:line="15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For the purposes of these policies and procedures, information is “material” if a reasonable investor would consider that information important in making a decision to trade securities. It is also information that, if disclosed, is reasonably likely to affect the market price of Cartesian’s securities. Both positive and negative information can be material. Further, courts and the SEC have declined to identify all information that could be deemed to be material.</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Some examples of material information include:</w:t>
      </w:r>
    </w:p>
    <w:p>
      <w:pPr>
        <w:spacing w:after="0" w:line="154" w:lineRule="exact"/>
        <w:rPr>
          <w:sz w:val="20"/>
          <w:szCs w:val="20"/>
          <w:color w:val="auto"/>
        </w:rPr>
      </w:pPr>
    </w:p>
    <w:p>
      <w:pPr>
        <w:ind w:left="640" w:hanging="216"/>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or annual earnings information and guidance, including estimates or revisions;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discussions, proposals or agreements for a significant merger, acquisition or divestiture;</w:t>
      </w:r>
    </w:p>
    <w:p>
      <w:pPr>
        <w:spacing w:after="0" w:line="163"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threatened litigation or administrative actions, or material developments in such matters;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new or prospective contracts, licensing or collaboration agreements;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300"/>
          </w:cols>
          <w:pgMar w:left="300" w:top="994" w:right="299" w:bottom="1440" w:gutter="0" w:footer="0" w:header="0"/>
        </w:sectPr>
      </w:pPr>
    </w:p>
    <w:bookmarkStart w:id="176" w:name="page177"/>
    <w:bookmarkEnd w:id="176"/>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developments or announcements involving the U.S. Food and Drug Administration and any Cartesian products, product candidates, regulatory applications, or clinical trials;</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marketing, pricing strategies or market share;</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research and development initiatives, clinical studies, clinical data or new product prospects;</w:t>
      </w:r>
    </w:p>
    <w:p>
      <w:pPr>
        <w:spacing w:after="0" w:line="163"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business strategies;</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key members of management;</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cybersecurity breach or incident;</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debt ratings; and</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splits or changes in dividend policies.</w:t>
      </w:r>
    </w:p>
    <w:p>
      <w:pPr>
        <w:spacing w:after="0" w:line="163"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The foregoing list does not include all of the information that could be deemed to be material.</w:t>
      </w:r>
    </w:p>
    <w:p>
      <w:pPr>
        <w:spacing w:after="0" w:line="152" w:lineRule="exact"/>
        <w:rPr>
          <w:sz w:val="20"/>
          <w:szCs w:val="20"/>
          <w:color w:val="auto"/>
        </w:rPr>
      </w:pPr>
    </w:p>
    <w:p>
      <w:pPr>
        <w:ind w:left="148"/>
        <w:spacing w:after="0"/>
        <w:tabs>
          <w:tab w:leader="none" w:pos="408" w:val="left"/>
        </w:tabs>
        <w:rPr>
          <w:sz w:val="20"/>
          <w:szCs w:val="20"/>
          <w:color w:val="auto"/>
        </w:rPr>
      </w:pPr>
      <w:r>
        <w:rPr>
          <w:rFonts w:ascii="Times New Roman" w:cs="Times New Roman" w:eastAsia="Times New Roman" w:hAnsi="Times New Roman"/>
          <w:sz w:val="14"/>
          <w:szCs w:val="14"/>
          <w:b w:val="1"/>
          <w:bCs w:val="1"/>
          <w:color w:val="auto"/>
        </w:rPr>
        <w:t>C.</w:t>
        <w:tab/>
        <w:t>What Information is “Nonpublic”?</w:t>
      </w:r>
    </w:p>
    <w:p>
      <w:pPr>
        <w:spacing w:after="0" w:line="156" w:lineRule="exact"/>
        <w:rPr>
          <w:sz w:val="20"/>
          <w:szCs w:val="20"/>
          <w:color w:val="auto"/>
        </w:rPr>
      </w:pPr>
    </w:p>
    <w:p>
      <w:pPr>
        <w:jc w:val="both"/>
        <w:ind w:left="8" w:firstLine="159"/>
        <w:spacing w:after="0" w:line="275" w:lineRule="auto"/>
        <w:rPr>
          <w:sz w:val="20"/>
          <w:szCs w:val="20"/>
          <w:color w:val="auto"/>
        </w:rPr>
      </w:pPr>
      <w:r>
        <w:rPr>
          <w:rFonts w:ascii="Times New Roman" w:cs="Times New Roman" w:eastAsia="Times New Roman" w:hAnsi="Times New Roman"/>
          <w:sz w:val="14"/>
          <w:szCs w:val="14"/>
          <w:color w:val="auto"/>
        </w:rPr>
        <w:t>Information is “nonpublic” if it has not been widely disseminated to the public, such as through a press release carried over a major news service, a public filing with the SEC or materials sent to stockholders (e.g., a proxy statement or widely disseminated prospectus). Information is also nonpublic if it has been widely disseminated to the public, but sufficient time has not elapsed to permit the investment community to absorb and evaluate the information. In general, two full business days after public release is deemed sufficient for investor absorption and evaluation.</w:t>
      </w:r>
    </w:p>
    <w:p>
      <w:pPr>
        <w:spacing w:after="0" w:line="104" w:lineRule="exact"/>
        <w:rPr>
          <w:sz w:val="20"/>
          <w:szCs w:val="20"/>
          <w:color w:val="auto"/>
        </w:rPr>
      </w:pPr>
    </w:p>
    <w:p>
      <w:pPr>
        <w:jc w:val="both"/>
        <w:ind w:left="8" w:firstLine="249"/>
        <w:spacing w:after="0" w:line="282" w:lineRule="auto"/>
        <w:rPr>
          <w:sz w:val="20"/>
          <w:szCs w:val="20"/>
          <w:color w:val="auto"/>
        </w:rPr>
      </w:pPr>
      <w:r>
        <w:rPr>
          <w:rFonts w:ascii="Times New Roman" w:cs="Times New Roman" w:eastAsia="Times New Roman" w:hAnsi="Times New Roman"/>
          <w:sz w:val="14"/>
          <w:szCs w:val="14"/>
          <w:color w:val="auto"/>
        </w:rPr>
        <w:t>The distribution of information through narrower channels may be insufficient to make it public. For example, merely posting information on a website may not satisfy the “widely disseminated” standard to make such information public. Also, the fact that nonpublic information is reflected in rumors in the marketplace does not mean that the information has been publicly disseminated. It is important to note that even after information becomes public, many aspects relating to a matter may remain nonpublic.</w:t>
      </w:r>
    </w:p>
    <w:p>
      <w:pPr>
        <w:spacing w:after="0" w:line="97" w:lineRule="exact"/>
        <w:rPr>
          <w:sz w:val="20"/>
          <w:szCs w:val="20"/>
          <w:color w:val="auto"/>
        </w:rPr>
      </w:pPr>
    </w:p>
    <w:p>
      <w:pPr>
        <w:ind w:left="308" w:hanging="308"/>
        <w:spacing w:after="0"/>
        <w:tabs>
          <w:tab w:leader="none" w:pos="308"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RULES FOR SPECIFIC TRANSACTIONS</w:t>
      </w:r>
    </w:p>
    <w:p>
      <w:pPr>
        <w:spacing w:after="0" w:line="15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In addition to the general prohibition on insider trading described above, certain specific transaction types and related activities are prohibited by this policy.</w:t>
      </w:r>
    </w:p>
    <w:p>
      <w:pPr>
        <w:spacing w:after="0" w:line="152" w:lineRule="exact"/>
        <w:rPr>
          <w:sz w:val="20"/>
          <w:szCs w:val="20"/>
          <w:color w:val="auto"/>
        </w:rPr>
      </w:pPr>
    </w:p>
    <w:p>
      <w:pPr>
        <w:ind w:left="428" w:hanging="284"/>
        <w:spacing w:after="0"/>
        <w:tabs>
          <w:tab w:leader="none" w:pos="428"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Participation in Expert Networks or Similar Consulting Arrangements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308"/>
          </w:cols>
          <w:pgMar w:left="292" w:top="994" w:right="299" w:bottom="1440" w:gutter="0" w:footer="0" w:header="0"/>
        </w:sectPr>
      </w:pPr>
    </w:p>
    <w:bookmarkStart w:id="177" w:name="page178"/>
    <w:bookmarkEnd w:id="177"/>
    <w:p>
      <w:pPr>
        <w:jc w:val="both"/>
        <w:ind w:firstLine="154"/>
        <w:spacing w:after="0" w:line="272" w:lineRule="auto"/>
        <w:rPr>
          <w:sz w:val="20"/>
          <w:szCs w:val="20"/>
          <w:color w:val="auto"/>
        </w:rPr>
      </w:pPr>
      <w:r>
        <w:rPr>
          <w:rFonts w:ascii="Times New Roman" w:cs="Times New Roman" w:eastAsia="Times New Roman" w:hAnsi="Times New Roman"/>
          <w:sz w:val="14"/>
          <w:szCs w:val="14"/>
          <w:color w:val="auto"/>
        </w:rPr>
        <w:t>You are not permitted to provide information or services about or relating to Cartesian to “expert network firms” or similar consulting firms. Expert network firms may seek to engage you as a consultant due to your knowledge of Cartesian, or your knowledge of our industry overall. Your provision of such consulting services creates the risk that you may use or disclose, deliberately or inadvertently, Cartesian’s confidential information or engage, or assist another party in engaging, in activities that are detrimental to or competitive with the Company. Such activity may also violate federal securities laws. Accordingly, participation in such organizations is strictly prohibited.</w:t>
      </w:r>
    </w:p>
    <w:p>
      <w:pPr>
        <w:spacing w:after="0" w:line="105" w:lineRule="exact"/>
        <w:rPr>
          <w:sz w:val="20"/>
          <w:szCs w:val="20"/>
          <w:color w:val="auto"/>
        </w:rPr>
      </w:pPr>
    </w:p>
    <w:p>
      <w:pPr>
        <w:ind w:left="140"/>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B.</w:t>
        <w:tab/>
        <w:t>Derivatives Transactions</w:t>
      </w:r>
    </w:p>
    <w:p>
      <w:pPr>
        <w:spacing w:after="0" w:line="156" w:lineRule="exact"/>
        <w:rPr>
          <w:sz w:val="20"/>
          <w:szCs w:val="20"/>
          <w:color w:val="auto"/>
        </w:rPr>
      </w:pPr>
    </w:p>
    <w:p>
      <w:pPr>
        <w:jc w:val="both"/>
        <w:ind w:firstLine="149"/>
        <w:spacing w:after="0" w:line="272" w:lineRule="auto"/>
        <w:rPr>
          <w:sz w:val="20"/>
          <w:szCs w:val="20"/>
          <w:color w:val="auto"/>
        </w:rPr>
      </w:pPr>
      <w:r>
        <w:rPr>
          <w:rFonts w:ascii="Times New Roman" w:cs="Times New Roman" w:eastAsia="Times New Roman" w:hAnsi="Times New Roman"/>
          <w:sz w:val="14"/>
          <w:szCs w:val="14"/>
          <w:color w:val="auto"/>
        </w:rPr>
        <w:t>You may not engage in derivative transactions involving Cartesian’s securities. Derivative transactions are speculative transactions that permit a person to leverage his or her investment using a relatively small amount of money. Transactions in options (other than stock options issued by Cartesian) may create the appearance that a covered person is trading based on material nonpublic information and may focus a covered person’s attention on Cartesian’s short-term performance. Examples of derivative transactions include, but are not limited to, purchases and sales of put and call options.</w:t>
      </w:r>
    </w:p>
    <w:p>
      <w:pPr>
        <w:spacing w:after="0" w:line="105" w:lineRule="exact"/>
        <w:rPr>
          <w:sz w:val="20"/>
          <w:szCs w:val="20"/>
          <w:color w:val="auto"/>
        </w:rPr>
      </w:pPr>
    </w:p>
    <w:p>
      <w:pPr>
        <w:ind w:left="420" w:hanging="284"/>
        <w:spacing w:after="0"/>
        <w:tabs>
          <w:tab w:leader="none" w:pos="42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Pledging and Lending</w:t>
      </w:r>
    </w:p>
    <w:p>
      <w:pPr>
        <w:spacing w:after="0" w:line="156" w:lineRule="exact"/>
        <w:rPr>
          <w:sz w:val="20"/>
          <w:szCs w:val="20"/>
          <w:color w:val="auto"/>
        </w:rPr>
      </w:pPr>
    </w:p>
    <w:p>
      <w:pPr>
        <w:ind w:right="20" w:firstLine="148"/>
        <w:spacing w:after="0" w:line="295" w:lineRule="auto"/>
        <w:rPr>
          <w:sz w:val="20"/>
          <w:szCs w:val="20"/>
          <w:color w:val="auto"/>
        </w:rPr>
      </w:pPr>
      <w:r>
        <w:rPr>
          <w:rFonts w:ascii="Times New Roman" w:cs="Times New Roman" w:eastAsia="Times New Roman" w:hAnsi="Times New Roman"/>
          <w:sz w:val="14"/>
          <w:szCs w:val="14"/>
          <w:color w:val="auto"/>
        </w:rPr>
        <w:t>You are prohibited from hedging and lending Cartesian securities in any transaction, including by entering into any short sales, swaps, options, puts, calls, forward contracts or any other similar derivatives transaction. Unless authorized in advance by the Company’s board of directors, you are prohibited from pledging Cartesian securities in any transaction.</w:t>
      </w:r>
    </w:p>
    <w:p>
      <w:pPr>
        <w:spacing w:after="0" w:line="88" w:lineRule="exact"/>
        <w:rPr>
          <w:sz w:val="20"/>
          <w:szCs w:val="20"/>
          <w:color w:val="auto"/>
        </w:rPr>
      </w:pPr>
    </w:p>
    <w:p>
      <w:pPr>
        <w:ind w:left="420" w:hanging="284"/>
        <w:spacing w:after="0"/>
        <w:tabs>
          <w:tab w:leader="none" w:pos="42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Short Sales</w:t>
      </w:r>
    </w:p>
    <w:p>
      <w:pPr>
        <w:spacing w:after="0" w:line="15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4"/>
          <w:szCs w:val="14"/>
          <w:color w:val="auto"/>
        </w:rPr>
        <w:t>You may not engage in short selling of Cartesian securities. Selling short includes transactions in which you borrow securities from a broker, sell them, and eventually buy securities on the market to cover the number of securities borrowed from the broker. Profit is made if the price of the securities decreases during the period of borrowing. Short sales may evidence an expectation on the part of the seller that the securities will decline in value, and therefore have the potential to signal to the market that the seller lacks confidence in the Company’s prospects.</w:t>
      </w:r>
    </w:p>
    <w:p>
      <w:pPr>
        <w:spacing w:after="0" w:line="97" w:lineRule="exact"/>
        <w:rPr>
          <w:sz w:val="20"/>
          <w:szCs w:val="20"/>
          <w:color w:val="auto"/>
        </w:rPr>
      </w:pPr>
    </w:p>
    <w:p>
      <w:pPr>
        <w:ind w:left="140"/>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E.</w:t>
        <w:tab/>
        <w:t>Margin Accounts</w:t>
      </w:r>
    </w:p>
    <w:p>
      <w:pPr>
        <w:spacing w:after="0" w:line="15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You may not engage in purchasing Cartesian securities on margin. Purchasing Cartesian securities on margin involves the use of borrowed money from a brokerage firm to purchase the securities. Holding Cartesian securities in a margin account means that the securities can be sold to pay a loan to the brokerage firm. Covered persons are prohibited from holding Cartesian securities in a margin account because a margin sale might occur at a time when the covered person is aware of material nonpublic information.</w:t>
      </w:r>
    </w:p>
    <w:p>
      <w:pPr>
        <w:spacing w:after="0" w:line="97" w:lineRule="exact"/>
        <w:rPr>
          <w:sz w:val="20"/>
          <w:szCs w:val="20"/>
          <w:color w:val="auto"/>
        </w:rPr>
      </w:pPr>
    </w:p>
    <w:p>
      <w:pPr>
        <w:ind w:left="400" w:hanging="264"/>
        <w:spacing w:after="0"/>
        <w:tabs>
          <w:tab w:leader="none" w:pos="40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Post-Termination Transactions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300"/>
          </w:cols>
          <w:pgMar w:left="300" w:top="994" w:right="299" w:bottom="1440" w:gutter="0" w:footer="0" w:header="0"/>
        </w:sectPr>
      </w:pPr>
    </w:p>
    <w:bookmarkStart w:id="178" w:name="page179"/>
    <w:bookmarkEnd w:id="178"/>
    <w:p>
      <w:pPr>
        <w:jc w:val="both"/>
        <w:ind w:firstLine="168"/>
        <w:spacing w:after="0" w:line="275" w:lineRule="auto"/>
        <w:rPr>
          <w:sz w:val="20"/>
          <w:szCs w:val="20"/>
          <w:color w:val="auto"/>
        </w:rPr>
      </w:pPr>
      <w:r>
        <w:rPr>
          <w:rFonts w:ascii="Times New Roman" w:cs="Times New Roman" w:eastAsia="Times New Roman" w:hAnsi="Times New Roman"/>
          <w:sz w:val="14"/>
          <w:szCs w:val="14"/>
          <w:color w:val="auto"/>
        </w:rPr>
        <w:t>You may not engage in trading in Cartesian securities while in the possession of material nonpublic information after your relationship with the Company has ended. This policy continues to apply to transactions in Cartesian securities even after termination of service to Cartesian. If an individual is in possession of material non-public information when his or her service terminates, that individual may not trade in Cartesian securities until that information has become public or is no longer material.</w:t>
      </w:r>
    </w:p>
    <w:p>
      <w:pPr>
        <w:spacing w:after="0" w:line="1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VI.</w:t>
        <w:tab/>
        <w:t>WHEN TRADING IS GENERALLY PERMITTED</w:t>
      </w:r>
    </w:p>
    <w:p>
      <w:pPr>
        <w:spacing w:after="0" w:line="156" w:lineRule="exact"/>
        <w:rPr>
          <w:sz w:val="20"/>
          <w:szCs w:val="20"/>
          <w:color w:val="auto"/>
        </w:rPr>
      </w:pPr>
    </w:p>
    <w:p>
      <w:pPr>
        <w:jc w:val="both"/>
        <w:ind w:firstLine="162"/>
        <w:spacing w:after="0" w:line="275" w:lineRule="auto"/>
        <w:rPr>
          <w:sz w:val="20"/>
          <w:szCs w:val="20"/>
          <w:color w:val="auto"/>
        </w:rPr>
      </w:pPr>
      <w:r>
        <w:rPr>
          <w:rFonts w:ascii="Times New Roman" w:cs="Times New Roman" w:eastAsia="Times New Roman" w:hAnsi="Times New Roman"/>
          <w:sz w:val="14"/>
          <w:szCs w:val="14"/>
          <w:color w:val="auto"/>
        </w:rPr>
        <w:t>To help directors, officers and employees conduct trades in Cartesian securities in compliance with the general prohibition described above, Cartesian has established mechanisms for effecting trades in the Company’s securities in compliance with these policies and procedures. If you are not certain whether a proposed transaction complies with the mechanisms described below, you should contact the General Counsel.</w:t>
      </w:r>
    </w:p>
    <w:p>
      <w:pPr>
        <w:spacing w:after="0" w:line="102" w:lineRule="exact"/>
        <w:rPr>
          <w:sz w:val="20"/>
          <w:szCs w:val="20"/>
          <w:color w:val="auto"/>
        </w:rPr>
      </w:pPr>
    </w:p>
    <w:p>
      <w:pPr>
        <w:ind w:left="140"/>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A.</w:t>
        <w:tab/>
        <w:t>Window Periods</w:t>
      </w:r>
    </w:p>
    <w:p>
      <w:pPr>
        <w:spacing w:after="0" w:line="165" w:lineRule="exact"/>
        <w:rPr>
          <w:sz w:val="20"/>
          <w:szCs w:val="20"/>
          <w:color w:val="auto"/>
        </w:rPr>
      </w:pPr>
    </w:p>
    <w:p>
      <w:pPr>
        <w:jc w:val="both"/>
        <w:ind w:firstLine="143"/>
        <w:spacing w:after="0" w:line="275" w:lineRule="auto"/>
        <w:rPr>
          <w:sz w:val="20"/>
          <w:szCs w:val="20"/>
          <w:color w:val="auto"/>
        </w:rPr>
      </w:pPr>
      <w:r>
        <w:rPr>
          <w:rFonts w:ascii="Times New Roman" w:cs="Times New Roman" w:eastAsia="Times New Roman" w:hAnsi="Times New Roman"/>
          <w:sz w:val="14"/>
          <w:szCs w:val="14"/>
          <w:color w:val="auto"/>
        </w:rPr>
        <w:t>The Company requires that covered persons limit their trading in Company securities to prescribed “Window Periods.” The periods between Window Periods are considered “Blackout Periods”. Covered persons may not engage in trades in Company securities during Blackout Periods. The requirement to make trades during a Window Period does not apply to transactions described below under the headings “Rule 10b5-1 Plan Trading,” “Option Exercises,” “Estate Planning and Gifts,” “Employee Stock Purchase Plans,” “Tax Obligations” and “Transactions with the Company.”</w:t>
      </w:r>
    </w:p>
    <w:p>
      <w:pPr>
        <w:spacing w:after="0" w:line="104" w:lineRule="exact"/>
        <w:rPr>
          <w:sz w:val="20"/>
          <w:szCs w:val="20"/>
          <w:color w:val="auto"/>
        </w:rPr>
      </w:pPr>
    </w:p>
    <w:p>
      <w:pPr>
        <w:jc w:val="both"/>
        <w:ind w:firstLine="150"/>
        <w:spacing w:after="0" w:line="272" w:lineRule="auto"/>
        <w:rPr>
          <w:sz w:val="20"/>
          <w:szCs w:val="20"/>
          <w:color w:val="auto"/>
        </w:rPr>
      </w:pPr>
      <w:r>
        <w:rPr>
          <w:rFonts w:ascii="Times New Roman" w:cs="Times New Roman" w:eastAsia="Times New Roman" w:hAnsi="Times New Roman"/>
          <w:sz w:val="14"/>
          <w:szCs w:val="14"/>
          <w:color w:val="auto"/>
        </w:rPr>
        <w:t>Under this policy, a Window Period begins at market opening on the third business day after the Company has issued its usual press release announcing quarterly results and ends three calendar days prior to the end of the applicable fiscal quarter. The Company retains the discretion to close a Window Period in the event of any major corporate development that has not been announced to the public. The closing of any Window Period will be announced by email. If you think you have any material nonpublic information during the Window Period, however, you must consult the General Counsel before trading Cartesian securities.</w:t>
      </w:r>
    </w:p>
    <w:p>
      <w:pPr>
        <w:spacing w:after="0" w:line="107" w:lineRule="exact"/>
        <w:rPr>
          <w:sz w:val="20"/>
          <w:szCs w:val="20"/>
          <w:color w:val="auto"/>
        </w:rPr>
      </w:pPr>
    </w:p>
    <w:p>
      <w:pPr>
        <w:jc w:val="both"/>
        <w:ind w:firstLine="157"/>
        <w:spacing w:after="0" w:line="268" w:lineRule="auto"/>
        <w:rPr>
          <w:sz w:val="20"/>
          <w:szCs w:val="20"/>
          <w:color w:val="auto"/>
        </w:rPr>
      </w:pPr>
      <w:r>
        <w:rPr>
          <w:rFonts w:ascii="Times New Roman" w:cs="Times New Roman" w:eastAsia="Times New Roman" w:hAnsi="Times New Roman"/>
          <w:sz w:val="14"/>
          <w:szCs w:val="14"/>
          <w:color w:val="auto"/>
        </w:rPr>
        <w:t>Cartesian also strongly encourages employees, family members and close associates of any officer, employee or member of the board of directors to confine their trading in Cartesian securities to a Window Period. While there is no violation of insider trading rules if it can be shown that a family member or other person associated with a director, officer or employee acted independently when trading and without knowledge of material nonpublic information, a strong presumption may arise that material nonpublic information has been shared with such person by the officer, employee or member of the board of directors.</w:t>
      </w:r>
    </w:p>
    <w:p>
      <w:pPr>
        <w:spacing w:after="0" w:line="116" w:lineRule="exact"/>
        <w:rPr>
          <w:sz w:val="20"/>
          <w:szCs w:val="20"/>
          <w:color w:val="auto"/>
        </w:rPr>
      </w:pPr>
    </w:p>
    <w:p>
      <w:pPr>
        <w:ind w:left="140"/>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B.</w:t>
        <w:tab/>
        <w:t>Special Blackout Periods</w:t>
      </w:r>
    </w:p>
    <w:p>
      <w:pPr>
        <w:spacing w:after="0" w:line="156" w:lineRule="exact"/>
        <w:rPr>
          <w:sz w:val="20"/>
          <w:szCs w:val="20"/>
          <w:color w:val="auto"/>
        </w:rPr>
      </w:pPr>
    </w:p>
    <w:p>
      <w:pPr>
        <w:jc w:val="both"/>
        <w:ind w:right="20" w:firstLine="216"/>
        <w:spacing w:after="0" w:line="295" w:lineRule="auto"/>
        <w:rPr>
          <w:sz w:val="20"/>
          <w:szCs w:val="20"/>
          <w:color w:val="auto"/>
        </w:rPr>
      </w:pPr>
      <w:r>
        <w:rPr>
          <w:rFonts w:ascii="Times New Roman" w:cs="Times New Roman" w:eastAsia="Times New Roman" w:hAnsi="Times New Roman"/>
          <w:sz w:val="14"/>
          <w:szCs w:val="14"/>
          <w:color w:val="auto"/>
        </w:rPr>
        <w:t>The Company may impose special periods during which certain covered persons will be prohibited from trading or otherwise effecting transactions in Cartesian securities (“special blackout periods”) even though the Window Period would otherwise be open. This would be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300"/>
          </w:cols>
          <w:pgMar w:left="300" w:top="994" w:right="299" w:bottom="1440" w:gutter="0" w:footer="0" w:header="0"/>
        </w:sectPr>
      </w:pPr>
    </w:p>
    <w:bookmarkStart w:id="179" w:name="page180"/>
    <w:bookmarkEnd w:id="179"/>
    <w:p>
      <w:pPr>
        <w:jc w:val="both"/>
        <w:spacing w:after="0" w:line="295" w:lineRule="auto"/>
        <w:rPr>
          <w:sz w:val="20"/>
          <w:szCs w:val="20"/>
          <w:color w:val="auto"/>
        </w:rPr>
      </w:pPr>
      <w:r>
        <w:rPr>
          <w:rFonts w:ascii="Times New Roman" w:cs="Times New Roman" w:eastAsia="Times New Roman" w:hAnsi="Times New Roman"/>
          <w:sz w:val="14"/>
          <w:szCs w:val="14"/>
          <w:color w:val="auto"/>
        </w:rPr>
        <w:t>the case, for example, for Company employees working on a material merger or acquisition transaction, or another event that could involve material nonpublic information. If a special blackout period is imposed, the Company will notify affected individuals by email. The Company will also notify affected individuals at the end of such special blackout period.</w:t>
      </w:r>
    </w:p>
    <w:p>
      <w:pPr>
        <w:spacing w:after="0" w:line="90" w:lineRule="exact"/>
        <w:rPr>
          <w:sz w:val="20"/>
          <w:szCs w:val="20"/>
          <w:color w:val="auto"/>
        </w:rPr>
      </w:pPr>
    </w:p>
    <w:p>
      <w:pPr>
        <w:jc w:val="both"/>
        <w:ind w:firstLine="222"/>
        <w:spacing w:after="0" w:line="282" w:lineRule="auto"/>
        <w:rPr>
          <w:sz w:val="20"/>
          <w:szCs w:val="20"/>
          <w:color w:val="auto"/>
        </w:rPr>
      </w:pPr>
      <w:r>
        <w:rPr>
          <w:rFonts w:ascii="Times New Roman" w:cs="Times New Roman" w:eastAsia="Times New Roman" w:hAnsi="Times New Roman"/>
          <w:sz w:val="14"/>
          <w:szCs w:val="14"/>
          <w:color w:val="auto"/>
        </w:rPr>
        <w:t>Please note that special blackout periods may apply to all individuals working on material transactions or other matters that could involve material nonpublic information, even if those individuals only have a limited role in the transaction. A special blackout period for these matters is not necessarily limited to individuals who are on any particular team or function. The determination of whether a project or transaction is material will be made by the Chief Executive Officer, Chief Financial Officer and General Counsel.</w:t>
      </w:r>
    </w:p>
    <w:p>
      <w:pPr>
        <w:spacing w:after="0" w:line="97" w:lineRule="exact"/>
        <w:rPr>
          <w:sz w:val="20"/>
          <w:szCs w:val="20"/>
          <w:color w:val="auto"/>
        </w:rPr>
      </w:pPr>
    </w:p>
    <w:p>
      <w:pPr>
        <w:ind w:left="420" w:hanging="284"/>
        <w:spacing w:after="0"/>
        <w:tabs>
          <w:tab w:leader="none" w:pos="42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Rule 10b5-1 Plan Trading</w:t>
      </w:r>
    </w:p>
    <w:p>
      <w:pPr>
        <w:spacing w:after="0" w:line="156" w:lineRule="exact"/>
        <w:rPr>
          <w:sz w:val="20"/>
          <w:szCs w:val="20"/>
          <w:color w:val="auto"/>
        </w:rPr>
      </w:pPr>
    </w:p>
    <w:p>
      <w:pPr>
        <w:jc w:val="both"/>
        <w:ind w:firstLine="168"/>
        <w:spacing w:after="0" w:line="270" w:lineRule="auto"/>
        <w:rPr>
          <w:sz w:val="20"/>
          <w:szCs w:val="20"/>
          <w:color w:val="auto"/>
        </w:rPr>
      </w:pPr>
      <w:r>
        <w:rPr>
          <w:rFonts w:ascii="Times New Roman" w:cs="Times New Roman" w:eastAsia="Times New Roman" w:hAnsi="Times New Roman"/>
          <w:sz w:val="14"/>
          <w:szCs w:val="14"/>
          <w:color w:val="auto"/>
        </w:rPr>
        <w:t>To avoid liability for insider trading, officers and members of the board of directors may wish to rely upon the affirmative defenses established by Rule 10b5-1 under the Securities Exchange Act of 1934, as amended (the “Exchange Act”). Rule 10b5-1 is available to an individual or entity who purchases or sells a security under a binding contract, specific instruction or written plan that the person or entity put into place before becoming aware of material nonpublic information (such a written plan, a “Rule 10b5-1 plan”). If the trading plan meets all of the requirements of Rule 10b5-1, Cartesian securities may be purchased and sold under such plan without regard to certain insider trading considerations, and such trades would not be restricted to the window periods under this policy.</w:t>
      </w:r>
    </w:p>
    <w:p>
      <w:pPr>
        <w:spacing w:after="0" w:line="284" w:lineRule="exact"/>
        <w:rPr>
          <w:sz w:val="20"/>
          <w:szCs w:val="20"/>
          <w:color w:val="auto"/>
        </w:rPr>
      </w:pPr>
    </w:p>
    <w:p>
      <w:pPr>
        <w:jc w:val="both"/>
        <w:ind w:firstLine="151"/>
        <w:spacing w:after="0" w:line="277" w:lineRule="auto"/>
        <w:rPr>
          <w:sz w:val="20"/>
          <w:szCs w:val="20"/>
          <w:color w:val="auto"/>
        </w:rPr>
      </w:pPr>
      <w:r>
        <w:rPr>
          <w:rFonts w:ascii="Times New Roman" w:cs="Times New Roman" w:eastAsia="Times New Roman" w:hAnsi="Times New Roman"/>
          <w:sz w:val="14"/>
          <w:szCs w:val="14"/>
          <w:color w:val="auto"/>
        </w:rPr>
        <w:t>The Company strongly encourages any of the following covered persons who wish to trade in Cartesian securities to limit such trading activity to Rule 10b5-1 plans adopted in accordance with this policy: (i) members of the board of directors and (ii) officers appointed by the board of directors. In addition, other covered persons who wish to trade in Cartesian securities may be encouraged to limit their trading activity to Rule 10b5-1 plans adopted in accordance with this policy, based on the determination of the Chief Executive Officer, Chief Financial Officer or General Counsel.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 covered person who enters into a Rule 10b5-1 plan is strongly discouraged from trading in any securities of the Company outside of the Rule 10b5-1 plan.</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 create a Rule 10b5-1 plan, you must enter into a written plan for trading securities that must:</w:t>
      </w:r>
    </w:p>
    <w:p>
      <w:pPr>
        <w:spacing w:after="0" w:line="154" w:lineRule="exact"/>
        <w:rPr>
          <w:sz w:val="20"/>
          <w:szCs w:val="20"/>
          <w:color w:val="auto"/>
        </w:rPr>
      </w:pPr>
    </w:p>
    <w:p>
      <w:pPr>
        <w:ind w:left="640" w:hanging="216"/>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amount, price and date of the transaction(s);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a written formula, algorithm or computer program for determining the amount, price and date of the transaction(s); or</w:t>
      </w:r>
    </w:p>
    <w:p>
      <w:pPr>
        <w:spacing w:after="0" w:line="163"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permit the person for whom shares are being purchased or sold to exercise any subsequent influence over how, when or whether to effect purchases or sales, while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300"/>
          </w:cols>
          <w:pgMar w:left="300" w:top="994" w:right="299" w:bottom="1440" w:gutter="0" w:footer="0" w:header="0"/>
        </w:sectPr>
      </w:pPr>
    </w:p>
    <w:bookmarkStart w:id="180" w:name="page181"/>
    <w:bookmarkEnd w:id="180"/>
    <w:p>
      <w:pPr>
        <w:ind w:left="640"/>
        <w:spacing w:after="0"/>
        <w:rPr>
          <w:sz w:val="20"/>
          <w:szCs w:val="20"/>
          <w:color w:val="auto"/>
        </w:rPr>
      </w:pPr>
      <w:r>
        <w:rPr>
          <w:rFonts w:ascii="Times New Roman" w:cs="Times New Roman" w:eastAsia="Times New Roman" w:hAnsi="Times New Roman"/>
          <w:sz w:val="14"/>
          <w:szCs w:val="14"/>
          <w:color w:val="auto"/>
        </w:rPr>
        <w:t>at the same time ensuring that the person effecting the trades is not aware of any material nonpublic information at the time of the trades.</w:t>
      </w:r>
    </w:p>
    <w:p>
      <w:pPr>
        <w:spacing w:after="0" w:line="154" w:lineRule="exact"/>
        <w:rPr>
          <w:sz w:val="20"/>
          <w:szCs w:val="20"/>
          <w:color w:val="auto"/>
        </w:rPr>
      </w:pPr>
    </w:p>
    <w:p>
      <w:pPr>
        <w:jc w:val="both"/>
        <w:ind w:firstLine="147"/>
        <w:spacing w:after="0" w:line="270" w:lineRule="auto"/>
        <w:rPr>
          <w:sz w:val="20"/>
          <w:szCs w:val="20"/>
          <w:color w:val="auto"/>
        </w:rPr>
      </w:pPr>
      <w:r>
        <w:rPr>
          <w:rFonts w:ascii="Times New Roman" w:cs="Times New Roman" w:eastAsia="Times New Roman" w:hAnsi="Times New Roman"/>
          <w:sz w:val="14"/>
          <w:szCs w:val="14"/>
          <w:color w:val="auto"/>
        </w:rPr>
        <w:t>In order to rely on the defense, a person must adopt a Rule 10b5-1 plan that meets all of the rule’s requirements. These include a requirement that the plan include a representation certifying that the person adopting the plan is doing so in good faith, at a time when he or she is not in possession of material nonpublic information and not as part of a plan to evade the insider trading prohibitions. Additionally, a director or officer adopting a new Rule 10b5-1 plan may not have any other outstanding Rule 10b5-1 plan, and may not subsequently enter into any additional Rule 10b5-1 plan, subject to certain exceptions. Frequent amendment of, or deviation from, a trading plan may make it difficult for an insider to demonstrate that he or she has satisfied the rule’s “good faith” requirement.</w:t>
      </w:r>
    </w:p>
    <w:p>
      <w:pPr>
        <w:spacing w:after="0" w:line="284" w:lineRule="exact"/>
        <w:rPr>
          <w:sz w:val="20"/>
          <w:szCs w:val="20"/>
          <w:color w:val="auto"/>
        </w:rPr>
      </w:pPr>
    </w:p>
    <w:p>
      <w:pPr>
        <w:jc w:val="both"/>
        <w:ind w:firstLine="151"/>
        <w:spacing w:after="0" w:line="272" w:lineRule="auto"/>
        <w:rPr>
          <w:sz w:val="20"/>
          <w:szCs w:val="20"/>
          <w:color w:val="auto"/>
        </w:rPr>
      </w:pPr>
      <w:r>
        <w:rPr>
          <w:rFonts w:ascii="Times New Roman" w:cs="Times New Roman" w:eastAsia="Times New Roman" w:hAnsi="Times New Roman"/>
          <w:sz w:val="14"/>
          <w:szCs w:val="14"/>
          <w:color w:val="auto"/>
        </w:rPr>
        <w:t>A Rule 10b5-1 plan must provide for a “cooling off” period before purchases and sales can occur under the plan. For a director or officer, no purchases or sales under the Rule 10b5-1 plan can occur until the later of (i) 90 days after the adoption of the Rule 10b5-1 plan and (ii) two business days following disclosure of the Company’s results in a Form 10-Q or Form 10-K for a completed fiscal quarter in which the plan was adopted; provided, however, that in no event will the required cooling off period be longer than 120 days after adoption of the Rule 10b5-1 plan. No purchases or sales under a Rule 10b5-1 plan for a person other than a director or officer may be made until 30 days after adoption of the plan.</w:t>
      </w:r>
    </w:p>
    <w:p>
      <w:pPr>
        <w:spacing w:after="0" w:line="107" w:lineRule="exact"/>
        <w:rPr>
          <w:sz w:val="20"/>
          <w:szCs w:val="20"/>
          <w:color w:val="auto"/>
        </w:rPr>
      </w:pPr>
    </w:p>
    <w:p>
      <w:pPr>
        <w:jc w:val="both"/>
        <w:ind w:firstLine="172"/>
        <w:spacing w:after="0" w:line="295" w:lineRule="auto"/>
        <w:rPr>
          <w:sz w:val="20"/>
          <w:szCs w:val="20"/>
          <w:color w:val="auto"/>
        </w:rPr>
      </w:pPr>
      <w:r>
        <w:rPr>
          <w:rFonts w:ascii="Times New Roman" w:cs="Times New Roman" w:eastAsia="Times New Roman" w:hAnsi="Times New Roman"/>
          <w:sz w:val="14"/>
          <w:szCs w:val="14"/>
          <w:color w:val="auto"/>
        </w:rPr>
        <w:t>Any modification to the amount, pricing, or timing of purchases or sales of securities under a Rule 10b5-1 plan will constitute the termination of the plan and adoption of a new plan, which means that any such modification will trigger the need for the new trading plan to satisfy all of the elements of Rule 10b5-1, including a new cooling off period before trading can begin again.</w:t>
      </w:r>
    </w:p>
    <w:p>
      <w:pPr>
        <w:spacing w:after="0" w:line="9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Stock brokerage firms may assist directors, officers and employees in establishing Rule 10b5-1 plans. To ensure that such arrangements comply with Rule 10b5-1, Cartesian requires that any covered person who wishes to establish a Rule 10b5-1 plan:</w:t>
      </w:r>
    </w:p>
    <w:p>
      <w:pPr>
        <w:spacing w:after="0" w:line="99" w:lineRule="exact"/>
        <w:rPr>
          <w:sz w:val="20"/>
          <w:szCs w:val="20"/>
          <w:color w:val="auto"/>
        </w:rPr>
      </w:pPr>
    </w:p>
    <w:p>
      <w:pPr>
        <w:ind w:left="640" w:hanging="216"/>
        <w:spacing w:after="0" w:line="295" w:lineRule="auto"/>
        <w:tabs>
          <w:tab w:leader="none" w:pos="63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the required contract, provide the required instructions, or adopt the required plan, during a Window Period and otherwise while not in possession of material nonpublic information;</w:t>
      </w:r>
    </w:p>
    <w:p>
      <w:pPr>
        <w:spacing w:after="0" w:line="90"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prior approval from the Chief Executive Officer, Chief Financial Officer or General Counsel for such Rule 10b5-1 plan, as well as any amendment of such plan;</w:t>
      </w:r>
    </w:p>
    <w:p>
      <w:pPr>
        <w:spacing w:after="0" w:line="154" w:lineRule="exact"/>
        <w:rPr>
          <w:rFonts w:ascii="Times New Roman" w:cs="Times New Roman" w:eastAsia="Times New Roman" w:hAnsi="Times New Roman"/>
          <w:sz w:val="14"/>
          <w:szCs w:val="14"/>
          <w:color w:val="auto"/>
        </w:rPr>
      </w:pPr>
    </w:p>
    <w:p>
      <w:pPr>
        <w:ind w:left="640" w:hanging="216"/>
        <w:spacing w:after="0" w:line="295" w:lineRule="auto"/>
        <w:tabs>
          <w:tab w:leader="none" w:pos="63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promptly to the Chief Executive Officer, Chief Financial Officer and General Counsel all transactions made pursuant to the Rule 10b5-1 plan, as well as any termination of the plan; and</w:t>
      </w:r>
    </w:p>
    <w:p>
      <w:pPr>
        <w:spacing w:after="0" w:line="99"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 plan with a duration of at least six months.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300"/>
          </w:cols>
          <w:pgMar w:left="300" w:top="994" w:right="299" w:bottom="1440" w:gutter="0" w:footer="0" w:header="0"/>
        </w:sectPr>
      </w:pPr>
    </w:p>
    <w:bookmarkStart w:id="181" w:name="page182"/>
    <w:bookmarkEnd w:id="181"/>
    <w:p>
      <w:pPr>
        <w:ind w:left="420" w:hanging="284"/>
        <w:spacing w:after="0"/>
        <w:tabs>
          <w:tab w:leader="none" w:pos="420"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Options Exercises</w:t>
      </w:r>
    </w:p>
    <w:p>
      <w:pPr>
        <w:spacing w:after="0" w:line="156" w:lineRule="exact"/>
        <w:rPr>
          <w:sz w:val="20"/>
          <w:szCs w:val="20"/>
          <w:color w:val="auto"/>
        </w:rPr>
      </w:pPr>
    </w:p>
    <w:p>
      <w:pPr>
        <w:jc w:val="both"/>
        <w:ind w:firstLine="153"/>
        <w:spacing w:after="0" w:line="268" w:lineRule="auto"/>
        <w:rPr>
          <w:sz w:val="20"/>
          <w:szCs w:val="20"/>
          <w:color w:val="auto"/>
        </w:rPr>
      </w:pPr>
      <w:r>
        <w:rPr>
          <w:rFonts w:ascii="Times New Roman" w:cs="Times New Roman" w:eastAsia="Times New Roman" w:hAnsi="Times New Roman"/>
          <w:sz w:val="14"/>
          <w:szCs w:val="14"/>
          <w:color w:val="auto"/>
        </w:rPr>
        <w:t>Directors, officers and employees who have stock options or other rights granted by Cartesian to purchase securities from the Company may exercise the options or purchase rights at any time permitted under the terms of the applicable option or other agreement so long as the exercise does not involve a broker-assisted cashless exercise. This rule applies only to options or purchase rights granted by the Company. Rules pertaining to options or purchase rights granted by third parties are described in the sections above captioned “Derivatives Transactions,” “Short Sales” and “Margin Accounts.” Please be aware, however, that any subsequent sale of securities purchased by means of the exercise of stock options or other rights in accordance with this policy must be made during a Window Period, pursuant to a Rule 10b5-1 plan, or otherwise approved by the Chief Executive Officer, Chief Financial Officer or General Counsel.</w:t>
      </w:r>
    </w:p>
    <w:p>
      <w:pPr>
        <w:spacing w:after="0" w:line="107" w:lineRule="exact"/>
        <w:rPr>
          <w:sz w:val="20"/>
          <w:szCs w:val="20"/>
          <w:color w:val="auto"/>
        </w:rPr>
      </w:pPr>
    </w:p>
    <w:p>
      <w:pPr>
        <w:ind w:left="140"/>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E.</w:t>
        <w:tab/>
        <w:t>Estate Planning and Gifts</w:t>
      </w:r>
    </w:p>
    <w:p>
      <w:pPr>
        <w:spacing w:after="0" w:line="156" w:lineRule="exact"/>
        <w:rPr>
          <w:sz w:val="20"/>
          <w:szCs w:val="20"/>
          <w:color w:val="auto"/>
        </w:rPr>
      </w:pPr>
    </w:p>
    <w:p>
      <w:pPr>
        <w:jc w:val="both"/>
        <w:ind w:firstLine="189"/>
        <w:spacing w:after="0" w:line="282" w:lineRule="auto"/>
        <w:rPr>
          <w:sz w:val="20"/>
          <w:szCs w:val="20"/>
          <w:color w:val="auto"/>
        </w:rPr>
      </w:pPr>
      <w:r>
        <w:rPr>
          <w:rFonts w:ascii="Times New Roman" w:cs="Times New Roman" w:eastAsia="Times New Roman" w:hAnsi="Times New Roman"/>
          <w:sz w:val="14"/>
          <w:szCs w:val="14"/>
          <w:color w:val="auto"/>
        </w:rPr>
        <w:t>Directors, officers and employees may at any time make bona fide gifts of Cartesian securities (such as charitable donations or family gifts or estate planning transfers). Depending on the circumstances, recipients of gifts may be subject to restrictions on subsequent sales of securities. Any such gifts made by directors and officers subject to Section 16 of the Exchange Act must be reported on Form 4 within two business days of the date of the transaction.</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Gifts that are part of a plan to circumvent the insider trading rules are not permitted.</w:t>
      </w:r>
    </w:p>
    <w:p>
      <w:pPr>
        <w:spacing w:after="0" w:line="152" w:lineRule="exact"/>
        <w:rPr>
          <w:sz w:val="20"/>
          <w:szCs w:val="20"/>
          <w:color w:val="auto"/>
        </w:rPr>
      </w:pPr>
    </w:p>
    <w:p>
      <w:pPr>
        <w:ind w:left="400" w:hanging="264"/>
        <w:spacing w:after="0"/>
        <w:tabs>
          <w:tab w:leader="none" w:pos="40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Stock Purchase Plans</w:t>
      </w:r>
    </w:p>
    <w:p>
      <w:pPr>
        <w:spacing w:after="0" w:line="15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Purchases of Cartesian stock under the Company’s employee stock purchase plan, if any, resulting from periodic or lump sum contributions of money thereto, pursuant to an election made at the time of plan enrollment, are not subject to this policy. Your initial election to participate in the plan, changes to that election for any enrollment period and sales of Cartesian stock purchased pursuant to the plan </w:t>
      </w:r>
      <w:r>
        <w:rPr>
          <w:rFonts w:ascii="Times New Roman" w:cs="Times New Roman" w:eastAsia="Times New Roman" w:hAnsi="Times New Roman"/>
          <w:sz w:val="14"/>
          <w:szCs w:val="14"/>
          <w:i w:val="1"/>
          <w:iCs w:val="1"/>
          <w:color w:val="auto"/>
        </w:rPr>
        <w:t>are</w:t>
      </w:r>
      <w:r>
        <w:rPr>
          <w:rFonts w:ascii="Times New Roman" w:cs="Times New Roman" w:eastAsia="Times New Roman" w:hAnsi="Times New Roman"/>
          <w:sz w:val="14"/>
          <w:szCs w:val="14"/>
          <w:color w:val="auto"/>
        </w:rPr>
        <w:t xml:space="preserve"> subject to this policy and must comply therewith.</w:t>
      </w:r>
    </w:p>
    <w:p>
      <w:pPr>
        <w:spacing w:after="0" w:line="97"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G.</w:t>
      </w:r>
      <w:r>
        <w:rPr>
          <w:sz w:val="20"/>
          <w:szCs w:val="20"/>
          <w:color w:val="auto"/>
        </w:rPr>
        <w:tab/>
      </w:r>
      <w:r>
        <w:rPr>
          <w:rFonts w:ascii="Times New Roman" w:cs="Times New Roman" w:eastAsia="Times New Roman" w:hAnsi="Times New Roman"/>
          <w:sz w:val="13"/>
          <w:szCs w:val="13"/>
          <w:b w:val="1"/>
          <w:bCs w:val="1"/>
          <w:color w:val="auto"/>
        </w:rPr>
        <w:t>Tax Obligations</w:t>
      </w:r>
    </w:p>
    <w:p>
      <w:pPr>
        <w:spacing w:after="0" w:line="156" w:lineRule="exact"/>
        <w:rPr>
          <w:sz w:val="20"/>
          <w:szCs w:val="20"/>
          <w:color w:val="auto"/>
        </w:rPr>
      </w:pPr>
    </w:p>
    <w:p>
      <w:pPr>
        <w:jc w:val="both"/>
        <w:ind w:firstLine="204"/>
        <w:spacing w:after="0" w:line="295" w:lineRule="auto"/>
        <w:rPr>
          <w:sz w:val="20"/>
          <w:szCs w:val="20"/>
          <w:color w:val="auto"/>
        </w:rPr>
      </w:pPr>
      <w:r>
        <w:rPr>
          <w:rFonts w:ascii="Times New Roman" w:cs="Times New Roman" w:eastAsia="Times New Roman" w:hAnsi="Times New Roman"/>
          <w:sz w:val="14"/>
          <w:szCs w:val="14"/>
          <w:color w:val="auto"/>
        </w:rPr>
        <w:t>Transactions between covered persons and Cartesian that are undertaken to satisfy tax obligations, such as upon the vesting of restricted stock units and the net issuance of shares, which effectively involves disposing of vested shares to the Company, are exempt under this policy.</w:t>
      </w:r>
    </w:p>
    <w:p>
      <w:pPr>
        <w:spacing w:after="0" w:line="88" w:lineRule="exact"/>
        <w:rPr>
          <w:sz w:val="20"/>
          <w:szCs w:val="20"/>
          <w:color w:val="auto"/>
        </w:rPr>
      </w:pPr>
    </w:p>
    <w:p>
      <w:pPr>
        <w:ind w:left="740" w:hanging="316"/>
        <w:spacing w:after="0"/>
        <w:tabs>
          <w:tab w:leader="none" w:pos="74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Transactions with the Company</w:t>
      </w:r>
    </w:p>
    <w:p>
      <w:pPr>
        <w:spacing w:after="0" w:line="165" w:lineRule="exact"/>
        <w:rPr>
          <w:sz w:val="20"/>
          <w:szCs w:val="20"/>
          <w:color w:val="auto"/>
        </w:rPr>
      </w:pPr>
    </w:p>
    <w:p>
      <w:pPr>
        <w:ind w:firstLine="144"/>
        <w:spacing w:after="0" w:line="295" w:lineRule="auto"/>
        <w:rPr>
          <w:sz w:val="20"/>
          <w:szCs w:val="20"/>
          <w:color w:val="auto"/>
        </w:rPr>
      </w:pPr>
      <w:r>
        <w:rPr>
          <w:rFonts w:ascii="Times New Roman" w:cs="Times New Roman" w:eastAsia="Times New Roman" w:hAnsi="Times New Roman"/>
          <w:sz w:val="14"/>
          <w:szCs w:val="14"/>
          <w:color w:val="auto"/>
        </w:rPr>
        <w:t>Purchases of Cartesian securities by a covered person from the Company, or sales of the Company’s securities by a covered person to the Company, may be made outside a Window Period with the prior approval of the Chief Executive Officer,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300"/>
          </w:cols>
          <w:pgMar w:left="300" w:top="992" w:right="299" w:bottom="1440" w:gutter="0" w:footer="0" w:header="0"/>
        </w:sectPr>
      </w:pPr>
    </w:p>
    <w:bookmarkStart w:id="182" w:name="page183"/>
    <w:bookmarkEnd w:id="182"/>
    <w:p>
      <w:pPr>
        <w:ind w:left="8"/>
        <w:spacing w:after="0"/>
        <w:tabs>
          <w:tab w:leader="none" w:pos="368" w:val="left"/>
        </w:tabs>
        <w:rPr>
          <w:sz w:val="20"/>
          <w:szCs w:val="20"/>
          <w:color w:val="auto"/>
        </w:rPr>
      </w:pPr>
      <w:r>
        <w:rPr>
          <w:rFonts w:ascii="Times New Roman" w:cs="Times New Roman" w:eastAsia="Times New Roman" w:hAnsi="Times New Roman"/>
          <w:sz w:val="14"/>
          <w:szCs w:val="14"/>
          <w:b w:val="1"/>
          <w:bCs w:val="1"/>
          <w:color w:val="auto"/>
        </w:rPr>
        <w:t>VII.</w:t>
        <w:tab/>
        <w:t>PRE-CLEARANCE PROCEDURES</w:t>
      </w:r>
    </w:p>
    <w:p>
      <w:pPr>
        <w:spacing w:after="0" w:line="156" w:lineRule="exact"/>
        <w:rPr>
          <w:sz w:val="20"/>
          <w:szCs w:val="20"/>
          <w:color w:val="auto"/>
        </w:rPr>
      </w:pPr>
    </w:p>
    <w:p>
      <w:pPr>
        <w:jc w:val="both"/>
        <w:ind w:left="8" w:right="20" w:firstLine="147"/>
        <w:spacing w:after="0" w:line="296" w:lineRule="auto"/>
        <w:rPr>
          <w:sz w:val="20"/>
          <w:szCs w:val="20"/>
          <w:color w:val="auto"/>
        </w:rPr>
      </w:pPr>
      <w:r>
        <w:rPr>
          <w:rFonts w:ascii="Times New Roman" w:cs="Times New Roman" w:eastAsia="Times New Roman" w:hAnsi="Times New Roman"/>
          <w:sz w:val="14"/>
          <w:szCs w:val="14"/>
          <w:color w:val="auto"/>
        </w:rPr>
        <w:t>The following Company personnel may not trade or engage in any other transaction involving the Company’s securities (including a securities plan transaction such as an option exercise, a gift, a loan or pledge, a contribution to a trust or any other transfer) without first obtaining pre-clearance of the transaction from the Chief Executive Officer, Chief Financial Officer or General Counsel:</w:t>
      </w:r>
    </w:p>
    <w:p>
      <w:pPr>
        <w:spacing w:after="0" w:line="269" w:lineRule="exact"/>
        <w:rPr>
          <w:sz w:val="20"/>
          <w:szCs w:val="20"/>
          <w:color w:val="auto"/>
        </w:rPr>
      </w:pPr>
    </w:p>
    <w:p>
      <w:pPr>
        <w:ind w:left="648" w:hanging="216"/>
        <w:spacing w:after="0"/>
        <w:tabs>
          <w:tab w:leader="none" w:pos="64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directors and executive officers who trade outside of a Rule 10b5-1 plan entered into in accordance with this policy;</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financial or investor relations employees as designated by the Chief Executive Officer, Chief Financial Officer or General Counsel; and</w:t>
      </w:r>
    </w:p>
    <w:p>
      <w:pPr>
        <w:spacing w:after="0" w:line="154"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other individuals as designated by the Chief Executive Officer, Chief Financial Officer or General Counsel.</w:t>
      </w:r>
    </w:p>
    <w:p>
      <w:pPr>
        <w:spacing w:after="0" w:line="154" w:lineRule="exact"/>
        <w:rPr>
          <w:sz w:val="20"/>
          <w:szCs w:val="20"/>
          <w:color w:val="auto"/>
        </w:rPr>
      </w:pPr>
    </w:p>
    <w:p>
      <w:pPr>
        <w:jc w:val="both"/>
        <w:ind w:left="8"/>
        <w:spacing w:after="0" w:line="309" w:lineRule="auto"/>
        <w:rPr>
          <w:sz w:val="20"/>
          <w:szCs w:val="20"/>
          <w:color w:val="auto"/>
        </w:rPr>
      </w:pPr>
      <w:r>
        <w:rPr>
          <w:rFonts w:ascii="Times New Roman" w:cs="Times New Roman" w:eastAsia="Times New Roman" w:hAnsi="Times New Roman"/>
          <w:sz w:val="14"/>
          <w:szCs w:val="14"/>
          <w:color w:val="auto"/>
        </w:rPr>
        <w:t>This pre-clearance requirement applies regardless of whether (i) the individual subject to pre-clearance possesses material nonpublic information regarding the Company or its securities or (ii) the trade occurs during a Window Period.</w:t>
      </w:r>
    </w:p>
    <w:p>
      <w:pPr>
        <w:spacing w:after="0" w:line="80" w:lineRule="exact"/>
        <w:rPr>
          <w:sz w:val="20"/>
          <w:szCs w:val="20"/>
          <w:color w:val="auto"/>
        </w:rPr>
      </w:pPr>
    </w:p>
    <w:p>
      <w:pPr>
        <w:jc w:val="both"/>
        <w:ind w:left="8" w:firstLine="180"/>
        <w:spacing w:after="0" w:line="262" w:lineRule="auto"/>
        <w:rPr>
          <w:sz w:val="20"/>
          <w:szCs w:val="20"/>
          <w:color w:val="auto"/>
        </w:rPr>
      </w:pPr>
      <w:r>
        <w:rPr>
          <w:rFonts w:ascii="Times New Roman" w:cs="Times New Roman" w:eastAsia="Times New Roman" w:hAnsi="Times New Roman"/>
          <w:sz w:val="14"/>
          <w:szCs w:val="14"/>
          <w:color w:val="auto"/>
        </w:rPr>
        <w:t>A request for pre-clearance must be submitted to the Chief Executive Officer, Chief Financial Officer and General Counsel at least two business days prior to consummation of an intended transaction; provided, however, that none of the Chief Executive Officer, Chief Financial Officer or General Counsel may provide pre-clearance for a proposed transaction by him or herself. Notice may be given orally or in writing and should include in the request (i) the transaction type, (ii) the number and type of securities he or she intends to trade, (iii) the intended transaction date,</w:t>
      </w:r>
    </w:p>
    <w:p>
      <w:pPr>
        <w:spacing w:after="0" w:line="2" w:lineRule="exact"/>
        <w:rPr>
          <w:sz w:val="20"/>
          <w:szCs w:val="20"/>
          <w:color w:val="auto"/>
        </w:rPr>
      </w:pPr>
    </w:p>
    <w:p>
      <w:pPr>
        <w:ind w:left="8" w:hanging="8"/>
        <w:spacing w:after="0" w:line="271" w:lineRule="auto"/>
        <w:tabs>
          <w:tab w:leader="none" w:pos="253"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confirmation that he or she has reviewed this policy and (v) a confirmation that he or she is not aware of any material nonpublic information about the Company or its securities. Approval or denial of the pre-clearance request will be provided to the insider in writing.</w:t>
      </w:r>
    </w:p>
    <w:p>
      <w:pPr>
        <w:spacing w:after="0" w:line="115" w:lineRule="exact"/>
        <w:rPr>
          <w:sz w:val="20"/>
          <w:szCs w:val="20"/>
          <w:color w:val="auto"/>
        </w:rPr>
      </w:pPr>
    </w:p>
    <w:p>
      <w:pPr>
        <w:jc w:val="both"/>
        <w:ind w:left="8" w:firstLine="193"/>
        <w:spacing w:after="0" w:line="265" w:lineRule="auto"/>
        <w:rPr>
          <w:sz w:val="20"/>
          <w:szCs w:val="20"/>
          <w:color w:val="auto"/>
        </w:rPr>
      </w:pPr>
      <w:r>
        <w:rPr>
          <w:rFonts w:ascii="Times New Roman" w:cs="Times New Roman" w:eastAsia="Times New Roman" w:hAnsi="Times New Roman"/>
          <w:sz w:val="14"/>
          <w:szCs w:val="14"/>
          <w:color w:val="auto"/>
        </w:rPr>
        <w:t>If a proposed transaction receives pre-clearance, the pre-cleared trade must be effected by the close of business on the second business day following receipt of pre-clearance unless (i) the insider becomes aware of material nonpublic information or (ii) the insider is advised by the Company that the pre-clearance has been revoked prior to that time. In the case of either (i) or (ii), the trade must not be completed. For example, if the pre-clearance were issued on a Friday, it would generally be effective through the close of business on the next Tuesday. If the transaction order is not placed within this time period, clearance of the transaction must be re-requested. Notice of a pre-cleared transaction must be provided by the applicable insider to the Chief Executive Officer, Chief Financial Officer and General Counsel on the same date of execution. Please note that the date of execution is the trade date and not the settlement date.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308"/>
          </w:cols>
          <w:pgMar w:left="292" w:top="992" w:right="299" w:bottom="1440" w:gutter="0" w:footer="0" w:header="0"/>
        </w:sectPr>
      </w:pPr>
    </w:p>
    <w:bookmarkStart w:id="183" w:name="page184"/>
    <w:bookmarkEnd w:id="183"/>
    <w:p>
      <w:pPr>
        <w:spacing w:after="0"/>
        <w:tabs>
          <w:tab w:leader="none" w:pos="420" w:val="left"/>
        </w:tabs>
        <w:rPr>
          <w:sz w:val="20"/>
          <w:szCs w:val="20"/>
          <w:color w:val="auto"/>
        </w:rPr>
      </w:pPr>
      <w:r>
        <w:rPr>
          <w:rFonts w:ascii="Times New Roman" w:cs="Times New Roman" w:eastAsia="Times New Roman" w:hAnsi="Times New Roman"/>
          <w:sz w:val="14"/>
          <w:szCs w:val="14"/>
          <w:b w:val="1"/>
          <w:bCs w:val="1"/>
          <w:color w:val="auto"/>
        </w:rPr>
        <w:t>VIII.</w:t>
        <w:tab/>
        <w:t>SECTION 16 POLICY</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Covered persons who are Company directors and officers subject to Section 16 of the Exchange Act must follow the additional policies and procedures set forth in Annex A to this policy.</w:t>
      </w:r>
    </w:p>
    <w:p>
      <w:pPr>
        <w:spacing w:after="0" w:line="1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b w:val="1"/>
          <w:bCs w:val="1"/>
          <w:color w:val="auto"/>
        </w:rPr>
        <w:t>IX.</w:t>
        <w:tab/>
        <w:t>INQUIRIES</w:t>
      </w:r>
    </w:p>
    <w:p>
      <w:pPr>
        <w:spacing w:after="0" w:line="165" w:lineRule="exact"/>
        <w:rPr>
          <w:sz w:val="20"/>
          <w:szCs w:val="20"/>
          <w:color w:val="auto"/>
        </w:rPr>
      </w:pPr>
    </w:p>
    <w:p>
      <w:pPr>
        <w:ind w:firstLine="192"/>
        <w:spacing w:after="0" w:line="295" w:lineRule="auto"/>
        <w:rPr>
          <w:sz w:val="20"/>
          <w:szCs w:val="20"/>
          <w:color w:val="auto"/>
        </w:rPr>
      </w:pPr>
      <w:r>
        <w:rPr>
          <w:rFonts w:ascii="Times New Roman" w:cs="Times New Roman" w:eastAsia="Times New Roman" w:hAnsi="Times New Roman"/>
          <w:sz w:val="14"/>
          <w:szCs w:val="14"/>
          <w:color w:val="auto"/>
        </w:rPr>
        <w:t>Any person who has a question about this policy or its application to any proposed transaction may obtain additional guidance from the General Counsel, who can be reached by email at matt.bartholomae@cartesiantx.com.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Adopted on March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300"/>
          </w:cols>
          <w:pgMar w:left="300" w:top="992" w:right="299" w:bottom="1440" w:gutter="0" w:footer="0" w:header="0"/>
        </w:sectPr>
      </w:pPr>
    </w:p>
    <w:bookmarkStart w:id="184" w:name="page185"/>
    <w:bookmarkEnd w:id="184"/>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ADDITIONAL POLICIES AND PROCEDURES ON TRADING CARTESIAN SECURITIES BY COMPANY DIRECTORS AND OFFICERS</w:t>
      </w:r>
    </w:p>
    <w:p>
      <w:pPr>
        <w:spacing w:after="0" w:line="154" w:lineRule="exact"/>
        <w:rPr>
          <w:sz w:val="20"/>
          <w:szCs w:val="20"/>
          <w:color w:val="auto"/>
        </w:rPr>
      </w:pPr>
    </w:p>
    <w:p>
      <w:pPr>
        <w:ind w:left="268" w:hanging="268"/>
        <w:spacing w:after="0"/>
        <w:tabs>
          <w:tab w:leader="none" w:pos="268"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INTRODUCTION</w:t>
      </w:r>
    </w:p>
    <w:p>
      <w:pPr>
        <w:spacing w:after="0" w:line="165" w:lineRule="exact"/>
        <w:rPr>
          <w:sz w:val="20"/>
          <w:szCs w:val="20"/>
          <w:color w:val="auto"/>
        </w:rPr>
      </w:pPr>
    </w:p>
    <w:p>
      <w:pPr>
        <w:jc w:val="both"/>
        <w:ind w:left="8" w:firstLine="432"/>
        <w:spacing w:after="0" w:line="275" w:lineRule="auto"/>
        <w:rPr>
          <w:sz w:val="20"/>
          <w:szCs w:val="20"/>
          <w:color w:val="auto"/>
        </w:rPr>
      </w:pPr>
      <w:r>
        <w:rPr>
          <w:rFonts w:ascii="Times New Roman" w:cs="Times New Roman" w:eastAsia="Times New Roman" w:hAnsi="Times New Roman"/>
          <w:sz w:val="14"/>
          <w:szCs w:val="14"/>
          <w:color w:val="auto"/>
        </w:rPr>
        <w:t>Cartesian, Inc. (“Cartesian” or the “Company”) has adopted the following policies and procedures with respect to trading in Cartesian securities by the Company’s directors and officers. These policies and procedures supplement the Cartesian Insider Trading Policy and are designed to help directors and officers comply with the requirements of Section 16 of the Securities Exchange Act of 1934, as amended (the “Exchange Act”).</w:t>
      </w:r>
    </w:p>
    <w:p>
      <w:pPr>
        <w:spacing w:after="0" w:line="104" w:lineRule="exact"/>
        <w:rPr>
          <w:sz w:val="20"/>
          <w:szCs w:val="20"/>
          <w:color w:val="auto"/>
        </w:rPr>
      </w:pPr>
    </w:p>
    <w:p>
      <w:pPr>
        <w:jc w:val="both"/>
        <w:ind w:left="8" w:firstLine="146"/>
        <w:spacing w:after="0" w:line="282" w:lineRule="auto"/>
        <w:rPr>
          <w:sz w:val="20"/>
          <w:szCs w:val="20"/>
          <w:color w:val="auto"/>
        </w:rPr>
      </w:pPr>
      <w:r>
        <w:rPr>
          <w:rFonts w:ascii="Times New Roman" w:cs="Times New Roman" w:eastAsia="Times New Roman" w:hAnsi="Times New Roman"/>
          <w:sz w:val="14"/>
          <w:szCs w:val="14"/>
          <w:color w:val="auto"/>
        </w:rPr>
        <w:t>All persons subject to this policy are responsible for reading these policies and procedures and complying with them. You should direct any questions about the application of these policies and procedures or requests for exceptions, to the General Counsel. Although the Chief Executive Officer, Chief Financial Officer and General Counsel generally are responsible for the implementation of these policies and procedures, the Chief Executive Officer, Chief Financial Officer or General Counsel may designate employees to carry out any of the duties described below.</w:t>
      </w:r>
    </w:p>
    <w:p>
      <w:pPr>
        <w:spacing w:after="0" w:line="97" w:lineRule="exact"/>
        <w:rPr>
          <w:sz w:val="20"/>
          <w:szCs w:val="20"/>
          <w:color w:val="auto"/>
        </w:rPr>
      </w:pPr>
    </w:p>
    <w:p>
      <w:pPr>
        <w:ind w:left="288" w:hanging="288"/>
        <w:spacing w:after="0"/>
        <w:tabs>
          <w:tab w:leader="none" w:pos="288"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PERSONS AFFECTED</w:t>
      </w:r>
    </w:p>
    <w:p>
      <w:pPr>
        <w:spacing w:after="0" w:line="156" w:lineRule="exact"/>
        <w:rPr>
          <w:sz w:val="20"/>
          <w:szCs w:val="20"/>
          <w:color w:val="auto"/>
        </w:rPr>
      </w:pPr>
    </w:p>
    <w:p>
      <w:pPr>
        <w:jc w:val="both"/>
        <w:ind w:left="8" w:firstLine="432"/>
        <w:spacing w:after="0" w:line="275" w:lineRule="auto"/>
        <w:rPr>
          <w:sz w:val="20"/>
          <w:szCs w:val="20"/>
          <w:color w:val="auto"/>
        </w:rPr>
      </w:pPr>
      <w:r>
        <w:rPr>
          <w:rFonts w:ascii="Times New Roman" w:cs="Times New Roman" w:eastAsia="Times New Roman" w:hAnsi="Times New Roman"/>
          <w:sz w:val="14"/>
          <w:szCs w:val="14"/>
          <w:color w:val="auto"/>
        </w:rPr>
        <w:t>This policy applies to Cartesian’s directors and officers. Cartesian’s board of directors has designated “officers” for purposes of Section 16, each of whom will be subject to the reporting requirements and “short-swing” profit provisions of Section 16 discussed below. If you are a director of Cartesian or have been designated as an “officer” of Cartesian for the purposes of Section 16, you should read this Annex carefully.</w:t>
      </w:r>
    </w:p>
    <w:p>
      <w:pPr>
        <w:spacing w:after="0" w:line="102" w:lineRule="exact"/>
        <w:rPr>
          <w:sz w:val="20"/>
          <w:szCs w:val="20"/>
          <w:color w:val="auto"/>
        </w:rPr>
      </w:pPr>
    </w:p>
    <w:p>
      <w:pPr>
        <w:ind w:left="148" w:right="4720" w:hanging="148"/>
        <w:spacing w:after="0" w:line="477" w:lineRule="auto"/>
        <w:tabs>
          <w:tab w:leader="none" w:pos="352"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REPORTING AND OTHER TRADING RESTRICTIONS UNDER FEDERAL SECURITIES LAWS A. Section 16(a) Reporting Requirements</w:t>
      </w:r>
    </w:p>
    <w:p>
      <w:pPr>
        <w:spacing w:after="0" w:line="1" w:lineRule="exact"/>
        <w:rPr>
          <w:sz w:val="20"/>
          <w:szCs w:val="20"/>
          <w:color w:val="auto"/>
        </w:rPr>
      </w:pPr>
    </w:p>
    <w:p>
      <w:pPr>
        <w:jc w:val="both"/>
        <w:ind w:left="8" w:firstLine="214"/>
        <w:spacing w:after="0" w:line="275" w:lineRule="auto"/>
        <w:rPr>
          <w:sz w:val="20"/>
          <w:szCs w:val="20"/>
          <w:color w:val="auto"/>
        </w:rPr>
      </w:pPr>
      <w:r>
        <w:rPr>
          <w:rFonts w:ascii="Times New Roman" w:cs="Times New Roman" w:eastAsia="Times New Roman" w:hAnsi="Times New Roman"/>
          <w:sz w:val="14"/>
          <w:szCs w:val="14"/>
          <w:color w:val="auto"/>
        </w:rPr>
        <w:t>Section 16(a) of the Exchange Act requires that Cartesian’s insiders file electronic beneficial ownership reports in connection with their purchases and sales of the Company’s securities. Securities and Exchange Commission (“SEC”) rules require that all filings be made with the SEC electronically and on Cartesian’s website. Further, Cartesian is required to disclose in its annual proxy statement the names of all insiders who have failed to timely file all required Section 16(a) reports.</w:t>
      </w:r>
    </w:p>
    <w:p>
      <w:pPr>
        <w:spacing w:after="0" w:line="102" w:lineRule="exact"/>
        <w:rPr>
          <w:sz w:val="20"/>
          <w:szCs w:val="20"/>
          <w:color w:val="auto"/>
        </w:rPr>
      </w:pPr>
    </w:p>
    <w:p>
      <w:pPr>
        <w:ind w:left="288"/>
        <w:spacing w:after="0"/>
        <w:tabs>
          <w:tab w:leader="none" w:pos="528" w:val="left"/>
        </w:tabs>
        <w:rPr>
          <w:sz w:val="20"/>
          <w:szCs w:val="20"/>
          <w:color w:val="auto"/>
        </w:rPr>
      </w:pPr>
      <w:r>
        <w:rPr>
          <w:rFonts w:ascii="Times New Roman" w:cs="Times New Roman" w:eastAsia="Times New Roman" w:hAnsi="Times New Roman"/>
          <w:sz w:val="14"/>
          <w:szCs w:val="14"/>
          <w:b w:val="1"/>
          <w:bCs w:val="1"/>
          <w:color w:val="auto"/>
        </w:rPr>
        <w:t>1.</w:t>
        <w:tab/>
        <w:t>Form 3</w:t>
      </w:r>
    </w:p>
    <w:p>
      <w:pPr>
        <w:spacing w:after="0" w:line="165"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4"/>
          <w:szCs w:val="14"/>
          <w:color w:val="auto"/>
        </w:rPr>
        <w:t>An insider must file a Form 3 (entitled “Initial Statement of Beneficial Ownership of Securities”) with the SEC to report that he or she is an insider and his or her ownership interests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308"/>
          </w:cols>
          <w:pgMar w:left="292" w:top="992" w:right="2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color w:val="auto"/>
        </w:rPr>
        <w:t>in Cartesian. Anyone becoming an insider in the future must file a Form 3 within ten days of becoming an insider.</w:t>
      </w:r>
    </w:p>
    <w:p>
      <w:pPr>
        <w:spacing w:after="0" w:line="152"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2.</w:t>
        <w:tab/>
        <w:t>Forms 4 and 5</w:t>
      </w:r>
    </w:p>
    <w:p>
      <w:pPr>
        <w:spacing w:after="0" w:line="156" w:lineRule="exact"/>
        <w:rPr>
          <w:sz w:val="20"/>
          <w:szCs w:val="20"/>
          <w:color w:val="auto"/>
        </w:rPr>
      </w:pPr>
    </w:p>
    <w:p>
      <w:pPr>
        <w:ind w:firstLine="169"/>
        <w:spacing w:after="0" w:line="309" w:lineRule="auto"/>
        <w:rPr>
          <w:sz w:val="20"/>
          <w:szCs w:val="20"/>
          <w:color w:val="auto"/>
        </w:rPr>
      </w:pPr>
      <w:r>
        <w:rPr>
          <w:rFonts w:ascii="Times New Roman" w:cs="Times New Roman" w:eastAsia="Times New Roman" w:hAnsi="Times New Roman"/>
          <w:sz w:val="14"/>
          <w:szCs w:val="14"/>
          <w:color w:val="auto"/>
        </w:rPr>
        <w:t>An insider must file a Form 4 (entitled “Statement of Changes in Beneficial Ownership”) with the SEC to report a transaction within two business days after the date of such transaction if it results in a change in his or her beneficial ownership of Cartesian’s equity securities. There are three general exceptions to the two-business-day reporting requirement.</w:t>
      </w:r>
    </w:p>
    <w:p>
      <w:pPr>
        <w:spacing w:after="0" w:line="78" w:lineRule="exact"/>
        <w:rPr>
          <w:sz w:val="20"/>
          <w:szCs w:val="20"/>
          <w:color w:val="auto"/>
        </w:rPr>
      </w:pPr>
    </w:p>
    <w:p>
      <w:pPr>
        <w:ind w:firstLine="164"/>
        <w:spacing w:after="0" w:line="298" w:lineRule="auto"/>
        <w:rPr>
          <w:sz w:val="20"/>
          <w:szCs w:val="20"/>
          <w:color w:val="auto"/>
        </w:rPr>
      </w:pPr>
      <w:r>
        <w:rPr>
          <w:rFonts w:ascii="Times New Roman" w:cs="Times New Roman" w:eastAsia="Times New Roman" w:hAnsi="Times New Roman"/>
          <w:sz w:val="14"/>
          <w:szCs w:val="14"/>
          <w:color w:val="auto"/>
        </w:rPr>
        <w:t xml:space="preserve">First, the following types of transactions may be reported on a Form 4 within two business days following the date the insider receives </w:t>
      </w:r>
      <w:r>
        <w:rPr>
          <w:rFonts w:ascii="Times New Roman" w:cs="Times New Roman" w:eastAsia="Times New Roman" w:hAnsi="Times New Roman"/>
          <w:sz w:val="14"/>
          <w:szCs w:val="14"/>
          <w:i w:val="1"/>
          <w:iCs w:val="1"/>
          <w:color w:val="auto"/>
        </w:rPr>
        <w:t>notice of the transaction</w:t>
      </w:r>
      <w:r>
        <w:rPr>
          <w:rFonts w:ascii="Times New Roman" w:cs="Times New Roman" w:eastAsia="Times New Roman" w:hAnsi="Times New Roman"/>
          <w:sz w:val="14"/>
          <w:szCs w:val="14"/>
          <w:color w:val="auto"/>
        </w:rPr>
        <w:t xml:space="preserve"> (but in no event later than five business days following the transaction), rather than two business days following the date on which the transaction occurs:</w:t>
      </w:r>
    </w:p>
    <w:p>
      <w:pPr>
        <w:spacing w:after="0" w:line="88" w:lineRule="exact"/>
        <w:rPr>
          <w:sz w:val="20"/>
          <w:szCs w:val="20"/>
          <w:color w:val="auto"/>
        </w:rPr>
      </w:pPr>
    </w:p>
    <w:p>
      <w:pPr>
        <w:ind w:left="640" w:hanging="216"/>
        <w:spacing w:after="0"/>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transaction pursuant to a Rule 10b5-1 plan under which the insider does not select the date on which the purchases or sales take place; and</w:t>
      </w:r>
    </w:p>
    <w:p>
      <w:pPr>
        <w:spacing w:after="0" w:line="154" w:lineRule="exact"/>
        <w:rPr>
          <w:rFonts w:ascii="Times New Roman" w:cs="Times New Roman" w:eastAsia="Times New Roman" w:hAnsi="Times New Roman"/>
          <w:sz w:val="14"/>
          <w:szCs w:val="14"/>
          <w:color w:val="auto"/>
        </w:rPr>
      </w:pPr>
    </w:p>
    <w:p>
      <w:pPr>
        <w:ind w:left="640" w:hanging="216"/>
        <w:spacing w:after="0" w:line="309" w:lineRule="auto"/>
        <w:tabs>
          <w:tab w:leader="none" w:pos="63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“discretionary transaction” (as defined in Rule 16b-3) pursuant to an employee benefit plan for which the insider does not select the date on which transactions take place (such as transfers in or out of, or cash withdrawals from, a company stock fund in a 401(k) plan or other employee benefit plan).</w:t>
      </w:r>
    </w:p>
    <w:p>
      <w:pPr>
        <w:spacing w:after="0" w:line="8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Second, certain transactions may, and in a few instances must, be reported on a year-end Form 5 (entitled “Annual Statement of Changes in Beneficial Ownership of Securities”). A Form 5 must be filed with the SEC within 45 days after the end of such fiscal year by each person who was an insider for any part of a company’s fiscal year (unless he or she has no transactions to report on the Form 5). There are certain limited types of stock transactions that the SEC has designated as eligible for Form 5 filing (rather than a Form 4 filing). Insiders also must report on a Form 5 all transactions that occurred during the fiscal year that should have been, but were not, reported earlier on Form 4.</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Third, the following types of transactions do not trigger any Form 4 or Form 5 filing requirement:</w:t>
      </w:r>
    </w:p>
    <w:p>
      <w:pPr>
        <w:spacing w:after="0" w:line="163" w:lineRule="exact"/>
        <w:rPr>
          <w:sz w:val="20"/>
          <w:szCs w:val="20"/>
          <w:color w:val="auto"/>
        </w:rPr>
      </w:pPr>
    </w:p>
    <w:p>
      <w:pPr>
        <w:ind w:left="640" w:hanging="216"/>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under an employee stock purchase plan;</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transaction (other than a “discretionary transaction”) under certain employee benefit plans, such as pension plans, 401(k) plans, or related excess benefit plans;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through a stock split, stock dividend or other pro rata distribution to stockholders of the Company;</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under certain dividend or interest reinvestment plans; and</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or disposition as a result of a domestic relations orders (such as a divorce decree).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1300"/>
          </w:cols>
          <w:pgMar w:left="300" w:top="994" w:right="299" w:bottom="1440" w:gutter="0" w:footer="0" w:header="0"/>
        </w:sectPr>
      </w:pPr>
    </w:p>
    <w:bookmarkStart w:id="186" w:name="page187"/>
    <w:bookmarkEnd w:id="186"/>
    <w:p>
      <w:pPr>
        <w:jc w:val="both"/>
        <w:ind w:firstLine="157"/>
        <w:spacing w:after="0" w:line="295" w:lineRule="auto"/>
        <w:rPr>
          <w:sz w:val="20"/>
          <w:szCs w:val="20"/>
          <w:color w:val="auto"/>
        </w:rPr>
      </w:pPr>
      <w:r>
        <w:rPr>
          <w:rFonts w:ascii="Times New Roman" w:cs="Times New Roman" w:eastAsia="Times New Roman" w:hAnsi="Times New Roman"/>
          <w:sz w:val="14"/>
          <w:szCs w:val="14"/>
          <w:color w:val="auto"/>
        </w:rPr>
        <w:t>Although these transactions do not require the filing of a Form 4 or Form 5, the next Form 4 or Form 5 filed after the occurrence of one of these transactions should reflect the effects of these transactions in the column reporting post-transaction security ownership.</w:t>
      </w:r>
    </w:p>
    <w:p>
      <w:pPr>
        <w:spacing w:after="0" w:line="88"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3.</w:t>
        <w:tab/>
        <w:t>Preparation of Forms 3, 4 and 5</w:t>
      </w:r>
    </w:p>
    <w:p>
      <w:pPr>
        <w:spacing w:after="0" w:line="165" w:lineRule="exact"/>
        <w:rPr>
          <w:sz w:val="20"/>
          <w:szCs w:val="20"/>
          <w:color w:val="auto"/>
        </w:rPr>
      </w:pPr>
    </w:p>
    <w:p>
      <w:pPr>
        <w:jc w:val="both"/>
        <w:ind w:firstLine="146"/>
        <w:spacing w:after="0" w:line="275" w:lineRule="auto"/>
        <w:rPr>
          <w:sz w:val="20"/>
          <w:szCs w:val="20"/>
          <w:color w:val="auto"/>
        </w:rPr>
      </w:pPr>
      <w:r>
        <w:rPr>
          <w:rFonts w:ascii="Times New Roman" w:cs="Times New Roman" w:eastAsia="Times New Roman" w:hAnsi="Times New Roman"/>
          <w:sz w:val="14"/>
          <w:szCs w:val="14"/>
          <w:color w:val="auto"/>
        </w:rPr>
        <w:t>Although the responsibility for the timely filing of reports and compliance with trading restrictions rests with each individual required to report or comply, the General Counsel will prepare and file Forms 3, 4, and 5 on behalf of insiders who are Company directors and officers. All Forms 3, 4, and 5 prepared on behalf of an insider will be based on information provided by the insider. Accordingly, all insiders must fill out and deliver to the General Counsel a Form ID (a form to obtain access codes to file on the SEC’s electronic filing system).</w:t>
      </w:r>
    </w:p>
    <w:p>
      <w:pPr>
        <w:spacing w:after="0" w:line="102" w:lineRule="exact"/>
        <w:rPr>
          <w:sz w:val="20"/>
          <w:szCs w:val="20"/>
          <w:color w:val="auto"/>
        </w:rPr>
      </w:pPr>
    </w:p>
    <w:p>
      <w:pPr>
        <w:ind w:left="440" w:hanging="304"/>
        <w:spacing w:after="0"/>
        <w:tabs>
          <w:tab w:leader="none" w:pos="440"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16(b) Short-Swing Profit Liability</w:t>
      </w:r>
    </w:p>
    <w:p>
      <w:pPr>
        <w:spacing w:after="0" w:line="156" w:lineRule="exact"/>
        <w:rPr>
          <w:sz w:val="20"/>
          <w:szCs w:val="20"/>
          <w:color w:val="auto"/>
        </w:rPr>
      </w:pPr>
    </w:p>
    <w:p>
      <w:pPr>
        <w:jc w:val="both"/>
        <w:ind w:firstLine="146"/>
        <w:spacing w:after="0" w:line="268" w:lineRule="auto"/>
        <w:rPr>
          <w:sz w:val="20"/>
          <w:szCs w:val="20"/>
          <w:color w:val="auto"/>
        </w:rPr>
      </w:pPr>
      <w:r>
        <w:rPr>
          <w:rFonts w:ascii="Times New Roman" w:cs="Times New Roman" w:eastAsia="Times New Roman" w:hAnsi="Times New Roman"/>
          <w:sz w:val="14"/>
          <w:szCs w:val="14"/>
          <w:color w:val="auto"/>
        </w:rPr>
        <w:t>Section 16(b) of the Exchange Act allows the Company to recover any profit realized by one of its insiders resulting from any combination of purchases and sales of Cartesian’s equity securities within a period of less than six months. Such liability arises without regard to whether any such transactions occur during the Window Period referred to above. Profits are determined for this purpose by matching the highest sales price during the period with the lowest purchase price and are to be recovered even though the insider realized no actual profit for the period or he or she sustained a net loss. Although the purpose of the statute is to prevent trading on the basis of material nonpublic information, the recovery provision operates without regard to the intent of the insider or the actual possession of material nonpublic information and may not be waived by the Company.</w:t>
      </w:r>
    </w:p>
    <w:p>
      <w:pPr>
        <w:spacing w:after="0" w:line="109" w:lineRule="exact"/>
        <w:rPr>
          <w:sz w:val="20"/>
          <w:szCs w:val="20"/>
          <w:color w:val="auto"/>
        </w:rPr>
      </w:pPr>
    </w:p>
    <w:p>
      <w:pPr>
        <w:jc w:val="both"/>
        <w:ind w:firstLine="176"/>
        <w:spacing w:after="0" w:line="268" w:lineRule="auto"/>
        <w:rPr>
          <w:sz w:val="20"/>
          <w:szCs w:val="20"/>
          <w:color w:val="auto"/>
        </w:rPr>
      </w:pPr>
      <w:r>
        <w:rPr>
          <w:rFonts w:ascii="Times New Roman" w:cs="Times New Roman" w:eastAsia="Times New Roman" w:hAnsi="Times New Roman"/>
          <w:sz w:val="14"/>
          <w:szCs w:val="14"/>
          <w:color w:val="auto"/>
        </w:rPr>
        <w:t>The restrictions on “short-swing” trading apply not only to trading in Cartesian’s securities but also to any “derivative security.” Thus, for example, a grant or exercise of options (other than grants or exercises made under a plan that is exempt from Section 16) would be considered to be a “purchase” or sales of Cartesian securities under Section 16. Other transactions not necessarily thought to involve purchases, such as corporate mergers, also may be covered. The SEC has exempted certain transactions, such as purchases under employee benefit plans that have been approved by stockholders or the board of directors, from the “short-swing” profit recovery provisions of Section 16 (but not the reporting provisions). Directors and officers remain subject to these Section 16 requirements and restrictions for a period of up to six months after terminating their positions with Cartesian.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1300"/>
          </w:cols>
          <w:pgMar w:left="300" w:top="994" w:right="29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Subsidiaries of Cartesian Therapeutics, Inc.:</w:t>
            </w:r>
          </w:p>
        </w:tc>
        <w:tc>
          <w:tcPr>
            <w:tcW w:w="5500" w:type="dxa"/>
            <w:vAlign w:val="bottom"/>
          </w:tcPr>
          <w:p>
            <w:pPr>
              <w:spacing w:after="0"/>
              <w:rPr>
                <w:sz w:val="13"/>
                <w:szCs w:val="13"/>
                <w:color w:val="auto"/>
              </w:rPr>
            </w:pPr>
          </w:p>
        </w:tc>
      </w:tr>
      <w:tr>
        <w:trPr>
          <w:trHeight w:val="333"/>
        </w:trPr>
        <w:tc>
          <w:tcPr>
            <w:tcW w:w="5760" w:type="dxa"/>
            <w:vAlign w:val="bottom"/>
            <w:gridSpan w:val="2"/>
          </w:tcPr>
          <w:p>
            <w:pPr>
              <w:ind w:left="26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5500" w:type="dxa"/>
            <w:vAlign w:val="bottom"/>
          </w:tcPr>
          <w:p>
            <w:pPr>
              <w:ind w:left="2020"/>
              <w:spacing w:after="0"/>
              <w:rPr>
                <w:sz w:val="20"/>
                <w:szCs w:val="20"/>
                <w:color w:val="auto"/>
              </w:rPr>
            </w:pPr>
            <w:r>
              <w:rPr>
                <w:rFonts w:ascii="Times New Roman" w:cs="Times New Roman" w:eastAsia="Times New Roman" w:hAnsi="Times New Roman"/>
                <w:sz w:val="12"/>
                <w:szCs w:val="12"/>
                <w:b w:val="1"/>
                <w:bCs w:val="1"/>
                <w:color w:val="auto"/>
              </w:rPr>
              <w:t>Jurisdiction of Organization</w:t>
            </w:r>
          </w:p>
        </w:tc>
      </w:tr>
      <w:tr>
        <w:trPr>
          <w:trHeight w:val="142"/>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Selecta (RUS) LLC</w:t>
            </w:r>
          </w:p>
        </w:tc>
        <w:tc>
          <w:tcPr>
            <w:tcW w:w="260" w:type="dxa"/>
            <w:vAlign w:val="bottom"/>
            <w:tcBorders>
              <w:top w:val="single" w:sz="8" w:color="CCEEFF"/>
            </w:tcBorders>
            <w:shd w:val="clear" w:color="auto" w:fill="CCEEFF"/>
          </w:tcPr>
          <w:p>
            <w:pPr>
              <w:spacing w:after="0"/>
              <w:rPr>
                <w:sz w:val="12"/>
                <w:szCs w:val="12"/>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Russia</w:t>
            </w:r>
          </w:p>
        </w:tc>
      </w:tr>
      <w:tr>
        <w:trPr>
          <w:trHeight w:val="155"/>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Cartesian Bio, LLC</w:t>
            </w:r>
          </w:p>
        </w:tc>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Delaware</w:t>
            </w:r>
          </w:p>
        </w:tc>
      </w:tr>
    </w:tbl>
    <w:p>
      <w:pPr>
        <w:sectPr>
          <w:pgSz w:w="11900" w:h="16838" w:orient="portrait"/>
          <w:cols w:equalWidth="0" w:num="1">
            <w:col w:w="11300"/>
          </w:cols>
          <w:pgMar w:left="300" w:top="125" w:right="29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82" w:lineRule="exact"/>
        <w:rPr>
          <w:sz w:val="20"/>
          <w:szCs w:val="20"/>
          <w:color w:val="auto"/>
        </w:rPr>
      </w:pPr>
    </w:p>
    <w:p>
      <w:pPr>
        <w:ind w:left="540" w:right="60" w:hanging="332"/>
        <w:spacing w:after="0" w:line="295" w:lineRule="auto"/>
        <w:tabs>
          <w:tab w:leader="none" w:pos="53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333-212215) pertaining to the 2008 Stock Incentive Plan, as amended, the 2016 Incentive Award Plan and the 2016 Employee Stock Purchase Plan of Cartesian Therapeutics, Inc.,</w:t>
      </w:r>
    </w:p>
    <w:p>
      <w:pPr>
        <w:spacing w:after="0" w:line="18"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333-224109) pertaining to the 2016 Incentive Awards Plan and the 2016 Employee Stock Purchase Plan of Cartesian Therapeutics, Inc.,</w:t>
      </w:r>
    </w:p>
    <w:p>
      <w:pPr>
        <w:spacing w:after="0" w:line="91"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333-228264) pertaining to the 2018 Employment Inducement Incentive Award Plan of Cartesian Therapeutics, Inc.,</w:t>
      </w:r>
    </w:p>
    <w:p>
      <w:pPr>
        <w:spacing w:after="0" w:line="82"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333-230501) pertaining to the 2018 Employment Inducement Incentive Award Plan of Cartesian Therapeutics, Inc.,</w:t>
      </w:r>
    </w:p>
    <w:p>
      <w:pPr>
        <w:spacing w:after="0" w:line="82"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333-239075) pertaining to the 2016 Incentive Award Plan and the 2016 Employee Stock Purchase Plan of Cartesian Therapeutics, Inc.,</w:t>
      </w:r>
    </w:p>
    <w:p>
      <w:pPr>
        <w:spacing w:after="0" w:line="82"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333-256061) pertaining to the 2016 Incentive Award Plan and the 2016 Employee Stock Purchase Plan of Cartesian Therapeutics, Inc.,</w:t>
      </w:r>
    </w:p>
    <w:p>
      <w:pPr>
        <w:spacing w:after="0" w:line="82"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333-264691) pertaining to the 2016 Incentive Award Plan and the 2016 Employee Stock Purchase Plan of Cartesian Therapeutics, Inc.,</w:t>
      </w:r>
    </w:p>
    <w:p>
      <w:pPr>
        <w:spacing w:after="0" w:line="91"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333-274036) pertaining to the 2016 Incentive Award Plan and the 2016 Employee Stock Purchase Plan of Cartesian Therapeutics, Inc.,</w:t>
      </w:r>
    </w:p>
    <w:p>
      <w:pPr>
        <w:spacing w:after="0" w:line="82"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File No. 333-275171) of Cartesian Therapeutics, Inc.,</w:t>
      </w:r>
    </w:p>
    <w:p>
      <w:pPr>
        <w:spacing w:after="0" w:line="82" w:lineRule="exact"/>
        <w:rPr>
          <w:rFonts w:ascii="Times New Roman" w:cs="Times New Roman" w:eastAsia="Times New Roman" w:hAnsi="Times New Roman"/>
          <w:sz w:val="14"/>
          <w:szCs w:val="14"/>
          <w:color w:val="auto"/>
        </w:rPr>
      </w:pPr>
    </w:p>
    <w:p>
      <w:pPr>
        <w:ind w:left="540" w:right="680" w:hanging="332"/>
        <w:spacing w:after="0" w:line="295" w:lineRule="auto"/>
        <w:tabs>
          <w:tab w:leader="none" w:pos="53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333-276486) pertaining to the 2016 Stock Incentive Plan and the 2018 Employment Inducement Incentive Award Plan of Cartesian Therapeutics, Inc.,</w:t>
      </w:r>
    </w:p>
    <w:p>
      <w:pPr>
        <w:spacing w:after="0" w:line="18"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S-1, File No. 333-281204) of Cartesian Therapeutics, Inc.,</w:t>
      </w:r>
    </w:p>
    <w:p>
      <w:pPr>
        <w:spacing w:after="0" w:line="82" w:lineRule="exact"/>
        <w:rPr>
          <w:rFonts w:ascii="Times New Roman" w:cs="Times New Roman" w:eastAsia="Times New Roman" w:hAnsi="Times New Roman"/>
          <w:sz w:val="14"/>
          <w:szCs w:val="14"/>
          <w:color w:val="auto"/>
        </w:rPr>
      </w:pPr>
    </w:p>
    <w:p>
      <w:pPr>
        <w:ind w:left="540" w:right="620" w:hanging="332"/>
        <w:spacing w:after="0" w:line="309" w:lineRule="auto"/>
        <w:tabs>
          <w:tab w:leader="none" w:pos="53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File No. 333-283049) pertaining to the Amended and Restated 2016 Incentive Award Plan and the Amended and Restated 2018 Employment Inducement Incentive Award Plan of Cartesian Therapeutics, Inc.,</w:t>
      </w:r>
    </w:p>
    <w:p>
      <w:pPr>
        <w:spacing w:after="0" w:line="8"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File No. 333-283803) of Cartesian Therapeutics, Inc.,</w:t>
      </w:r>
    </w:p>
    <w:p>
      <w:pPr>
        <w:spacing w:after="0" w:line="82"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File No. 333-283806) of Cartesian Therapeutics, Inc., and</w:t>
      </w:r>
    </w:p>
    <w:p>
      <w:pPr>
        <w:spacing w:after="0" w:line="82" w:lineRule="exact"/>
        <w:rPr>
          <w:rFonts w:ascii="Times New Roman" w:cs="Times New Roman" w:eastAsia="Times New Roman" w:hAnsi="Times New Roman"/>
          <w:sz w:val="14"/>
          <w:szCs w:val="14"/>
          <w:color w:val="auto"/>
        </w:rPr>
      </w:pPr>
    </w:p>
    <w:p>
      <w:pPr>
        <w:ind w:left="520" w:hanging="312"/>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File No. 333-283809) of Cartesian Therapeutics, Inc.;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our report dated March 13, 2025 with respect to the consolidated financial statements of Cartesian Therapeutics, Inc. included in this Annual Report (Form 10-K) of Cartesian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2024.</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2025</w:t>
      </w:r>
    </w:p>
    <w:p>
      <w:pPr>
        <w:sectPr>
          <w:pgSz w:w="11900" w:h="16838" w:orient="portrait"/>
          <w:cols w:equalWidth="0" w:num="1">
            <w:col w:w="11300"/>
          </w:cols>
          <w:pgMar w:left="300" w:top="557" w:right="29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Carsten Brunn, Ph.D., certify that:</w:t>
      </w:r>
    </w:p>
    <w:p>
      <w:pPr>
        <w:spacing w:after="0" w:line="150" w:lineRule="exact"/>
        <w:rPr>
          <w:sz w:val="20"/>
          <w:szCs w:val="20"/>
          <w:color w:val="auto"/>
        </w:rPr>
      </w:pPr>
    </w:p>
    <w:p>
      <w:pPr>
        <w:ind w:left="420" w:hanging="212"/>
        <w:spacing w:after="0"/>
        <w:tabs>
          <w:tab w:leader="none" w:pos="4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Cartesian Therapeutics, Inc.;</w:t>
      </w:r>
    </w:p>
    <w:p>
      <w:pPr>
        <w:spacing w:after="0" w:line="132" w:lineRule="exact"/>
        <w:rPr>
          <w:rFonts w:ascii="Times New Roman" w:cs="Times New Roman" w:eastAsia="Times New Roman" w:hAnsi="Times New Roman"/>
          <w:sz w:val="12"/>
          <w:szCs w:val="12"/>
          <w:color w:val="auto"/>
        </w:rPr>
      </w:pPr>
    </w:p>
    <w:p>
      <w:pPr>
        <w:ind w:left="420" w:right="240" w:hanging="212"/>
        <w:spacing w:after="0" w:line="279" w:lineRule="auto"/>
        <w:tabs>
          <w:tab w:leader="none" w:pos="41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2"/>
          <w:szCs w:val="12"/>
          <w:color w:val="auto"/>
        </w:rPr>
      </w:pPr>
    </w:p>
    <w:p>
      <w:pPr>
        <w:ind w:left="420" w:right="100" w:hanging="212"/>
        <w:spacing w:after="0" w:line="279" w:lineRule="auto"/>
        <w:tabs>
          <w:tab w:leader="none" w:pos="41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2"/>
          <w:szCs w:val="12"/>
          <w:color w:val="auto"/>
        </w:rPr>
      </w:pPr>
    </w:p>
    <w:p>
      <w:pPr>
        <w:ind w:left="420" w:right="120" w:hanging="212"/>
        <w:spacing w:after="0" w:line="279" w:lineRule="auto"/>
        <w:tabs>
          <w:tab w:leader="none" w:pos="412"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2"/>
          <w:szCs w:val="12"/>
          <w:color w:val="auto"/>
        </w:rPr>
      </w:pPr>
    </w:p>
    <w:p>
      <w:pPr>
        <w:ind w:left="860" w:right="240" w:hanging="274"/>
        <w:spacing w:after="0" w:line="279" w:lineRule="auto"/>
        <w:tabs>
          <w:tab w:leader="none" w:pos="843"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Times New Roman" w:cs="Times New Roman" w:eastAsia="Times New Roman" w:hAnsi="Times New Roman"/>
          <w:sz w:val="12"/>
          <w:szCs w:val="12"/>
          <w:color w:val="auto"/>
        </w:rPr>
      </w:pPr>
    </w:p>
    <w:p>
      <w:pPr>
        <w:ind w:left="860" w:right="440" w:hanging="274"/>
        <w:spacing w:after="0" w:line="279" w:lineRule="auto"/>
        <w:tabs>
          <w:tab w:leader="none" w:pos="850"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Times New Roman" w:cs="Times New Roman" w:eastAsia="Times New Roman" w:hAnsi="Times New Roman"/>
          <w:sz w:val="12"/>
          <w:szCs w:val="12"/>
          <w:color w:val="auto"/>
        </w:rPr>
      </w:pPr>
    </w:p>
    <w:p>
      <w:pPr>
        <w:ind w:left="860" w:right="20" w:hanging="274"/>
        <w:spacing w:after="0" w:line="279" w:lineRule="auto"/>
        <w:tabs>
          <w:tab w:leader="none" w:pos="843"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2"/>
          <w:szCs w:val="12"/>
          <w:color w:val="auto"/>
        </w:rPr>
      </w:pPr>
    </w:p>
    <w:p>
      <w:pPr>
        <w:ind w:left="860" w:right="60" w:hanging="274"/>
        <w:spacing w:after="0" w:line="279" w:lineRule="auto"/>
        <w:tabs>
          <w:tab w:leader="none" w:pos="850"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2"/>
          <w:szCs w:val="12"/>
          <w:color w:val="auto"/>
        </w:rPr>
      </w:pPr>
    </w:p>
    <w:p>
      <w:pPr>
        <w:ind w:left="420" w:right="360" w:hanging="212"/>
        <w:spacing w:after="0" w:line="279" w:lineRule="auto"/>
        <w:tabs>
          <w:tab w:leader="none" w:pos="412"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2"/>
          <w:szCs w:val="12"/>
          <w:color w:val="auto"/>
        </w:rPr>
      </w:pPr>
    </w:p>
    <w:p>
      <w:pPr>
        <w:ind w:left="860" w:right="400" w:hanging="274"/>
        <w:spacing w:after="0" w:line="279" w:lineRule="auto"/>
        <w:tabs>
          <w:tab w:leader="none" w:pos="836"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2"/>
          <w:szCs w:val="12"/>
          <w:color w:val="auto"/>
        </w:rPr>
      </w:pPr>
    </w:p>
    <w:p>
      <w:pPr>
        <w:ind w:left="840" w:hanging="254"/>
        <w:spacing w:after="0"/>
        <w:tabs>
          <w:tab w:leader="none" w:pos="840"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2C2C2C"/>
              </w:rPr>
              <w:t>March 13, 2025</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38"/>
        </w:trPr>
        <w:tc>
          <w:tcPr>
            <w:tcW w:w="6340" w:type="dxa"/>
            <w:vAlign w:val="bottom"/>
          </w:tcPr>
          <w:p>
            <w:pPr>
              <w:spacing w:after="0"/>
              <w:rPr>
                <w:sz w:val="12"/>
                <w:szCs w:val="12"/>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Carsten Brunn, Ph.D.</w:t>
            </w:r>
          </w:p>
        </w:tc>
      </w:tr>
      <w:tr>
        <w:trPr>
          <w:trHeight w:val="153"/>
        </w:trPr>
        <w:tc>
          <w:tcPr>
            <w:tcW w:w="6340" w:type="dxa"/>
            <w:vAlign w:val="bottom"/>
          </w:tcPr>
          <w:p>
            <w:pPr>
              <w:spacing w:after="0"/>
              <w:rPr>
                <w:sz w:val="13"/>
                <w:szCs w:val="1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President and Chief Executive Officer, and Director</w:t>
            </w:r>
          </w:p>
        </w:tc>
      </w:tr>
      <w:tr>
        <w:trPr>
          <w:trHeight w:val="157"/>
        </w:trPr>
        <w:tc>
          <w:tcPr>
            <w:tcW w:w="6340" w:type="dxa"/>
            <w:vAlign w:val="bottom"/>
          </w:tcPr>
          <w:p>
            <w:pPr>
              <w:spacing w:after="0"/>
              <w:rPr>
                <w:sz w:val="13"/>
                <w:szCs w:val="1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Executive Officer)</w:t>
            </w:r>
          </w:p>
        </w:tc>
      </w:tr>
    </w:tbl>
    <w:p>
      <w:pPr>
        <w:sectPr>
          <w:pgSz w:w="11900" w:h="16838" w:orient="portrait"/>
          <w:cols w:equalWidth="0" w:num="1">
            <w:col w:w="11300"/>
          </w:cols>
          <w:pgMar w:left="300" w:top="557" w:right="2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Blaine Davis, certify that:</w:t>
      </w:r>
    </w:p>
    <w:p>
      <w:pPr>
        <w:spacing w:after="0" w:line="150" w:lineRule="exact"/>
        <w:rPr>
          <w:sz w:val="20"/>
          <w:szCs w:val="20"/>
          <w:color w:val="auto"/>
        </w:rPr>
      </w:pPr>
    </w:p>
    <w:p>
      <w:pPr>
        <w:ind w:left="420" w:hanging="212"/>
        <w:spacing w:after="0"/>
        <w:tabs>
          <w:tab w:leader="none" w:pos="4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Cartesian Therapeutics, Inc.;</w:t>
      </w:r>
    </w:p>
    <w:p>
      <w:pPr>
        <w:spacing w:after="0" w:line="123" w:lineRule="exact"/>
        <w:rPr>
          <w:rFonts w:ascii="Times New Roman" w:cs="Times New Roman" w:eastAsia="Times New Roman" w:hAnsi="Times New Roman"/>
          <w:sz w:val="12"/>
          <w:szCs w:val="12"/>
          <w:color w:val="auto"/>
        </w:rPr>
      </w:pPr>
    </w:p>
    <w:p>
      <w:pPr>
        <w:ind w:left="420" w:right="240" w:hanging="212"/>
        <w:spacing w:after="0" w:line="279" w:lineRule="auto"/>
        <w:tabs>
          <w:tab w:leader="none" w:pos="414"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12"/>
          <w:szCs w:val="12"/>
          <w:color w:val="auto"/>
        </w:rPr>
      </w:pPr>
    </w:p>
    <w:p>
      <w:pPr>
        <w:ind w:left="420" w:right="100" w:hanging="212"/>
        <w:spacing w:after="0" w:line="279" w:lineRule="auto"/>
        <w:tabs>
          <w:tab w:leader="none" w:pos="414"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2"/>
          <w:szCs w:val="12"/>
          <w:color w:val="auto"/>
        </w:rPr>
      </w:pPr>
    </w:p>
    <w:p>
      <w:pPr>
        <w:ind w:left="420" w:right="120" w:hanging="212"/>
        <w:spacing w:after="0" w:line="279" w:lineRule="auto"/>
        <w:tabs>
          <w:tab w:leader="none" w:pos="412"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2"/>
          <w:szCs w:val="12"/>
          <w:color w:val="auto"/>
        </w:rPr>
      </w:pPr>
    </w:p>
    <w:p>
      <w:pPr>
        <w:ind w:left="860" w:right="240" w:hanging="274"/>
        <w:spacing w:after="0" w:line="279" w:lineRule="auto"/>
        <w:tabs>
          <w:tab w:leader="none" w:pos="843"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2"/>
          <w:szCs w:val="12"/>
          <w:color w:val="auto"/>
        </w:rPr>
      </w:pPr>
    </w:p>
    <w:p>
      <w:pPr>
        <w:ind w:left="860" w:right="440" w:hanging="274"/>
        <w:spacing w:after="0" w:line="279" w:lineRule="auto"/>
        <w:tabs>
          <w:tab w:leader="none" w:pos="850"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Times New Roman" w:cs="Times New Roman" w:eastAsia="Times New Roman" w:hAnsi="Times New Roman"/>
          <w:sz w:val="12"/>
          <w:szCs w:val="12"/>
          <w:color w:val="auto"/>
        </w:rPr>
      </w:pPr>
    </w:p>
    <w:p>
      <w:pPr>
        <w:ind w:left="860" w:right="20" w:hanging="274"/>
        <w:spacing w:after="0" w:line="279" w:lineRule="auto"/>
        <w:tabs>
          <w:tab w:leader="none" w:pos="843"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2"/>
          <w:szCs w:val="12"/>
          <w:color w:val="auto"/>
        </w:rPr>
      </w:pPr>
    </w:p>
    <w:p>
      <w:pPr>
        <w:ind w:left="860" w:right="60" w:hanging="274"/>
        <w:spacing w:after="0" w:line="279" w:lineRule="auto"/>
        <w:tabs>
          <w:tab w:leader="none" w:pos="850"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2"/>
          <w:szCs w:val="12"/>
          <w:color w:val="auto"/>
        </w:rPr>
      </w:pPr>
    </w:p>
    <w:p>
      <w:pPr>
        <w:ind w:left="420" w:right="360" w:hanging="212"/>
        <w:spacing w:after="0" w:line="279" w:lineRule="auto"/>
        <w:tabs>
          <w:tab w:leader="none" w:pos="412"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2"/>
          <w:szCs w:val="12"/>
          <w:color w:val="auto"/>
        </w:rPr>
      </w:pPr>
    </w:p>
    <w:p>
      <w:pPr>
        <w:ind w:left="860" w:right="400" w:hanging="274"/>
        <w:spacing w:after="0" w:line="279" w:lineRule="auto"/>
        <w:tabs>
          <w:tab w:leader="none" w:pos="836"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2"/>
          <w:szCs w:val="12"/>
          <w:color w:val="auto"/>
        </w:rPr>
      </w:pPr>
    </w:p>
    <w:p>
      <w:pPr>
        <w:ind w:left="840" w:hanging="254"/>
        <w:spacing w:after="0"/>
        <w:tabs>
          <w:tab w:leader="none" w:pos="840"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2C2C2C"/>
              </w:rPr>
              <w:t>March 13, 2025</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Blaine Davis</w:t>
            </w:r>
          </w:p>
        </w:tc>
      </w:tr>
      <w:tr>
        <w:trPr>
          <w:trHeight w:val="138"/>
        </w:trPr>
        <w:tc>
          <w:tcPr>
            <w:tcW w:w="596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Blaine Davis</w:t>
            </w:r>
          </w:p>
        </w:tc>
      </w:tr>
      <w:tr>
        <w:trPr>
          <w:trHeight w:val="153"/>
        </w:trPr>
        <w:tc>
          <w:tcPr>
            <w:tcW w:w="596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Chief Financial Officer</w:t>
            </w:r>
          </w:p>
        </w:tc>
      </w:tr>
      <w:tr>
        <w:trPr>
          <w:trHeight w:val="157"/>
        </w:trPr>
        <w:tc>
          <w:tcPr>
            <w:tcW w:w="596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Financial Officer)</w:t>
            </w:r>
          </w:p>
        </w:tc>
      </w:tr>
    </w:tbl>
    <w:p>
      <w:pPr>
        <w:sectPr>
          <w:pgSz w:w="11900" w:h="16838" w:orient="portrait"/>
          <w:cols w:equalWidth="0" w:num="1">
            <w:col w:w="11300"/>
          </w:cols>
          <w:pgMar w:left="300" w:top="557" w:right="2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229" w:lineRule="exact"/>
        <w:rPr>
          <w:sz w:val="20"/>
          <w:szCs w:val="20"/>
          <w:color w:val="auto"/>
        </w:rPr>
      </w:pPr>
    </w:p>
    <w:p>
      <w:pPr>
        <w:ind w:right="46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on Form 10-K of Cartesian Therapeutics, Inc. (the “Company”) for the period ended December 31, 2024 as filed with the Securities and Exchange Commission on the date hereof (the “Report”), each of the undersigned officers of the Company hereby certifies, pursuant to 18 U.S.C. Section 1350, that to his knowledge:</w:t>
      </w:r>
    </w:p>
    <w:p>
      <w:pPr>
        <w:spacing w:after="0" w:line="39" w:lineRule="exact"/>
        <w:rPr>
          <w:sz w:val="20"/>
          <w:szCs w:val="20"/>
          <w:color w:val="auto"/>
        </w:rPr>
      </w:pPr>
    </w:p>
    <w:p>
      <w:pPr>
        <w:ind w:left="420" w:right="160" w:hanging="212"/>
        <w:spacing w:after="0" w:line="279" w:lineRule="auto"/>
        <w:tabs>
          <w:tab w:leader="none" w:pos="412"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on Form 10-K of the Company for the period ended December 31, 2024 (the “Report”) fully complies with the requirements of Section 13(a) or 15(d) of the Securities Exchange Act of 1934, as amended; and</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2C2C2C"/>
              </w:rPr>
              <w:t>March 13, 2025</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38"/>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8"/>
              </w:rPr>
              <w:t>Carsten Brunn, Ph.D.</w:t>
            </w:r>
          </w:p>
        </w:tc>
      </w:tr>
      <w:tr>
        <w:trPr>
          <w:trHeight w:val="153"/>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i w:val="1"/>
                <w:iCs w:val="1"/>
                <w:color w:val="auto"/>
                <w:w w:val="99"/>
              </w:rPr>
              <w:t>President and Chief Executive Officer, and Director</w:t>
            </w:r>
          </w:p>
        </w:tc>
      </w:tr>
      <w:tr>
        <w:trPr>
          <w:trHeight w:val="157"/>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i w:val="1"/>
                <w:iCs w:val="1"/>
                <w:color w:val="auto"/>
                <w:w w:val="99"/>
              </w:rPr>
              <w:t>(Principal Executive Officer)</w:t>
            </w:r>
          </w:p>
        </w:tc>
      </w:tr>
      <w:tr>
        <w:trPr>
          <w:trHeight w:val="60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2C2C2C"/>
              </w:rPr>
              <w:t>March 13, 2025</w:t>
            </w:r>
          </w:p>
        </w:tc>
        <w:tc>
          <w:tcPr>
            <w:tcW w:w="20" w:type="dxa"/>
            <w:vAlign w:val="bottom"/>
          </w:tcPr>
          <w:p>
            <w:pPr>
              <w:spacing w:after="0"/>
              <w:rPr>
                <w:sz w:val="24"/>
                <w:szCs w:val="24"/>
                <w:color w:val="auto"/>
              </w:rPr>
            </w:pPr>
          </w:p>
        </w:tc>
        <w:tc>
          <w:tcPr>
            <w:tcW w:w="4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/s/ Blaine Davis</w:t>
            </w:r>
          </w:p>
        </w:tc>
      </w:tr>
      <w:tr>
        <w:trPr>
          <w:trHeight w:val="138"/>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Blaine Davis</w:t>
            </w:r>
          </w:p>
        </w:tc>
        <w:tc>
          <w:tcPr>
            <w:tcW w:w="20" w:type="dxa"/>
            <w:vAlign w:val="bottom"/>
          </w:tcPr>
          <w:p>
            <w:pPr>
              <w:spacing w:after="0"/>
              <w:rPr>
                <w:sz w:val="12"/>
                <w:szCs w:val="12"/>
                <w:color w:val="auto"/>
              </w:rPr>
            </w:pPr>
          </w:p>
        </w:tc>
      </w:tr>
      <w:tr>
        <w:trPr>
          <w:trHeight w:val="153"/>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57"/>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2"/>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300"/>
      </w:cols>
      <w:pgMar w:left="300" w:top="55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1)"/>
      <w:numFmt w:val="lowerRoman"/>
      <w:start w:val="1"/>
    </w:lvl>
  </w:abstractNum>
  <w:abstractNum w:abstractNumId="31">
    <w:nsid w:val="1F48EAA1"/>
    <w:multiLevelType w:val="hybridMultilevel"/>
    <w:lvl w:ilvl="0">
      <w:lvlJc w:val="left"/>
      <w:lvlText w:val="%1"/>
      <w:numFmt w:val="decimal"/>
      <w:start w:val="104"/>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1."/>
      <w:numFmt w:val="decimal"/>
      <w:start w:val="2"/>
    </w:lvl>
  </w:abstractNum>
  <w:abstractNum w:abstractNumId="35">
    <w:nsid w:val="6590700B"/>
    <w:multiLevelType w:val="hybridMultilevel"/>
    <w:lvl w:ilvl="0">
      <w:lvlJc w:val="left"/>
      <w:lvlText w:val="(%1)"/>
      <w:numFmt w:val="upperLetter"/>
      <w:start w:val="2"/>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decimal"/>
      <w:start w:val="11"/>
    </w:lvl>
  </w:abstractNum>
  <w:abstractNum w:abstractNumId="38">
    <w:nsid w:val="98A3148"/>
    <w:multiLevelType w:val="hybridMultilevel"/>
    <w:lvl w:ilvl="0">
      <w:lvlJc w:val="left"/>
      <w:lvlText w:val="(%1)"/>
      <w:numFmt w:val="decimal"/>
      <w:start w:val="4"/>
    </w:lvl>
  </w:abstractNum>
  <w:abstractNum w:abstractNumId="39">
    <w:nsid w:val="799D0247"/>
    <w:multiLevelType w:val="hybridMultilevel"/>
    <w:lvl w:ilvl="0">
      <w:lvlJc w:val="left"/>
      <w:lvlText w:val="%1."/>
      <w:numFmt w:val="decimal"/>
      <w:start w:val="16"/>
    </w:lvl>
  </w:abstractNum>
  <w:abstractNum w:abstractNumId="40">
    <w:nsid w:val="6B94764"/>
    <w:multiLevelType w:val="hybridMultilevel"/>
    <w:lvl w:ilvl="0">
      <w:lvlJc w:val="left"/>
      <w:lvlText w:val="%1."/>
      <w:numFmt w:val="decimal"/>
      <w:start w:val="18"/>
    </w:lvl>
  </w:abstractNum>
  <w:abstractNum w:abstractNumId="41">
    <w:nsid w:val="42C296BD"/>
    <w:multiLevelType w:val="hybridMultilevel"/>
    <w:lvl w:ilvl="0">
      <w:lvlJc w:val="left"/>
      <w:lvlText w:val="%1"/>
      <w:numFmt w:val="decimal"/>
      <w:start w:val="1"/>
    </w:lvl>
    <w:lvl w:ilvl="1">
      <w:lvlJc w:val="left"/>
      <w:lvlText w:val="(%2)"/>
      <w:numFmt w:val="decimal"/>
      <w:start w:val="1"/>
    </w:lvl>
  </w:abstractNum>
  <w:abstractNum w:abstractNumId="42">
    <w:nsid w:val="168E121F"/>
    <w:multiLevelType w:val="hybridMultilevel"/>
    <w:lvl w:ilvl="0">
      <w:lvlJc w:val="left"/>
      <w:lvlText w:val="%1."/>
      <w:numFmt w:val="decimal"/>
      <w:start w:val="22"/>
    </w:lvl>
    <w:lvl w:ilvl="1">
      <w:lvlJc w:val="left"/>
      <w:lvlText w:val="%2"/>
      <w:numFmt w:val="decimal"/>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1)"/>
      <w:numFmt w:val="lowerRoman"/>
      <w:start w:val="1"/>
    </w:lvl>
    <w:lvl w:ilvl="1">
      <w:lvlJc w:val="left"/>
      <w:lvlText w:val="(%2)"/>
      <w:numFmt w:val="lowerRoman"/>
      <w:start w:val="2"/>
    </w:lvl>
  </w:abstractNum>
  <w:abstractNum w:abstractNumId="46">
    <w:nsid w:val="540A471C"/>
    <w:multiLevelType w:val="hybridMultilevel"/>
    <w:lvl w:ilvl="0">
      <w:lvlJc w:val="left"/>
      <w:lvlText w:val="(%1)"/>
      <w:numFmt w:val="lowerRoman"/>
      <w:start w:val="3"/>
    </w:lvl>
  </w:abstractNum>
  <w:abstractNum w:abstractNumId="47">
    <w:nsid w:val="7BD3EE7B"/>
    <w:multiLevelType w:val="hybridMultilevel"/>
    <w:lvl w:ilvl="0">
      <w:lvlJc w:val="left"/>
      <w:lvlText w:val="(%1)"/>
      <w:numFmt w:val="lowerLetter"/>
      <w:start w:val="1"/>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lowerLetter"/>
      <w:start w:val="1"/>
    </w:lvl>
  </w:abstractNum>
  <w:abstractNum w:abstractNumId="51">
    <w:nsid w:val="11447B73"/>
    <w:multiLevelType w:val="hybridMultilevel"/>
    <w:lvl w:ilvl="0">
      <w:lvlJc w:val="left"/>
      <w:lvlText w:val="(%1)"/>
      <w:numFmt w:val="lowerLetter"/>
      <w:start w:val="3"/>
    </w:lvl>
  </w:abstractNum>
  <w:abstractNum w:abstractNumId="52">
    <w:nsid w:val="42963E5A"/>
    <w:multiLevelType w:val="hybridMultilevel"/>
    <w:lvl w:ilvl="0">
      <w:lvlJc w:val="left"/>
      <w:lvlText w:val="(%1)"/>
      <w:numFmt w:val="lowerRoman"/>
      <w:start w:val="4"/>
    </w:lvl>
  </w:abstractNum>
  <w:abstractNum w:abstractNumId="53">
    <w:nsid w:val="A0382C5"/>
    <w:multiLevelType w:val="hybridMultilevel"/>
    <w:lvl w:ilvl="0">
      <w:lvlJc w:val="left"/>
      <w:lvlText w:val="(%1)"/>
      <w:numFmt w:val="lowerLetter"/>
      <w:start w:val="1"/>
    </w:lvl>
  </w:abstractNum>
  <w:abstractNum w:abstractNumId="54">
    <w:nsid w:val="8F2B15E"/>
    <w:multiLevelType w:val="hybridMultilevel"/>
    <w:lvl w:ilvl="0">
      <w:lvlJc w:val="left"/>
      <w:lvlText w:val="(%1)"/>
      <w:numFmt w:val="lowerLetter"/>
      <w:start w:val="2"/>
    </w:lvl>
  </w:abstractNum>
  <w:abstractNum w:abstractNumId="55">
    <w:nsid w:val="1A32234B"/>
    <w:multiLevelType w:val="hybridMultilevel"/>
    <w:lvl w:ilvl="0">
      <w:lvlJc w:val="left"/>
      <w:lvlText w:val="(%1)"/>
      <w:numFmt w:val="lowerLetter"/>
      <w:start w:val="1"/>
    </w:lvl>
    <w:lvl w:ilvl="1">
      <w:lvlJc w:val="left"/>
      <w:lvlText w:val="(%2)"/>
      <w:numFmt w:val="lowerLetter"/>
      <w:start w:val="9"/>
    </w:lvl>
  </w:abstractNum>
  <w:abstractNum w:abstractNumId="56">
    <w:nsid w:val="3B0FD379"/>
    <w:multiLevelType w:val="hybridMultilevel"/>
    <w:lvl w:ilvl="0">
      <w:lvlJc w:val="left"/>
      <w:lvlText w:val="(%1)"/>
      <w:numFmt w:val="lowerRoman"/>
      <w:start w:val="2"/>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lowerLetter"/>
      <w:start w:val="1"/>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4"/>
    </w:lvl>
  </w:abstractNum>
  <w:abstractNum w:abstractNumId="62">
    <w:nsid w:val="7FFFCA11"/>
    <w:multiLevelType w:val="hybridMultilevel"/>
    <w:lvl w:ilvl="0">
      <w:lvlJc w:val="left"/>
      <w:lvlText w:val="(%1)"/>
      <w:numFmt w:val="lowerLetter"/>
      <w:start w:val="1"/>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2"/>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67">
    <w:nsid w:val="6EB5BD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5"/>
    </w:lvl>
  </w:abstractNum>
  <w:abstractNum w:abstractNumId="68">
    <w:nsid w:val="6F6DD9AC"/>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69">
    <w:nsid w:val="94211F2"/>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70">
    <w:nsid w:val="885E1B"/>
    <w:multiLevelType w:val="hybridMultilevel"/>
    <w:lvl w:ilvl="0">
      <w:lvlJc w:val="left"/>
      <w:lvlText w:val="%1."/>
      <w:numFmt w:val="upperLetter"/>
      <w:start w:val="1"/>
    </w:lvl>
  </w:abstractNum>
  <w:abstractNum w:abstractNumId="71">
    <w:nsid w:val="76272110"/>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72">
    <w:nsid w:val="4C04A8AF"/>
    <w:multiLevelType w:val="hybridMultilevel"/>
    <w:lvl w:ilvl="0">
      <w:lvlJc w:val="left"/>
      <w:lvlText w:val="%1."/>
      <w:numFmt w:val="upperLetter"/>
      <w:start w:val="9"/>
    </w:lvl>
  </w:abstractNum>
  <w:abstractNum w:abstractNumId="73">
    <w:nsid w:val="1716703B"/>
    <w:multiLevelType w:val="hybridMultilevel"/>
    <w:lvl w:ilvl="0">
      <w:lvlJc w:val="left"/>
      <w:lvlText w:val="%1."/>
      <w:numFmt w:val="upperLetter"/>
      <w:start w:val="35"/>
    </w:lvl>
  </w:abstractNum>
  <w:abstractNum w:abstractNumId="74">
    <w:nsid w:val="14E17E33"/>
    <w:multiLevelType w:val="hybridMultilevel"/>
    <w:lvl w:ilvl="0">
      <w:lvlJc w:val="left"/>
      <w:lvlText w:val="%1."/>
      <w:numFmt w:val="upperLetter"/>
      <w:start w:val="61"/>
    </w:lvl>
  </w:abstractNum>
  <w:abstractNum w:abstractNumId="75">
    <w:nsid w:val="3222E7CD"/>
    <w:multiLevelType w:val="hybridMultilevel"/>
    <w:lvl w:ilvl="0">
      <w:lvlJc w:val="left"/>
      <w:lvlText w:val="%1."/>
      <w:numFmt w:val="upperLetter"/>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1."/>
      <w:numFmt w:val="upperLetter"/>
      <w:start w:val="22"/>
    </w:lvl>
  </w:abstractNum>
  <w:abstractNum w:abstractNumId="80">
    <w:nsid w:val="4A2AC315"/>
    <w:multiLevelType w:val="hybridMultilevel"/>
    <w:lvl w:ilvl="0">
      <w:lvlJc w:val="left"/>
      <w:lvlText w:val="%1."/>
      <w:numFmt w:val="upperLetter"/>
      <w:start w:val="1"/>
    </w:lvl>
  </w:abstractNum>
  <w:abstractNum w:abstractNumId="81">
    <w:nsid w:val="39EE015C"/>
    <w:multiLevelType w:val="hybridMultilevel"/>
    <w:lvl w:ilvl="0">
      <w:lvlJc w:val="left"/>
      <w:lvlText w:val="%1."/>
      <w:numFmt w:val="upperLetter"/>
      <w:start w:val="3"/>
    </w:lvl>
  </w:abstractNum>
  <w:abstractNum w:abstractNumId="82">
    <w:nsid w:val="57FC4FBB"/>
    <w:multiLevelType w:val="hybridMultilevel"/>
    <w:lvl w:ilvl="0">
      <w:lvlJc w:val="left"/>
      <w:lvlText w:val="%1."/>
      <w:numFmt w:val="upperLetter"/>
      <w:start w:val="4"/>
    </w:lvl>
  </w:abstractNum>
  <w:abstractNum w:abstractNumId="83">
    <w:nsid w:val="CC1016F"/>
    <w:multiLevelType w:val="hybridMultilevel"/>
    <w:lvl w:ilvl="0">
      <w:lvlJc w:val="left"/>
      <w:lvlText w:val="%1."/>
      <w:numFmt w:val="upperLetter"/>
      <w:start w:val="6"/>
    </w:lvl>
  </w:abstractNum>
  <w:abstractNum w:abstractNumId="84">
    <w:nsid w:val="43F18422"/>
    <w:multiLevelType w:val="hybridMultilevel"/>
    <w:lvl w:ilvl="0">
      <w:lvlJc w:val="left"/>
      <w:lvlText w:val="%1."/>
      <w:numFmt w:val="upperLetter"/>
      <w:start w:val="3"/>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1."/>
      <w:numFmt w:val="upperLetter"/>
      <w:start w:val="4"/>
    </w:lvl>
  </w:abstractNum>
  <w:abstractNum w:abstractNumId="88">
    <w:nsid w:val="49DA307D"/>
    <w:multiLevelType w:val="hybridMultilevel"/>
    <w:lvl w:ilvl="0">
      <w:lvlJc w:val="left"/>
      <w:lvlText w:val="%1."/>
      <w:numFmt w:val="upperLetter"/>
      <w:start w:val="6"/>
    </w:lvl>
  </w:abstractNum>
  <w:abstractNum w:abstractNumId="89">
    <w:nsid w:val="7055A5F5"/>
    <w:multiLevelType w:val="hybridMultilevel"/>
    <w:lvl w:ilvl="0">
      <w:lvlJc w:val="left"/>
      <w:lvlText w:val="%1."/>
      <w:numFmt w:val="upperLetter"/>
      <w:start w:val="8"/>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lowerRoman"/>
      <w:start w:val="4"/>
    </w:lvl>
  </w:abstractNum>
  <w:abstractNum w:abstractNumId="92">
    <w:nsid w:val="488AC1A"/>
    <w:multiLevelType w:val="hybridMultilevel"/>
    <w:lvl w:ilvl="0">
      <w:lvlJc w:val="left"/>
      <w:lvlText w:val="%1."/>
      <w:numFmt w:val="upperLetter"/>
      <w:start w:val="9"/>
    </w:lvl>
  </w:abstractNum>
  <w:abstractNum w:abstractNumId="93">
    <w:nsid w:val="5FB8011C"/>
    <w:multiLevelType w:val="hybridMultilevel"/>
    <w:lvl w:ilvl="0">
      <w:lvlJc w:val="left"/>
      <w:lvlText w:val="%1."/>
      <w:numFmt w:val="upperLetter"/>
      <w:start w:val="35"/>
    </w:lvl>
  </w:abstractNum>
  <w:abstractNum w:abstractNumId="94">
    <w:nsid w:val="6AA78F7F"/>
    <w:multiLevelType w:val="hybridMultilevel"/>
    <w:lvl w:ilvl="0">
      <w:lvlJc w:val="left"/>
      <w:lvlText w:val="%1."/>
      <w:numFmt w:val="upperLetter"/>
      <w:start w:val="61"/>
    </w:lvl>
    <w:lvl w:ilvl="1">
      <w:lvlJc w:val="left"/>
      <w:lvlText w:val="%2"/>
      <w:numFmt w:val="upperLetter"/>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1."/>
      <w:numFmt w:val="upperLetter"/>
      <w:start w:val="2"/>
    </w:lvl>
  </w:abstractNum>
  <w:abstractNum w:abstractNumId="98">
    <w:nsid w:val="7D5E18F8"/>
    <w:multiLevelType w:val="hybridMultilevel"/>
    <w:lvl w:ilvl="0">
      <w:lvlJc w:val="left"/>
      <w:lvlText w:val="(%1)"/>
      <w:numFmt w:val="decimal"/>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29"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93" Type="http://schemas.openxmlformats.org/officeDocument/2006/relationships/hyperlink" Target="https://www.sec.gov/Archives/edgar/data/1453687/000119312523275461/d869185dex21.htm" TargetMode="External"/><Relationship Id="rId94" Type="http://schemas.openxmlformats.org/officeDocument/2006/relationships/hyperlink" Target="https://www.sec.gov/Archives/edgar/data/1453687/000110465916129891/a16-14002_1ex3d1.htm" TargetMode="External"/><Relationship Id="rId95" Type="http://schemas.openxmlformats.org/officeDocument/2006/relationships/hyperlink" Target="https://www.sec.gov/Archives/edgar/data/0001453687/000145368722000109/exhibit31_charteramendment.htm" TargetMode="External"/><Relationship Id="rId96" Type="http://schemas.openxmlformats.org/officeDocument/2006/relationships/hyperlink" Target="https://www.sec.gov/Archives/edgar/data/1453687/000119312523275461/d869185dex33.htm" TargetMode="External"/><Relationship Id="rId97" Type="http://schemas.openxmlformats.org/officeDocument/2006/relationships/hyperlink" Target="https://www.sec.gov/Archives/edgar/data/1453687/000145368724000048/exhibit32certificateofamen.htm" TargetMode="External"/><Relationship Id="rId98" Type="http://schemas.openxmlformats.org/officeDocument/2006/relationships/hyperlink" Target="https://www.sec.gov/Archives/edgar/data/1453687/000119312523276086/d549858dex32.htm" TargetMode="External"/><Relationship Id="rId99" Type="http://schemas.openxmlformats.org/officeDocument/2006/relationships/hyperlink" Target="https://www.sec.gov/Archives/edgar/data/1453687/000104746916013398/a2228672zex-4_6.htm" TargetMode="External"/><Relationship Id="rId100" Type="http://schemas.openxmlformats.org/officeDocument/2006/relationships/hyperlink" Target="https://www.sec.gov/Archives/edgar/data/1453687/000145368720000096/exhibit41sobiregistrat.htm" TargetMode="External"/><Relationship Id="rId101" Type="http://schemas.openxmlformats.org/officeDocument/2006/relationships/hyperlink" Target="https://www.sec.gov/Archives/edgar/data/1453687/000145368720000129/exhibit42sobirraandame.htm" TargetMode="External"/><Relationship Id="rId102" Type="http://schemas.openxmlformats.org/officeDocument/2006/relationships/hyperlink" Target="https://www.sec.gov/Archives/edgar/data/1453687/000145368720000104/exhibit41formofwarrant.htm" TargetMode="External"/><Relationship Id="rId103" Type="http://schemas.openxmlformats.org/officeDocument/2006/relationships/hyperlink" Target="https://www.sec.gov/Archives/edgar/data/1453687/000119312522098074/d535347dex41.htm" TargetMode="External"/><Relationship Id="rId104" Type="http://schemas.openxmlformats.org/officeDocument/2006/relationships/hyperlink" Target="https://www.sec.gov/Archives/edgar/data/1453687/000119312523275461/d869185dex102.htm" TargetMode="External"/><Relationship Id="rId105" Type="http://schemas.openxmlformats.org/officeDocument/2006/relationships/hyperlink" Target="https://www.sec.gov/Archives/edgar/data/1453687/000119312523275461/d869185dex34.htm" TargetMode="External"/><Relationship Id="rId108" Type="http://schemas.openxmlformats.org/officeDocument/2006/relationships/hyperlink" Target="https://www.sec.gov/Archives/edgar/data/1453687/000145368724000048/exhibit31certificateofamen.htm" TargetMode="External"/><Relationship Id="rId109" Type="http://schemas.openxmlformats.org/officeDocument/2006/relationships/hyperlink" Target="https://www.sec.gov/Archives/edgar/data/1453687/000114036124032080/ef20031962_ex3-1.htm" TargetMode="External"/><Relationship Id="rId110" Type="http://schemas.openxmlformats.org/officeDocument/2006/relationships/hyperlink" Target="https://www.sec.gov/Archives/edgar/data/0001453687/000114036124032080/ef20031962_ex10-2.htm" TargetMode="External"/><Relationship Id="rId111" Type="http://schemas.openxmlformats.org/officeDocument/2006/relationships/hyperlink" Target="https://www.sec.gov/Archives/edgar/data/0001453687/000114036124035433/ny20033174x1_ex10-1.htm" TargetMode="External"/><Relationship Id="rId112" Type="http://schemas.openxmlformats.org/officeDocument/2006/relationships/hyperlink" Target="https://www.sec.gov/Archives/edgar/data/1453687/000104746916013718/a2228810zex-10_3.htm" TargetMode="External"/><Relationship Id="rId113" Type="http://schemas.openxmlformats.org/officeDocument/2006/relationships/hyperlink" Target="https://www.sec.gov/Archives/edgar/data/1453687/000114036124002120/ny20014884x3_ex99-1.htm" TargetMode="External"/><Relationship Id="rId114" Type="http://schemas.openxmlformats.org/officeDocument/2006/relationships/hyperlink" Target="https://www.sec.gov/Archives/edgar/data/1453687/000104746916013398/a2228672zex-10_5.htm" TargetMode="External"/><Relationship Id="rId115" Type="http://schemas.openxmlformats.org/officeDocument/2006/relationships/hyperlink" Target="https://www.sec.gov/Archives/edgar/data/1453687/000145368717000053/exhibit106_63017.htm" TargetMode="External"/><Relationship Id="rId116" Type="http://schemas.openxmlformats.org/officeDocument/2006/relationships/hyperlink" Target="https://www.sec.gov/Archives/edgar/data/1453687/000104746916013398/a2228672zex-10_10.htm" TargetMode="External"/><Relationship Id="rId117" Type="http://schemas.openxmlformats.org/officeDocument/2006/relationships/hyperlink" Target="https://www.sec.gov/Archives/edgar/data/1453687/000145368719000157/exhibit103leaseagreeme.htm" TargetMode="External"/><Relationship Id="rId118" Type="http://schemas.openxmlformats.org/officeDocument/2006/relationships/hyperlink" Target="https://www.sec.gov/Archives/edgar/data/1453687/000145368722000137/exhibit101_firstamendmentt.htm" TargetMode="External"/><Relationship Id="rId119" Type="http://schemas.openxmlformats.org/officeDocument/2006/relationships/hyperlink" Target="https://www.sec.gov/Archives/edgar/data/0001453687/000145368724000036/exhibit1011aleaseagreement.htm" TargetMode="External"/><Relationship Id="rId120" Type="http://schemas.openxmlformats.org/officeDocument/2006/relationships/hyperlink" Target="https://www.sec.gov/Archives/edgar/data/0001453687/000145368724000036/exhibit1011bfirstamendment.htm" TargetMode="External"/><Relationship Id="rId121" Type="http://schemas.openxmlformats.org/officeDocument/2006/relationships/hyperlink" Target="https://www.sec.gov/Archives/edgar/data/0001453687/000145368724000036/exhibit1011csecondamendmen.htm" TargetMode="External"/><Relationship Id="rId122" Type="http://schemas.openxmlformats.org/officeDocument/2006/relationships/hyperlink" Target="https://www.sec.gov/Archives/edgar/data/0001453687/000145368724000036/exhibit1012leasebetween749.htm" TargetMode="External"/><Relationship Id="rId123" Type="http://schemas.openxmlformats.org/officeDocument/2006/relationships/hyperlink" Target="https://www.sec.gov/Archives/edgar/data/0001453687/000145368724000082/firstamendmenttoleaseagree.htm" TargetMode="External"/><Relationship Id="rId124" Type="http://schemas.openxmlformats.org/officeDocument/2006/relationships/hyperlink" Target="https://www.sec.gov/Archives/edgar/data/0001453687/000145368724000124/ex101secondamendmenttoleas.htm" TargetMode="External"/><Relationship Id="rId125" Type="http://schemas.openxmlformats.org/officeDocument/2006/relationships/hyperlink" Target="https://www.sec.gov/Archives/edgar/data/1453687/000145368718000061/exhibit102_brunnemployment.htm" TargetMode="External"/><Relationship Id="rId126" Type="http://schemas.openxmlformats.org/officeDocument/2006/relationships/hyperlink" Target="https://www.sec.gov/Archives/edgar/data/1453687/000145368723000040/exhibit1015_employmentagre.htm" TargetMode="External"/><Relationship Id="rId127" Type="http://schemas.openxmlformats.org/officeDocument/2006/relationships/hyperlink" Target="https://www.sec.gov/Archives/edgar/data/0001453687/000145368724000052/exhibit101employmentagreem.htm" TargetMode="External"/><Relationship Id="rId128" Type="http://schemas.openxmlformats.org/officeDocument/2006/relationships/hyperlink" Target="https://www.sec.gov/Archives/edgar/data/0001453687/000145368724000052/exhibit102employmentagreem.htm" TargetMode="External"/><Relationship Id="rId130" Type="http://schemas.openxmlformats.org/officeDocument/2006/relationships/hyperlink" Target="https://www.sec.gov/Archives/edgar/data/1453687/000145368720000096/exhibit102sobilicensea.htm" TargetMode="External"/><Relationship Id="rId131" Type="http://schemas.openxmlformats.org/officeDocument/2006/relationships/hyperlink" Target="https://www.sec.gov/Archives/edgar/data/0001453687/000145368724000036/exhibit1015bamendmentno1to.htm" TargetMode="External"/><Relationship Id="rId132" Type="http://schemas.openxmlformats.org/officeDocument/2006/relationships/hyperlink" Target="https://www.sec.gov/Archives/edgar/data/0001453687/000145368724000036/exhibit1016patentlicenseno.htm" TargetMode="External"/><Relationship Id="rId133" Type="http://schemas.openxmlformats.org/officeDocument/2006/relationships/hyperlink" Target="https://www.sec.gov/Archives/edgar/data/0001453687/000145368724000036/exhibit1017patentlicenseag.htm" TargetMode="External"/><Relationship Id="rId134" Type="http://schemas.openxmlformats.org/officeDocument/2006/relationships/hyperlink" Target="https://www.sec.gov/Archives/edgar/data/1453687/000119312523275461/d869185dex103.htm" TargetMode="External"/><Relationship Id="rId135" Type="http://schemas.openxmlformats.org/officeDocument/2006/relationships/hyperlink" Target="https://www.sec.gov/Archives/edgar/data/1453687/000119312523275461/d869185dex101.htm" TargetMode="External"/><Relationship Id="rId136" Type="http://schemas.openxmlformats.org/officeDocument/2006/relationships/hyperlink" Target="https://www.sec.gov/Archives/edgar/data/1453687/000114036124049412/ny20039376x2_ex1-2.htm" TargetMode="External"/><Relationship Id="rId137" Type="http://schemas.openxmlformats.org/officeDocument/2006/relationships/hyperlink" Target="https://www.sec.gov/Archives/edgar/data/0001453687/000145368724000036/exhibit97compensation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2025-03-13T06:17:27Z</dcterms:created>
  <dcterms:modified xsi:type="dcterms:W3CDTF">2025-03-13T06:17:27Z</dcterms:modified>
</cp:coreProperties>
</file>