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left="6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0"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ind w:left="5240"/>
        <w:spacing w:after="0"/>
        <w:rPr>
          <w:sz w:val="20"/>
          <w:szCs w:val="20"/>
          <w:color w:val="auto"/>
        </w:rPr>
      </w:pPr>
      <w:r>
        <w:rPr>
          <w:rFonts w:ascii="Arial" w:cs="Arial" w:eastAsia="Arial" w:hAnsi="Arial"/>
          <w:sz w:val="29"/>
          <w:szCs w:val="29"/>
          <w:b w:val="1"/>
          <w:bCs w:val="1"/>
          <w:color w:val="auto"/>
        </w:rPr>
        <w:t>FORM 10-K</w:t>
      </w:r>
    </w:p>
    <w:p>
      <w:pPr>
        <w:spacing w:after="0" w:line="14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rFonts w:ascii="MS PGothic" w:cs="MS PGothic" w:eastAsia="MS PGothic" w:hAnsi="MS PGothic"/>
          <w:sz w:val="40"/>
          <w:szCs w:val="40"/>
          <w:color w:val="auto"/>
          <w:vertAlign w:val="subscript"/>
        </w:rPr>
      </w:pPr>
    </w:p>
    <w:p>
      <w:pPr>
        <w:ind w:left="430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ind w:left="5900"/>
        <w:spacing w:after="0"/>
        <w:rPr>
          <w:sz w:val="20"/>
          <w:szCs w:val="20"/>
          <w:color w:val="auto"/>
        </w:rPr>
      </w:pPr>
      <w:r>
        <w:rPr>
          <w:rFonts w:ascii="Arial" w:cs="Arial" w:eastAsia="Arial" w:hAnsi="Arial"/>
          <w:sz w:val="18"/>
          <w:szCs w:val="18"/>
          <w:b w:val="1"/>
          <w:bCs w:val="1"/>
          <w:color w:val="auto"/>
        </w:rPr>
        <w:t>OR</w:t>
      </w:r>
    </w:p>
    <w:p>
      <w:pPr>
        <w:ind w:left="500" w:hanging="465"/>
        <w:spacing w:after="0" w:line="231" w:lineRule="auto"/>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rFonts w:ascii="MS PGothic" w:cs="MS PGothic" w:eastAsia="MS PGothic" w:hAnsi="MS PGothic"/>
          <w:sz w:val="40"/>
          <w:szCs w:val="40"/>
          <w:color w:val="auto"/>
          <w:vertAlign w:val="subscript"/>
        </w:rPr>
      </w:pPr>
    </w:p>
    <w:p>
      <w:pPr>
        <w:ind w:left="456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transition period from</w:t>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left="620"/>
        <w:spacing w:after="0"/>
        <w:rPr>
          <w:sz w:val="20"/>
          <w:szCs w:val="20"/>
          <w:color w:val="auto"/>
        </w:rPr>
      </w:pPr>
      <w:r>
        <w:rPr>
          <w:rFonts w:ascii="Arial" w:cs="Arial" w:eastAsia="Arial" w:hAnsi="Arial"/>
          <w:sz w:val="18"/>
          <w:szCs w:val="18"/>
          <w:b w:val="1"/>
          <w:bCs w:val="1"/>
          <w:color w:val="auto"/>
        </w:rPr>
        <w:t>Commission File Number: 001-37798</w:t>
      </w:r>
    </w:p>
    <w:p>
      <w:pPr>
        <w:spacing w:after="0" w:line="27" w:lineRule="exact"/>
        <w:rPr>
          <w:sz w:val="24"/>
          <w:szCs w:val="24"/>
          <w:color w:val="auto"/>
        </w:rPr>
      </w:pPr>
    </w:p>
    <w:p>
      <w:pPr>
        <w:jc w:val="center"/>
        <w:ind w:left="660"/>
        <w:spacing w:after="0"/>
        <w:rPr>
          <w:sz w:val="20"/>
          <w:szCs w:val="20"/>
          <w:color w:val="auto"/>
        </w:rPr>
      </w:pPr>
      <w:r>
        <w:rPr>
          <w:rFonts w:ascii="Arial" w:cs="Arial" w:eastAsia="Arial" w:hAnsi="Arial"/>
          <w:sz w:val="43"/>
          <w:szCs w:val="43"/>
          <w:color w:val="auto"/>
        </w:rPr>
        <w:t>Selecta Biosciences, Inc.</w:t>
      </w:r>
    </w:p>
    <w:p>
      <w:pPr>
        <w:spacing w:after="0" w:line="2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3"/>
              </w:rPr>
              <w:t>Delaware</w:t>
            </w:r>
          </w:p>
        </w:tc>
        <w:tc>
          <w:tcPr>
            <w:tcW w:w="5700" w:type="dxa"/>
            <w:vAlign w:val="bottom"/>
          </w:tcPr>
          <w:p>
            <w:pPr>
              <w:jc w:val="right"/>
              <w:ind w:right="2579"/>
              <w:spacing w:after="0"/>
              <w:rPr>
                <w:sz w:val="20"/>
                <w:szCs w:val="20"/>
                <w:color w:val="auto"/>
              </w:rPr>
            </w:pPr>
            <w:r>
              <w:rPr>
                <w:rFonts w:ascii="Arial" w:cs="Arial" w:eastAsia="Arial" w:hAnsi="Arial"/>
                <w:sz w:val="16"/>
                <w:szCs w:val="16"/>
                <w:b w:val="1"/>
                <w:bCs w:val="1"/>
                <w:color w:val="auto"/>
              </w:rPr>
              <w:t>26-1622110</w:t>
            </w:r>
          </w:p>
        </w:tc>
      </w:tr>
      <w:tr>
        <w:trPr>
          <w:trHeight w:val="257"/>
        </w:trPr>
        <w:tc>
          <w:tcPr>
            <w:tcW w:w="572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5700" w:type="dxa"/>
            <w:vAlign w:val="bottom"/>
          </w:tcPr>
          <w:p>
            <w:pPr>
              <w:jc w:val="center"/>
              <w:ind w:right="319"/>
              <w:spacing w:after="0"/>
              <w:rPr>
                <w:sz w:val="20"/>
                <w:szCs w:val="20"/>
                <w:color w:val="auto"/>
              </w:rPr>
            </w:pPr>
            <w:r>
              <w:rPr>
                <w:rFonts w:ascii="Arial" w:cs="Arial" w:eastAsia="Arial" w:hAnsi="Arial"/>
                <w:sz w:val="16"/>
                <w:szCs w:val="16"/>
                <w:color w:val="auto"/>
                <w:w w:val="94"/>
              </w:rPr>
              <w:t>(I.R.S. Employer Identification No.)</w:t>
            </w:r>
          </w:p>
        </w:tc>
      </w:tr>
      <w:tr>
        <w:trPr>
          <w:trHeight w:val="513"/>
        </w:trPr>
        <w:tc>
          <w:tcPr>
            <w:tcW w:w="572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2"/>
              </w:rPr>
              <w:t>480 Arsenal Way</w:t>
            </w:r>
          </w:p>
        </w:tc>
        <w:tc>
          <w:tcPr>
            <w:tcW w:w="5700" w:type="dxa"/>
            <w:vAlign w:val="bottom"/>
          </w:tcPr>
          <w:p>
            <w:pPr>
              <w:spacing w:after="0"/>
              <w:rPr>
                <w:sz w:val="24"/>
                <w:szCs w:val="24"/>
                <w:color w:val="auto"/>
              </w:rPr>
            </w:pPr>
          </w:p>
        </w:tc>
      </w:tr>
      <w:tr>
        <w:trPr>
          <w:trHeight w:val="257"/>
        </w:trPr>
        <w:tc>
          <w:tcPr>
            <w:tcW w:w="57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96"/>
              </w:rPr>
              <w:t>Watertown, MA</w:t>
            </w:r>
          </w:p>
        </w:tc>
        <w:tc>
          <w:tcPr>
            <w:tcW w:w="5700" w:type="dxa"/>
            <w:vAlign w:val="bottom"/>
          </w:tcPr>
          <w:p>
            <w:pPr>
              <w:jc w:val="right"/>
              <w:ind w:right="2759"/>
              <w:spacing w:after="0"/>
              <w:rPr>
                <w:sz w:val="20"/>
                <w:szCs w:val="20"/>
                <w:color w:val="auto"/>
              </w:rPr>
            </w:pPr>
            <w:r>
              <w:rPr>
                <w:rFonts w:ascii="Arial" w:cs="Arial" w:eastAsia="Arial" w:hAnsi="Arial"/>
                <w:sz w:val="16"/>
                <w:szCs w:val="16"/>
                <w:b w:val="1"/>
                <w:bCs w:val="1"/>
                <w:color w:val="auto"/>
              </w:rPr>
              <w:t>02472</w:t>
            </w:r>
          </w:p>
        </w:tc>
      </w:tr>
      <w:tr>
        <w:trPr>
          <w:trHeight w:val="257"/>
        </w:trPr>
        <w:tc>
          <w:tcPr>
            <w:tcW w:w="5720" w:type="dxa"/>
            <w:vAlign w:val="bottom"/>
            <w:gridSpan w:val="2"/>
          </w:tcPr>
          <w:p>
            <w:pPr>
              <w:jc w:val="center"/>
              <w:ind w:left="239"/>
              <w:spacing w:after="0"/>
              <w:rPr>
                <w:sz w:val="20"/>
                <w:szCs w:val="20"/>
                <w:color w:val="auto"/>
              </w:rPr>
            </w:pPr>
            <w:r>
              <w:rPr>
                <w:rFonts w:ascii="Arial" w:cs="Arial" w:eastAsia="Arial" w:hAnsi="Arial"/>
                <w:sz w:val="16"/>
                <w:szCs w:val="16"/>
                <w:color w:val="auto"/>
                <w:w w:val="94"/>
              </w:rPr>
              <w:t>(Address Of Principal Executive Offices)</w:t>
            </w:r>
          </w:p>
        </w:tc>
        <w:tc>
          <w:tcPr>
            <w:tcW w:w="5700" w:type="dxa"/>
            <w:vAlign w:val="bottom"/>
          </w:tcPr>
          <w:p>
            <w:pPr>
              <w:jc w:val="center"/>
              <w:ind w:right="339"/>
              <w:spacing w:after="0"/>
              <w:rPr>
                <w:sz w:val="20"/>
                <w:szCs w:val="20"/>
                <w:color w:val="auto"/>
              </w:rPr>
            </w:pPr>
            <w:r>
              <w:rPr>
                <w:rFonts w:ascii="Arial" w:cs="Arial" w:eastAsia="Arial" w:hAnsi="Arial"/>
                <w:sz w:val="16"/>
                <w:szCs w:val="16"/>
                <w:color w:val="auto"/>
                <w:w w:val="95"/>
              </w:rPr>
              <w:t>(Zip Code)</w:t>
            </w:r>
          </w:p>
        </w:tc>
      </w:tr>
      <w:tr>
        <w:trPr>
          <w:trHeight w:val="230"/>
        </w:trPr>
        <w:tc>
          <w:tcPr>
            <w:tcW w:w="11420" w:type="dxa"/>
            <w:vAlign w:val="bottom"/>
            <w:gridSpan w:val="3"/>
          </w:tcPr>
          <w:p>
            <w:pPr>
              <w:ind w:left="376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617) 923-1400</w:t>
            </w:r>
          </w:p>
        </w:tc>
      </w:tr>
      <w:tr>
        <w:trPr>
          <w:trHeight w:val="378"/>
        </w:trPr>
        <w:tc>
          <w:tcPr>
            <w:tcW w:w="5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700" w:type="dxa"/>
            <w:vAlign w:val="bottom"/>
          </w:tcPr>
          <w:p>
            <w:pPr>
              <w:spacing w:after="0"/>
              <w:rPr>
                <w:sz w:val="24"/>
                <w:szCs w:val="24"/>
                <w:color w:val="auto"/>
              </w:rPr>
            </w:pPr>
          </w:p>
        </w:tc>
      </w:tr>
      <w:tr>
        <w:trPr>
          <w:trHeight w:val="365"/>
        </w:trPr>
        <w:tc>
          <w:tcPr>
            <w:tcW w:w="5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7"/>
        </w:trPr>
        <w:tc>
          <w:tcPr>
            <w:tcW w:w="5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50"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left="40" w:right="16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20" w:hanging="185"/>
        <w:spacing w:after="0" w:line="184" w:lineRule="exact"/>
        <w:tabs>
          <w:tab w:leader="none" w:pos="2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left="40" w:right="3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ind w:left="40" w:right="100"/>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05"/>
        <w:spacing w:after="0" w:line="184" w:lineRule="exact"/>
        <w:tabs>
          <w:tab w:leader="none" w:pos="240" w:val="left"/>
        </w:tabs>
        <w:numPr>
          <w:ilvl w:val="0"/>
          <w:numId w:val="4"/>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393" w:lineRule="exact"/>
        <w:rPr>
          <w:sz w:val="24"/>
          <w:szCs w:val="24"/>
          <w:color w:val="auto"/>
        </w:rPr>
      </w:pPr>
    </w:p>
    <w:p>
      <w:pPr>
        <w:ind w:right="20"/>
        <w:spacing w:after="0" w:line="3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69" w:right="239" w:bottom="1440" w:gutter="0" w:footer="0" w:header="0"/>
        </w:sectPr>
      </w:pPr>
    </w:p>
    <w:p>
      <w:pPr>
        <w:spacing w:after="0" w:line="29" w:lineRule="exact"/>
        <w:rPr>
          <w:sz w:val="24"/>
          <w:szCs w:val="24"/>
          <w:color w:val="auto"/>
        </w:rPr>
      </w:pPr>
    </w:p>
    <w:p>
      <w:pPr>
        <w:ind w:left="18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6"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18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9" w:lineRule="exact"/>
        <w:rPr>
          <w:sz w:val="24"/>
          <w:szCs w:val="24"/>
          <w:color w:val="auto"/>
        </w:rPr>
      </w:pPr>
    </w:p>
    <w:p>
      <w:pPr>
        <w:jc w:val="center"/>
        <w:ind w:right="182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30" w:lineRule="exact"/>
        <w:rPr>
          <w:sz w:val="24"/>
          <w:szCs w:val="24"/>
          <w:color w:val="auto"/>
        </w:rPr>
      </w:pPr>
    </w:p>
    <w:p>
      <w:pPr>
        <w:sectPr>
          <w:pgSz w:w="11900" w:h="16838" w:orient="portrait"/>
          <w:cols w:equalWidth="0" w:num="2">
            <w:col w:w="6920" w:space="720"/>
            <w:col w:w="3780"/>
          </w:cols>
          <w:pgMar w:left="240" w:top="269" w:right="239" w:bottom="1440" w:gutter="0" w:footer="0" w:header="0"/>
          <w:type w:val="continuous"/>
        </w:sect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20"/>
          </w:cols>
          <w:pgMar w:left="240" w:top="269" w:right="239" w:bottom="1440" w:gutter="0" w:footer="0" w:header="0"/>
          <w:type w:val="continuous"/>
        </w:sectPr>
      </w:pPr>
    </w:p>
    <w:bookmarkStart w:id="1" w:name="page2"/>
    <w:bookmarkEnd w:id="1"/>
    <w:p>
      <w:pPr>
        <w:jc w:val="both"/>
        <w:spacing w:after="0" w:line="261" w:lineRule="auto"/>
        <w:rPr>
          <w:sz w:val="20"/>
          <w:szCs w:val="20"/>
          <w:color w:val="auto"/>
        </w:rPr>
      </w:pPr>
      <w:r>
        <w:rPr>
          <w:rFonts w:ascii="Arial" w:cs="Arial" w:eastAsia="Arial" w:hAnsi="Arial"/>
          <w:sz w:val="16"/>
          <w:szCs w:val="16"/>
          <w:color w:val="auto"/>
        </w:rPr>
        <w:t>As of June 29, 2018, the last business day of the registrant’s most recently completed second fiscal quarter, the aggregate market value of the registrant’s common stock held by non-affiliates of the registrant was approximately $197.7 million based on the closing price of the registrant's common stock on the Nasdaq Global Market on June 29, 2018 of $13.25 per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of March 8, 2019 the registrant had 44,733,437 shares of common stock, par value $0.0001 per share, outstanding.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Portions of the registrant’s definitive Proxy Statement relating to its 2019 Annual Meeting of Stockholders to be filed with the Securities and Exchange Commission are incorporated by reference into Part III of this Annual Report on Form 10-K.</w:t>
      </w:r>
    </w:p>
    <w:p>
      <w:pPr>
        <w:sectPr>
          <w:pgSz w:w="11900" w:h="16838" w:orient="portrait"/>
          <w:cols w:equalWidth="0" w:num="1">
            <w:col w:w="11420"/>
          </w:cols>
          <w:pgMar w:left="240" w:top="37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820" w:type="dxa"/>
            <w:vAlign w:val="bottom"/>
            <w:gridSpan w:val="11"/>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4"/>
        </w:trPr>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5"/>
          </w:tcPr>
          <w:p>
            <w:pPr>
              <w:jc w:val="center"/>
              <w:ind w:right="440"/>
              <w:spacing w:after="0"/>
              <w:rPr>
                <w:rFonts w:ascii="Arial" w:cs="Arial" w:eastAsia="Arial" w:hAnsi="Arial"/>
                <w:sz w:val="18"/>
                <w:szCs w:val="18"/>
                <w:color w:val="auto"/>
                <w:w w:val="88"/>
              </w:rPr>
            </w:pPr>
            <w:hyperlink w:anchor="page5">
              <w:r>
                <w:rPr>
                  <w:rFonts w:ascii="Arial" w:cs="Arial" w:eastAsia="Arial" w:hAnsi="Arial"/>
                  <w:sz w:val="18"/>
                  <w:szCs w:val="18"/>
                  <w:color w:val="auto"/>
                  <w:w w:val="88"/>
                </w:rPr>
                <w:t>Part I</w:t>
              </w:r>
            </w:hyperlink>
          </w:p>
        </w:tc>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680" w:type="dxa"/>
            <w:vAlign w:val="bottom"/>
            <w:gridSpan w:val="5"/>
          </w:tcPr>
          <w:p>
            <w:pPr>
              <w:ind w:left="30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380" w:type="dxa"/>
            <w:vAlign w:val="bottom"/>
            <w:tcBorders>
              <w:top w:val="single" w:sz="8" w:color="auto"/>
            </w:tcBorders>
          </w:tcPr>
          <w:p>
            <w:pPr>
              <w:spacing w:after="0"/>
              <w:rPr>
                <w:sz w:val="24"/>
                <w:szCs w:val="24"/>
                <w:color w:val="auto"/>
              </w:rPr>
            </w:pPr>
          </w:p>
        </w:tc>
        <w:tc>
          <w:tcPr>
            <w:tcW w:w="47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480"/>
        </w:trPr>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Part II</w:t>
            </w:r>
          </w:p>
        </w:tc>
        <w:tc>
          <w:tcPr>
            <w:tcW w:w="47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74</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Selected Consolidated Financial Data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75</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76</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480"/>
        </w:trPr>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8"/>
          </w:tcPr>
          <w:p>
            <w:pPr>
              <w:jc w:val="center"/>
              <w:ind w:right="4700"/>
              <w:spacing w:after="0"/>
              <w:rPr>
                <w:sz w:val="20"/>
                <w:szCs w:val="20"/>
                <w:color w:val="auto"/>
              </w:rPr>
            </w:pPr>
            <w:r>
              <w:rPr>
                <w:rFonts w:ascii="Arial" w:cs="Arial" w:eastAsia="Arial" w:hAnsi="Arial"/>
                <w:sz w:val="18"/>
                <w:szCs w:val="18"/>
                <w:color w:val="auto"/>
                <w:w w:val="94"/>
              </w:rPr>
              <w:t>Part III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w w:val="95"/>
              </w:rPr>
              <w:t>Directors, Executive Officers and Corporate Governance</w:t>
            </w:r>
          </w:p>
        </w:tc>
        <w:tc>
          <w:tcPr>
            <w:tcW w:w="500" w:type="dxa"/>
            <w:vAlign w:val="bottom"/>
            <w:tcBorders>
              <w:top w:val="single" w:sz="8" w:color="auto"/>
            </w:tcBorders>
            <w:gridSpan w:val="5"/>
          </w:tcPr>
          <w:p>
            <w:pPr>
              <w:spacing w:after="0"/>
              <w:rPr>
                <w:sz w:val="24"/>
                <w:szCs w:val="24"/>
                <w:color w:val="auto"/>
              </w:rPr>
            </w:pPr>
          </w:p>
        </w:tc>
        <w:tc>
          <w:tcPr>
            <w:tcW w:w="47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480"/>
        </w:trPr>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8"/>
              </w:rPr>
              <w:t>Part IV</w:t>
            </w:r>
          </w:p>
        </w:tc>
        <w:tc>
          <w:tcPr>
            <w:tcW w:w="4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90</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9820" w:type="dxa"/>
            <w:vAlign w:val="bottom"/>
            <w:gridSpan w:val="11"/>
          </w:tcPr>
          <w:p>
            <w:pPr>
              <w:ind w:left="30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F01E8"/>
            </w:tcBorders>
            <w:gridSpan w:val="2"/>
          </w:tcPr>
          <w:p>
            <w:pPr>
              <w:jc w:val="right"/>
              <w:spacing w:after="0"/>
              <w:rPr>
                <w:sz w:val="20"/>
                <w:szCs w:val="20"/>
                <w:color w:val="auto"/>
              </w:rPr>
            </w:pPr>
            <w:r>
              <w:rPr>
                <w:rFonts w:ascii="Arial" w:cs="Arial" w:eastAsia="Arial" w:hAnsi="Arial"/>
                <w:sz w:val="18"/>
                <w:szCs w:val="18"/>
                <w:color w:val="0F01E8"/>
                <w:w w:val="79"/>
              </w:rPr>
              <w:t>94</w:t>
            </w:r>
          </w:p>
        </w:tc>
      </w:tr>
    </w:tbl>
    <w:p>
      <w:pPr>
        <w:spacing w:after="0" w:line="39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SIGNATURES</w:t>
      </w:r>
    </w:p>
    <w:p>
      <w:pPr>
        <w:spacing w:after="0" w:line="38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500" w:top="1270" w:right="4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167"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688"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clinical-stage biopharmaceutical company using our ImmTOR technology, designed to induce tolerance to novel biologic therapies that would otherwise be limited by immunogenicity with the goal of effectively and safely treating rare and serious diseases. Many such diseases are treated with biologic therapies that are foreign to the patient’s immune system and therefore elicit an undesired immune response. Of particular concern are anti-drug antibodies, or ADAs, which are often produced by the immune system in response to biologic therapy and can adversely affect the efficacy and safety of treatment. Our proprietary tolerogenic ImmTOR technology encapsulates an immunomodulator in biodegradable nanoparticles and is designed to mitigate the formation of ADAs by inducing antigen-specific immune tolerance to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ImmTOR has potential to enhance the efficacy without compromising the safety of existing approved biologic drugs, improve product candidates under development and enable novel therapeutic modalities, such as re-administration of systemic gene therapy. We intend to build a product pipeline by combining our ImmTOR technology with a range of biologics and also plan to seek collaborations and license agreements to broaden our applications for the platform.</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Our most advanced product candidate, SEL-212, is a proprietary combination of a therapeutic uricase enzyme (pegadricase) and our ImmTOR technology that is designed to durably control serum uric acid levels in patients with chronic refractory gout through monthly administration. Our preclinical data indicate that ImmTOR, when co-administered with pegadricase, induced antigen-specific immune tolerance to pegadricase and substantially reduced the formation of associated ADAs. Our Phase 1 data showed that ImmTOR mitigated the formation of ADAs against pegadricase after a single dose of SEL-212. Interim Phase 2 clinical data as of December 17, 2018 suggest the potential of monthly doses of SEL-212 to durably control serum uric acid levels by mitigating the formation of anti-pegadricase antibodies. Initial tissue imaging studies by dual energy computerized tomography (CT) scans also provided evidence regarding the potential of SEL-212 to rapidly eliminate tissue deposits of monosodium urate crystals. These interim data also showed a low rate of gout flare rates. Based on our current Phase 2 clinical data and feedback received from the U.S. Food and Drug Administration, or FDA, during our end-of-Phase 2 meeting we plan to commence enrollment and initiate dosing in our head-to-head (COMPARE) clinical trial of SEL-212, utilizing revised stopping rules, compared to the current FDA-approved uricase therapy, KRYSTEXXA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first quarter of 2019. We expect our clinical and, if approved, marketing strategy for SEL-212 to initially focus on the estimated 160,000 patients in the United States with chronic refractory gout that are being treated by rheumatologists.</w:t>
      </w:r>
    </w:p>
    <w:p>
      <w:pPr>
        <w:spacing w:after="0" w:line="1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also applying our ImmTOR technology in an effort to mitigate the formation of ADAs when dosing gene therapy. Gene therapies often use a viral vector, such as an adeno-associated virus, or AAV, vector to place corrective genetic material into cells to treat genetic diseases. One of the key hurdles for the gene therapy field is to overcome immunogenicity against the viral vector. ADAs form in response to the first administration of a gene therapy vector and prevent effective subsequent doses of gene therapy. The ability to provide repeat doses may be particularly important for pediatric patients to receive continued treatment benefit later in life as gene expression wanes due to cellular turnover as patients grow. The ability to re-administer gene therapies also could provide the potential for dose titration and could be advantageous for diseases where the goal is to transfect a high number of cells.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first proprietary investigational gene therapy program is targeted to treat a rare genetic disease, Methylmalonic Acidemia, or MMA, pursuant to which we are collaborating with a clinical and gene therapy laboratory at the National Institutes of Health, or NIH, and the Massachusetts Eye and Ear Infirmary and The Schepens Eye Institute, Inc., which we collectively refer to as MEE. We have in-licensed the Anc80 gene therapy vector, or Anc80, from MEE. Anc80 is an engineered vector that has been reported to have limited cross-reactivity to antibodies against wild type AAV serotypes. In preclinical studies, Anc80 has shown potency as a gene therapy vector. We believe our product candidate, if successfully developed and approved, has the potential to prevent undesired immune responses to the vector and transgene that can occur with the first dose of gene therapy by using our ImmTOR technology. In January 2017, we entered into a strategic manufacturing agreement with Lonza Houston, Inc. Under our license agreement with MEE, we also have the exclusive option to develop gene therapies using Anc80 for several additional diseases including lysosomal storage, muscular and genetic metabolic diseases. For more information, see "Licenses and Collaborations - Massachusetts Eye and Ear Infirmary” below.</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developing this proprietary non-immunogenic therapeutic candidate, we intend to continue expanding our proprietary immune tolerance pipeline and pursue out-licensing opportunities for select applications of our ImmTOR technology. In December 2016, we entered into a license agreement, or the Spark License Agreement, with Spark Therapeutics,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88" w:right="239" w:bottom="1440" w:gutter="0" w:footer="0" w:header="0"/>
        </w:sectPr>
      </w:pPr>
    </w:p>
    <w:bookmarkStart w:id="5" w:name="page6"/>
    <w:bookmarkEnd w:id="5"/>
    <w:p>
      <w:pPr>
        <w:ind w:right="120"/>
        <w:spacing w:after="0" w:line="286" w:lineRule="auto"/>
        <w:rPr>
          <w:sz w:val="20"/>
          <w:szCs w:val="20"/>
          <w:color w:val="auto"/>
        </w:rPr>
      </w:pPr>
      <w:r>
        <w:rPr>
          <w:rFonts w:ascii="Arial" w:cs="Arial" w:eastAsia="Arial" w:hAnsi="Arial"/>
          <w:sz w:val="17"/>
          <w:szCs w:val="17"/>
          <w:color w:val="auto"/>
        </w:rPr>
        <w:t>Inc., or Spark, that provides Spark with exclusive worldwide rights to our ImmTOR technology to research, develop and commercialize gene therapies for Factor VIII, an essential blood clotting protein relevant to the treatment of hemophilia A, which is the initial target under the agreement, as well as exclusive options for up to four additional pre-specified targets. For more information, see “Licenses and Collaborations - Spark Therapeutics" below.</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September 2018, we announced a collaboration with the European consortium, CureCN, for an ImmTOR+AAV gene therapy combination product candidate in Crigler-Najjar Syndrome. We expect CureCN to initiate preclinical toxicology studies in the first half of 2019 and for the combination product candidate to enter the clinic in the second half of the year.</w:t>
      </w:r>
    </w:p>
    <w:p>
      <w:pPr>
        <w:spacing w:after="0" w:line="181"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In addition to this renewed focus on our AAV gene therapy applications, we are deprioritizing our SEL-403 Phase 1 oncology program. The trial, which was placed on clinical hold by the FDA, was being conducted by the National Cancer Institute, part of the National Institutes of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102235</wp:posOffset>
            </wp:positionV>
            <wp:extent cx="5299710" cy="265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971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goal is to become the first biopharmaceutical company to develop and commercialize targeted therapies that are designed to more effectively and safely treat rare and serious diseases by inducing immune tolerance to potent but immunogenic biologic therapies. In addition, we intend to maximize the value of our ImmTOR technology by collaborating with biopharmaceutical companies on programs that can benefit from our technology but that are outside our area of focus. The key elements of our strategy include the following.</w:t>
      </w:r>
    </w:p>
    <w:p>
      <w:pPr>
        <w:spacing w:after="0" w:line="187" w:lineRule="exact"/>
        <w:rPr>
          <w:sz w:val="20"/>
          <w:szCs w:val="20"/>
          <w:color w:val="auto"/>
        </w:rPr>
      </w:pPr>
    </w:p>
    <w:p>
      <w:pPr>
        <w:ind w:left="6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development of SEL-212 for the treatment of chronic refractory gout. </w:t>
      </w:r>
      <w:r>
        <w:rPr>
          <w:rFonts w:ascii="Arial" w:cs="Arial" w:eastAsia="Arial" w:hAnsi="Arial"/>
          <w:sz w:val="17"/>
          <w:szCs w:val="17"/>
          <w:color w:val="auto"/>
        </w:rPr>
        <w:t>We believe SEL-212 has the potential, if successfully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and approved, to become the first monthly biologic treatment that durably controls uric acid while also dissolving harmful deposits of uric acid crystals for a majority of patients with chronic refractory gout. We are currently conducting a Phase 1/2 clinical program, comprised of two completed Phase 1 clinical studies and an ongoing Phase 2 clinical program. We expect to commence enrollment for our head-to-head (COMPARE) clinical study against Krystexxa in the first quarter of 2019 and expect to have interim six-month data in the fourth quarter of 2019, and data from statistical superiority endpoints expected to be available in the first quarter of 2020. The two armed, open label trial is projected to enroll between 120-150 patients per arm, with one arm receiving Krystexxa (per label) and the other arm receiving six monthly doses of SEL-212. The primary endpoint in the study is the percentage of patients in each arm that maintain serum uric acid control below 6 mg/dL at the six month endpoint. The results of the head-to-head (COMPARE) clinical trial are expected to inform the design of our planned Phase 3 clinical trials of SEL-212, which we plan to initiate in the fourth quarter of 2019.</w:t>
      </w:r>
    </w:p>
    <w:p>
      <w:pPr>
        <w:spacing w:after="0" w:line="177" w:lineRule="exact"/>
        <w:rPr>
          <w:rFonts w:ascii="Arial" w:cs="Arial" w:eastAsia="Arial" w:hAnsi="Arial"/>
          <w:sz w:val="17"/>
          <w:szCs w:val="17"/>
          <w:color w:val="auto"/>
        </w:rPr>
      </w:pPr>
    </w:p>
    <w:p>
      <w:pPr>
        <w:ind w:left="660" w:right="4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Transform gene therapy by enabling repeated administration of systemically-administered AAV gene therapy vectors. </w:t>
      </w:r>
      <w:r>
        <w:rPr>
          <w:rFonts w:ascii="Arial" w:cs="Arial" w:eastAsia="Arial" w:hAnsi="Arial"/>
          <w:sz w:val="17"/>
          <w:szCs w:val="17"/>
          <w:color w:val="auto"/>
        </w:rPr>
        <w:t>One of the key challenges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gene therapy field is the inability to administer more than one dose of AAV systemically due to the formation of neutralizing anti-AAV antibodies. We believe redosing has the potential to enable dose titration of gene therapy to achieve therapeutic expression of the transgene, to restore therapeutic expression in pediatric patients that have lost expression of the transgene due to target organ growth. A 2018 publication in Nature Communications provided peer-reviewed preclinical data supporting ImmTOR’s potential to mitigate the formation of neutralizing anti-AAV antibodies and enable productive AAV vector redosing in mice and nonhuman primates.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92" w:right="259" w:bottom="1440" w:gutter="0" w:footer="0" w:header="0"/>
        </w:sectPr>
      </w:pPr>
    </w:p>
    <w:bookmarkStart w:id="6" w:name="page7"/>
    <w:bookmarkEnd w:id="6"/>
    <w:p>
      <w:pPr>
        <w:ind w:left="660" w:right="10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ImmTOR to develop additional novel uses and classes of non-immunogenic biologics. </w:t>
      </w:r>
      <w:r>
        <w:rPr>
          <w:rFonts w:ascii="Arial" w:cs="Arial" w:eastAsia="Arial" w:hAnsi="Arial"/>
          <w:sz w:val="18"/>
          <w:szCs w:val="18"/>
          <w:color w:val="auto"/>
        </w:rPr>
        <w:t>We intend to use our ImmTOR technology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a range of proprietary, non-immunogenic biologic therapeutic candidates. In each case, ImmTOR would be evaluated for its potential to mitigate undesired immune response to the biologic therapy with the goal of improving efficacy and/or safety. Our strategy is to develop proprietary treatments for rare and serious diseases by combining ImmTOR with biologics that have been in- licensed or provided through research collaborations.</w:t>
      </w:r>
    </w:p>
    <w:p>
      <w:pPr>
        <w:spacing w:after="0" w:line="188"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infrastructure and capabilities to commercialize our products in rare and orphan diseases. </w:t>
      </w:r>
      <w:r>
        <w:rPr>
          <w:rFonts w:ascii="Arial" w:cs="Arial" w:eastAsia="Arial" w:hAnsi="Arial"/>
          <w:sz w:val="17"/>
          <w:szCs w:val="17"/>
          <w:color w:val="auto"/>
        </w:rPr>
        <w:t>While we believe our ImmTOR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broadly applicable across disease areas, we intend to focus our proprietary efforts on developing and commercializing proprietary ImmTOR - enabled products for rare and serious diseases where there is high unmet medical need. Therapies for treating these diseases require focused commercial efforts and coordination with patient groups and investigators. As our first product candidate, SEL-212, advances toward Phase 3 clinical trials and potential commercialization, we intend to build a commercial infrastructure to capture its full value.</w:t>
      </w:r>
    </w:p>
    <w:p>
      <w:pPr>
        <w:spacing w:after="0" w:line="172" w:lineRule="exact"/>
        <w:rPr>
          <w:rFonts w:ascii="Arial" w:cs="Arial" w:eastAsia="Arial" w:hAnsi="Arial"/>
          <w:sz w:val="17"/>
          <w:szCs w:val="17"/>
          <w:color w:val="auto"/>
        </w:rPr>
      </w:pPr>
    </w:p>
    <w:p>
      <w:pPr>
        <w:ind w:left="660" w:hanging="328"/>
        <w:spacing w:after="0" w:line="270" w:lineRule="auto"/>
        <w:tabs>
          <w:tab w:leader="none" w:pos="6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Selectively pursue collaborations and maximize the value of our ImmTOR programs for immune tolerance. </w:t>
      </w:r>
      <w:r>
        <w:rPr>
          <w:rFonts w:ascii="Arial" w:cs="Arial" w:eastAsia="Arial" w:hAnsi="Arial"/>
          <w:sz w:val="17"/>
          <w:szCs w:val="17"/>
          <w:color w:val="auto"/>
        </w:rPr>
        <w:t>In addition to our own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development efforts, we are in discussions with potential collaborators and licensees to pursue novel therapies that would utilize our ImmTOR technology. For example, in December 2016, we entered into the Spark License Agreement to develop gene therapies for certain targets utilizing our ImmTOR technology. For more information, see “Licenses and Collaborations - Spark Therapeutics." In September of 2018 we also announced a collaboration with CureCN, a European non-profit developing an AAV gene therapy for the treatment of Crigler Najjar Syndrome, an ultra-rare disease of iron metabolism mediated by a single gene deletion of a liver enzyme. The consortium plans to utilize our ImmTOR technology in combination with their AAV gene therapy with the potential to re-dose patients who are not producing enough enzyme post their first dose of AAV gene therapy. Preclinical toxicology studies are expected to begin in the first half of 2019, with the potential for initiation of preclinical/clinical combination studies in the second half of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HUMAN IMMUNE SYSTEM</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2"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2009775</wp:posOffset>
            </wp:positionH>
            <wp:positionV relativeFrom="page">
              <wp:posOffset>448945</wp:posOffset>
            </wp:positionV>
            <wp:extent cx="3550285" cy="2101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5502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 Antigen Presentation and Related Tolerogenic or Stimulatory Immune Response</w:t>
      </w:r>
    </w:p>
    <w:p>
      <w:pPr>
        <w:spacing w:after="0" w:line="22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There are a number of adverse outcomes that can occur when the immune system mounts an undesired response to an innocuous foreign antigen or a self-antigen. For example, food allergy occurs when the immune system mounts an immune response to innocuous food antigens. Another example of undesired immunogenicity occurs when the immune system is exposed to a biologic treatment, recognizes it as a foreign antigen and instructs the body to mount a defense by forming ADAs to the biologic,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number of therapies have been developed to modulate an immune response. These therapies fall into two categories:</w:t>
      </w:r>
    </w:p>
    <w:p>
      <w:pPr>
        <w:spacing w:after="0" w:line="225" w:lineRule="exact"/>
        <w:rPr>
          <w:sz w:val="20"/>
          <w:szCs w:val="20"/>
          <w:color w:val="auto"/>
        </w:rPr>
      </w:pPr>
    </w:p>
    <w:p>
      <w:pPr>
        <w:ind w:left="660" w:right="12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Immunosuppressive therapies. </w:t>
      </w:r>
      <w:r>
        <w:rPr>
          <w:rFonts w:ascii="Arial" w:cs="Arial" w:eastAsia="Arial" w:hAnsi="Arial"/>
          <w:sz w:val="18"/>
          <w:szCs w:val="18"/>
          <w:color w:val="auto"/>
        </w:rPr>
        <w:t>Immunosuppressive therapies are designed to suppress the immune system and inhibit an undesired immune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However, many current therapies are not antigen-specific and, as a result, broadly suppress the immune system leading to undesired side effects that include opportunistic infections, skin cancer and lymphomas. We believe there is an opportunity to develop therapies that instruct the immune system to mitigate the formation of ADAs in an antigen-specific manner and remain tolerant to the specific antigen, thereby mitigating off-target effects of systemic immunosuppression.</w:t>
      </w:r>
    </w:p>
    <w:p>
      <w:pPr>
        <w:spacing w:after="0" w:line="188"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Immunostimulatory therapies. </w:t>
      </w:r>
      <w:r>
        <w:rPr>
          <w:rFonts w:ascii="Arial" w:cs="Arial" w:eastAsia="Arial" w:hAnsi="Arial"/>
          <w:sz w:val="17"/>
          <w:szCs w:val="17"/>
          <w:color w:val="auto"/>
        </w:rPr>
        <w:t>Immunostimulatory therapies are designed to stimulate the immune system to prevent or treat infections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cancers. The most common class of 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ImmTOR TECHNOLOGY</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ImmTOR technology is based in part on the pioneering research performed by our co-founders at Harvard University, Massachusetts Institute of Technology, or MIT, and Brigham and Women’s Hospital, or Brigham. In connection with our company’s founding, we licensed 17 patent families related to several aspects of our ImmTOR technology from our co-founders’ institutions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ImmTOR technology. We have aggressively sought to extend and protect the proprietary intellectual property underlying the composition and use of ImmTOR for antigen-specific immunotolerance. For more information, see "Intellectual Property"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developing our ImmTOR technology for:</w:t>
      </w:r>
    </w:p>
    <w:p>
      <w:pPr>
        <w:spacing w:after="0" w:line="2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combination with a uricase enzyme for the treatment of chronic refractory gout;</w:t>
      </w:r>
    </w:p>
    <w:p>
      <w:pPr>
        <w:spacing w:after="0" w:line="3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combination with gene therapies for the treatment of rare diseases;</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40" w:right="239" w:bottom="1440" w:gutter="0" w:footer="0" w:header="0"/>
          <w:type w:val="continuous"/>
        </w:sectPr>
      </w:pPr>
    </w:p>
    <w:bookmarkStart w:id="8" w:name="page9"/>
    <w:bookmarkEnd w:id="8"/>
    <w:p>
      <w:pPr>
        <w:ind w:left="660" w:right="600" w:hanging="328"/>
        <w:spacing w:after="0" w:line="3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application with other marketed products, product candidates in development and novel biologic drugs that would otherwise be too immunogenic to develop</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SVP nanoparticles are designed to remain intact after injection into the body and accumulate selectively in lymphoid organs, which include lymph nodes and the spleen, where the immune response is coordinated. They are designed to be processed by specialized immune cells, such as dendritic cells and other antigen-presenting cells that initiate and regulate immune responses, where they deliver the immunomodulator in a coordinated and targeted manner. Depending on the type of immunomodulator encapsulated in the SVP, our technology is designed to induce a tolerogenic response to mitigate the formation of ADAs against a biologic drug or to treat allergies and autoimmune diseases.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ANTIGEN-SPECIFIC IMMUNE TOLERANCE PROGRAM</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antigen-specific tolerance programs utilize ImmTOR, our biodegradable nanoparticle encapsulating the immunomodulator rapamycin. Rapamycin is a small molecule approved for the prevention of organ rejection in kidney transplant patients. To mitigate the formation of ADAs and induce immune tolerance in the body, we co-administer our ImmTOR with a free antigen, such as a biologic drug, which is depicted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114300</wp:posOffset>
            </wp:positionV>
            <wp:extent cx="5600065" cy="1835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006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2. Co-Administration of ImmTOR with a Biologic Drug</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ImmTOR is designed to be co-administered (prior to the biologic drug) at the beginning of therapy with a biologic drug to mitigate the formation of ADAs without requiring the alteration of the drug or its dose regimen. As a result, we believe our ImmTOR may provide us with significant opportunities in the areas of immune tolerance and ADA prevention because ImmTOR is designed to be co-administered at the beginning of therapy with many different biologic drugs. Importantly, we believe each pairing of ImmTOR with a biologic drug also offers us the opportunity to pursue a distinct proprietary product candidate, which we believe has the potential to be separately patented, approved and marketed. ImmTOR is manufactured in facilities subject to current good manufacturing practice, or cGMP, requirements using well-defined commercial operations, which, we believe, further enhances the scalability of our tolerance programs.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preclinical studies, we observed that delivering an antigen together with ImmTOR provided the appropriate signals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induce regulatory T cells, which, in turn, inhibited effector immune responses, such as the formation of ADAs. In our preclinical studies, we observed that ImmTOR labeled with a fluorescent dye selectively accumulated in lymphoid organs where it was processed by antigen-presenting cells. Figure 3 below depicts a model of how ImmTOR would enter a lymph node and be taken up by a dendritic cell. We believe that when delivered in the context of our ImmTOR , both the biologic drug and ImmTOR are taken up and processed by dendritic cells in a manner that may induce regulatory T cells, which can potentially block the activation of helper T cells, mitigating the formation of ADAs.</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746" w:right="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448945</wp:posOffset>
            </wp:positionV>
            <wp:extent cx="4219575" cy="255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21957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3. ImmTOR and Antigen/Biologic Drug Presentation and Related Immune Tolerance Induction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therapies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 biologics, even those comprised of human protein sequences, have the potential to induce ADAs. Whether a biologic drug elicits an ADA response depends on both product-specific factors, such as propensity to form aggregates, the route of administration and mechanism of action, as well as patient-specific factors, such as genetics, underlying disease and medications. For instance, many enzyme and protein replacement therapies used in the treatment of rare and serious diseases have a particularly high rate of immunogenicity because patients are genetically deficient in the target protein and, as a result, the therapeutic protein can be recognized as foreign by the patient’s immune system.</w:t>
      </w:r>
    </w:p>
    <w:p>
      <w:pPr>
        <w:spacing w:after="0" w:line="17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formation of ADAs can lead to neutralization of efficacy, modification of pharmacokinetics and pharmacodynamics as well as allergic responses. Immunogenicity remains a significant hurdle for the development of safe and effective biologic treatments and has become a key concern for regulators, as evidenced by over 100 approved biologics that describe immunogenicity in their labels or clinical literature. According to product package inserts, approximately 50 currently marketed biologics report an incidence of ADAs affecting over 20% of patients. Among these biologics are Factor VIII products, such as Advate</w:t>
      </w:r>
      <w:r>
        <w:rPr>
          <w:rFonts w:ascii="Arial" w:cs="Arial" w:eastAsia="Arial" w:hAnsi="Arial"/>
          <w:sz w:val="13"/>
          <w:szCs w:val="13"/>
          <w:color w:val="auto"/>
        </w:rPr>
        <w:t>®</w:t>
      </w:r>
      <w:r>
        <w:rPr>
          <w:rFonts w:ascii="Arial" w:cs="Arial" w:eastAsia="Arial" w:hAnsi="Arial"/>
          <w:sz w:val="17"/>
          <w:szCs w:val="17"/>
          <w:color w:val="auto"/>
        </w:rPr>
        <w:t xml:space="preserve"> (antihemophilic factor) for the treatment of hemophilia A and antibody therapeutics with fully human sequences, such as Humira</w:t>
      </w:r>
      <w:r>
        <w:rPr>
          <w:rFonts w:ascii="Arial" w:cs="Arial" w:eastAsia="Arial" w:hAnsi="Arial"/>
          <w:sz w:val="13"/>
          <w:szCs w:val="13"/>
          <w:color w:val="auto"/>
        </w:rPr>
        <w:t>®</w:t>
      </w:r>
      <w:r>
        <w:rPr>
          <w:rFonts w:ascii="Arial" w:cs="Arial" w:eastAsia="Arial" w:hAnsi="Arial"/>
          <w:sz w:val="17"/>
          <w:szCs w:val="17"/>
          <w:color w:val="auto"/>
        </w:rPr>
        <w:t xml:space="preserve"> (adalimumab). We believe that immunogenicity also is a leading cause of product development failure for biopharmaceutical companies and that this issue is hampering the development of novel platform technologies, such as gene therapy and gene editing.</w:t>
      </w:r>
    </w:p>
    <w:p>
      <w:pPr>
        <w:spacing w:after="0" w:line="17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Undesired immunogenicity represents a significant hurdle that can hamper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Treatment and product development failure resulting from undesired immunogenicity has been recognized by regulators and patient advocacy organizations. In June 2014,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and may present greater safety concerns, or in life-threatening situations, by using global immunosuppressive combination therapies. We believe that our tolerogenic ImmTOR technology could offer an entirely new and effective treatment alternative for undesired immune responses, including with respect to the formation of ADAs, but potentially also for autoimmune diseases and allergies.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4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IMMTOR PROGRAMS DESIGNED TO INDUCE ANTIGEN-SPECIFIC IMMUNE TOLERANCE</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believe our ImmTOR technology designed to induce antigen-specific immune tolerance has a broad range of potential applications. We are currently pursuing targeted product development strategies for multiple applications in which we believe ImmTOR products could be highly differentiated.</w:t>
      </w:r>
    </w:p>
    <w:p>
      <w:pPr>
        <w:spacing w:after="0" w:line="124" w:lineRule="exact"/>
        <w:rPr>
          <w:sz w:val="20"/>
          <w:szCs w:val="20"/>
          <w:color w:val="auto"/>
        </w:rPr>
      </w:pPr>
    </w:p>
    <w:p>
      <w:pPr>
        <w:ind w:left="660" w:hanging="328"/>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Therapeutic enzymes</w:t>
      </w:r>
      <w:r>
        <w:rPr>
          <w:rFonts w:ascii="Arial" w:cs="Arial" w:eastAsia="Arial" w:hAnsi="Arial"/>
          <w:sz w:val="17"/>
          <w:szCs w:val="17"/>
          <w:color w:val="auto"/>
        </w:rPr>
        <w:t>. Therapeutic enzymes are a frequently used class of biologic drugs to treat rare diseases. Through our analysis of biologic</w:t>
      </w:r>
      <w:r>
        <w:rPr>
          <w:rFonts w:ascii="Arial" w:cs="Arial" w:eastAsia="Arial" w:hAnsi="Arial"/>
          <w:sz w:val="17"/>
          <w:szCs w:val="17"/>
          <w:i w:val="1"/>
          <w:iCs w:val="1"/>
          <w:color w:val="auto"/>
        </w:rPr>
        <w:t xml:space="preserve"> </w:t>
      </w:r>
      <w:r>
        <w:rPr>
          <w:rFonts w:ascii="Arial" w:cs="Arial" w:eastAsia="Arial" w:hAnsi="Arial"/>
          <w:sz w:val="17"/>
          <w:szCs w:val="17"/>
          <w:color w:val="auto"/>
        </w:rPr>
        <w:t>drugs, including our preclinical studies, we have observed that enzymes are especially prone to undesired immune responses. Our first product candidate, SEL-212, includes pegadricase, a pegylated uricase enzyme, which is an example of an immunogenic enzyme for which we are applying ImmTOR with the intention of improving the enzyme’s efficacy and safety. Other examples of immunogenic enzymes include acid alpha-glucosidase for the treatment of Pompe disease, alpha galactosidase A for the treatment of Fabry’s disease and microbial enzymes such as asparaginase for the treatment of cancers. We intend to seek opportunities to secure supply of and, if appropriate, licenses to these or other enzymes that we would evaluate in combination with ImmTOR.</w:t>
      </w:r>
    </w:p>
    <w:p>
      <w:pPr>
        <w:spacing w:after="0" w:line="177" w:lineRule="exact"/>
        <w:rPr>
          <w:rFonts w:ascii="Arial" w:cs="Arial" w:eastAsia="Arial" w:hAnsi="Arial"/>
          <w:sz w:val="17"/>
          <w:szCs w:val="17"/>
          <w:color w:val="auto"/>
        </w:rPr>
      </w:pPr>
    </w:p>
    <w:p>
      <w:pPr>
        <w:ind w:left="660" w:right="20" w:hanging="328"/>
        <w:spacing w:after="0" w:line="28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Gene therapies</w:t>
      </w:r>
      <w:r>
        <w:rPr>
          <w:rFonts w:ascii="Arial" w:cs="Arial" w:eastAsia="Arial" w:hAnsi="Arial"/>
          <w:sz w:val="16"/>
          <w:szCs w:val="16"/>
          <w:color w:val="auto"/>
        </w:rPr>
        <w:t>. We believe gene therapies have the potential to address key unmet medical needs for many rare genetic diseases, but undesired</w:t>
      </w:r>
      <w:r>
        <w:rPr>
          <w:rFonts w:ascii="Arial" w:cs="Arial" w:eastAsia="Arial" w:hAnsi="Arial"/>
          <w:sz w:val="16"/>
          <w:szCs w:val="16"/>
          <w:i w:val="1"/>
          <w:iCs w:val="1"/>
          <w:color w:val="auto"/>
        </w:rPr>
        <w:t xml:space="preserve"> </w:t>
      </w:r>
      <w:r>
        <w:rPr>
          <w:rFonts w:ascii="Arial" w:cs="Arial" w:eastAsia="Arial" w:hAnsi="Arial"/>
          <w:sz w:val="16"/>
          <w:szCs w:val="16"/>
          <w:color w:val="auto"/>
        </w:rPr>
        <w:t>immune responses to the viral vectors used for gene replacement, augmentation and editing may be restricting their broader use. Through our analysis of genetic diseases, we have identified applications and patient segments that we believe would benefit from our ImmTOR technology. We intend to develop proprietary ImmTOR -enabled non-immunogenic gene therapy candidates with viral vectors such as the Anc80 vector that we have licensed from MEE, but which are also designed to be utilized with more common AAV vectors (e.g., AAV8, AAV5). We believe our product candidates have the potential to mitigate the problem of pre-existing immunogenicity to the gene therapy vector by using Anc80 and to prevent undesired immune responses to the vector and transgene that can occur with the first dose of gene therapy by using our ImmTOR technology. Our initial area of focus is on genetic metabolic diseases, but may also include lysosomal storage diseases and genetic muscular diseases. We believe we are the first company to systematically pursue the development of gene therapy product candidates with the goal of enabling repeat administration. We have engaged third parties with experience in gene therapy and rare diseases to support the development of our proprietary products. We also have licensed our ImmTOR technology to Spark Therapeutics for the development of gene therapies for certain pre-specified targets. For more information, see "Licenses and Collaborations - Spark Therapeutics".</w:t>
      </w:r>
    </w:p>
    <w:p>
      <w:pPr>
        <w:spacing w:after="0" w:line="168" w:lineRule="exact"/>
        <w:rPr>
          <w:rFonts w:ascii="Arial" w:cs="Arial" w:eastAsia="Arial" w:hAnsi="Arial"/>
          <w:sz w:val="16"/>
          <w:szCs w:val="16"/>
          <w:color w:val="auto"/>
        </w:rPr>
      </w:pPr>
    </w:p>
    <w:p>
      <w:pPr>
        <w:ind w:left="660" w:right="40" w:hanging="328"/>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Other products and product candidates affected by undesired immune responses</w:t>
      </w:r>
      <w:r>
        <w:rPr>
          <w:rFonts w:ascii="Arial" w:cs="Arial" w:eastAsia="Arial" w:hAnsi="Arial"/>
          <w:sz w:val="17"/>
          <w:szCs w:val="17"/>
          <w:color w:val="auto"/>
        </w:rPr>
        <w:t>. We have generated preclinical data which we believe suggests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potential benefit of ImmTOR for immune tolerance. For many biologic drugs, undesired immune responses limit efficacy and cause safety concerns. This includes TNF-alpha-specific monoclonal antibodies for the treatment of rheumatoid arthritis and coagulation factor replacement therapies for the treatment of hemophilia. We intend to out-license ImmTOR technology for use with other products that are outside our focus to larger biopharmaceutical companies. We believe our ImmTOR technology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for the treatment of chronic refractory gout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SEL-212 is our proprietary product candidate under development for the treatment of chronic refractory gout. SEL-212 consists of ImmTOR co-administered with pegadricase, a pegylated uricase. We believe that our SEL-212 has the potential, if successfully developed and approved, to offer a uniquely effective treatment for patients with chronic refractory gout, while also providing evidence regarding the utility of our ImmTOR technology platform. Pegylated uricase, in the form of the approved drug Krystexxa, has demonstrated the ability to significantly reduce uric acid levels and dissolve the harmful uric acid crystals that are the manifestations of gout upon initial treatment in patients. However, we believe broad commercial adoption has not been achieved primarily due to undesired immune responses. Based on the data received from our preclinical and Phase 1/2 clinical studies, we believe that by leveraging our ImmTOR technology to mitigate the formation of ADAs following the dosing of our pegylated uricase, pegadricase, SEL-212, if successfully developed and approved, could enable the removal of uric acid crystals in a majority of patients.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gout therapy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Gout is a painful and potentially disabling form of arthritis resulting from excess accumulation of uric acid and deposition of uric acid crystals in joints and soft tissues, including those of the kidney and heart, causing harmful inflammation. Gout 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21" w:right="239" w:bottom="1440" w:gutter="0" w:footer="0" w:header="0"/>
        </w:sectPr>
      </w:pPr>
    </w:p>
    <w:bookmarkStart w:id="11" w:name="page12"/>
    <w:bookmarkEnd w:id="11"/>
    <w:p>
      <w:pPr>
        <w:ind w:right="220"/>
        <w:spacing w:after="0" w:line="279" w:lineRule="auto"/>
        <w:rPr>
          <w:sz w:val="20"/>
          <w:szCs w:val="20"/>
          <w:color w:val="auto"/>
        </w:rPr>
      </w:pPr>
      <w:r>
        <w:rPr>
          <w:rFonts w:ascii="Arial" w:cs="Arial" w:eastAsia="Arial" w:hAnsi="Arial"/>
          <w:sz w:val="17"/>
          <w:szCs w:val="17"/>
          <w:color w:val="auto"/>
        </w:rPr>
        <w:t>caused by an overproduction of uric acid, a natural byproduct of purine metabolism that is produced after consumption of food with high levels of purines such as seafood, meat, yeast and certain vegetables, and/or an inability of the kidneys to excrete adequate amounts of uric acid from the body. High concentrations of serum uric acid lead to formation of uric acid crystals in joints and tissues, causing pain, inflammation and joint damage, and increase the risk for other conditions, including cardiovascular, cardiometabolic, joint and kidney disease.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approximately 8.3 million and 10.0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these oral treatments are designed to prevent the formation of uric acid deposits, they are not well suited to reduce existing uric acid deposits in joints and tissues.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Gout is a spectrum of disease that is typically diagnosed through the measurement of uric acid levels in the blood and/or the identification of uric acid crystals from a visible tophus. High concentrations of serum uric acid increase the risk of co-morbidities, including cardiovascular, cardiometabolic, joint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 Chronic refractory gout constitutes a subset of gout patients exhibiting chronic high serum uric acid levels and painful and damaging uric acid deposits. In total, we estimate that there are approximately 160,000 chronic refractory gout patients in the U.S. who are seen by rheumatologists.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Figure 4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426720</wp:posOffset>
            </wp:positionV>
            <wp:extent cx="3910330" cy="252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4. Co-Morbidities Associated with Gout</w:t>
      </w:r>
    </w:p>
    <w:p>
      <w:pPr>
        <w:spacing w:after="0" w:line="22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Based on our preclinical studies, clinical data from our Phase 1b and ongoing Phase 2 trials and market research, we believe that SEL-212 may potentially address several key unmet needs in the treatment of chronic refractory gout: the durable control of serum uric acid levels, the elimination of painful and damaging uric acid deposits, reduction in incidence and severity of flares and once-monthly dosing.</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product development strategy is designed to address these unmet medical needs while improving the dosing regimen to a once-monthly treatment. We expect to commence enrollment for our Phase 2 head-to-head (COMPARE) clinical study against Krystexxa, which is intended to evaluate the differences between Krystexxa and SEL-212 with respect to serum uric acid control, flare rates and dosing convenience, in the first quarter of 2019. The results of the head-to-head (COMPARE) clinical trial are expected to inform the design of our planned Phase 3 clinical trial of SEL-212, following which we plan to seek regulatory approval for the treatment of refractory gout based on an endpoint of reduction of serum uric acid levels below 6 mg/dl. We intend for the Phase 3 protocol to include patients with chronic tophaceous gout. During our market research, physicians expressed their preference for a product that could be dosed monthly for at least six months. If approved, we plan to position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2" w:name="page13"/>
    <w:bookmarkEnd w:id="12"/>
    <w:p>
      <w:pPr>
        <w:ind w:right="220"/>
        <w:spacing w:after="0" w:line="255" w:lineRule="auto"/>
        <w:rPr>
          <w:sz w:val="20"/>
          <w:szCs w:val="20"/>
          <w:color w:val="auto"/>
        </w:rPr>
      </w:pPr>
      <w:r>
        <w:rPr>
          <w:rFonts w:ascii="Arial" w:cs="Arial" w:eastAsia="Arial" w:hAnsi="Arial"/>
          <w:sz w:val="18"/>
          <w:szCs w:val="18"/>
          <w:color w:val="auto"/>
        </w:rPr>
        <w:t>SEL-212 as a debulking therapy for gout that has the potential to remove harmful uric acid deposits over a limited number of once-monthly doses and subsequently allow patients to switch to oral gout maintenance therapy unless and until such patients experience a subsequent manifestation of uric acid deposits. We do not believe that oral therapy would completely prevent the build-up over time of uric acid crystals in patients with a history of chronic tophaceous gout and, as a result, we anticipate that treatment with SEL-212, if approved, would be required intermittently in such patients. We believe that SEL-212, if approved, may be effective in removing harmful uric acid deposits in most patients with chronic tophaceous gout over multiple courses of treatment in their lifetimes. Figure 5 below depicts this positioning strategy as a sample diagram illustrating what we believe to be a shift in the treatment paradigm for chronic refractory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60960</wp:posOffset>
            </wp:positionV>
            <wp:extent cx="5866130" cy="329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5. Sample Treatment Course for Chronic Refractory Gout.</w:t>
      </w:r>
    </w:p>
    <w:p>
      <w:pPr>
        <w:spacing w:after="0" w:line="11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expect our clinical and marketing strategy for SEL-212 to initially focus on the estimated 160,000 patients in the United States with chronic refractory gout who are being treated by rheumatologists. If SEL-212 is approved, we expect our strategy for marketing SEL-212 to rheumatologists will be to promote a switch from oral therapies to SEL-212 for patients with serum uric acid levels chronically above 6 mg/dl or those diagnosed with chronic tophaceous gout. Some rheumatologists have begun to utilize imaging technologies recommended by the guideline writing associations for rheumatology, including the American College of Rheumatology and the European League Against Rheumatism. In particular, dual energy computed tomography, or DECT, can visualize uric acid deposits in joints and tissues as depicted in Figure 6 below in green. DECT has the potential to become an important tool to manage chronic refractory gout. Figure 6 below depicts a patient, using DECT imaging, with heavy urate burden at onset of study and almost a complete resolution of this after five months. We believe DECT imaging use could increase the market for SEL-212 by better assessing the severity of gout prior to treatment and by demonstrating the impact of efficacy following treatment.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1958340</wp:posOffset>
            </wp:positionH>
            <wp:positionV relativeFrom="page">
              <wp:posOffset>448945</wp:posOffset>
            </wp:positionV>
            <wp:extent cx="3644900" cy="247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6449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6. Tophi / Uric Acid Deposits (shown in green) Visualized Using Dual Energy Computed Tomography Imaging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SEL-212 components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SEL-212 consists of ImmTOR co-administered with pegadricase. Our ImmTOR consists of nanoparticles composed of poly(D,L-lactide), or PLA, and poly(D,L-lactide)-block-poly(ethylene-glycol), or PLA-PEG, encapsulating rapamycin. Our pegadricase consists of a uricase modified with poly(ethylene-glycol), or PEG. The components of SEL-212 are depicted in Figure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124460</wp:posOffset>
            </wp:positionV>
            <wp:extent cx="5866130" cy="2855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7. Components of SEL-212</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pegadricase is a pegylated version of the therapeutic enzyme uricase, which we have licensed from Shenyang Sunshine Pharmaceutical Co., Ltd., or 3SBio, exclusively for all markets, except Japan and Greater China, and exclusively for Japan only in combination with our ImmTOR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w:t>
      </w:r>
    </w:p>
    <w:p>
      <w:pPr>
        <w:sectPr>
          <w:pgSz w:w="11900" w:h="16838" w:orient="portrait"/>
          <w:cols w:equalWidth="0" w:num="1">
            <w:col w:w="11400"/>
          </w:cols>
          <w:pgMar w:left="240" w:top="1440" w:right="25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440" w:right="259" w:bottom="1440" w:gutter="0" w:footer="0" w:header="0"/>
          <w:type w:val="continuous"/>
        </w:sectPr>
      </w:pPr>
    </w:p>
    <w:bookmarkStart w:id="14" w:name="page15"/>
    <w:bookmarkEnd w:id="14"/>
    <w:p>
      <w:pPr>
        <w:ind w:right="100"/>
        <w:spacing w:after="0" w:line="293" w:lineRule="auto"/>
        <w:rPr>
          <w:sz w:val="20"/>
          <w:szCs w:val="20"/>
          <w:color w:val="auto"/>
        </w:rPr>
      </w:pPr>
      <w:r>
        <w:rPr>
          <w:rFonts w:ascii="Arial" w:cs="Arial" w:eastAsia="Arial" w:hAnsi="Arial"/>
          <w:sz w:val="16"/>
          <w:szCs w:val="16"/>
          <w:color w:val="auto"/>
        </w:rPr>
        <w:t>ImmTOR is our biodegradable nanoparticle that encapsulates rapamycin, also referred to as sirolimus. Rapamycin is the active ingredient of Rapamune, an immunosuppressant which has extensive prior use in humans and is currently FDA-approved as a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ImmTOR co-administered at the initiation of treatment with a biologic drug substantially reduced the formation of associated ADAs and induced antigen-specific immune tolerance to the biologic drug.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chronic refractory gout, we are executing a clinical development program that seeks to evaluate SEL-212’s ability to durably reduce serum uric acid levels below 6.0 mg/dL. The saturation point of uric acid, or the maximum level at which uric acid will remain soluble in plasma, is 6.8 mg/dL. When uric acid rises above 6.8 mg/dL, monosodium urate microcrystals begin to form and settle in joints and other tissues, creating an inflammatory response that is diagnosed as gout. This inflammatory response is the source of highly debilitating gout flares experienced by patients. When serum uric acid levels drop below the level of 6.0 mg/dL, microcrystals will begin to dissolve and, over time, gout symptoms will resolve. Therefore, a serum uric acid level of less than 6.0 mg/dL is defined as the target for uric acid-lowering treatments by organizations such as the American College of Rheumatology and the European League Against Rheumatism. The FDA and EMA have also considered the maintenance of serum uric acid levels below 6 mg/dL to be an acceptable primary endpoint in clinical trials for urate lowering therapies. Available oral gout therapies are designed to prevent the formation of uric acid microcrystals but are not effective in rapidly removing existing crystalized deposits. In severe gout patients who have significant deposits of monosodium urate crystals, known as tophi, it is of clinical benefit to significantly reduce serum uric acid levels (i.e. below 0.1 mg/dL) for a period of time in order to rapidly dissolve the monosodium urate crystals.</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to conduct multiple clinical studies in more than 400 patients with gout or elevated levels of serum uric acid. We initiated our clinical program in the U.S. in the second quarter of 2015 with a multicenter Phase 1a trial of pegadricase in patients with serum uric acid levels greater than 6.0 mg/dL. We completed the patient treatment portion of our Phase 1a trial in November 2015, initiated a Phase 1b trial in December 2015 and reported data from both Phase 1 clinical trials in December 2016. In our Phase 1b trial, we demonstrated that a single dose of SEL-212 was capable of lowering serum uric acid levels below 0.1 mg/dL for at least 30 days, which is correlated with the inhibition of uricase-specific ADAs. We initiated patient recruitment in an open label multi-dose Phase 2 clinical trial of SEL-212 in patients with symptomatic gout and elevated uric acid levels in October 2016. This study is being conducted at multiple clinical sites in the U.S. We have completed our initial end-of-Phase 2 meeting with the FDA and believe we have established a path forward for potential BLA submission. This program may consist of either a head-to-head active comparator study(s) or studies similar to the Krystexxa Phase 3 program, which would involve a comparison of SEL-212 to placebo</w:t>
      </w:r>
      <w:r>
        <w:rPr>
          <w:rFonts w:ascii="Arial" w:cs="Arial" w:eastAsia="Arial" w:hAnsi="Arial"/>
          <w:sz w:val="17"/>
          <w:szCs w:val="17"/>
          <w:i w:val="1"/>
          <w:iCs w:val="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and Phase 2 clinical trials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SEL-212 is currently being evaluated in a Phase 1/2 clinical program that includes a Phase 1a and Phase 1b clinical trial in patients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included identifying a pegadricase dose that was capable of lowering serum uric acid levels over a period of one month, evaluating the immunogenicity of pegadricase after a single dose and demonstrating that ImmTOR co-administered with pegadricase reduced uric acid levels and mitigated the formation of uricase-specific ADAs. The Phase 2 clinical trial evaluated the effect of multiple doses over an extended period of time on serum uric acid and the formation of ADAs in patients. We received final data from both Phase 1 clinical trials in December 2016. We commenced patient recruitment in the Phase 2 clinical trial in October 2016. We plan to commence enrollment for our Phase 2 head-to-head (COMPARE) clinical trial of SEL-212, utilizing revised stopping rules, compared to Krystexxa in the first quarter of 2019 and expect to present interim 6-month data planned in the fourth quarter of 2019, and statistical superiority endpoints in the first quarter of 2020. The two-armed, open label trial is projected to enroll between 120-150 patients per arm, with one arm receiving Krystexxa (per label) vs. 6 monthly doses of SEL-212. The primary endpoint in the study is the percentage of patients in each arm that maintain sUA control below 6 mg/dL at the six month endpoint. The results of the head-to-head (COMPARE) clinical trial are expected to inform the design of our planned Phase 3 clinical trials of SEL-212, which we plan to initiate in the fourth quarter of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trial</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Phase 1a clinical trial for SEL-212 was conducted at multiple sites in the United States and was a single ascending dose trial of pegadricase alone in 22 patients with elevated serum uric acid levels greater than 6 mg/dl. At the outset of the trial, each of five cohorts received a single intravenous infusion of pegadricase at ascending dose levels. We monitored the patients during a 30-day period post-infusion. We commenced enrollment of the clinical trial in the second quarter of 2015 and completed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jc w:val="both"/>
        <w:ind w:right="60"/>
        <w:spacing w:after="0" w:line="259" w:lineRule="auto"/>
        <w:rPr>
          <w:sz w:val="20"/>
          <w:szCs w:val="20"/>
          <w:color w:val="auto"/>
        </w:rPr>
      </w:pPr>
      <w:r>
        <w:rPr>
          <w:rFonts w:ascii="Arial" w:cs="Arial" w:eastAsia="Arial" w:hAnsi="Arial"/>
          <w:sz w:val="18"/>
          <w:szCs w:val="18"/>
          <w:color w:val="auto"/>
        </w:rPr>
        <w:t>treatment portion of the trial in November 2015. We observed that pegadricase showed no serious adverse events, or SAEs, and was well tolerated at the five dose levels tested. Additionally, we observed that pegadricase rapidly reduced and sustained average serum uric acid levels below 6 mg/dl for each cohort for 14 to 30 days, depending on the dose level. Consistent with our preclinical studies in animals, pegadricase induced uricase-specific ADAs in all patients with varying levels in this Phase 1a trial.</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Figure 8 below indicates the serum uric acid and uricase-specific ADA levels for each patient in Cohort #3 of the Phase 1a clinical trial, which received a single dose of 0.4 mg/kg of pegadricase. The serum uric acid levels were measured at baseline and days seven, 14, 21 and 30 and uricase-specific ADA levels at baseline and days seven, 14 and 30 following the single intravenous injection of pegadricase. We did not measure uricase-specific ADA levels at day 21 in the Phase 1a clinical trial. Patient number two in this cohort developed a relatively low level uricase-specific ADA titer of 40 and maintained uric acid levels below 0.5 mg/dL through the thirtieth day after dosing. By contrast, the remaining four patients in the cohort developed levels of uricase-specific ADAs greater than 1,000 titer and uric acid levels above 5 mg/dL by the thirtieth day after dosing. Based on the results from our Phase 1a clinical trial, we observed that pegadricase at the 0.4 mg/kg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396875</wp:posOffset>
            </wp:positionV>
            <wp:extent cx="5076825" cy="1629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7682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8. Phase 1a Clinical Trial: Serum Uric Acid and Uricase-Specific ADA Levels of the Third Cohort</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analysis of the Phase 1a clinical trial data, we selected the pegadricase dose of 0.4 mg/kg from Cohort #3 of the Phase 1a clinical trial for further study in the Phase 1b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clinical trial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2015, we initiated our Phase 1b clinical trial at multiple sites in the United States. The clinical trial enrolled 63 patients with serum uric acid levels greater than 6 mg/dl. One group of five patients received a single 0.4 mg/kg dose of pegadricase alone, which we refer to as the Pegadricase Cohort. Four groups of patients, each containing two placebo-control patients and five test article patients, received a placebo or a single intravenous infusion of ImmTOR alone at the following ascending dose levels: 0.03 mg/kg, 0.1 mg/kg, 0.3 mg/kg and 0.5 mg/kg, which we refer to collectively as the ImmTOR Cohorts. Four groups of patients received a single intravenous infusion of ImmTOR at ascending dose levels of 0.03 mg/kg (5 patients), 0.1 mg/kg (10 patients), 0.15 mg/kg (5 patients) or 0.3 mg/kg (5 patients) with a fixed dose of pegadricase of 0.4 mg/kg, which we collectively call the SEL-212 cohorts. All patients were followed for at least 30 days after their initial dose.</w:t>
      </w:r>
    </w:p>
    <w:p>
      <w:pPr>
        <w:spacing w:after="0" w:line="189" w:lineRule="exact"/>
        <w:rPr>
          <w:sz w:val="20"/>
          <w:szCs w:val="20"/>
          <w:color w:val="auto"/>
        </w:rPr>
      </w:pPr>
    </w:p>
    <w:p>
      <w:pPr>
        <w:ind w:right="100"/>
        <w:spacing w:after="0" w:line="224" w:lineRule="exact"/>
        <w:rPr>
          <w:sz w:val="20"/>
          <w:szCs w:val="20"/>
          <w:color w:val="auto"/>
        </w:rPr>
      </w:pPr>
      <w:r>
        <w:rPr>
          <w:rFonts w:ascii="Arial" w:cs="Arial" w:eastAsia="Arial" w:hAnsi="Arial"/>
          <w:sz w:val="16"/>
          <w:szCs w:val="16"/>
          <w:color w:val="auto"/>
        </w:rPr>
        <w:t>Figure 9 below depicts the serum uric acid levels of the Pegadricase Cohort (depicted in red symbols), the ImmTOR Cohorts (depicted in blue symbols), and the SEL</w:t>
      </w:r>
      <w:r>
        <w:rPr>
          <w:rFonts w:ascii="MS PGothic" w:cs="MS PGothic" w:eastAsia="MS PGothic" w:hAnsi="MS PGothic"/>
          <w:sz w:val="16"/>
          <w:szCs w:val="16"/>
          <w:color w:val="auto"/>
        </w:rPr>
        <w:t>‑</w:t>
      </w:r>
      <w:r>
        <w:rPr>
          <w:rFonts w:ascii="Arial" w:cs="Arial" w:eastAsia="Arial" w:hAnsi="Arial"/>
          <w:sz w:val="16"/>
          <w:szCs w:val="16"/>
          <w:color w:val="auto"/>
        </w:rPr>
        <w:t>212 Cohorts (depicted in green symbols) from the Phase 1b clinical trial. Serum uric acid levels were measured at baseline and days seven, 14, 21,</w:t>
      </w:r>
    </w:p>
    <w:p>
      <w:pPr>
        <w:ind w:right="20"/>
        <w:spacing w:after="0" w:line="216" w:lineRule="exact"/>
        <w:rPr>
          <w:sz w:val="20"/>
          <w:szCs w:val="20"/>
          <w:color w:val="auto"/>
        </w:rPr>
      </w:pPr>
      <w:r>
        <w:rPr>
          <w:rFonts w:ascii="Arial" w:cs="Arial" w:eastAsia="Arial" w:hAnsi="Arial"/>
          <w:sz w:val="17"/>
          <w:szCs w:val="17"/>
          <w:color w:val="auto"/>
        </w:rPr>
        <w:t>30 and longer for some patients that maintained serum uric acid control at day 21. As expected, ImmTOR alone had no relevant effect on reducing serum uric acid levels across the ImmTOR Cohorts, as such levels remained relatively constant during the 30</w:t>
      </w:r>
      <w:r>
        <w:rPr>
          <w:rFonts w:ascii="MS PGothic" w:cs="MS PGothic" w:eastAsia="MS PGothic" w:hAnsi="MS PGothic"/>
          <w:sz w:val="17"/>
          <w:szCs w:val="17"/>
          <w:color w:val="auto"/>
        </w:rPr>
        <w:t>‑</w:t>
      </w:r>
      <w:r>
        <w:rPr>
          <w:rFonts w:ascii="Arial" w:cs="Arial" w:eastAsia="Arial" w:hAnsi="Arial"/>
          <w:sz w:val="17"/>
          <w:szCs w:val="17"/>
          <w:color w:val="auto"/>
        </w:rPr>
        <w:t>day period. Patients in the Pegadricase Cohort showed an immediate drop in uric acid levels after dosing, with uric acid levels returning close to or above baseline levels by day 21 in four of the five patients, similar to what was observed in Cohort #3 in the Phase 1A study. In contrast, patients in the SEL-212 Cohort receiving the lowest dose of ImmTOR (0.03 mg/kg) co-administered with pegadricase (0.4 mg/kg), showed four out of five patients maintaining serum uric acid levels below 6 mg/dL through day 21 after dosing. SEL-212 patients receiving ImmTOR at 0.1 mg/kg co-administered with 0.4 mg/kg of pegadricase, showed seven out of 10 patients maintained levels of serum uric acid of less than 0.1 mg/dl through day 30. SEL-212 patients receiving ImmTOR at 0.15 mg/kg co-administered with 0.4 mg/kg of pegadricase, showed all five patients maintaining levels of serum uric acid of less than 6 mg/dL through day 30. Finally, SEL-212 patients receiving ImmTOR at 0.3 mg/kg c- administered with 0.4 mg/kg of pegadricase, showed all five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patients maintaining levels of serum uric acid of less than 0.1 mg/dL through day 30. These results indicate that SEL-212 showed a dose-dependent reduction in serum uric acid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117475</wp:posOffset>
            </wp:positionV>
            <wp:extent cx="5866130" cy="3730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6130"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9. Phase 1b Clinical Trial: Uric Acid Levels Across All Phase 1b Cohorts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Figure 10 below depicts the serum uric acid levels at day 30 next to the corresponding day 30 uricase-specific ADA titer for all patients in the Pegadricase Cohort and in the SEL-212 Cohorts at the three higher dose levels. Four of the five patients treated with 0.4 mg/kg pegadricase alone showed their serum uric return to baseline by day 30 and all five showed uricase specific ADA titers greater than 1000. Seven of 10 SEL-212 patients treated with 0.1 mg/kg ImmTOR and 0.4 mg/kg pegadricase showed serum uric acid levels below 0.1 mg/dL with corresponding low or negative uricase specific ADA titers at day</w:t>
      </w:r>
    </w:p>
    <w:p>
      <w:pPr>
        <w:spacing w:after="0" w:line="2" w:lineRule="exact"/>
        <w:rPr>
          <w:sz w:val="20"/>
          <w:szCs w:val="20"/>
          <w:color w:val="auto"/>
        </w:rPr>
      </w:pPr>
    </w:p>
    <w:p>
      <w:pPr>
        <w:ind w:firstLine="8"/>
        <w:spacing w:after="0" w:line="269" w:lineRule="auto"/>
        <w:tabs>
          <w:tab w:leader="none" w:pos="2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five SEL-212 patients treated with 0.15 mg/kg ImmTOR and 0.4 mg/kg pegadricase showed serum uric acid below 6 mg/dL at day 30. One patient developed uricase specific ADA titers greater than 1000 but still maintained his serum uric acid below the target threshold of 6 mg/dL at day 30. The other four patients showed no ADA titers and had serum uric acid levels below 0.1 mg/dL. Finally, all five SEL-212 patients treated with 0.3 mg/kg ImmTOR and 0.4 mg/kg pegadricase showed serum uric acid below 0.1 mg/dL at day 30 with corresponding low or negative ADA titers. The one patient with an ADA titer of 120 at baseline showed the same titer at baseline and at each time point tested, indicating that this patient had pre-existing low titer of antibody that was cross-reactive with pegadricase at baseline. These results indicate that SEL-212 mitigated the formation of uricase-specific ADAs which correlated with sustained control of serum uric acid levels through at least day 30 after a single dose.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692"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448945</wp:posOffset>
            </wp:positionV>
            <wp:extent cx="5866130" cy="2958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6613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10.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patients in the SEL-212 Cohort were requested to return for additional visits on days 37, 44, and/or 51 because their serum uric acid levels were still under control (&lt;6 mg/dL) at day 21. Not all patients were able to return for the additional visits. The data for those who could return are in included in Figure 11 below. The data show that uric acid levels eventually returned to baseline, as expected after a single dose of pegadricase. Importantly, no emergence of ADAs was detected in those patients who exhibited low or no ADA titers at day 30. These data suggest that the treatment with ImmTOR controlled immune responses to pegadricase for up to 51 days after dosing. The data also support monthly dosing in the Phase 2 multiple dose trial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40640</wp:posOffset>
            </wp:positionV>
            <wp:extent cx="5866130" cy="2341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11.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At the completion of our Phase 1b program for SEL-212 we had dosed a total of 64 patients in the trial with either SEL-212 (ImmTOR and pegadricase),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ImmTOR alone, pegadricase alone or placebo. The median serum acid level of patients enrolled was 7.3 mg/dL, with a mean of 7.4 mg/dL at baseline.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presented with an average of 5.3 co-morbidities, such as hypertension and diabetes.</w:t>
      </w:r>
    </w:p>
    <w:p>
      <w:pPr>
        <w:spacing w:after="0" w:line="211"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color w:val="auto"/>
        </w:rPr>
        <w:t>We have generally observed that SEL</w:t>
      </w:r>
      <w:r>
        <w:rPr>
          <w:rFonts w:ascii="MS PGothic" w:cs="MS PGothic" w:eastAsia="MS PGothic" w:hAnsi="MS PGothic"/>
          <w:sz w:val="18"/>
          <w:szCs w:val="18"/>
          <w:color w:val="auto"/>
        </w:rPr>
        <w:t>‑</w:t>
      </w:r>
      <w:r>
        <w:rPr>
          <w:rFonts w:ascii="Arial" w:cs="Arial" w:eastAsia="Arial" w:hAnsi="Arial"/>
          <w:sz w:val="18"/>
          <w:szCs w:val="18"/>
          <w:color w:val="auto"/>
        </w:rPr>
        <w:t>212 and its components, ImmTOR and pegadricase, have been well tolerated in this patient population. There were a total of six SAEs in the Phase 1b trial. Of the six SAEs, three were determined to not to be related to study drug by investigators. Of the remaining three SAEs that were determined to possibly or likely be related to</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440" w:right="319" w:bottom="1440" w:gutter="0" w:footer="0" w:header="0"/>
        </w:sectPr>
      </w:pPr>
    </w:p>
    <w:bookmarkStart w:id="18" w:name="page19"/>
    <w:bookmarkEnd w:id="18"/>
    <w:p>
      <w:pPr>
        <w:ind w:right="340"/>
        <w:spacing w:after="0" w:line="286" w:lineRule="auto"/>
        <w:rPr>
          <w:sz w:val="20"/>
          <w:szCs w:val="20"/>
          <w:color w:val="auto"/>
        </w:rPr>
      </w:pPr>
      <w:r>
        <w:rPr>
          <w:rFonts w:ascii="Arial" w:cs="Arial" w:eastAsia="Arial" w:hAnsi="Arial"/>
          <w:sz w:val="17"/>
          <w:szCs w:val="17"/>
          <w:color w:val="auto"/>
        </w:rPr>
        <w:t>study drug, two were cases of stomatitis that occurred at the highest dose of ImmTOR tested (0.5 mg/kg), leading us to define 0.3 mg/kg as the maximum tolerated dose of ImmTOR in this patient population. The remaining SAE was a case of drug hypersensitivity that occurred at a dose of 0.1 mg/kg of ImmTOR in combination with 0.4 mg/kg of pegadricase. In all cases, the patient fully-recovered from the SAE without residual effects.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w:t>
      </w:r>
    </w:p>
    <w:p>
      <w:pPr>
        <w:spacing w:after="0" w:line="22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the fourth quarter of 2016, we began enrolling patients with symptomatic gout and elevated serum uric acid levels in an open-label, multiple ascending dose Phase 2 clinical trial of SEL-212. The primary and secondary endpoints for this trial include safety, tolerability, pharmacokinetics, and reduction of serum uric acid and ADA levels. We are also collecting data regarding flares and other patient-related observations. We are enrolling patients in multiple ascending dose cohorts with the primary goal of identifying the dose regimens to advance into our planned Phase 3 clinical program.</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of December 17, 2018, a total of 152 patients had been dosed in the Phase 2 trial at 15 active U.S. clinical sites and the treatment phase of all SEL-212 cohorts had been completed. The following is a summary of clinical activity from the trial as defined by the primary clinical endpoint (i.e., serum uric acid levels below 6 mg/dL):</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Control and 0.05 mg/kg ImmTOR Dose Cohorts </w:t>
      </w:r>
      <w:r>
        <w:rPr>
          <w:rFonts w:ascii="Arial" w:cs="Arial" w:eastAsia="Arial" w:hAnsi="Arial"/>
          <w:sz w:val="16"/>
          <w:szCs w:val="16"/>
          <w:color w:val="auto"/>
        </w:rPr>
        <w:t>(cohorts receiving five monthly doses of pegadricase alone or three monthly doses of 0.2 mg/kg or</w:t>
      </w:r>
    </w:p>
    <w:p>
      <w:pPr>
        <w:spacing w:after="0" w:line="46" w:lineRule="exact"/>
        <w:rPr>
          <w:rFonts w:ascii="Arial" w:cs="Arial" w:eastAsia="Arial" w:hAnsi="Arial"/>
          <w:sz w:val="16"/>
          <w:szCs w:val="16"/>
          <w:color w:val="auto"/>
        </w:rPr>
      </w:pPr>
    </w:p>
    <w:p>
      <w:pPr>
        <w:ind w:left="660" w:right="100"/>
        <w:spacing w:after="0" w:line="277" w:lineRule="auto"/>
        <w:rPr>
          <w:rFonts w:ascii="Arial" w:cs="Arial" w:eastAsia="Arial" w:hAnsi="Arial"/>
          <w:sz w:val="16"/>
          <w:szCs w:val="16"/>
          <w:color w:val="auto"/>
        </w:rPr>
      </w:pPr>
      <w:r>
        <w:rPr>
          <w:rFonts w:ascii="Arial" w:cs="Arial" w:eastAsia="Arial" w:hAnsi="Arial"/>
          <w:sz w:val="17"/>
          <w:szCs w:val="17"/>
          <w:color w:val="auto"/>
        </w:rPr>
        <w:t>0.4 mg/kg of pegadricase + 0.05 mg/kg of ImmTOR followed by two monthly doses of pegadricase alone): Dosing of patients in the control cohorts receiving pegadricase alone was stopped early due to a loss of clinical activity caused by the immunogenicity of the enzyme. Clinical activity was lost by week 12 in the majority of patients receiving pegadricase in combination with the 0.05 mg/kg dose of ImmTOR .</w:t>
      </w:r>
    </w:p>
    <w:p>
      <w:pPr>
        <w:spacing w:after="0" w:line="173"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0.08 and 0.1 mg/kg ImmTOR Dose Cohorts </w:t>
      </w:r>
      <w:r>
        <w:rPr>
          <w:rFonts w:ascii="Arial" w:cs="Arial" w:eastAsia="Arial" w:hAnsi="Arial"/>
          <w:sz w:val="18"/>
          <w:szCs w:val="18"/>
          <w:color w:val="auto"/>
        </w:rPr>
        <w:t>(cohorts receiving three monthly doses of 0.2 mg/kg or 0.4 mg/kg of pegadricase + 0.08 or 0.10 mg/kg of</w:t>
      </w:r>
      <w:r>
        <w:rPr>
          <w:rFonts w:ascii="Arial" w:cs="Arial" w:eastAsia="Arial" w:hAnsi="Arial"/>
          <w:sz w:val="18"/>
          <w:szCs w:val="18"/>
          <w:i w:val="1"/>
          <w:iCs w:val="1"/>
          <w:color w:val="auto"/>
        </w:rPr>
        <w:t xml:space="preserve"> </w:t>
      </w:r>
      <w:r>
        <w:rPr>
          <w:rFonts w:ascii="Arial" w:cs="Arial" w:eastAsia="Arial" w:hAnsi="Arial"/>
          <w:sz w:val="18"/>
          <w:szCs w:val="18"/>
          <w:color w:val="auto"/>
        </w:rPr>
        <w:t>ImmTOR followed by two monthly doses of pegadricase alone): A majority of patients in these cohorts maintained clinical activity while receiving the combination therapy through week 12. These results are consistent with the level of clinical activity observed through day 30 at a similar SEL-212 dose level in our Phase 1b trial. At the 0.1 mg/kg dose level, half of the patients that maintained clinical activity through week 12 also maintained clinical activity through week 20.</w:t>
      </w:r>
    </w:p>
    <w:p>
      <w:pPr>
        <w:spacing w:after="0" w:line="188"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0.125 and 0.15 mg/kg ImmTOR Dose Cohorts </w:t>
      </w:r>
      <w:r>
        <w:rPr>
          <w:rFonts w:ascii="Arial" w:cs="Arial" w:eastAsia="Arial" w:hAnsi="Arial"/>
          <w:sz w:val="17"/>
          <w:szCs w:val="17"/>
          <w:color w:val="auto"/>
        </w:rPr>
        <w:t>(cohorts receiving three monthly doses of pegadricase +0.125 or 0.15 mg/kg of ImmTOR followed by</w:t>
      </w:r>
      <w:r>
        <w:rPr>
          <w:rFonts w:ascii="Arial" w:cs="Arial" w:eastAsia="Arial" w:hAnsi="Arial"/>
          <w:sz w:val="17"/>
          <w:szCs w:val="17"/>
          <w:i w:val="1"/>
          <w:iCs w:val="1"/>
          <w:color w:val="auto"/>
        </w:rPr>
        <w:t xml:space="preserve"> </w:t>
      </w:r>
      <w:r>
        <w:rPr>
          <w:rFonts w:ascii="Arial" w:cs="Arial" w:eastAsia="Arial" w:hAnsi="Arial"/>
          <w:sz w:val="17"/>
          <w:szCs w:val="17"/>
          <w:color w:val="auto"/>
        </w:rPr>
        <w:t>two monthly doses of pegadricase alone): A majority of patients in these cohorts maintained clinical activity while receiving the combination therapy through week 12. These results are consistent with the level of clinical activity observed through day 30 at a similar SEL-212 dose level in our Phase 1b trial. Approximately 81% of evaluable patients (N=27) receiving up to 0.15 mg/kg ImmTOR in combination with 0.2 or 0.4 mg/kg of pegadricase followed by 2 monthly doses of pegadricase alone had serum uric acid control below 6 mg/dL at week 12.</w:t>
      </w:r>
    </w:p>
    <w:p>
      <w:pPr>
        <w:spacing w:after="0" w:line="172"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0.10 and 0.15 mg/kg ImmTOR 5 Combination Dose Cohorts </w:t>
      </w:r>
      <w:r>
        <w:rPr>
          <w:rFonts w:ascii="Arial" w:cs="Arial" w:eastAsia="Arial" w:hAnsi="Arial"/>
          <w:sz w:val="18"/>
          <w:szCs w:val="18"/>
          <w:color w:val="auto"/>
        </w:rPr>
        <w:t>(cohorts receiving five monthly doses of pegadricase +0.10 or 0.15 mg/kg of ImmTOR</w:t>
      </w:r>
      <w:r>
        <w:rPr>
          <w:rFonts w:ascii="Arial" w:cs="Arial" w:eastAsia="Arial" w:hAnsi="Arial"/>
          <w:sz w:val="18"/>
          <w:szCs w:val="18"/>
          <w:i w:val="1"/>
          <w:iCs w:val="1"/>
          <w:color w:val="auto"/>
        </w:rPr>
        <w:t xml:space="preserve"> </w:t>
      </w:r>
      <w:r>
        <w:rPr>
          <w:rFonts w:ascii="Arial" w:cs="Arial" w:eastAsia="Arial" w:hAnsi="Arial"/>
          <w:sz w:val="18"/>
          <w:szCs w:val="18"/>
          <w:color w:val="auto"/>
        </w:rPr>
        <w:t>): Five monthly doses of SEL-212 resulted in sustained serum uric acid control and has been well tolerated over the entire treatment period. 100% of the patients that had serum uric acid levels below 6 mg/dL at 12 weeks maintained control through 20 weeks. Approximately 66% of evaluable patients (21/32) completed week 20 with serum uric acid levels below 6 mg/dL. (Figure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256540</wp:posOffset>
            </wp:positionV>
            <wp:extent cx="5866130" cy="1595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12. Five Combination Doses Controlled Serum Uric Acid &lt;6 mg/dL at Week 20 in 66% of Patients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ind w:right="120"/>
        <w:spacing w:after="0" w:line="264" w:lineRule="auto"/>
        <w:rPr>
          <w:sz w:val="20"/>
          <w:szCs w:val="20"/>
          <w:color w:val="auto"/>
        </w:rPr>
      </w:pPr>
      <w:r>
        <w:rPr>
          <w:rFonts w:ascii="Arial" w:cs="Arial" w:eastAsia="Arial" w:hAnsi="Arial"/>
          <w:sz w:val="18"/>
          <w:szCs w:val="18"/>
          <w:color w:val="auto"/>
        </w:rPr>
        <w:t>Data from the ongoing trial suggest that ADA levels have been strongly correlated with serum uric acid levels. We have observed that ImmTOR has reduced the formation of ADAs in a dose-dependent manner, which we believe enables pegadricase to maintain its clinical activity for extended durations as compared to pegadricase administered without ImmTOR.</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Data from the ongoing trial suggest that sustained control of serum uric acid near 0 mg/dL may lead to reduction in uric acid deposits as measured by DECT imaging.</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December 17, 2018, approximately 29% of patients receiving SEL-212 reported a gout flare during their first month of the trial. This is followed by a decline in flare rates during the remainder of the therapy (Figure 13). By comparison, 50% of patients reported a flare during the first month in the control cohorts receiving pegadricase alone before treatment was stopped due to loss of efficacy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124460</wp:posOffset>
            </wp:positionV>
            <wp:extent cx="5600065" cy="2229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006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13. Percentage of Patients Reporting a Gout Flare per Month</w:t>
      </w:r>
    </w:p>
    <w:p>
      <w:pPr>
        <w:spacing w:after="0" w:line="33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SEL-212 has been generally well tolerated at clinically active doses following repeated administrations in the trial. As of December 17, 2018, 20 patients reported a total of 23 SAEs in the Phase 2 clinical trial. Nine SAEs had been reported in the five dose combination cohorts, seven of which were reported to be not related or unlikely related to study drug, and two of which were infusion reactions. All SAEs were successfully treated without further issues.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ImmTOR programs for immune tolerance in gene therapy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gene therapy has made significant progress over the last several years, it faces certain limitations due to undesired immunogenicity to either the AAV vector or the encoded transgene.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those patients who are able to receive a dose of gene therapy, gene vector-specific ADAs frequently occur and have been found to prevent the AAV vector from reaching its target cell. It is unknown exactly how long these neutralizing ADAs prevent redosing of gene therapy. However, it has been observed in studies with animals and humans that high titer AAV-specific ADAs develop and persist for more than 10 years, preventing vector readministration. In addition, cellular immune responses have been found to correlate with liver inflammation and loss of gene expression.</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Because of the induction of lasting antibodies against AAV, we believe many gene therapy companies have focused on the single localized dose in diseases of the eye and central nervous system for which immunogenicity is perceived to be less of an issue. We believe that many gene therapy applications may require or would benefit from multiple doses, especially therapies designed to treat diseases via intravenous administration. Some of these rare genetic deficiencies are best treated when patients are infants or small children in order to prevent developmental defects. However, pediatric patients may have a higher need for repeat dosing due to higher cell turnover as the patient grows. Accordingly, we believe that a solution enabling repeat dosing would significantly expand the number of diseases and patients that could be treated with gene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Genethon Collaboration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collaboration with Genethon, a not-for-profit company focusing on gene therapies, we have generated and presented preclinical data in mice in which we observed that ImmTOR mitigated the formation of ADAs to AAV-based gene therapy, thereby enabling repeat dosing of the AAV vector in these mice. Preclinical data generated in connection with this collaboration</w:t>
      </w:r>
    </w:p>
    <w:p>
      <w:pPr>
        <w:sectPr>
          <w:pgSz w:w="11900" w:h="16838" w:orient="portrait"/>
          <w:cols w:equalWidth="0" w:num="1">
            <w:col w:w="11420"/>
          </w:cols>
          <w:pgMar w:left="240" w:top="69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92" w:right="239" w:bottom="1440" w:gutter="0" w:footer="0" w:header="0"/>
          <w:type w:val="continuous"/>
        </w:sectPr>
      </w:pPr>
    </w:p>
    <w:bookmarkStart w:id="20" w:name="page21"/>
    <w:bookmarkEnd w:id="20"/>
    <w:p>
      <w:pPr>
        <w:ind w:right="340"/>
        <w:spacing w:after="0" w:line="308" w:lineRule="auto"/>
        <w:rPr>
          <w:sz w:val="20"/>
          <w:szCs w:val="20"/>
          <w:color w:val="auto"/>
        </w:rPr>
      </w:pPr>
      <w:r>
        <w:rPr>
          <w:rFonts w:ascii="Arial" w:cs="Arial" w:eastAsia="Arial" w:hAnsi="Arial"/>
          <w:sz w:val="17"/>
          <w:szCs w:val="17"/>
          <w:color w:val="auto"/>
        </w:rPr>
        <w:t>also show that ImmTOR mitigated the formation of ADAs to AAV capsids in nonhuman primates. We believe these results further indicate that ImmTOR may have the potential to mitigate undesired immune responses and enable repeat intravenous administration of gene therapies.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SEL-302 for the Treatment of Methylmalonic Acidemia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2016, we in-licensed Anc80, a gene therapy vector, from MEE. In preclinical studies, Anc80 has been observed to be a potent gene therapy vector.</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By combining ImmTOR and Anc80, we intend to enable the development of highly differentiated gene therapies with the goal of improving gene therapy safety by mitigating cellular immune responses, and allowing for repeat gene therapy dosing.</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collaboration with the clinical and gene therapy laboratories at the NIH and MEE, we are developing SEL-302, a product candidate utilizing the Anc80 vector in combination with ImmTOR for the treatment of methylmalonic acidemia, or MMA, which can cause severe developmental defects and premature death as a result of an accumulation of toxic metabolites. Other than dietary and cofactor therapy, organ transplantation is the only existing option for patients with MMA, a severe organic acidemia most frequently caused by mutations in the enzyme methylmalonyl-CoA mutase, or MUT.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SEL-313 for the Treatment of OTC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our second gene therapy program, we plan to develop another product candidate for the treatment of OTC deficiency, which is another metabolic disorder.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pursuing this second indication through collaborations with third parties with preclinical and clinical experience in this area.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 VIII</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2, 2016, or the Spark Signing Date, we entered into a License and Option Agreement, or the Spark License Agreement, with Spark Therapeutics, Inc., or Spark, to collaborate on the development of gene therapies for certain targets utilizing our ImmTOR technology. Under the terms of the Spark License Agreement, we granted Spark certain exclusive, worldwide, royalty-bearing licenses to our intellectual property and know-how relating to our ImmTOR technology to research, develop and commercialize gene therapies for Factor VIII, an essential blood clotting protein relevant to the treatment of hemophilia A, which is the initial target under the collaboration.</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Spark License Agreement, Spark has made aggregate payments of $15.0 million to date. On a target-by-target basis, we will be eligible to receive up to an aggregate of $430.0 million in milestone payments for each target,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has the right to fund up to 50.0% of any development or regulatory milestone payable to us by issuing us shares of Spark’s common stock having a fair market value equal to the percentage of such development or regulatory milestone, as applicable.</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for a period of three years from the Spark Signing Date, Spark may exercise options to research, develop and commercialize gene therapies utilizing the ImmTOR technology for up to four additional pre-specified targets, subject to Spark’s payment of the applicable option exercise fee, in a range of $1.4 million to $2.0 million depending on the incidence of the applicable indication, to us in each case.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Spark License Agreement, we also entered into a stock purchase agreement with Spark, or the Spark SPA, pursuant to which Spark purchased an aggregate of $15.0 million of our common stock including (i) 197,238 shares for an aggregate purchase price of $5.0 million on the Spark Signing Date, (ii) 324,362 shares for an aggregate purchase price of $5.0 million on June 8, 2017, and (iii) 205,254 shares for an aggregate purchase price of $5.0 million on October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Spark License Agreement and the Spark SPA, see the discussion under “Licenses and Collaborations”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Crigler Najjar Syndrome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2018 we also announced a collaboration with CureCN, a European non-profit developing an AAV gene therapy for the treatment of Crigler Najjar Syndrome, an ultra-rare disease of iron metabolism mediated by a single gene deletion of a liver enzyme. The consortium plans to utilize our ImmTOR technology in combination with their AAV gene therapy with the potential to re-dose patients who are not producing enough enzyme post their first dose of AAV gene therapy. Preclinical toxicology studies are expected to begin in the first half of 2019, with the potential for initiation of preclinical combination studies in the second half of 2019.</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9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manufacture ImmTOR using a readily-scalable, self-assembly nanoemulsion process with well-defined, robust commercial pharmaceutical unit operations. This proprietary, highly specialized and precisely controlled manufacturing process enables us to reproducibly manufacture ImmTOR across many production scales, from milligram-scale at the laboratory bench to hundreds of grams to multi-kilogram scale for commercial production. This well-defined process has been produced at multiple scales. We have also developed and executed the required detailed analytic characterization of our products.</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SEL-212 program, we have increased ImmTOR production to a 50-gram scale and have developed an approximately 400-gram scale process,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5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pegadricase enzyme for SEL-212 is produced by fermentation in E. Coli and is sourced from 3SBio in China. 3SBio is a Chinese pharmaceutical company that produces multiple approved products in China and also has product sales in other countries around the world. 3SBio supplies the pegadricase used in the current clinical trials of SEL-212 in the United States. Through a licensing arrangement, we own exclusive worldwide rights to pegadricase outside of China, with co-ownership of rights in Japan and with 3SBio owning all rights in China. Under this arrangement, 3SBio has agreed to supply us with pegadricase. We also have selected a back-up supplier for pegadricase in the United States.</w:t>
      </w:r>
    </w:p>
    <w:p>
      <w:pPr>
        <w:spacing w:after="0" w:line="1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January 2017 we entered into a manufacturing agreement with Lonza Houston, Inc., a leader in viral gene and cell therapy manufacturing. Under the terms of the agreement, Lonza has agreed to produce an Anc80-AAV-based gene therapy product for our proprietary program for MMA.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COLLABORATIONS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2016, we entered into the Spark License Agreement to develop gene therapies for certain targets utilizing our ImmTOR technology.</w:t>
      </w:r>
    </w:p>
    <w:p>
      <w:pPr>
        <w:spacing w:after="0" w:line="23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Under the terms of the Spark License Agreement, we granted Spark certain exclusive, worldwide, royalty-bearing licenses to our intellectual property and know-how relating to our ImmTOR technology to research, develop and commercialize gene therapies for Factor VIII, an essential blood clotting protein relevant to the treatment of hemophilia A, which is the initial target under the license agreement.</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Spark License Agreement, Spark made payments to us of $30.0 million in the aggregate. On a target-by-target basis, we will be eligible to receive up to an aggregate of $430.0 million in milestone payments for each target,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has the right to fund up to 50.0% of any development or regulatory milestone payable to us by issuing us shares of Spark’s common stock having a fair market value equal to the percentage of such development or regulatory milestone, as applicable.</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until December 2019, Spark may exercise options to research, develop and commercialize gene therapies utilizing our ImmTOR technology for up to four additional targets, subject to Spark’s payment to us of the applicable option exercise fee, in a range of $1.4 million to $2.0 million depending on the incidence of the applicable indication.</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Each party is responsible for its own costs and expenses incurred in connection with its respective activities under the Spark License, except that Spark has agreed to reimburse us for FTE and out-of-pocket costs incurred in performing certain tasks or assistance specifically requested by Spark. We retain the responsibility to manufacture Spark’s preclinical, clinical and commercial requirements for the ImmTOR technology, subject to the terms of the Spark License.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Spark License Agreement will continue on a country-by-country and product-by-product basis until the expiration of Spark’s royalty payment obligations with respect to such product in such country unless earlier terminated by the parties. The Spark License Agreement may be terminated by Spark for convenience upon ninety days’ notice. Either party may terminate the Spark License Agreement on a target-by-target basis for material breach with respect to such target.</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Spark License Agreement, we also entered into the Spark SPA, pursuant to which Spark has purchased in the aggregate $15.0 million of our common stock including (i) 197,238 shares for an aggregate purchase price of $5.0</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688" w:right="239" w:bottom="1440" w:gutter="0" w:footer="0" w:header="0"/>
          <w:type w:val="continuous"/>
        </w:sectPr>
      </w:pPr>
    </w:p>
    <w:bookmarkStart w:id="22" w:name="page23"/>
    <w:bookmarkEnd w:id="22"/>
    <w:p>
      <w:pPr>
        <w:ind w:right="640"/>
        <w:spacing w:after="0" w:line="277" w:lineRule="auto"/>
        <w:rPr>
          <w:sz w:val="20"/>
          <w:szCs w:val="20"/>
          <w:color w:val="auto"/>
        </w:rPr>
      </w:pPr>
      <w:r>
        <w:rPr>
          <w:rFonts w:ascii="Arial" w:cs="Arial" w:eastAsia="Arial" w:hAnsi="Arial"/>
          <w:sz w:val="18"/>
          <w:szCs w:val="18"/>
          <w:color w:val="auto"/>
        </w:rPr>
        <w:t>million on the Spark Signing Date, (ii) 324,362 shares for an aggregate purchase price of $5.0 million on June 8, 2017, and (iii) 205,254 shares for an aggregate purchase price of $5.0 million on October 31, 2017.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2008, we entered into a license agreement with MIT, which we refer to as the MIT License. We amended the MIT License in January 2010, November 2012, August 2013 and November 2016.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creditable annual maintenance fees, low-single-digit running royalty on annual net sales, developmental milestones up to an aggregate of $1.5 million, a mid-single digit percentage of certain payments we receive from corporate partners and a specified percentage of certain income received from sublicensees after 2009 between 10% and 30%. 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May 2014, we entered into a license agreement with 3SBio, as amended in May 2017, which we refer to as the 3SBio License. Pursuant to the 3SBio License, we were granted an exclusive license to certain pegadricase-related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ImmTOR technology with pegadricase or related compounds supplied by 3SBio (or otherwise supplied if our rights to manufacture are in effect) for human therapeutic, diagnostic and prophylactic use. We were also granted a co-exclusive license to manufacture and have manufactured pegadricase and related compounds for our preclinical and clinical use or, if the 3SBio License is terminated for 3SBio’s material breach, for any use under the 3SBio License. In addition, the 3SBio License, as amended, permits us to utilize one or more third parties to provide up to 20% of our commercial supply of pegadricase. Otherwise, except in the case of a supply shortage on the part of 3SBio, we are obligated to obtain at least 80% of our supply of such compounds for Phase 3 clinical trials and commercial use from 3SBio under the terms of supply agreements to be negotiated.</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3SBio License we have paid to 3SBio an aggregate of $1.0 million in upfront and milestone-based payments in 2015 and made an additional milestone payment totaling $2.0 million in 2016. We are required to make future payments to 3SBio contingent upon the occurrence of events related to the achievement of clinical and regulatory approval milestones of up to an aggregate of $21.0 million for products containing our ImmTOR technology, and up to an aggregate of $41.5 million for products without our ImmTOR technology. We are also required to pay 3SBio tiered royalties on annual worldwide net sales related to the pegadricase component of products at percentages ranging from the low-to-mid single digits for products containing our ImmTOR technology, and from the mid-single digits to low or low-to-mid teens for products without our ImmTOR technology, subject to specified reductions. These royalties are payable,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3SBio License expires on the date of expiration of all of our royalty payment obligations unless earlier terminated by either party for an uncured material default or for the other party’s bankruptcy.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BIND</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8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BIND’s entry into bankruptcy proceeding in 2016, Pfizer purchased substantially all of the assets of BIND, including those pertaining to the BIND Agreement.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MEE also granted us exclusive options to exclusively license certain of their intellectual property rights relating to several additional target sequences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variations thereof each linked to a specified disease. Pursuant to the MEE Agreement, we agreed to pay MEE a license fee in the low six figures,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maintenance fees ranging from the mid-twenty thousands to mid-seventy thousands and an option maintenance fee in the low five figures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exercisable option. We also agreed to pay development milestones on a licensed product-by-licensed product basis, totaling up to an aggregate of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to $37.0 million and sales milestones on a licensed product-by-licensed product basis, totaling up to an aggregate of between $50.0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tiered royalties equal to a percentage of net sales ranging from mid-single digits to mid-teens, subject to certain reductions; and a percentage,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range expected to be in the mid-teens depending on timing, of any sublicense income we receive from sublicensing our rights granted thereunder,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reductions and exclusions. The MEE License will continue until the expiration of the last to expire of the patent rights licensed thereunder. We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 the MEE License in whole or in part upon prior written notice. MEE may terminate the MEE License on a target sequence-by-target sequence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if we fail to make any scheduled payments in respect of such target sequence or if we materially breach a diligence obligation in respect of such target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sequence, in each case if we fail to cure within a specified time period. MEE may terminate the MEE License in its entirety if we materially breach certain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obligations related to diligence, representations and warranties, and maintenance of insurance; if we challenge the validity or enforceability of any patents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licensed thereunder; if any of our executive officers are convicted of a felony relating to manufacture, use, sale or importation of licensed products; or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insolvency or bankruptcy.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88" w:right="259" w:bottom="1440" w:gutter="0" w:footer="0" w:header="0"/>
        </w:sectPr>
      </w:pPr>
    </w:p>
    <w:bookmarkStart w:id="24" w:name="page25"/>
    <w:bookmarkEnd w:id="24"/>
    <w:p>
      <w:pPr>
        <w:ind w:right="160"/>
        <w:spacing w:after="0" w:line="297" w:lineRule="auto"/>
        <w:rPr>
          <w:sz w:val="20"/>
          <w:szCs w:val="20"/>
          <w:color w:val="auto"/>
        </w:rPr>
      </w:pPr>
      <w:r>
        <w:rPr>
          <w:rFonts w:ascii="Arial" w:cs="Arial" w:eastAsia="Arial" w:hAnsi="Arial"/>
          <w:sz w:val="16"/>
          <w:szCs w:val="16"/>
          <w:color w:val="auto"/>
        </w:rPr>
        <w:t>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developed and in-licensed numerous patents and patent applications and possess substantial know-how and trade secrets relating to our SVP-based immunotherapy technology, program and product candidates. Our patent portfolio contains 10 issued patents in the United States and 82 foreign issued patents, in all cases, owned solely by us. We also have 62 pending patent applications in the United States as well as 407 foreign pending patent applications, in all cases, owned solely by us. These patents and patent applications include claims directed to:</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tolerance and cancer immunotherapy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immune stimulation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SVP nanoparticle in a variety of tolerance applications,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mitigating or treating anti-drug antibodies association with protein drugs such as pegadricase or LMB-100,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genetic therapies (such as viral delivery of genes).</w:t>
      </w:r>
    </w:p>
    <w:p>
      <w:pPr>
        <w:spacing w:after="0" w:line="225"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SVP nanoparticle in a variety of cancer immunotherapy applications,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creating various cancer vaccines,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combination treatments, including co-treatment with PD-1/PDL-1 checkpoint inhibitors.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Set forth below is a table indicating the expiration dates for our owned patent families, or expected expiration dates in the case of our owned patent application families, corresponding to each of our programs.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Patent</w:t>
            </w:r>
          </w:p>
        </w:tc>
        <w:tc>
          <w:tcPr>
            <w:tcW w:w="1360" w:type="dxa"/>
            <w:vAlign w:val="bottom"/>
          </w:tcPr>
          <w:p>
            <w:pPr>
              <w:spacing w:after="0"/>
              <w:rPr>
                <w:sz w:val="14"/>
                <w:szCs w:val="14"/>
                <w:color w:val="auto"/>
              </w:rPr>
            </w:pPr>
          </w:p>
        </w:tc>
      </w:tr>
      <w:tr>
        <w:trPr>
          <w:trHeight w:val="219"/>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9"/>
                <w:szCs w:val="19"/>
                <w:color w:val="auto"/>
              </w:rPr>
            </w:pP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Family(1)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Expiration(2)</w:t>
            </w:r>
          </w:p>
        </w:tc>
      </w:tr>
      <w:tr>
        <w:trPr>
          <w:trHeight w:val="25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Refractory and chronic tophaceous gout (SEL-212)</w:t>
            </w:r>
          </w:p>
        </w:tc>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ImmTOR co-administered with pegadricase</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2032-2037</w:t>
            </w:r>
          </w:p>
        </w:tc>
      </w:tr>
      <w:tr>
        <w:trPr>
          <w:trHeight w:val="2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Mesothelioma/Pancreatic Cancer</w:t>
            </w:r>
          </w:p>
        </w:tc>
        <w:tc>
          <w:tcPr>
            <w:tcW w:w="4460" w:type="dxa"/>
            <w:vAlign w:val="bottom"/>
            <w:gridSpan w:val="2"/>
          </w:tcPr>
          <w:p>
            <w:pPr>
              <w:ind w:left="40"/>
              <w:spacing w:after="0"/>
              <w:rPr>
                <w:sz w:val="20"/>
                <w:szCs w:val="20"/>
                <w:color w:val="auto"/>
              </w:rPr>
            </w:pPr>
            <w:r>
              <w:rPr>
                <w:rFonts w:ascii="Arial" w:cs="Arial" w:eastAsia="Arial" w:hAnsi="Arial"/>
                <w:sz w:val="14"/>
                <w:szCs w:val="14"/>
                <w:color w:val="auto"/>
              </w:rPr>
              <w:t>ImmTOR co-administered with LMB-100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2032-2035</w:t>
            </w:r>
          </w:p>
        </w:tc>
      </w:tr>
      <w:tr>
        <w:trPr>
          <w:trHeight w:val="27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 therapy</w:t>
            </w:r>
          </w:p>
        </w:tc>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ImmTOR co-administered with AAV vector</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2032-2035</w:t>
            </w:r>
          </w:p>
        </w:tc>
      </w:tr>
      <w:tr>
        <w:trPr>
          <w:trHeight w:val="2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Peanut allergy</w:t>
            </w:r>
          </w:p>
        </w:tc>
        <w:tc>
          <w:tcPr>
            <w:tcW w:w="4460" w:type="dxa"/>
            <w:vAlign w:val="bottom"/>
            <w:gridSpan w:val="2"/>
          </w:tcPr>
          <w:p>
            <w:pPr>
              <w:ind w:left="40"/>
              <w:spacing w:after="0"/>
              <w:rPr>
                <w:sz w:val="20"/>
                <w:szCs w:val="20"/>
                <w:color w:val="auto"/>
              </w:rPr>
            </w:pPr>
            <w:r>
              <w:rPr>
                <w:rFonts w:ascii="Arial" w:cs="Arial" w:eastAsia="Arial" w:hAnsi="Arial"/>
                <w:sz w:val="14"/>
                <w:szCs w:val="14"/>
                <w:color w:val="auto"/>
              </w:rPr>
              <w:t>SVP-adjuvant and SVP-food allergen</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2032-2035</w:t>
            </w:r>
          </w:p>
        </w:tc>
      </w:tr>
      <w:tr>
        <w:trPr>
          <w:trHeight w:val="27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Celiac disease</w:t>
            </w:r>
          </w:p>
        </w:tc>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ImmTOR and SVP-gluten</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2032-2035</w:t>
            </w:r>
          </w:p>
        </w:tc>
      </w:tr>
      <w:tr>
        <w:trPr>
          <w:trHeight w:val="2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Type 1 diabetes</w:t>
            </w:r>
          </w:p>
        </w:tc>
        <w:tc>
          <w:tcPr>
            <w:tcW w:w="4460" w:type="dxa"/>
            <w:vAlign w:val="bottom"/>
            <w:gridSpan w:val="2"/>
          </w:tcPr>
          <w:p>
            <w:pPr>
              <w:ind w:left="40"/>
              <w:spacing w:after="0"/>
              <w:rPr>
                <w:sz w:val="20"/>
                <w:szCs w:val="20"/>
                <w:color w:val="auto"/>
              </w:rPr>
            </w:pPr>
            <w:r>
              <w:rPr>
                <w:rFonts w:ascii="Arial" w:cs="Arial" w:eastAsia="Arial" w:hAnsi="Arial"/>
                <w:sz w:val="14"/>
                <w:szCs w:val="14"/>
                <w:color w:val="auto"/>
              </w:rPr>
              <w:t>ImmTOR and SVP-insulin</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2032-2035</w:t>
            </w:r>
          </w:p>
        </w:tc>
      </w:tr>
      <w:tr>
        <w:trPr>
          <w:trHeight w:val="27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Smoking cessation and relapse prevention (SELA-070)</w:t>
            </w:r>
          </w:p>
        </w:tc>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SVP-adjuvant and SVP-nicotine</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2030-2032</w:t>
            </w:r>
          </w:p>
        </w:tc>
      </w:tr>
      <w:tr>
        <w:trPr>
          <w:trHeight w:val="258"/>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HPV-associated cancer (SEL-701)</w:t>
            </w:r>
          </w:p>
        </w:tc>
        <w:tc>
          <w:tcPr>
            <w:tcW w:w="4460" w:type="dxa"/>
            <w:vAlign w:val="bottom"/>
            <w:gridSpan w:val="2"/>
          </w:tcPr>
          <w:p>
            <w:pPr>
              <w:ind w:left="40"/>
              <w:spacing w:after="0"/>
              <w:rPr>
                <w:sz w:val="20"/>
                <w:szCs w:val="20"/>
                <w:color w:val="auto"/>
              </w:rPr>
            </w:pPr>
            <w:r>
              <w:rPr>
                <w:rFonts w:ascii="Arial" w:cs="Arial" w:eastAsia="Arial" w:hAnsi="Arial"/>
                <w:sz w:val="14"/>
                <w:szCs w:val="14"/>
                <w:color w:val="auto"/>
              </w:rPr>
              <w:t>SVP-adjuvant and SVP-HPV antigen</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2030-2032</w:t>
            </w:r>
          </w:p>
        </w:tc>
      </w:tr>
    </w:tbl>
    <w:p>
      <w:pPr>
        <w:spacing w:after="0" w:line="10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number of relevant patent and patent application families.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expiration date and estimated expiration date ranges of issued patents and patent applications, respectively.</w:t>
      </w:r>
    </w:p>
    <w:p>
      <w:pPr>
        <w:spacing w:after="0" w:line="200" w:lineRule="exact"/>
        <w:rPr>
          <w:sz w:val="20"/>
          <w:szCs w:val="20"/>
          <w:color w:val="auto"/>
        </w:rPr>
      </w:pP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have exclusively or non-exclusively licensed intellectual property, including the following patent portfolio: 36 U.S. issued patents; 235 foreign issued patents; 7 U.S. pending patent applications; and 74 foreign pending applications.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and Eurasia, including the Russian Federation, Europe, South Korea, Mexico, India, Israel and Japan.</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w:t>
      </w:r>
    </w:p>
    <w:p>
      <w:pPr>
        <w:sectPr>
          <w:pgSz w:w="11900" w:h="16838" w:orient="portrait"/>
          <w:cols w:equalWidth="0" w:num="1">
            <w:col w:w="11420"/>
          </w:cols>
          <w:pgMar w:left="240" w:top="69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92" w:right="239" w:bottom="1440" w:gutter="0" w:footer="0" w:header="0"/>
          <w:type w:val="continuous"/>
        </w:sectPr>
      </w:pPr>
    </w:p>
    <w:bookmarkStart w:id="25" w:name="page26"/>
    <w:bookmarkEnd w:id="25"/>
    <w:p>
      <w:pPr>
        <w:ind w:right="40"/>
        <w:spacing w:after="0" w:line="253" w:lineRule="auto"/>
        <w:rPr>
          <w:sz w:val="20"/>
          <w:szCs w:val="20"/>
          <w:color w:val="auto"/>
        </w:rPr>
      </w:pPr>
      <w:r>
        <w:rPr>
          <w:rFonts w:ascii="Arial" w:cs="Arial" w:eastAsia="Arial" w:hAnsi="Arial"/>
          <w:sz w:val="18"/>
          <w:szCs w:val="18"/>
          <w:color w:val="auto"/>
        </w:rPr>
        <w:t>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pegadricase component of SEL-212 and is indicated for the treatment of refractory gout. Horizon Pharma plc, whose affiliates own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immune tolerance include Anokion SA, AnTolRx Inc., Apitope International NV, Caladrius Biosciences, Cour Pharmaceutical Development Company, Inc., Dendright International, Inc., Parvus Therapeutics, REGiMMUNE Corporation, Rubius Therapeutics, Inc., Tolerion, Inc., Topas Therapeutics GmbH, and Txcell SA. However, we believe that most of these companies are focused on autoimmune and inflammatory diseases rather than immune tolerance to biologics.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be regulated as a therapeutic biologic, the FDA’s Center for Drug Evaluation and Research, or CDER, will have primary jurisdiction over premarket development. We expect to seek approval of SEL-212 through a single Biologics License Application, or BLA, reviewed by CDER, and we do not expect that the FDA will require a separate marketing authorization for each constituent of SEL-212.</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biological products development process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biologic, including a gene therapy, may be marketed in the United States generally involves the following:</w:t>
      </w:r>
    </w:p>
    <w:p>
      <w:pPr>
        <w:spacing w:after="0" w:line="237" w:lineRule="exact"/>
        <w:rPr>
          <w:sz w:val="20"/>
          <w:szCs w:val="20"/>
          <w:color w:val="auto"/>
        </w:rPr>
      </w:pPr>
    </w:p>
    <w:p>
      <w:pPr>
        <w:jc w:val="both"/>
        <w:ind w:left="660" w:right="3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and potency from results of nonclinical testing and clinical trials;</w:t>
      </w:r>
    </w:p>
    <w:p>
      <w:pPr>
        <w:spacing w:after="0" w:line="170" w:lineRule="exact"/>
        <w:rPr>
          <w:rFonts w:ascii="Arial" w:cs="Arial" w:eastAsia="Arial" w:hAnsi="Arial"/>
          <w:sz w:val="18"/>
          <w:szCs w:val="18"/>
          <w:color w:val="auto"/>
        </w:rPr>
      </w:pPr>
    </w:p>
    <w:p>
      <w:pPr>
        <w:ind w:left="660" w:right="3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the submission of an IND to the FDA before initiation of a clinical trial in the United States, certain human clinical trials involving recombinant or synthetic nucleic acid molecules had historically been subject to review by the Recombinant DNA Advisory Committee, or RAC, of the National institutes of Health, or NIH, Office of Biotechnology Activities, or OBA, pursuant to the NIH Guidelines for Research Involving Recombinant or Synthetic Nucleic Acid Molecules, or NIH Guidelines.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on October 16, 2018, the NIH announced that it would no longer accept new human gene transfer protocols for review as a part of the protocol registration process or convene the RAC to review individual clinical protocols. These trials remain subject to the FDA’s oversight and other clinical trial regulations, and oversight at the local level will continue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7"/>
          <w:szCs w:val="17"/>
          <w:color w:val="auto"/>
        </w:rPr>
        <w:t>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patient selection and exclusion criteria, and the parameters to be used to monitor patient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study must be reviewed and approved by an independent institutional review board, or IRB, at or servicing each institution at which the clinical study will be conducted. Human clinical trials are typically conducted in three sequential phases that may overlap or be combined:</w:t>
      </w:r>
    </w:p>
    <w:p>
      <w:pPr>
        <w:spacing w:after="0" w:line="179" w:lineRule="exact"/>
        <w:rPr>
          <w:sz w:val="20"/>
          <w:szCs w:val="20"/>
          <w:color w:val="auto"/>
        </w:rPr>
      </w:pPr>
    </w:p>
    <w:p>
      <w:pPr>
        <w:jc w:val="both"/>
        <w:ind w:left="660" w:right="2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biological product candidate is initially introduced into healthy human patients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181" w:lineRule="exact"/>
        <w:rPr>
          <w:rFonts w:ascii="Arial" w:cs="Arial" w:eastAsia="Arial" w:hAnsi="Arial"/>
          <w:sz w:val="18"/>
          <w:szCs w:val="18"/>
          <w:color w:val="auto"/>
        </w:rPr>
      </w:pPr>
    </w:p>
    <w:p>
      <w:pPr>
        <w:jc w:val="both"/>
        <w:ind w:left="660" w:right="6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The biological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and provide an adequate basis for product labeling.</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review and approval processes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c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9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designation</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We have not requested orphan designation for our product candidates, but depending on the proposed indication for which we intend to develop our future products, we may in the future request such designation.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8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30" w:name="page31"/>
    <w:bookmarkEnd w:id="30"/>
    <w:p>
      <w:pPr>
        <w:ind w:right="120"/>
        <w:spacing w:after="0" w:line="276" w:lineRule="auto"/>
        <w:rPr>
          <w:sz w:val="20"/>
          <w:szCs w:val="20"/>
          <w:color w:val="auto"/>
        </w:rPr>
      </w:pPr>
      <w:r>
        <w:rPr>
          <w:rFonts w:ascii="Arial" w:cs="Arial" w:eastAsia="Arial" w:hAnsi="Arial"/>
          <w:sz w:val="17"/>
          <w:szCs w:val="17"/>
          <w:color w:val="auto"/>
        </w:rPr>
        <w:t>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 and exclusivity</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Patient Protection and Affordable Care Act, or ACA,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BPCIA is complex and continues to be interpreted and implemented by the FDA. As a result, the ultimate impact, implementation and meaning of the BPCIA is subject to significant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outside of the United States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1" w:name="page32"/>
    <w:bookmarkEnd w:id="31"/>
    <w:p>
      <w:pPr>
        <w:ind w:right="20"/>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two types of MAs.</w:t>
      </w:r>
    </w:p>
    <w:p>
      <w:pPr>
        <w:spacing w:after="0" w:line="225" w:lineRule="exact"/>
        <w:rPr>
          <w:sz w:val="20"/>
          <w:szCs w:val="20"/>
          <w:color w:val="auto"/>
        </w:rPr>
      </w:pPr>
    </w:p>
    <w:p>
      <w:pPr>
        <w:ind w:left="660" w:right="40" w:hanging="328"/>
        <w:spacing w:after="0" w:line="28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 advanced therapy medicinal products (such as gene therapy, somatic cell therapy and tissue engineered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72"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2" w:right="259" w:bottom="1440" w:gutter="0" w:footer="0" w:header="0"/>
        </w:sectPr>
      </w:pPr>
    </w:p>
    <w:bookmarkStart w:id="32" w:name="page33"/>
    <w:bookmarkEnd w:id="32"/>
    <w:p>
      <w:pPr>
        <w:ind w:right="360"/>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second applicant can establish that its product, although similar, is safer, more effective or otherwise clinically superior;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applicant consents to a second orphan medicinal product application;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applicant cannot supply enough orphan medicinal product.</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E.U. rules with respect to cross-border transfers of personal data out of the E.U. and EEA. We are subject to the supervision of local data protection authorities in those E.U. jurisdictions where we are established or otherwise subject to the GDPR. Fines for certain breaches of the GDPR are significant: up to the greater of EUR 20 million or 4% of total global annual turnover. In addition to the foregoing, a breach of the GDPR could result in regulatory investigations, reputational damage, orders to cease/ change our use of data, enforcement notices, as well potential civil claims including class action type litigation where individuals suffer harm.</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and drug pricing transparency laws.</w:t>
      </w:r>
    </w:p>
    <w:p>
      <w:pPr>
        <w:spacing w:after="0" w:line="18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The intent standard under the Anti-Kickback Statute was amended by the ACA to a stricter standard such that a person or entity does not need to have actual knowledge of the statute or specific intent to violate it in order to have committed a violation. Violation of the federal Anti-Kickback Statute may also constitute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3" w:name="page34"/>
    <w:bookmarkEnd w:id="33"/>
    <w:p>
      <w:pPr>
        <w:ind w:right="20"/>
        <w:spacing w:after="0" w:line="291" w:lineRule="auto"/>
        <w:rPr>
          <w:sz w:val="20"/>
          <w:szCs w:val="20"/>
          <w:color w:val="auto"/>
        </w:rPr>
      </w:pPr>
      <w:r>
        <w:rPr>
          <w:rFonts w:ascii="Arial" w:cs="Arial" w:eastAsia="Arial" w:hAnsi="Arial"/>
          <w:sz w:val="16"/>
          <w:szCs w:val="16"/>
          <w:color w:val="auto"/>
        </w:rPr>
        <w:t>government. Actions under the civil False Claims Act may be brought by the Attorney General or as a qui tam action by a private individual in the name of the government. Violations of the civil False Claims Act can result in very significant monetary penalties and treble damages.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9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pricing information and marketing expenditure as well as gifts, compensation and other remuneration or items of value provided to physicians and other healthcare professionals and entities.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4" w:name="page35"/>
    <w:bookmarkEnd w:id="34"/>
    <w:p>
      <w:pPr>
        <w:ind w:right="940"/>
        <w:spacing w:after="0" w:line="277" w:lineRule="auto"/>
        <w:rPr>
          <w:sz w:val="20"/>
          <w:szCs w:val="20"/>
          <w:color w:val="auto"/>
        </w:rPr>
      </w:pPr>
      <w:r>
        <w:rPr>
          <w:rFonts w:ascii="Arial" w:cs="Arial" w:eastAsia="Arial" w:hAnsi="Arial"/>
          <w:sz w:val="18"/>
          <w:szCs w:val="18"/>
          <w:color w:val="auto"/>
        </w:rPr>
        <w:t>reimbursement from third-party payors. Third-party payors include government authorities, managed care plans, private health insurers and other organizations.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containment of healthcare costs is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subjected drug manufacturers to new annual fees based on pharmaceutical companies’ share of sales to federal healthcare programs; and created a new Patient Centered Outcomes Research Institute to oversee, identify priorities in, and conduct comparative clinical effectiveness research, along with funding for such research.</w:t>
      </w:r>
    </w:p>
    <w:p>
      <w:pPr>
        <w:spacing w:after="0" w:line="1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also expect that the current presidential administration and U.S. Congress will continue to seek to modify, repeal, or otherwise invalidate all, or certain provisions of, the ACA. Recently, the Tax Cuts and Jobs Acts was enacted, which, among other things, removes penalties for not complying with the individual mandate to carry health insurance. Further, on December 14, 2018, a U.S. District Court Judge in the Northern District of Texas, ruled that the individual mandate is a critical and inseverable feature of the ACA, and therefore, because it was repealed as part of the Tax Cuts and Jobs Acts, the remaining provisions of the ACA are invalid as well. While the Trump Administration and the Centers for Medicare and Medicaid Services have both stated that the ruling will have no immediate effect, it is unclear how this decision, subsequent appeals, if any, and other efforts to repeal and replace the ACA will impact the law.</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2" w:right="259" w:bottom="1440" w:gutter="0" w:footer="0" w:header="0"/>
        </w:sectPr>
      </w:pPr>
    </w:p>
    <w:bookmarkStart w:id="35" w:name="page36"/>
    <w:bookmarkEnd w:id="35"/>
    <w:p>
      <w:pPr>
        <w:ind w:right="160"/>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As of January 31, 2019, we had 39 full-time employees, 28 of whom were primarily engaged in research and development activities. A total of 7 employees have either one or both an M.D. or Ph.D. degree. None of our employees is represented by a labor union and we consider our employee relations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were incorporated in Delaware in 2007. Our principal executive offices are located at 480 Arsenal Way, Watertown, MA 02472 and our telephone number is (617) 923-1400. Our website address is www.selectabio.com. Information contained on or accessible through our website is not a part of this Annual Report on Form 10-K, and the inclusion of our website address in this Annual Report on Form 10-K is an inactive textual reference only.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www.selectabio.com, under “Investors,” free of charge, copies of these reports as soon as reasonably practicable after filing or furnishing these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92"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on Form 10-K.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Since inception, we have incurred significant operating losses in every year. Our net loss was $65.3 million, $65.3 million and $36.2 million for the years ended December 31, 2018, 2017 and 2016, respectively. As of December 31, 2018, we had an accumulated deficit of $280.4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technology, identifying potential product candidates and conducting preclinical studies and our clinical trials. We are in the early stages of development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66" w:lineRule="exact"/>
        <w:rPr>
          <w:sz w:val="20"/>
          <w:szCs w:val="20"/>
          <w:color w:val="auto"/>
        </w:rPr>
      </w:pPr>
    </w:p>
    <w:p>
      <w:pPr>
        <w:ind w:left="240" w:hanging="232"/>
        <w:spacing w:after="0" w:line="207" w:lineRule="exact"/>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enhance our ImmTOR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8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7" w:lineRule="exact"/>
        <w:rPr>
          <w:sz w:val="20"/>
          <w:szCs w:val="20"/>
          <w:color w:val="auto"/>
        </w:rPr>
      </w:pPr>
    </w:p>
    <w:p>
      <w:pPr>
        <w:ind w:left="340" w:right="160" w:hanging="251"/>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ectPr>
          <w:pgSz w:w="11900" w:h="16838" w:orient="portrait"/>
          <w:cols w:equalWidth="0" w:num="1">
            <w:col w:w="11400"/>
          </w:cols>
          <w:pgMar w:left="240" w:top="688"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688" w:right="259" w:bottom="1440" w:gutter="0" w:footer="0" w:header="0"/>
          <w:type w:val="continuous"/>
        </w:sectPr>
      </w:pPr>
    </w:p>
    <w:bookmarkStart w:id="37" w:name="page38"/>
    <w:bookmarkEnd w:id="37"/>
    <w:p>
      <w:pPr>
        <w:ind w:right="6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our existing cash, cash equivalents and investments, and restricted cash as of December 31, 2018, together with the net proceeds from our recent follow-on offering in January 2019, will enable us to fund our operating expenses and capital expenditure requirements into the first quarter of 2020. The current operating plan accounts for funding in preparation for the planned Phase 3 clinical program for SEL-212. However, prior to beginning the Phase 3 clinical program, we expect to conduct the planned head-to-head Phase 2 trial against Krystexxa. We believe that we have the financial resources to complete the planned head-to-head Phase 2 trial against Krystexxa, but will require an additional equity offering or other external sources of capital to conduct the planned Phase 3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240" w:hanging="232"/>
        <w:spacing w:after="0" w:line="207" w:lineRule="exact"/>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92" w:right="239" w:bottom="1440" w:gutter="0" w:footer="0" w:header="0"/>
          <w:type w:val="continuous"/>
        </w:sectPr>
      </w:pPr>
    </w:p>
    <w:bookmarkStart w:id="38" w:name="page39"/>
    <w:bookmarkEnd w:id="38"/>
    <w:p>
      <w:pPr>
        <w:ind w:right="620"/>
        <w:spacing w:after="0" w:line="277" w:lineRule="auto"/>
        <w:rPr>
          <w:sz w:val="20"/>
          <w:szCs w:val="20"/>
          <w:color w:val="auto"/>
        </w:rPr>
      </w:pPr>
      <w:r>
        <w:rPr>
          <w:rFonts w:ascii="Arial" w:cs="Arial" w:eastAsia="Arial" w:hAnsi="Arial"/>
          <w:sz w:val="18"/>
          <w:szCs w:val="18"/>
          <w:b w:val="1"/>
          <w:bCs w:val="1"/>
          <w:i w:val="1"/>
          <w:iCs w:val="1"/>
          <w:color w:val="auto"/>
        </w:rPr>
        <w:t>Our recurring losses from operations and negative cash flows from operations raise substantial doubt regarding our ability to continue as a going concern.</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2018 and December 31, 2017, we had an accumulated deficit of $280.4 million and $216.9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Annual Report on Form 10-K.</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However, prior to beginning the Phase 3 clinical program, we expect to conduct the planned head-to-head Phase 2 trial against Krystexxa. We believe that we have the financial resources to complete the planned head-to-head Phase 2 trial against Krystexxa, but will require an additional equity offering or other external sources of capital to conduct the planned Phase 3 program for SEL-212.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ImmTOR technology and related products and programs, building our intellectual property portfolio, developing our supply chain, planning our business, raising capital and providing general and administrative support for these operations. Other than SEL-212, our lead product candidate, and SEL-403, our product candidate utilizing LMB-100 in combination with ImmTOR, which we have decided to de-prioritize, our product candidates are still in preclinical development. While we have completed our Phase 1 clinical trial for SEL</w:t>
      </w:r>
      <w:r>
        <w:rPr>
          <w:rFonts w:ascii="MS PGothic" w:cs="MS PGothic" w:eastAsia="MS PGothic" w:hAnsi="MS PGothic"/>
          <w:sz w:val="17"/>
          <w:szCs w:val="17"/>
          <w:color w:val="auto"/>
        </w:rPr>
        <w:t>‑</w:t>
      </w:r>
      <w:r>
        <w:rPr>
          <w:rFonts w:ascii="Arial" w:cs="Arial" w:eastAsia="Arial" w:hAnsi="Arial"/>
          <w:sz w:val="17"/>
          <w:szCs w:val="17"/>
          <w:color w:val="auto"/>
        </w:rPr>
        <w:t>212, we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color w:val="auto"/>
        </w:rPr>
        <w:t>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62"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Tax Cuts and Jobs Act of 2017, or the TCJA, may cause a reduction in the economic benefit of our NOLs and other deferred tax assets available to us. Under the TCJA, net operating losses generated after December 31, 2017 will not be subject to expiration but may only be used to offset up to 80% of our taxable income.</w:t>
      </w:r>
    </w:p>
    <w:p>
      <w:pPr>
        <w:spacing w:after="0" w:line="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January 2019, the Company completed an equity offering that it believes will result in an ownership change under Section 382 of the Internal Revenue Code. Based upon estimates, the Company believes that deferred tax assets of $49.5 million, related to federal and Massachusetts net operating losses and credits, will no longer be available going forward. Such amounts are offset by a full valuation allowance at December 31, 2018. The Company will finalize this calculation in 2019.</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80"/>
        <w:spacing w:after="0" w:line="221" w:lineRule="exact"/>
        <w:rPr>
          <w:sz w:val="20"/>
          <w:szCs w:val="20"/>
          <w:color w:val="auto"/>
        </w:rPr>
      </w:pPr>
      <w:r>
        <w:rPr>
          <w:rFonts w:ascii="Arial" w:cs="Arial" w:eastAsia="Arial" w:hAnsi="Arial"/>
          <w:sz w:val="17"/>
          <w:szCs w:val="17"/>
          <w:b w:val="1"/>
          <w:bCs w:val="1"/>
          <w:i w:val="1"/>
          <w:iCs w:val="1"/>
          <w:color w:val="auto"/>
        </w:rPr>
        <w:t>Our product candidates are based on our ImmTOR technology, which is an unproven approach designed to induce antigen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specific immune tolerance to biologic drugs or stimulate the immune system. We are very early in our clinical development efforts and may not be successful in our efforts to use our ImmTOR technology to build a pipeline of product candidates and develop marketable drugs.</w:t>
      </w:r>
    </w:p>
    <w:p>
      <w:pPr>
        <w:spacing w:after="0" w:line="20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All of our product candidates are derived from our ImmTOR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We are primarily using our ImmTOR technology to improve and enable biologics that treat rare and serious diseases, with an initial focus on developing SEL</w:t>
      </w:r>
      <w:r>
        <w:rPr>
          <w:rFonts w:ascii="MS PGothic" w:cs="MS PGothic" w:eastAsia="MS PGothic" w:hAnsi="MS PGothic"/>
          <w:sz w:val="16"/>
          <w:szCs w:val="16"/>
          <w:color w:val="auto"/>
        </w:rPr>
        <w:t>‑</w:t>
      </w:r>
      <w:r>
        <w:rPr>
          <w:rFonts w:ascii="Arial" w:cs="Arial" w:eastAsia="Arial" w:hAnsi="Arial"/>
          <w:sz w:val="16"/>
          <w:szCs w:val="16"/>
          <w:color w:val="auto"/>
        </w:rPr>
        <w:t xml:space="preserve">212 for the treatment of chronic refractory gout. We are also leveraging our ImmTOR platform to pursue programs in additional therapeutic areas such as oncology and gene therapy. For instance, in May 2017 we licensed LMB-100, a potent anti-bacterial toxin, and in March 2018 initiated a Phase 1 trial of our product candidate SEL-403 to evaluate LMB-100 in combination with our ImmTOR technology in patients with malignant pleural or peritoneal mesothelioma who have undergone at least one regimen of chemotherapy. A patient in the Phase 1 trial experienced a Grade 5 SAE (patient death) related to pneumonitis, which was deemed by the trial investigator to be probably related to ImmTOR and possibly related to the patient’s pleural mesothelioma condition. In November 2018, the FDA placed the IND for SEL-403 on full clinical hold in response to adverse events observed during the Phase 1 trial, and we are working with the NCI investigators to fully understand the data from the trial in order to define the future development of SEL-403 in mesothelioma, pancreatic cancer and other oncology indications, but have made the decision to de-prioritize our Phase I oncology program related to SEL-403. In addition, we are developing two gene therapy product candidates for rare inborn errors of metabolism. Our lead gene therapy program is a potential treatment for methylmalonic </w:t>
      </w:r>
      <w:r>
        <w:rPr>
          <w:rFonts w:ascii="Arial" w:cs="Arial" w:eastAsia="Arial" w:hAnsi="Arial"/>
          <w:sz w:val="16"/>
          <w:szCs w:val="16"/>
          <w:color w:val="333333"/>
        </w:rPr>
        <w:t>acidemia</w:t>
      </w:r>
      <w:r>
        <w:rPr>
          <w:rFonts w:ascii="Arial" w:cs="Arial" w:eastAsia="Arial" w:hAnsi="Arial"/>
          <w:sz w:val="16"/>
          <w:szCs w:val="16"/>
          <w:color w:val="auto"/>
        </w:rPr>
        <w:t>. This product candidate is known as SEL-302. Our second gene therapy product candidate, or SEL-313, is being developed to treat ornithine transcarbamylase deficiency. In September 2018, we announced a new collaboration with CureCN, a European consortium, for the use of our ImmTOR technology in combination with an AAV gene therapy in Crigler-Najjar syndrome, a rare genetic disorder characterized by an inability to properly convert and clear bilirubin from the body. We expect CureCN to initiate preclinical toxicology studies in the first half of 2019 and for the combination product candidate to enter the clinic in the second half of 2019 with the goal of potentially re-dosing gene therapy.</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2" w:right="259" w:bottom="1440" w:gutter="0" w:footer="0" w:header="0"/>
        </w:sectPr>
      </w:pPr>
    </w:p>
    <w:bookmarkStart w:id="40" w:name="page41"/>
    <w:bookmarkEnd w:id="40"/>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14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not received FDA approval for a therapeutic based on our ImmTOR technology or for a biologic product manufactured in China and we know of only one company who has received FDA approval for a therapeutic based on a biologic sourced from China. In addition, we may use biologics other than pegadricase (formerly pegsiticase) with our ImmTOR technology.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6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the unproven nature of our ImmTOR therapeutics, they may have different efficacy and safety rates in various indications;</w:t>
      </w:r>
    </w:p>
    <w:p>
      <w:pPr>
        <w:spacing w:after="0" w:line="225" w:lineRule="exact"/>
        <w:rPr>
          <w:rFonts w:ascii="Arial" w:cs="Arial" w:eastAsia="Arial" w:hAnsi="Arial"/>
          <w:sz w:val="18"/>
          <w:szCs w:val="18"/>
          <w:color w:val="auto"/>
        </w:rPr>
      </w:pPr>
    </w:p>
    <w:p>
      <w:pPr>
        <w:ind w:left="340" w:right="220" w:hanging="332"/>
        <w:spacing w:after="0" w:line="221" w:lineRule="exact"/>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ImmTOR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1" w:lineRule="exact"/>
        <w:rPr>
          <w:rFonts w:ascii="Arial" w:cs="Arial" w:eastAsia="Arial" w:hAnsi="Arial"/>
          <w:sz w:val="18"/>
          <w:szCs w:val="18"/>
          <w:color w:val="auto"/>
        </w:rPr>
      </w:pPr>
    </w:p>
    <w:p>
      <w:pPr>
        <w:ind w:left="340" w:right="240" w:hanging="332"/>
        <w:spacing w:after="0" w:line="221" w:lineRule="exact"/>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of a biologics license application, or BLA, for SEL</w:t>
      </w:r>
      <w:r>
        <w:rPr>
          <w:rFonts w:ascii="MS PGothic" w:cs="MS PGothic" w:eastAsia="MS PGothic" w:hAnsi="MS PGothic"/>
          <w:sz w:val="17"/>
          <w:szCs w:val="17"/>
          <w:color w:val="auto"/>
        </w:rPr>
        <w:t>‑</w:t>
      </w:r>
      <w:r>
        <w:rPr>
          <w:rFonts w:ascii="Arial" w:cs="Arial" w:eastAsia="Arial" w:hAnsi="Arial"/>
          <w:sz w:val="17"/>
          <w:szCs w:val="17"/>
          <w:color w:val="auto"/>
        </w:rPr>
        <w:t>212 or another product and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by the FDA of the facilities of Shenyang Sunshine Pharmaceutical Co., Ltd., or 3SBio, or any other manufacturer of biologics we may use, the FDA may not approve the facility for production or may make observations that will take significant time for 3SBio or such other provider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are applying our ImmTOR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6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ImmTOR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w:t>
      </w:r>
    </w:p>
    <w:p>
      <w:pPr>
        <w:sectPr>
          <w:pgSz w:w="11900" w:h="16838" w:orient="portrait"/>
          <w:cols w:equalWidth="0" w:num="1">
            <w:col w:w="11360"/>
          </w:cols>
          <w:pgMar w:left="240" w:top="692" w:right="29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60"/>
          </w:cols>
          <w:pgMar w:left="240" w:top="692" w:right="299" w:bottom="1440" w:gutter="0" w:footer="0" w:header="0"/>
          <w:type w:val="continuous"/>
        </w:sectPr>
      </w:pPr>
    </w:p>
    <w:bookmarkStart w:id="41" w:name="page42"/>
    <w:bookmarkEnd w:id="41"/>
    <w:p>
      <w:pPr>
        <w:jc w:val="both"/>
        <w:ind w:right="180"/>
        <w:spacing w:after="0" w:line="286" w:lineRule="auto"/>
        <w:rPr>
          <w:sz w:val="20"/>
          <w:szCs w:val="20"/>
          <w:color w:val="auto"/>
        </w:rPr>
      </w:pPr>
      <w:r>
        <w:rPr>
          <w:rFonts w:ascii="Arial" w:cs="Arial" w:eastAsia="Arial" w:hAnsi="Arial"/>
          <w:sz w:val="17"/>
          <w:szCs w:val="17"/>
          <w:color w:val="auto"/>
        </w:rPr>
        <w:t>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in addition to the submission of an investigational new drug application, or IND, to the FDA, before initiation of a clinical trial in the United States, certain human clinical trials for cell therapy products and gene therapy had historically been subject to review by the Recombinant DNA Advisory Committee, or the RAC, of the National Institutes of Health, or NIH, Office of Biotechnology Activities, or OBA, pursuant to the NIH Guidelines for Research Involving Recombinant DNA Molecules, or NIH Guidelines. Following an initial review, RAC members would make a recommendation as to whether the protocol raises important scientific, safety, medical, ethical or social issues that warrant in-depth discussion at the RAC’s quarterly meetings. Even though the FDA decides whether individual cell therapy or gene therapy protocols may proceed under an IND, the RAC’s recommendations were shared with the FDA and the RAC public review process, if undertaken, could delay the initiation of a clinical trial, even if the FDA had reviewed the trial design and details and has not objected to its initiation or has notified the sponsor that the study may begin. Conversely, the FDA can put an IND on clinical hold even if the RAC provided a favorable review or has recommended against an in-depth, public review.</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has announced that it will no longer accept new human gene transfer protocols for review as part of the protocol registration process under the existing NIH Guidelines or convene the RAC to review individual clinical protocols. These trials will remain subject to the FDA’s oversight and other clinical trial regulations, and oversight at the local level will continue as otherwise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Even though we may not be required to submit a protocol for our gene therapy product candidates through the NIH for RAC review, we will still be subject to significant regulatory oversight by the FDA, and in addition to the government regulators, the applicable IBC and institutional review board, or IRB, of each institution at which we or our collaborators conduct clinical trials of our product candidates, or a central IRB if appropriate, would need to review and approve the proposed clinical trial.</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same applies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2" w:name="page43"/>
    <w:bookmarkEnd w:id="42"/>
    <w:p>
      <w:pPr>
        <w:ind w:right="60"/>
        <w:spacing w:after="0" w:line="297" w:lineRule="auto"/>
        <w:rPr>
          <w:sz w:val="20"/>
          <w:szCs w:val="20"/>
          <w:color w:val="auto"/>
        </w:rPr>
      </w:pPr>
      <w:r>
        <w:rPr>
          <w:rFonts w:ascii="Arial" w:cs="Arial" w:eastAsia="Arial" w:hAnsi="Arial"/>
          <w:sz w:val="16"/>
          <w:szCs w:val="16"/>
          <w:color w:val="auto"/>
        </w:rPr>
        <w:t>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lead product candidate, SEL-212, is currently being evaluated in a Phase 2 clinical program that we initiated in October 2016 and that concluded in 2018. We are preparing for the start of a pivotal Phase 3 program for SEL-212. We are also actively preparing to start a head-to-head clinical trial of SEL-212 compared to the current FDA-approved uricase therapy, Krystexxa, and plan to initiate this trial in the first quarter of 2019, prior to beginning the Phase 3 program. In May 2017, we in-licensed LMB-100, a next-generation immunotoxin that completed a Phase 1 clinical program at the Center for Cancer Research at the National Cancer Institute, or NCI, part of the National Institutes of Health, for pancreatic cancer, mesothelioma and other cancers in 2017. For this product candidate, known as SEL-403, we plan to co-administer LMB-100 with ImmTOR. In March 2018, we initiated a Phase 1 trial of SEL-403 in patients with malignant pleural or peritoneal mesothelioma who have undergone at least one regimen of chemotherapy under a Cooperative Research and Development Agreement, or CRADA, at NCI. A patient in the Phase 1 trial experienced a Grade 5 SAE (patient death) related to pneumonitis, which was deemed by the trial investigator to be probably related to ImmTOR and possibly related to the patient’s pleural mesothelioma condition. In November 2018, the FDA placed the IND for SEL-403 on full clinical hold in response to adverse events observed during the Phase 1 trial, and we are working with the NCI investigators to fully understand the data from the trial in order to define the future development of SEL-403 in mesothelioma, pancreatic cancer and other oncology indications. We have since decided to deprioritize the SEL-403 Phase 1 oncology program.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3" w:name="page44"/>
    <w:bookmarkEnd w:id="43"/>
    <w:p>
      <w:pPr>
        <w:ind w:right="40"/>
        <w:spacing w:after="0" w:line="271"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to date from our Phase 2 trial of SEL-212 may not be predictive of future results as we complete dosing of patient cohorts receiving combination therapy for the entire treatment period. Moreover, we may not be able to complete, or may be required to deviate from, currently planned dosing levels in the Phase 2 trial, or may not be able to determine an appropriate dosing regimen for SEL-212 for the Phase 3 program, for a variety of reasons, including, but not limited to, feedback from the FDA.</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multiple SAEs have occurred in connection with the SEL-212 Phase 1/2 clinical program and the SEL-403 Phase 1 clinical trial, including a Grade 5 SAE (patient death) in the SEL-403 Phase 1 clinical trial that was deemed by the trial investigator to be probably related to ImmTOR, and additional SAEs or similar events could occur during the course of our development of SEL-212 or our other product candidates, which could be materially adverse to the success of these programs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successfully gain approval to market SEL-212 or any of our other product candidates in the United States or other countries, if any. Prior to approving a new therapeutic product, the FDA generally requires that safety and efficacy be demonstrated in two adequate and well-controlled clinical trials. We expect to conduct more than one Phase 3 trial for SEL-212 in the refractory gout indication in order to gain approval. However, we may not receive FDA approval for our plan to provide six doses of the combination therapy of SEL-212 for the Phase 3 trial. Additional clinical trials could cause us to incur significant development costs, delay or prevent the commercialization of SEL-212 or otherwise adversely affect our business.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that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4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ectPr>
          <w:pgSz w:w="11900" w:h="16838" w:orient="portrait"/>
          <w:cols w:equalWidth="0" w:num="1">
            <w:col w:w="11380"/>
          </w:cols>
          <w:pgMar w:left="240" w:top="692"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692" w:right="279" w:bottom="1440" w:gutter="0" w:footer="0" w:header="0"/>
          <w:type w:val="continuous"/>
        </w:sectPr>
      </w:pPr>
    </w:p>
    <w:bookmarkStart w:id="44" w:name="page45"/>
    <w:bookmarkEnd w:id="44"/>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0"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692" w:right="239" w:bottom="1440" w:gutter="0" w:footer="0" w:header="0"/>
          <w:type w:val="continuous"/>
        </w:sectPr>
      </w:pPr>
    </w:p>
    <w:bookmarkStart w:id="45" w:name="page46"/>
    <w:bookmarkEnd w:id="45"/>
    <w:p>
      <w:pPr>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160,000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17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ectPr>
          <w:pgSz w:w="11900" w:h="16838" w:orient="portrait"/>
          <w:cols w:equalWidth="0" w:num="1">
            <w:col w:w="11400"/>
          </w:cols>
          <w:pgMar w:left="240" w:top="69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692" w:right="259" w:bottom="1440" w:gutter="0" w:footer="0" w:header="0"/>
          <w:type w:val="continuous"/>
        </w:sectPr>
      </w:pPr>
    </w:p>
    <w:bookmarkStart w:id="46" w:name="page47"/>
    <w:bookmarkEnd w:id="46"/>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3"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16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692"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trials for our product candidates either prior to or post-approval, or it may object to elements of our clinical development program.</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70" w:lineRule="exact"/>
        <w:rPr>
          <w:sz w:val="20"/>
          <w:szCs w:val="20"/>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720" w:right="300" w:hanging="320"/>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240" w:hanging="320"/>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the FDA or comparable foreign regulatory authorities may disagree with our </w:t>
      </w:r>
      <w:r>
        <w:rPr>
          <w:rFonts w:ascii="Arial" w:cs="Arial" w:eastAsia="Arial" w:hAnsi="Arial"/>
          <w:sz w:val="17"/>
          <w:szCs w:val="17"/>
          <w:color w:val="auto"/>
        </w:rPr>
        <w:t>interpretation of data from preclinical studies or clinical trials;</w:t>
      </w:r>
    </w:p>
    <w:p>
      <w:pPr>
        <w:spacing w:after="0" w:line="236" w:lineRule="exact"/>
        <w:rPr>
          <w:rFonts w:ascii="Arial" w:cs="Arial" w:eastAsia="Arial" w:hAnsi="Arial"/>
          <w:sz w:val="17"/>
          <w:szCs w:val="17"/>
          <w:color w:val="auto"/>
        </w:rPr>
      </w:pPr>
    </w:p>
    <w:p>
      <w:pPr>
        <w:ind w:left="720" w:right="400" w:hanging="320"/>
        <w:spacing w:after="0" w:line="34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23" w:lineRule="exact"/>
        <w:rPr>
          <w:rFonts w:ascii="Arial" w:cs="Arial" w:eastAsia="Arial" w:hAnsi="Arial"/>
          <w:sz w:val="16"/>
          <w:szCs w:val="16"/>
          <w:color w:val="auto"/>
        </w:rPr>
      </w:pPr>
    </w:p>
    <w:p>
      <w:pPr>
        <w:ind w:left="720" w:right="380" w:hanging="320"/>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may disagree regarding the formulation, labeling and/or the specifications of our product candidates;</w:t>
      </w:r>
    </w:p>
    <w:p>
      <w:pPr>
        <w:spacing w:after="0" w:line="170" w:lineRule="exact"/>
        <w:rPr>
          <w:rFonts w:ascii="Arial" w:cs="Arial" w:eastAsia="Arial" w:hAnsi="Arial"/>
          <w:sz w:val="18"/>
          <w:szCs w:val="18"/>
          <w:color w:val="auto"/>
        </w:rPr>
      </w:pPr>
    </w:p>
    <w:p>
      <w:pPr>
        <w:ind w:left="720" w:right="340" w:hanging="320"/>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720" w:right="280" w:hanging="320"/>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ensure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w:t>
      </w:r>
    </w:p>
    <w:p>
      <w:pPr>
        <w:sectPr>
          <w:pgSz w:w="11900" w:h="16838" w:orient="portrait"/>
          <w:cols w:equalWidth="0" w:num="1">
            <w:col w:w="11420"/>
          </w:cols>
          <w:pgMar w:left="240" w:top="69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92" w:right="239" w:bottom="1440" w:gutter="0" w:footer="0" w:header="0"/>
          <w:type w:val="continuous"/>
        </w:sectPr>
      </w:pPr>
    </w:p>
    <w:bookmarkStart w:id="48" w:name="page49"/>
    <w:bookmarkEnd w:id="48"/>
    <w:p>
      <w:pPr>
        <w:ind w:right="60"/>
        <w:spacing w:after="0" w:line="259" w:lineRule="auto"/>
        <w:rPr>
          <w:sz w:val="20"/>
          <w:szCs w:val="20"/>
          <w:color w:val="auto"/>
        </w:rPr>
      </w:pPr>
      <w:r>
        <w:rPr>
          <w:rFonts w:ascii="Arial" w:cs="Arial" w:eastAsia="Arial" w:hAnsi="Arial"/>
          <w:sz w:val="18"/>
          <w:szCs w:val="18"/>
          <w:color w:val="auto"/>
        </w:rPr>
        <w:t>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5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FDA placed the IND for SEL-403 on full clinical hold due to adverse events observed in the Phase 1 trial. We are working with the NCI investigators to fully understand the data from the trial in order to define the future development of SEL-403 in mesothelioma, pancreatic cancer and other oncology indications, but have decided to deprioritize the SEL-403 Phase 1 oncology program.</w:t>
      </w:r>
    </w:p>
    <w:p>
      <w:pPr>
        <w:spacing w:after="0" w:line="70" w:lineRule="exact"/>
        <w:rPr>
          <w:sz w:val="20"/>
          <w:szCs w:val="20"/>
          <w:color w:val="auto"/>
        </w:rPr>
      </w:pPr>
    </w:p>
    <w:p>
      <w:pPr>
        <w:ind w:right="120"/>
        <w:spacing w:after="0" w:line="224" w:lineRule="exact"/>
        <w:rPr>
          <w:sz w:val="20"/>
          <w:szCs w:val="20"/>
          <w:color w:val="auto"/>
        </w:rPr>
      </w:pPr>
      <w:r>
        <w:rPr>
          <w:rFonts w:ascii="Arial" w:cs="Arial" w:eastAsia="Arial" w:hAnsi="Arial"/>
          <w:sz w:val="17"/>
          <w:szCs w:val="17"/>
          <w:color w:val="auto"/>
        </w:rPr>
        <w:t>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right="24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171"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We obtain the biologic pegadricase,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 In addition, to our knowledge only one company has received FDA approval for a therapeutic based on a biologic product manufactured in China.</w:t>
      </w:r>
    </w:p>
    <w:p>
      <w:pPr>
        <w:spacing w:after="0" w:line="204"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whether as a result of a natural disaster, failure to comply with regulatory requirements or other causes, could impair our ability to operate our business on a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7"/>
          <w:szCs w:val="17"/>
          <w:color w:val="auto"/>
        </w:rPr>
        <w:t>‑</w:t>
      </w:r>
      <w:r>
        <w:rPr>
          <w:rFonts w:ascii="Arial" w:cs="Arial" w:eastAsia="Arial" w:hAnsi="Arial"/>
          <w:sz w:val="17"/>
          <w:szCs w:val="17"/>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contract manufacturing organizations, or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92"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40" w:hanging="332"/>
        <w:spacing w:after="0" w:line="223"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660" w:hanging="332"/>
        <w:spacing w:after="0" w:line="223"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60" w:hanging="332"/>
        <w:spacing w:after="0" w:line="221"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692" w:right="279" w:bottom="1440" w:gutter="0" w:footer="0" w:header="0"/>
        </w:sectPr>
      </w:pPr>
    </w:p>
    <w:bookmarkStart w:id="50" w:name="page51"/>
    <w:bookmarkEnd w:id="50"/>
    <w:p>
      <w:pPr>
        <w:spacing w:after="0" w:line="217" w:lineRule="exact"/>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ImmTOR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ind w:left="340" w:right="360"/>
        <w:spacing w:after="0" w:line="244" w:lineRule="exact"/>
        <w:rPr>
          <w:sz w:val="20"/>
          <w:szCs w:val="20"/>
          <w:color w:val="auto"/>
        </w:rPr>
      </w:pPr>
      <w:r>
        <w:rPr>
          <w:rFonts w:ascii="Arial" w:cs="Arial" w:eastAsia="Arial" w:hAnsi="Arial"/>
          <w:sz w:val="18"/>
          <w:szCs w:val="18"/>
          <w:color w:val="auto"/>
        </w:rPr>
        <w:t>candidates, might lead to additional responsibilities for us with respect to product candidates, or might result in litigation or arbitration, any of which would be time</w:t>
      </w:r>
      <w:r>
        <w:rPr>
          <w:rFonts w:ascii="MS PGothic" w:cs="MS PGothic" w:eastAsia="MS PGothic" w:hAnsi="MS PGothic"/>
          <w:sz w:val="18"/>
          <w:szCs w:val="18"/>
          <w:color w:val="auto"/>
        </w:rPr>
        <w:t>‑</w:t>
      </w:r>
      <w:r>
        <w:rPr>
          <w:rFonts w:ascii="Arial" w:cs="Arial" w:eastAsia="Arial" w:hAnsi="Arial"/>
          <w:sz w:val="18"/>
          <w:szCs w:val="18"/>
          <w:color w:val="auto"/>
        </w:rPr>
        <w:t>consuming and expensive;</w:t>
      </w:r>
    </w:p>
    <w:p>
      <w:pPr>
        <w:spacing w:after="0" w:line="216" w:lineRule="exact"/>
        <w:rPr>
          <w:sz w:val="20"/>
          <w:szCs w:val="20"/>
          <w:color w:val="auto"/>
        </w:rPr>
      </w:pPr>
    </w:p>
    <w:p>
      <w:pPr>
        <w:ind w:left="340" w:right="4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50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technology and product candidates could be delayed and we may need additional resources to develop additional product candidates. All of the risks relating to product development, regulatory approval and commercialization described in this Annual Report on Form 10-K also apply to the activities of our therapeutic program collaborators and there can be no assurance that our collaborations will produce positive results or successful products on a timely basis or at all.</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in the future collaborate with additional pharmaceutical and biotechnology companies for development and potential commercialization of therapeutic products.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100"/>
        <w:spacing w:after="0" w:line="221"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We also expect to rely on other third parties to store and distribute drug supplies for our clinical trials.</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19" w:right="2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our clinical trials may be deemed unreliable and the FDA or comparable foreign regulatory authorities may require us to perform additional clinical trials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before approving our marketing applications. We cannot assure you that upon inspection by a given regulatory authority, such regulatory authority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 that any of our clinical trials complies with GCP regulations. In addition, our clinical trials must be conducted with product produced under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 manufacturing practice, or cGMP, regulations. Our failure to comply with these regulations may require us to repeat clinical trials, which would delay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regulatory approval process. We also are required to register ongoing clinical trials and post the results of completed clinical trials on a</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sanctions.</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7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ImmTOR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ectPr>
          <w:pgSz w:w="11900" w:h="16838" w:orient="portrait"/>
          <w:cols w:equalWidth="0" w:num="1">
            <w:col w:w="11420"/>
          </w:cols>
          <w:pgMar w:left="240" w:top="584"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84" w:right="239" w:bottom="1440" w:gutter="0" w:footer="0" w:header="0"/>
          <w:type w:val="continuous"/>
        </w:sectPr>
      </w:pPr>
    </w:p>
    <w:bookmarkStart w:id="53" w:name="page54"/>
    <w:bookmarkEnd w:id="53"/>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development and commercialization of new drug and biologic products and technologies is highly competitive and is characterized by rapid and substantial technological development and product innovations.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5" w:lineRule="exact"/>
        <w:rPr>
          <w:sz w:val="20"/>
          <w:szCs w:val="20"/>
          <w:color w:val="auto"/>
        </w:rPr>
      </w:pPr>
    </w:p>
    <w:p>
      <w:pPr>
        <w:ind w:right="60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ectPr>
          <w:pgSz w:w="11900" w:h="16838" w:orient="portrait"/>
          <w:cols w:equalWidth="0" w:num="1">
            <w:col w:w="11400"/>
          </w:cols>
          <w:pgMar w:left="240" w:top="692" w:right="25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692" w:right="259" w:bottom="1440" w:gutter="0" w:footer="0" w:header="0"/>
          <w:type w:val="continuous"/>
        </w:sectPr>
      </w:pPr>
    </w:p>
    <w:bookmarkStart w:id="54" w:name="page55"/>
    <w:bookmarkEnd w:id="54"/>
    <w:p>
      <w:pPr>
        <w:ind w:right="10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1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50"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5" w:name="page56"/>
    <w:bookmarkEnd w:id="55"/>
    <w:p>
      <w:pPr>
        <w:ind w:right="8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94"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6" w:name="page57"/>
    <w:bookmarkEnd w:id="56"/>
    <w:p>
      <w:pPr>
        <w:ind w:right="400"/>
        <w:spacing w:after="0" w:line="221"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100" w:hanging="332"/>
        <w:spacing w:after="0" w:line="219"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203"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81"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w:t>
      </w:r>
    </w:p>
    <w:p>
      <w:pPr>
        <w:spacing w:after="0" w:line="165" w:lineRule="exact"/>
        <w:rPr>
          <w:rFonts w:ascii="Arial" w:cs="Arial" w:eastAsia="Arial" w:hAnsi="Arial"/>
          <w:sz w:val="17"/>
          <w:szCs w:val="17"/>
          <w:color w:val="auto"/>
        </w:rPr>
      </w:pPr>
    </w:p>
    <w:p>
      <w:pPr>
        <w:ind w:left="340" w:right="140" w:hanging="332"/>
        <w:spacing w:after="0" w:line="220" w:lineRule="exact"/>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which may apply to sales or marketing arrangements and claims involving healthcare items or services reimbursed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requirements to comply with federal and pharmaceutical industry compliance guidelines, and; state data privacy and price transparency laws, many of which differ from each other in significant ways and often are broader than and not preempted by HIPAA or the Sunshine Act, thus complicating compliance efforts; and</w:t>
      </w:r>
    </w:p>
    <w:p>
      <w:pPr>
        <w:spacing w:after="0" w:line="204" w:lineRule="exact"/>
        <w:rPr>
          <w:rFonts w:ascii="Arial" w:cs="Arial" w:eastAsia="Arial" w:hAnsi="Arial"/>
          <w:sz w:val="17"/>
          <w:szCs w:val="17"/>
          <w:color w:val="auto"/>
        </w:rPr>
      </w:pPr>
    </w:p>
    <w:p>
      <w:pPr>
        <w:ind w:left="340" w:right="24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7" w:name="page58"/>
    <w:bookmarkEnd w:id="57"/>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CMS have both stated that the ruling will have no immediate effect, it is unclear how this decision, subsequent appeals, if any, and other efforts to repeal and replace the ACA will impact the ACA and our business. We cannot predict the ultimate content, timing or effect of any healthcare reform legislation or the impact of potential legislation on us.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420"/>
        <w:spacing w:after="0" w:line="220" w:lineRule="exact"/>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204"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ectPr>
          <w:pgSz w:w="11900" w:h="16838" w:orient="portrait"/>
          <w:cols w:equalWidth="0" w:num="1">
            <w:col w:w="11400"/>
          </w:cols>
          <w:pgMar w:left="240" w:top="692" w:right="2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692" w:right="259" w:bottom="1440" w:gutter="0" w:footer="0" w:header="0"/>
          <w:type w:val="continuous"/>
        </w:sectPr>
      </w:pPr>
    </w:p>
    <w:bookmarkStart w:id="58" w:name="page59"/>
    <w:bookmarkEnd w:id="58"/>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w:t>
      </w:r>
    </w:p>
    <w:p>
      <w:pPr>
        <w:sectPr>
          <w:pgSz w:w="11900" w:h="16838" w:orient="portrait"/>
          <w:cols w:equalWidth="0" w:num="1">
            <w:col w:w="11400"/>
          </w:cols>
          <w:pgMar w:left="240" w:top="692" w:right="259" w:bottom="100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692" w:right="259" w:bottom="1000" w:gutter="0" w:footer="0" w:header="0"/>
          <w:type w:val="continuous"/>
        </w:sectPr>
      </w:pPr>
    </w:p>
    <w:bookmarkStart w:id="59" w:name="page60"/>
    <w:bookmarkEnd w:id="59"/>
    <w:p>
      <w:pPr>
        <w:ind w:right="180"/>
        <w:spacing w:after="0" w:line="277" w:lineRule="auto"/>
        <w:rPr>
          <w:sz w:val="20"/>
          <w:szCs w:val="20"/>
          <w:color w:val="auto"/>
        </w:rPr>
      </w:pPr>
      <w:r>
        <w:rPr>
          <w:rFonts w:ascii="Arial" w:cs="Arial" w:eastAsia="Arial" w:hAnsi="Arial"/>
          <w:sz w:val="18"/>
          <w:szCs w:val="18"/>
          <w:color w:val="auto"/>
        </w:rPr>
        <w:t>we may lose any marketing approval that we may have obtained and we may not achieve or sustain profitability, which would adversely affect our business, prospects, financial condition and results of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14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0" w:name="page61"/>
    <w:bookmarkEnd w:id="60"/>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patent offices react to our patent claims and whether they identify prior art of relevance that we have not already considered.</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encounter significant problems in protecting and defending our intellectual property globally. If we are unable to prevent unauthorized disclosure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related to our product candidates and technology to third parties, we may not be able to establish or maintain a competitive advantage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 which could adversely affect our business and operations.</w:t>
      </w:r>
    </w:p>
    <w:p>
      <w:pPr>
        <w:spacing w:after="0" w:line="103"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Any litigation to enforce or defend our patent rights, even if we were to prevail, could be costly and time</w:t>
      </w:r>
      <w:r>
        <w:rPr>
          <w:rFonts w:ascii="MS PGothic" w:cs="MS PGothic" w:eastAsia="MS PGothic" w:hAnsi="MS PGothic"/>
          <w:sz w:val="18"/>
          <w:szCs w:val="18"/>
          <w:color w:val="auto"/>
        </w:rPr>
        <w:t>‑</w:t>
      </w:r>
      <w:r>
        <w:rPr>
          <w:rFonts w:ascii="Arial" w:cs="Arial" w:eastAsia="Arial" w:hAnsi="Arial"/>
          <w:sz w:val="18"/>
          <w:szCs w:val="18"/>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692" w:right="25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access to related documents. If investors perceive these results to be negative, the market price for our common stock could be significantly harmed.</w:t>
      </w:r>
    </w:p>
    <w:p>
      <w:pPr>
        <w:spacing w:after="0" w:line="129"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3"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and our issued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covering our product candidates could be found invalid or unenforceable or could be interpreted narrowly if challenged in court.</w:t>
      </w:r>
    </w:p>
    <w:p>
      <w:pPr>
        <w:spacing w:after="0" w:line="237"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7"/>
          <w:szCs w:val="17"/>
          <w:color w:val="auto"/>
        </w:rPr>
        <w:t>‑</w:t>
      </w:r>
      <w:r>
        <w:rPr>
          <w:rFonts w:ascii="Arial" w:cs="Arial" w:eastAsia="Arial" w:hAnsi="Arial"/>
          <w:sz w:val="17"/>
          <w:szCs w:val="17"/>
          <w:color w:val="auto"/>
        </w:rPr>
        <w:t>party infringement or unauthorized use. This can be expensive, particularly for a company of our size, and time</w:t>
      </w:r>
      <w:r>
        <w:rPr>
          <w:rFonts w:ascii="MS PGothic" w:cs="MS PGothic" w:eastAsia="MS PGothic" w:hAnsi="MS PGothic"/>
          <w:sz w:val="17"/>
          <w:szCs w:val="17"/>
          <w:color w:val="auto"/>
        </w:rPr>
        <w:t>‑</w:t>
      </w:r>
      <w:r>
        <w:rPr>
          <w:rFonts w:ascii="Arial" w:cs="Arial" w:eastAsia="Arial" w:hAnsi="Arial"/>
          <w:sz w:val="17"/>
          <w:szCs w:val="17"/>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7"/>
          <w:szCs w:val="17"/>
          <w:color w:val="auto"/>
        </w:rPr>
        <w:t>‑</w:t>
      </w:r>
      <w:r>
        <w:rPr>
          <w:rFonts w:ascii="Arial" w:cs="Arial" w:eastAsia="Arial" w:hAnsi="Arial"/>
          <w:sz w:val="17"/>
          <w:szCs w:val="17"/>
          <w:color w:val="auto"/>
        </w:rPr>
        <w:t>enablement, or failure to claim patent</w:t>
      </w:r>
      <w:r>
        <w:rPr>
          <w:rFonts w:ascii="MS PGothic" w:cs="MS PGothic" w:eastAsia="MS PGothic" w:hAnsi="MS PGothic"/>
          <w:sz w:val="17"/>
          <w:szCs w:val="17"/>
          <w:color w:val="auto"/>
        </w:rPr>
        <w:t>‑</w:t>
      </w:r>
      <w:r>
        <w:rPr>
          <w:rFonts w:ascii="Arial" w:cs="Arial" w:eastAsia="Arial" w:hAnsi="Arial"/>
          <w:sz w:val="17"/>
          <w:szCs w:val="17"/>
          <w:color w:val="auto"/>
        </w:rPr>
        <w:t>eligible subject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ind w:right="40"/>
        <w:spacing w:after="0" w:line="218" w:lineRule="exact"/>
        <w:rPr>
          <w:sz w:val="20"/>
          <w:szCs w:val="20"/>
          <w:color w:val="auto"/>
        </w:rPr>
      </w:pPr>
      <w:r>
        <w:rPr>
          <w:rFonts w:ascii="Arial" w:cs="Arial" w:eastAsia="Arial" w:hAnsi="Arial"/>
          <w:sz w:val="17"/>
          <w:szCs w:val="17"/>
          <w:color w:val="auto"/>
        </w:rPr>
        <w:t>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7"/>
          <w:szCs w:val="17"/>
          <w:color w:val="auto"/>
        </w:rPr>
        <w:t>‑</w:t>
      </w:r>
      <w:r>
        <w:rPr>
          <w:rFonts w:ascii="Arial" w:cs="Arial" w:eastAsia="Arial" w:hAnsi="Arial"/>
          <w:sz w:val="17"/>
          <w:szCs w:val="17"/>
          <w:color w:val="auto"/>
        </w:rPr>
        <w:t>examination, post</w:t>
      </w:r>
      <w:r>
        <w:rPr>
          <w:rFonts w:ascii="MS PGothic" w:cs="MS PGothic" w:eastAsia="MS PGothic" w:hAnsi="MS PGothic"/>
          <w:sz w:val="17"/>
          <w:szCs w:val="17"/>
          <w:color w:val="auto"/>
        </w:rPr>
        <w:t>‑</w:t>
      </w:r>
      <w:r>
        <w:rPr>
          <w:rFonts w:ascii="Arial" w:cs="Arial" w:eastAsia="Arial" w:hAnsi="Arial"/>
          <w:sz w:val="17"/>
          <w:szCs w:val="17"/>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67"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692" w:right="279" w:bottom="1440" w:gutter="0" w:footer="0" w:header="0"/>
        </w:sectPr>
      </w:pPr>
    </w:p>
    <w:bookmarkStart w:id="65" w:name="page66"/>
    <w:bookmarkEnd w:id="65"/>
    <w:p>
      <w:pPr>
        <w:ind w:right="4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spacing w:after="0" w:line="289" w:lineRule="auto"/>
        <w:rPr>
          <w:sz w:val="20"/>
          <w:szCs w:val="20"/>
          <w:color w:val="auto"/>
        </w:rPr>
      </w:pPr>
      <w:r>
        <w:rPr>
          <w:rFonts w:ascii="Arial" w:cs="Arial" w:eastAsia="Arial" w:hAnsi="Arial"/>
          <w:sz w:val="16"/>
          <w:szCs w:val="16"/>
          <w:color w:val="auto"/>
        </w:rPr>
        <w:t>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and restructuring may not be successful.</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January 3, 2019, following a strategic business review, we announced our new strategy to focus on the development of SEL-212 for the treatment of chronic refractory gout and advancement of our ImmTOR technology in the area of gene therapy, specifically ImmTOR in combination with AAV gene therapy for the treatment of CN,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on January 3, 2019, as a result of our strategic business review, we announced our plan to reduce budgeted headcount by approximately 36% to align our workforce with our newly announced strategy. While the reduction in workforce generally affects employees in all areas, those working in research and related general and administrative functions were most affected. The reduction in workforce resulted in the termination of approximately 17 employment positions effective January 3, 2019. Following the reduction in workforce, we expect to have approximately 45 full-time employment positions and to be appropriately resourced to continue executing on our current strategy. We substantially completed the reduction in workforce during the first quarter of 2019. Our workforce after these actions may not be sufficient to fully execute our new strategy, and we may not be able to effectively attract or retain new management or qualified employees needed to implement this strategy.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7" w:name="page68"/>
    <w:bookmarkEnd w:id="67"/>
    <w:p>
      <w:pPr>
        <w:ind w:right="40"/>
        <w:spacing w:after="0" w:line="259" w:lineRule="auto"/>
        <w:rPr>
          <w:sz w:val="20"/>
          <w:szCs w:val="20"/>
          <w:color w:val="auto"/>
        </w:rPr>
      </w:pPr>
      <w:r>
        <w:rPr>
          <w:rFonts w:ascii="Arial" w:cs="Arial" w:eastAsia="Arial" w:hAnsi="Arial"/>
          <w:sz w:val="18"/>
          <w:szCs w:val="18"/>
          <w:color w:val="auto"/>
        </w:rPr>
        <w:t>We estimate that we will incur aggregate charges in connection with the reduction in workforce of approximately $0.5 million, all of which are expected to be cash expenditures. However, our restructuring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certain of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Earl Sands, M.D., our Chief Medical Officer, retired effective January 1, 2019. In March 2019, John Leaman, M.D., our Chief Financial Officer and Head of Corporate Strategy, announced his intention to resign effective March 31, 2019. Recruiting and retaining a new Chief Medical Officer and Chief Financial Officer will be critical to our success. We anticipate that we will experience a transitional period until our new Chief Medical Officer and Chief Financial Officer are hired and fully integrated into his or her new roles. Any delay or failure to recruit Dr. Sands' and Dr. Leaman’s successors may adversely affect our business and financial results. We cannot predict how long it will take to hire a new Chief Medical Officer and Chief Financial Officer and if we are not able to appoint a new Chief Medical Officer and Chief Financial Officer in a timely manner, or we are forced to operate with a transitional leadership team, our business, financial condition, and results of operations could be materially and adversely affected. Moreover, we cannot provide any assurance that the transition in leadership will not result in a disruption that adversely impacts our business and employee morale.</w:t>
      </w:r>
    </w:p>
    <w:p>
      <w:pPr>
        <w:spacing w:after="0" w:line="1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8" w:name="page69"/>
    <w:bookmarkEnd w:id="68"/>
    <w:p>
      <w:pPr>
        <w:spacing w:after="0" w:line="207" w:lineRule="exact"/>
        <w:rPr>
          <w:sz w:val="20"/>
          <w:szCs w:val="20"/>
          <w:color w:val="auto"/>
        </w:rPr>
      </w:pPr>
      <w:r>
        <w:rPr>
          <w:rFonts w:ascii="Arial" w:cs="Arial" w:eastAsia="Arial" w:hAnsi="Arial"/>
          <w:sz w:val="18"/>
          <w:szCs w:val="18"/>
          <w:color w:val="auto"/>
        </w:rPr>
        <w:t>rules and regulations have increased our legal and financial compliance costs and made some activities more time</w:t>
      </w:r>
      <w:r>
        <w:rPr>
          <w:rFonts w:ascii="MS PGothic" w:cs="MS PGothic" w:eastAsia="MS PGothic" w:hAnsi="MS PGothic"/>
          <w:sz w:val="18"/>
          <w:szCs w:val="18"/>
          <w:color w:val="auto"/>
        </w:rPr>
        <w:t>‑</w:t>
      </w:r>
      <w:r>
        <w:rPr>
          <w:rFonts w:ascii="Arial" w:cs="Arial" w:eastAsia="Arial" w:hAnsi="Arial"/>
          <w:sz w:val="18"/>
          <w:szCs w:val="18"/>
          <w:color w:val="auto"/>
        </w:rPr>
        <w:t>consuming and costly.</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our U.S. operations, we maintain a wholly owned subsidiary in Russia, Selecta RUS, and may expand international operations in the future, including by conducting clinical trials of our product candidates in countries outside the United States.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4" w:lineRule="exact"/>
        <w:rPr>
          <w:sz w:val="20"/>
          <w:szCs w:val="20"/>
          <w:color w:val="auto"/>
        </w:rPr>
      </w:pPr>
    </w:p>
    <w:p>
      <w:pPr>
        <w:ind w:left="340" w:right="6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8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180" w:hanging="332"/>
        <w:spacing w:after="0" w:line="223"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ectPr>
          <w:pgSz w:w="11900" w:h="16838" w:orient="portrait"/>
          <w:cols w:equalWidth="0" w:num="1">
            <w:col w:w="11380"/>
          </w:cols>
          <w:pgMar w:left="240" w:top="584"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584" w:right="279" w:bottom="1440" w:gutter="0" w:footer="0" w:header="0"/>
          <w:type w:val="continuous"/>
        </w:sectPr>
      </w:pPr>
    </w:p>
    <w:bookmarkStart w:id="69" w:name="page70"/>
    <w:bookmarkEnd w:id="69"/>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6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ectPr>
          <w:pgSz w:w="11900" w:h="16838" w:orient="portrait"/>
          <w:cols w:equalWidth="0" w:num="1">
            <w:col w:w="11400"/>
          </w:cols>
          <w:pgMar w:left="240" w:top="69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692" w:right="259" w:bottom="1440" w:gutter="0" w:footer="0" w:header="0"/>
          <w:type w:val="continuous"/>
        </w:sectPr>
      </w:pPr>
    </w:p>
    <w:bookmarkStart w:id="70" w:name="page71"/>
    <w:bookmarkEnd w:id="70"/>
    <w:p>
      <w:pPr>
        <w:ind w:left="340" w:right="76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32.1% of our outstanding voting stock as of December 31, 2018.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3.1 million shares of our common stock as of December 31, 2018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4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ectPr>
          <w:pgSz w:w="11900" w:h="16838" w:orient="portrait"/>
          <w:cols w:equalWidth="0" w:num="1">
            <w:col w:w="11400"/>
          </w:cols>
          <w:pgMar w:left="240" w:top="692" w:right="2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692" w:right="259" w:bottom="1440" w:gutter="0" w:footer="0" w:header="0"/>
          <w:type w:val="continuous"/>
        </w:sectPr>
      </w:pPr>
    </w:p>
    <w:bookmarkStart w:id="71" w:name="page72"/>
    <w:bookmarkEnd w:id="71"/>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ind w:right="240"/>
        <w:spacing w:after="0" w:line="277" w:lineRule="auto"/>
        <w:rPr>
          <w:sz w:val="20"/>
          <w:szCs w:val="20"/>
          <w:color w:val="auto"/>
        </w:rPr>
      </w:pPr>
      <w:r>
        <w:rPr>
          <w:rFonts w:ascii="Arial" w:cs="Arial" w:eastAsia="Arial" w:hAnsi="Arial"/>
          <w:sz w:val="18"/>
          <w:szCs w:val="18"/>
          <w:color w:val="auto"/>
        </w:rPr>
        <w:t>price volatility in recent years. If we face such litigation, it could result in substantial costs and a diversion of management’s attention and resources, which could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Recently-enacted U.S. Tax reform legislation could adversely affect our business and financial condition.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TCJA has significantly changed the U.S. federal income taxation of U.S. corporations, including by reducing the U.S. corporate income tax rate, limiting interest deductions, modifying or repealing many business deductions and credits (including reducing the business tax credit for certain clinical testing expenses incurred in the testing of certain drugs for rare diseases or conditions generally referred to as “orphan drugs”),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In addition, it is unclear how these U.S. federal income tax changes will affect state and local taxation, which often uses federal taxable income as a starting point for computing state and local tax liabilities. While some of the changes made by the TCJA may adversely affect us in one or more reporting periods and prospectively, other changes may be beneficial on a going forward basis. We continue to work with our tax advisors and auditors to determine the full impact that the TCJA will have on us on an ongoing basis. We urge our investors to consult with their legal and tax advisors with respect to the TJCA.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are located in Watertown, Massachusetts and consist of 32,933 total square feet of leased office and laboratory space. In October 2017, we entered into a lease for approximately 5,100 square feet of additional office space. The leases both expire on March 31, 2020. We also lease approximately 2,500 square feet of office and laboratory space in Moscow, Russia on a month to month basis. We believe that our existing facilities are sufficient for our needs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of the Registrant</w:t>
      </w:r>
    </w:p>
    <w:p>
      <w:pPr>
        <w:spacing w:after="0" w:line="229"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i w:val="1"/>
          <w:iCs w:val="1"/>
          <w:color w:val="auto"/>
        </w:rPr>
        <w:t xml:space="preserve">Carsten Brunn, Ph.D. </w:t>
      </w:r>
      <w:r>
        <w:rPr>
          <w:rFonts w:ascii="Arial" w:cs="Arial" w:eastAsia="Arial" w:hAnsi="Arial"/>
          <w:sz w:val="16"/>
          <w:szCs w:val="16"/>
          <w:color w:val="auto"/>
        </w:rPr>
        <w:t>has served as our President, Chief Executive Officer and member of our board of directors since December 2018.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Selecta Biosciences, Inc., Dr. Brunn was the President of Pharmaceuticals for the Americas Region at Bayer and a member of the Global Pharmaceutical Executive Committee. Prior to being appointed to that role in 2017, he was the President of Bayer Pharmaceuticals in Japan, a role he held since 2013. He also served as the Chairman of the European Federation of Pharmaceutical Industries and Associations (EFPIA) Japan, an organization representing innovative pharmaceutical companies in Japan. Over the last 25 years, Dr. Brunn has held a number of senior leadership positions in Europe, Asia and the United States at leading companies such as Eli Lilly, Novartis, Basilea and Bausch and Lomb. Dr. Brunn graduated from the University of Freiburg in Germany with a Master of Science in Pharmaceutical Sciences. In addition, he studied at the University of Washington under a research scholarship. He received his Ph.D. in Chemistry from the University of Hamburg, Germany and completed his executive education at London Business School.</w:t>
      </w:r>
    </w:p>
    <w:p>
      <w:pPr>
        <w:spacing w:after="0" w:line="1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Timothy C. Barabe </w:t>
      </w:r>
      <w:r>
        <w:rPr>
          <w:rFonts w:ascii="Arial" w:cs="Arial" w:eastAsia="Arial" w:hAnsi="Arial"/>
          <w:sz w:val="17"/>
          <w:szCs w:val="17"/>
          <w:color w:val="auto"/>
        </w:rPr>
        <w:t>joined our board of directors in July 2016. Mr. Barabe also serves on the boards of ArQule, Inc., Veeva Systems Inc., and Vigilant</w:t>
      </w:r>
      <w:r>
        <w:rPr>
          <w:rFonts w:ascii="Arial" w:cs="Arial" w:eastAsia="Arial" w:hAnsi="Arial"/>
          <w:sz w:val="17"/>
          <w:szCs w:val="17"/>
          <w:i w:val="1"/>
          <w:iCs w:val="1"/>
          <w:color w:val="auto"/>
        </w:rPr>
        <w:t xml:space="preserve"> </w:t>
      </w:r>
      <w:r>
        <w:rPr>
          <w:rFonts w:ascii="Arial" w:cs="Arial" w:eastAsia="Arial" w:hAnsi="Arial"/>
          <w:sz w:val="17"/>
          <w:szCs w:val="17"/>
          <w:color w:val="auto"/>
        </w:rPr>
        <w:t>Biosciences, Inc., a private company.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3" w:name="page74"/>
    <w:bookmarkEnd w:id="73"/>
    <w:p>
      <w:pPr>
        <w:ind w:right="80"/>
        <w:spacing w:after="0" w:line="287" w:lineRule="auto"/>
        <w:rPr>
          <w:sz w:val="20"/>
          <w:szCs w:val="20"/>
          <w:color w:val="auto"/>
        </w:rPr>
      </w:pPr>
      <w:r>
        <w:rPr>
          <w:rFonts w:ascii="Arial" w:cs="Arial" w:eastAsia="Arial" w:hAnsi="Arial"/>
          <w:sz w:val="16"/>
          <w:szCs w:val="16"/>
          <w:i w:val="1"/>
          <w:iCs w:val="1"/>
          <w:color w:val="auto"/>
        </w:rPr>
        <w:t xml:space="preserve">Omid Farokhzad, M.D. </w:t>
      </w:r>
      <w:r>
        <w:rPr>
          <w:rFonts w:ascii="Arial" w:cs="Arial" w:eastAsia="Arial" w:hAnsi="Arial"/>
          <w:sz w:val="16"/>
          <w:szCs w:val="16"/>
          <w:color w:val="auto"/>
        </w:rPr>
        <w:t>is one of our co-founders and has served as a member of our board of directors since 2007. Dr. Farokhzad is the CEO and founder of</w:t>
      </w:r>
      <w:r>
        <w:rPr>
          <w:rFonts w:ascii="Arial" w:cs="Arial" w:eastAsia="Arial" w:hAnsi="Arial"/>
          <w:sz w:val="16"/>
          <w:szCs w:val="16"/>
          <w:i w:val="1"/>
          <w:iCs w:val="1"/>
          <w:color w:val="auto"/>
        </w:rPr>
        <w:t xml:space="preserve"> </w:t>
      </w:r>
      <w:r>
        <w:rPr>
          <w:rFonts w:ascii="Arial" w:cs="Arial" w:eastAsia="Arial" w:hAnsi="Arial"/>
          <w:sz w:val="16"/>
          <w:szCs w:val="16"/>
          <w:color w:val="auto"/>
        </w:rPr>
        <w:t>Seer Biosciences. Previously, he was a Professor at Harvard Medical School, or HMS, and a physician-scientist at Brigham and Women’s Hospital, or BWH, where he established and directed the BWH Center of Nanomedicine. He currently maintains an unpaid faculty position at HMS and BWH. Prior to joining the HMS faculty, Dr. Farokhzad completed his postgraduate clinical and postdoctoral research trainings, respectively, at BWH/HMS and MIT. In 2016, he was among the recipients of the Ellis Island Medal of Honor, and in 2014, the Golden Door Award from the International Institute of New England, for his scientific, societal, and economic contributions to America as an immigrant. Dr. Farokhzad was elected to the College of the Fellows of the American Institute of Medical and Biological Engineering. He is the recipient of the 2013 RUSNANOPRIZE, and was named an Ernst &amp; Young 2012 New England Entrepreneur of the Year. Dr. Farokhzad has been directly involved in the launch and development of four biotechnology companies and, on occasion, has assumed additional roles in support of management. Dr. Farokhzad currently serves on the Board of Directors of Seer Biosciences, Tarveda Therapeutics and Placon Therapeutics.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Amir Nashat, Ph.D. </w:t>
      </w:r>
      <w:r>
        <w:rPr>
          <w:rFonts w:ascii="Arial" w:cs="Arial" w:eastAsia="Arial" w:hAnsi="Arial"/>
          <w:sz w:val="17"/>
          <w:szCs w:val="17"/>
          <w:color w:val="auto"/>
        </w:rPr>
        <w:t>has served as a member of our board of directors since 2008. Dr. Nashat has been a Partner at Polaris Partners, a venture capital firm,</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2009 and focuses on investments in the life sciences. He currently serves on the board of directors of Fate Therapeutics, Inc., aTyr Pharma, Inc., Syros Pharmaceuticals and several private companies. Dr. Nashat has also served as a director of Receptos, Inc., BIND Therapeutics, Inc., as well as Adnexus Therapeutics, Inc. (acquired by Bristol-Myers Squibb Company) and other private companies. Dr. Nashat completed his Ph.D. as a Hertz Fellow in Chemical Engineering at MIT with a minor in biology.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Aymeric Sallin, M.S. </w:t>
      </w:r>
      <w:r>
        <w:rPr>
          <w:rFonts w:ascii="Arial" w:cs="Arial" w:eastAsia="Arial" w:hAnsi="Arial"/>
          <w:sz w:val="17"/>
          <w:szCs w:val="17"/>
          <w:color w:val="auto"/>
        </w:rPr>
        <w:t>has served as a member of our board of directors since 2008. Mr. Sallin has served as the Chief Executive Officer of NanoDimension,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Mr. Sallin has worked to generate and close investments of hundreds of millions of dollars into several of NanoDimension’s portfolio companies. He currently serves as a board member of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7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i w:val="1"/>
          <w:iCs w:val="1"/>
          <w:color w:val="auto"/>
        </w:rPr>
        <w:t xml:space="preserve">Timothy A. Springer, Ph.D. </w:t>
      </w:r>
      <w:r>
        <w:rPr>
          <w:rFonts w:ascii="Arial" w:cs="Arial" w:eastAsia="Arial" w:hAnsi="Arial"/>
          <w:sz w:val="16"/>
          <w:szCs w:val="16"/>
          <w:color w:val="auto"/>
        </w:rPr>
        <w:t>has served as a member of our board of directors since June 2016 and as a scientific advisor to us since December 2008.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Patrick Zenner </w:t>
      </w:r>
      <w:r>
        <w:rPr>
          <w:rFonts w:ascii="Arial" w:cs="Arial" w:eastAsia="Arial" w:hAnsi="Arial"/>
          <w:sz w:val="16"/>
          <w:szCs w:val="16"/>
          <w:color w:val="auto"/>
        </w:rPr>
        <w:t>has served as a member of our board of directors since June 2017. Mr. Zenner retired in 2001 from the position of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both ArQule, Inc. and West Pharmaceutical Services,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92"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Lloyd Johnston, Ph.D. </w:t>
      </w:r>
      <w:r>
        <w:rPr>
          <w:rFonts w:ascii="Arial" w:cs="Arial" w:eastAsia="Arial" w:hAnsi="Arial"/>
          <w:sz w:val="17"/>
          <w:szCs w:val="17"/>
          <w:color w:val="auto"/>
        </w:rPr>
        <w:t>has served as our Chief Operating Officer and Senior Vice President, Research and Development since January 2014. Dr. Johnston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Selecta’s Senior Vice President of Pharmaceutical Research, Development and Operations from January 2011 to December 2013 and Vice President of Pharmaceutical Research from July 2008 to January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Takashi Kei Kishimoto, Ph.D. </w:t>
      </w:r>
      <w:r>
        <w:rPr>
          <w:rFonts w:ascii="Arial" w:cs="Arial" w:eastAsia="Arial" w:hAnsi="Arial"/>
          <w:sz w:val="17"/>
          <w:szCs w:val="17"/>
          <w:color w:val="auto"/>
        </w:rPr>
        <w:t>has served as our Chief Scientific Officer since June 2011. Prior to joining Selecta, Dr. Kishimoto was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John Leaman, M.D. </w:t>
      </w:r>
      <w:r>
        <w:rPr>
          <w:rFonts w:ascii="Arial" w:cs="Arial" w:eastAsia="Arial" w:hAnsi="Arial"/>
          <w:sz w:val="18"/>
          <w:szCs w:val="18"/>
          <w:color w:val="auto"/>
        </w:rPr>
        <w:t>has served as our Chief Financial Officer, Head of Corporate Strategy since October 2017. Dr. Leaman previously served as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Development at InfaCare Pharmaceutical Corp., a specialty pharmaceutical company that was recently acquired by Mallinckrodt plc., from June 2016 to September 2017. Prior to this, Dr. Leaman was Chief Financial Officer of Medgenics, Inc., a publicly traded biotech company from September 2013 to February 2016. He also previously held senior roles at Shire plc from 2012 to 2014 and Devon Park Bioventures, a venture capital fund targeting investments in therapeutics companies from 2007 to 2012. Dr. Leaman brings to Selecta extensive licensing, merger and acquisition experience and began his career serving a range of life sciences companies as an Associate Principal at McKinsey &amp; Company from 2002 to 2007. Dr. Leaman received an M.D. from the Perelman School of Medicine at the University of Pennsylvania, an M.B.A. from the Wharton School at the University of Pennsylvania, a B.A. in psychology, philosophy and physiology from Oriel College, University of Oxford while completing a Rhodes Scholarship, and a B.S. in biology from Elizabethtown College.</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Stephen Smolinski </w:t>
      </w:r>
      <w:r>
        <w:rPr>
          <w:rFonts w:ascii="Arial" w:cs="Arial" w:eastAsia="Arial" w:hAnsi="Arial"/>
          <w:sz w:val="18"/>
          <w:szCs w:val="18"/>
          <w:color w:val="auto"/>
        </w:rPr>
        <w:t>has served as our Chief Commercial Officer since October 2017. Mr. Smolinski previously served as the Vice President and Head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American Rheumatology Business Unit of Sanofi/Genzyme, a pharmaceutical company from June 2015 to August 2017, where he led the development of the company’s commercialization plans for the rheumatoid arthritis medicine KEVZARA®. Prior to this, he served as Group Vice President of Immunology &amp; Inflammation, Global Strategic Unit at Sanofi a pharmaceutical company, from July 2013 to June 2015. Mr. Smolinski also previously held senior commercial roles at Roche-Genentech, Bristol-Myers Squibb, Johnson &amp; Johnson and Savient Pharmaceuticals. Mr. Smolinski received a B.S. in health care administration from Oregon State University.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688"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14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4500"/>
        <w:spacing w:after="0" w:line="402" w:lineRule="auto"/>
        <w:rPr>
          <w:sz w:val="20"/>
          <w:szCs w:val="20"/>
          <w:color w:val="auto"/>
        </w:rPr>
      </w:pPr>
      <w:r>
        <w:rPr>
          <w:rFonts w:ascii="Arial" w:cs="Arial" w:eastAsia="Arial" w:hAnsi="Arial"/>
          <w:sz w:val="18"/>
          <w:szCs w:val="18"/>
          <w:color w:val="auto"/>
        </w:rPr>
        <w:t xml:space="preserve">Our common stock is publicly traded on The Nasdaq Global Market under the symbol “SELB.” </w:t>
      </w:r>
      <w:r>
        <w:rPr>
          <w:rFonts w:ascii="Arial" w:cs="Arial" w:eastAsia="Arial" w:hAnsi="Arial"/>
          <w:sz w:val="18"/>
          <w:szCs w:val="18"/>
          <w:b w:val="1"/>
          <w:bCs w:val="1"/>
          <w:color w:val="auto"/>
        </w:rPr>
        <w:t>Holders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As of March 8, 2019, there were approximately 44,733,437 shares of our common stock outstanding held by approximately 44 holders of record.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or the Exchange Act.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June 21, 2016 (the date of our initial public offering) and December 31, 2018, with the cumulative total return of (a) the Nasdaq Biotechnology Index and (b) the Nasdaq Composite Index, over the same period. This graph assumes the investment of $100 at the market close on June 21, 2016 in our common stock, the Nasdaq Biotechnology Index and the Nasdaq Composite Index and assumes the reinvestment of dividends, if any.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128905</wp:posOffset>
            </wp:positionV>
            <wp:extent cx="5866130" cy="2306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613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688"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4"/>
        </w:trPr>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2"/>
              </w:rPr>
              <w:t>Company/Index</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6/21/2016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3"/>
              </w:rPr>
              <w:t>9/30/2016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2"/>
              </w:rPr>
              <w:t>12/31/2016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3/31/2017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6/30/2017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9/30/2017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2"/>
              </w:rPr>
              <w:t>12/31/2017</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3/31/2018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6/30/2018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9/30/2018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12/31/2018</w:t>
            </w:r>
          </w:p>
        </w:tc>
      </w:tr>
      <w:tr>
        <w:trPr>
          <w:trHeight w:val="122"/>
        </w:trPr>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4"/>
        </w:trPr>
        <w:tc>
          <w:tcPr>
            <w:tcW w:w="10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Selecta</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80"/>
        </w:trPr>
        <w:tc>
          <w:tcPr>
            <w:tcW w:w="1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w w:val="89"/>
              </w:rPr>
              <w:t>Biosciences, Inc.</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19.00</w:t>
            </w:r>
          </w:p>
        </w:tc>
      </w:tr>
      <w:tr>
        <w:trPr>
          <w:trHeight w:val="144"/>
        </w:trPr>
        <w:tc>
          <w:tcPr>
            <w:tcW w:w="100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Nasdaq</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2"/>
        </w:trPr>
        <w:tc>
          <w:tcPr>
            <w:tcW w:w="1000" w:type="dxa"/>
            <w:vAlign w:val="bottom"/>
          </w:tcPr>
          <w:p>
            <w:pPr>
              <w:ind w:left="40"/>
              <w:spacing w:after="0"/>
              <w:rPr>
                <w:sz w:val="20"/>
                <w:szCs w:val="20"/>
                <w:color w:val="auto"/>
              </w:rPr>
            </w:pPr>
            <w:r>
              <w:rPr>
                <w:rFonts w:ascii="Arial" w:cs="Arial" w:eastAsia="Arial" w:hAnsi="Arial"/>
                <w:sz w:val="13"/>
                <w:szCs w:val="13"/>
                <w:b w:val="1"/>
                <w:bCs w:val="1"/>
                <w:color w:val="auto"/>
                <w:w w:val="89"/>
              </w:rPr>
              <w:t>Composite Index</w:t>
            </w: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112.08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123.43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128.57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136.36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145.29</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146.14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155.39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166.48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137.28</w:t>
            </w:r>
          </w:p>
        </w:tc>
      </w:tr>
      <w:tr>
        <w:trPr>
          <w:trHeight w:val="152"/>
        </w:trPr>
        <w:tc>
          <w:tcPr>
            <w:tcW w:w="1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Nasdaq</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35"/>
        </w:trPr>
        <w:tc>
          <w:tcPr>
            <w:tcW w:w="10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Biotechnology</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80"/>
        </w:trPr>
        <w:tc>
          <w:tcPr>
            <w:tcW w:w="1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Index</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126.00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113.48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did not repurchase any of our equity securities during the quarter ended December 31, 2018, nor issue any securities that were not registered under Securities Act.</w:t>
      </w:r>
    </w:p>
    <w:p>
      <w:pPr>
        <w:spacing w:after="0" w:line="220" w:lineRule="exact"/>
        <w:rPr>
          <w:sz w:val="20"/>
          <w:szCs w:val="20"/>
          <w:color w:val="auto"/>
        </w:rPr>
      </w:pPr>
    </w:p>
    <w:p>
      <w:pPr>
        <w:ind w:right="4760"/>
        <w:spacing w:after="0" w:line="454" w:lineRule="auto"/>
        <w:rPr>
          <w:sz w:val="20"/>
          <w:szCs w:val="20"/>
          <w:color w:val="auto"/>
        </w:rPr>
      </w:pPr>
      <w:r>
        <w:rPr>
          <w:rFonts w:ascii="Arial" w:cs="Arial" w:eastAsia="Arial" w:hAnsi="Arial"/>
          <w:sz w:val="18"/>
          <w:szCs w:val="18"/>
          <w:b w:val="1"/>
          <w:bCs w:val="1"/>
          <w:color w:val="auto"/>
        </w:rPr>
        <w:t xml:space="preserve">Recent Sales of Unregistered Securities and Use of Proceeds from Registered Securities </w:t>
      </w:r>
      <w:r>
        <w:rPr>
          <w:rFonts w:ascii="Arial" w:cs="Arial" w:eastAsia="Arial" w:hAnsi="Arial"/>
          <w:sz w:val="18"/>
          <w:szCs w:val="18"/>
          <w:color w:val="auto"/>
        </w:rPr>
        <w:t>None.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and with the “Management’s Discussion and Analysis of Financial Condition and Results of Operations” section of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17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have derived the consolidated statement of operations and comprehensive loss data for the years ended December 31, 2018, 2017, and 2016, and the consolidated balance sheet data as of December 31, 2018, and 2017, from our audited consolidated financial statements included elsewhere in this Annual Report on Form 10-K. The consolidated statement of operations and comprehensive loss for the years ended December 31, 2015 and 2014 the consolidated balance sheet data as of December 31, 2016, 2015 and 2014 are derived from our audited consolidated financial statements that are not included in this Annual Report. Our historical results are not necessarily indicative of the results that should be expected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thousands, except share and per share data)</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48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Consolidated Statement of Operations Data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6,011</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3,040</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65,925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63,991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42,753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31,315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18,439</w:t>
            </w:r>
          </w:p>
        </w:tc>
        <w:tc>
          <w:tcPr>
            <w:tcW w:w="0" w:type="dxa"/>
            <w:vAlign w:val="bottom"/>
          </w:tcPr>
          <w:p>
            <w:pPr>
              <w:spacing w:after="0"/>
              <w:rPr>
                <w:sz w:val="1"/>
                <w:szCs w:val="1"/>
                <w:color w:val="auto"/>
              </w:rPr>
            </w:pPr>
          </w:p>
        </w:tc>
      </w:tr>
      <w:tr>
        <w:trPr>
          <w:trHeight w:val="27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(63,784)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(25,304)</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(15,399)</w:t>
            </w:r>
          </w:p>
        </w:tc>
        <w:tc>
          <w:tcPr>
            <w:tcW w:w="0" w:type="dxa"/>
            <w:vAlign w:val="bottom"/>
          </w:tcPr>
          <w:p>
            <w:pPr>
              <w:spacing w:after="0"/>
              <w:rPr>
                <w:sz w:val="1"/>
                <w:szCs w:val="1"/>
                <w:color w:val="auto"/>
              </w:rPr>
            </w:pPr>
          </w:p>
        </w:tc>
      </w:tr>
      <w:tr>
        <w:trPr>
          <w:trHeight w:val="264"/>
        </w:trPr>
        <w:tc>
          <w:tcPr>
            <w:tcW w:w="4800" w:type="dxa"/>
            <w:vAlign w:val="bottom"/>
            <w:gridSpan w:val="3"/>
          </w:tcPr>
          <w:p>
            <w:pPr>
              <w:ind w:left="4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310"/>
        </w:trPr>
        <w:tc>
          <w:tcPr>
            <w:tcW w:w="48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(25,174)</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251"/>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per share:</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760" w:type="dxa"/>
            <w:vAlign w:val="bottom"/>
            <w:gridSpan w:val="2"/>
            <w:vMerge w:val="restart"/>
          </w:tcPr>
          <w:p>
            <w:pPr>
              <w:ind w:left="180"/>
              <w:spacing w:after="0"/>
              <w:rPr>
                <w:sz w:val="20"/>
                <w:szCs w:val="20"/>
                <w:color w:val="auto"/>
              </w:rPr>
            </w:pPr>
            <w:r>
              <w:rPr>
                <w:rFonts w:ascii="Arial" w:cs="Arial" w:eastAsia="Arial" w:hAnsi="Arial"/>
                <w:sz w:val="14"/>
                <w:szCs w:val="14"/>
                <w:color w:val="auto"/>
              </w:rPr>
              <w:t>Basic and 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(15.13)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7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760" w:type="dxa"/>
            <w:vAlign w:val="bottom"/>
            <w:gridSpan w:val="2"/>
            <w:vMerge w:val="restart"/>
          </w:tcPr>
          <w:p>
            <w:pPr>
              <w:ind w:left="180"/>
              <w:spacing w:after="0"/>
              <w:rPr>
                <w:sz w:val="20"/>
                <w:szCs w:val="20"/>
                <w:color w:val="auto"/>
              </w:rPr>
            </w:pPr>
            <w:r>
              <w:rPr>
                <w:rFonts w:ascii="Arial" w:cs="Arial" w:eastAsia="Arial" w:hAnsi="Arial"/>
                <w:sz w:val="14"/>
                <w:szCs w:val="14"/>
                <w:color w:val="auto"/>
              </w:rPr>
              <w:t>Basic and diluted</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22,389,286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20,425,050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10,493,939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2,150,422</w:t>
            </w:r>
          </w:p>
        </w:tc>
        <w:tc>
          <w:tcPr>
            <w:tcW w:w="3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2,090,677</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7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48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Cash, cash equivalents and short-term deposits and investments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36,462</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80"/>
        </w:trPr>
        <w:tc>
          <w:tcPr>
            <w:tcW w:w="480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44,482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89,301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42,824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22,228</w:t>
            </w:r>
          </w:p>
        </w:tc>
        <w:tc>
          <w:tcPr>
            <w:tcW w:w="0" w:type="dxa"/>
            <w:vAlign w:val="bottom"/>
          </w:tcPr>
          <w:p>
            <w:pPr>
              <w:spacing w:after="0"/>
              <w:rPr>
                <w:sz w:val="1"/>
                <w:szCs w:val="1"/>
                <w:color w:val="auto"/>
              </w:rPr>
            </w:pPr>
          </w:p>
        </w:tc>
      </w:tr>
      <w:tr>
        <w:trPr>
          <w:trHeight w:val="74"/>
        </w:trPr>
        <w:tc>
          <w:tcPr>
            <w:tcW w:w="48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Loans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21,385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11,855</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4,824</w:t>
            </w:r>
          </w:p>
        </w:tc>
        <w:tc>
          <w:tcPr>
            <w:tcW w:w="0" w:type="dxa"/>
            <w:vAlign w:val="bottom"/>
          </w:tcPr>
          <w:p>
            <w:pPr>
              <w:spacing w:after="0"/>
              <w:rPr>
                <w:sz w:val="1"/>
                <w:szCs w:val="1"/>
                <w:color w:val="auto"/>
              </w:rPr>
            </w:pPr>
          </w:p>
        </w:tc>
      </w:tr>
      <w:tr>
        <w:trPr>
          <w:trHeight w:val="80"/>
        </w:trPr>
        <w:tc>
          <w:tcPr>
            <w:tcW w:w="480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color w:val="auto"/>
              </w:rPr>
              <w:t>Redeemable convertible preferred stock</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137,482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94,033</w:t>
            </w:r>
          </w:p>
        </w:tc>
        <w:tc>
          <w:tcPr>
            <w:tcW w:w="0" w:type="dxa"/>
            <w:vAlign w:val="bottom"/>
          </w:tcPr>
          <w:p>
            <w:pPr>
              <w:spacing w:after="0"/>
              <w:rPr>
                <w:sz w:val="1"/>
                <w:szCs w:val="1"/>
                <w:color w:val="auto"/>
              </w:rPr>
            </w:pPr>
          </w:p>
        </w:tc>
      </w:tr>
      <w:tr>
        <w:trPr>
          <w:trHeight w:val="74"/>
        </w:trPr>
        <w:tc>
          <w:tcPr>
            <w:tcW w:w="48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(116,493)</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(87,755)</w:t>
            </w:r>
          </w:p>
        </w:tc>
        <w:tc>
          <w:tcPr>
            <w:tcW w:w="0" w:type="dxa"/>
            <w:vAlign w:val="bottom"/>
          </w:tcPr>
          <w:p>
            <w:pPr>
              <w:spacing w:after="0"/>
              <w:rPr>
                <w:sz w:val="1"/>
                <w:szCs w:val="1"/>
                <w:color w:val="auto"/>
              </w:rPr>
            </w:pPr>
          </w:p>
        </w:tc>
      </w:tr>
      <w:tr>
        <w:trPr>
          <w:trHeight w:val="80"/>
        </w:trPr>
        <w:tc>
          <w:tcPr>
            <w:tcW w:w="480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93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“Item 6. Selected Consolidated Financial Data” and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a clinical-stage biopharmaceutical company using our ImmTOR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proprietary tolerogenic ImmTOR technology encapsulates an immunomodulator in biodegradable nanoparticles to mitigate the formation of ADAs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87"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Our lead product candidate, SEL-212, is a combination of a therapeutic uricase enzyme and our ImmTOR technology that is designed to be the first biologic treatment that durably controls uric acid while also dissolving harmful deposits of uric acid in patients with chronic refractory gout, a debilitating rare disease with an unmet medical need. We have submitted to the FDA two investigational new drug, or IND, applications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we believe that SEL-212 has the potential to control serum uric acid levels and mitigate the formation of ADAs in response to the therapeutic enzyme. We are planning to conduct a head-to-head clinical trial of SEL-212 compared to the current FDA-approved uricase therapy, Krystexxa.</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SEL-212 is designed as a monthly treatment for chronic refractory gout consisting of ImmTOR co-administered with pegadricase, our proprietary pegylated uricase. Our preclinical data indicate that ImmTOR, when co-administered with pegadricase, may induce antigen-specific immune tolerance to pegadricase and substantially reduce the formation of associated ADAs. Our Phase 1 data shows that ImmTOR mitigated the formation of ADAs against pegadricase after a single dose of SEL-212. We believe that SEL-212 has the potential to offer a uniquely effective treatment for patients with chronic refractory gout, while also demonstrating the clinical effectiveness of our ImmTOR technology. We expect our clinical and marketing strategy for SEL-212 to initially focus on the estimated 160,000 patients in the United States with chronic refractory gout that are being treated by rheumatologists.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We are also developing two gene therapy product candidates in preclinical development for rare inborn errors of metabolism. SEL-302, our lead gene therapy product candidate, is a potential treatment for methylmalonic acidemia, which can cause severe developmental defects and premature death as a result of an accumulation of toxic metabolites. Our second gene therapy product candidate, SEL-313, is being developed to treat ornithine transcarbamylase deficiency. In September 2018, we announced a new collaboration with CureCN, a European consortium, for the use of our ImmTOR technology in combination with an AAV gene therapy in Crigler-Najjar syndrome, </w:t>
      </w:r>
      <w:r>
        <w:rPr>
          <w:rFonts w:ascii="Arial" w:cs="Arial" w:eastAsia="Arial" w:hAnsi="Arial"/>
          <w:sz w:val="16"/>
          <w:szCs w:val="16"/>
          <w:color w:val="333333"/>
        </w:rPr>
        <w:t>a rare genetic disorder characterized by an inability to properly convert and clear bilirubin from the body</w:t>
      </w:r>
      <w:r>
        <w:rPr>
          <w:rFonts w:ascii="Arial" w:cs="Arial" w:eastAsia="Arial" w:hAnsi="Arial"/>
          <w:sz w:val="16"/>
          <w:szCs w:val="16"/>
          <w:color w:val="auto"/>
        </w:rPr>
        <w: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CureCN to initiate preclinical toxicology studies in the first half of 2019 and for the combination product candidate to enter the clinic in the second half of 2019 with the goal of potentially re-dosing gene therapy.</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$65.3 million and $65.3 million for the years ended December 31, 2018 and 2017, respectively. As of December 31, 2018, we had an accumulated deficit of $280.4 million. We expect to continue incurring significant expenses and operating losses for at least the next several years as we: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688" w:right="259" w:bottom="1440" w:gutter="0" w:footer="0" w:header="0"/>
        </w:sectPr>
      </w:pPr>
    </w:p>
    <w:bookmarkStart w:id="78" w:name="page79"/>
    <w:bookmarkEnd w:id="78"/>
    <w:p>
      <w:pPr>
        <w:ind w:left="240" w:hanging="232"/>
        <w:spacing w:after="0" w:line="207" w:lineRule="exact"/>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to enhance our ImmTOR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60" w:hanging="332"/>
        <w:spacing w:after="0" w:line="223" w:lineRule="exact"/>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current operating plan accounts for funding in preparation for the planned Phase 3 clinical program for SEL-212. However, prior to beginning the Phase 3 clinical program, we expect to conduct the planned head-to-head Phase 2 trial against Krystexxa. We believe that we have the financial resources to complete the planned head-to-head Phase 2 trial against Krystexxa, but will require an additional equity offering or other external sources of capital to conduct the planned Phase 3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Annual Report on Form 10-K. For additional information, see “Liquidity and Capital Resources.”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10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13 to our consolidated financial statements included elsewhere in this Annual Report on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research and development costs are often devoted to expanding our programs and are not necessarily allocable to a specific target.</w:t>
      </w:r>
    </w:p>
    <w:p>
      <w:pPr>
        <w:spacing w:after="0" w:line="206"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We have incurred a total of $198.0 million in research and development expenses from inception through December 31, 2018,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candidate, and the remainder being spent on our various discovery and preclinical stage product candidate programs and the general expansion of our technology.</w:t>
      </w:r>
    </w:p>
    <w:p>
      <w:pPr>
        <w:sectPr>
          <w:pgSz w:w="11900" w:h="16838" w:orient="portrait"/>
          <w:cols w:equalWidth="0" w:num="1">
            <w:col w:w="11420"/>
          </w:cols>
          <w:pgMar w:left="240" w:top="692"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692" w:right="239" w:bottom="1440" w:gutter="0" w:footer="0" w:header="0"/>
          <w:type w:val="continuous"/>
        </w:sectPr>
      </w:pPr>
    </w:p>
    <w:bookmarkStart w:id="79" w:name="page80"/>
    <w:bookmarkEnd w:id="79"/>
    <w:p>
      <w:pPr>
        <w:ind w:right="180"/>
        <w:spacing w:after="0" w:line="219" w:lineRule="exact"/>
        <w:rPr>
          <w:sz w:val="20"/>
          <w:szCs w:val="20"/>
          <w:color w:val="auto"/>
        </w:rPr>
      </w:pPr>
      <w:r>
        <w:rPr>
          <w:rFonts w:ascii="Arial" w:cs="Arial" w:eastAsia="Arial" w:hAnsi="Arial"/>
          <w:sz w:val="18"/>
          <w:szCs w:val="18"/>
          <w:color w:val="auto"/>
        </w:rPr>
        <w:t>As we expand the clinical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our gene therapy programs,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w:t>
      </w:r>
    </w:p>
    <w:p>
      <w:pPr>
        <w:spacing w:after="0" w:line="206"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jc w:val="right"/>
              <w:ind w:right="7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60" w:type="dxa"/>
            <w:vAlign w:val="bottom"/>
          </w:tcPr>
          <w:p>
            <w:pPr>
              <w:ind w:left="280"/>
              <w:spacing w:after="0"/>
              <w:rPr>
                <w:sz w:val="20"/>
                <w:szCs w:val="20"/>
                <w:color w:val="auto"/>
              </w:rPr>
            </w:pPr>
            <w:r>
              <w:rPr>
                <w:rFonts w:ascii="Arial" w:cs="Arial" w:eastAsia="Arial" w:hAnsi="Arial"/>
                <w:sz w:val="14"/>
                <w:szCs w:val="14"/>
                <w:color w:val="auto"/>
              </w:rPr>
              <w:t>SEL-212</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22,770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19,593</w:t>
            </w:r>
          </w:p>
        </w:tc>
        <w:tc>
          <w:tcPr>
            <w:tcW w:w="120" w:type="dxa"/>
            <w:vAlign w:val="bottom"/>
          </w:tcPr>
          <w:p>
            <w:pPr>
              <w:spacing w:after="0"/>
              <w:rPr>
                <w:sz w:val="16"/>
                <w:szCs w:val="16"/>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9,936</w:t>
            </w: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w:t>
            </w:r>
          </w:p>
        </w:tc>
        <w:tc>
          <w:tcPr>
            <w:tcW w:w="4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80"/>
        </w:trPr>
        <w:tc>
          <w:tcPr>
            <w:tcW w:w="53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6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4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2,623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6,933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4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20,692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17,412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14,402</w:t>
            </w:r>
          </w:p>
        </w:tc>
        <w:tc>
          <w:tcPr>
            <w:tcW w:w="0" w:type="dxa"/>
            <w:vAlign w:val="bottom"/>
          </w:tcPr>
          <w:p>
            <w:pPr>
              <w:spacing w:after="0"/>
              <w:rPr>
                <w:sz w:val="1"/>
                <w:szCs w:val="1"/>
                <w:color w:val="auto"/>
              </w:rPr>
            </w:pPr>
          </w:p>
        </w:tc>
      </w:tr>
      <w:tr>
        <w:trPr>
          <w:trHeight w:val="80"/>
        </w:trPr>
        <w:tc>
          <w:tcPr>
            <w:tcW w:w="536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360" w:type="dxa"/>
            <w:vAlign w:val="bottom"/>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47,687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45,165</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29,702</w:t>
            </w:r>
          </w:p>
        </w:tc>
        <w:tc>
          <w:tcPr>
            <w:tcW w:w="0" w:type="dxa"/>
            <w:vAlign w:val="bottom"/>
          </w:tcPr>
          <w:p>
            <w:pPr>
              <w:spacing w:after="0"/>
              <w:rPr>
                <w:sz w:val="1"/>
                <w:szCs w:val="1"/>
                <w:color w:val="auto"/>
              </w:rPr>
            </w:pPr>
          </w:p>
        </w:tc>
      </w:tr>
      <w:tr>
        <w:trPr>
          <w:trHeight w:val="53"/>
        </w:trPr>
        <w:tc>
          <w:tcPr>
            <w:tcW w:w="536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recognized a loss on extinguishment of debt of $0.7 million for the year ended December 31, 2017.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for the years ended December 31, 2018, 2017 and 2016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ectPr>
          <w:pgSz w:w="11900" w:h="16838" w:orient="portrait"/>
          <w:cols w:equalWidth="0" w:num="1">
            <w:col w:w="11400"/>
          </w:cols>
          <w:pgMar w:left="240" w:top="692" w:right="25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692" w:right="259" w:bottom="1440" w:gutter="0" w:footer="0" w:header="0"/>
          <w:type w:val="continuous"/>
        </w:sectPr>
      </w:pPr>
    </w:p>
    <w:bookmarkStart w:id="80" w:name="page81"/>
    <w:bookmarkEnd w:id="80"/>
    <w:p>
      <w:pPr>
        <w:ind w:right="40"/>
        <w:spacing w:after="0" w:line="297" w:lineRule="auto"/>
        <w:rPr>
          <w:sz w:val="20"/>
          <w:szCs w:val="20"/>
          <w:color w:val="auto"/>
        </w:rPr>
      </w:pPr>
      <w:r>
        <w:rPr>
          <w:rFonts w:ascii="Arial" w:cs="Arial" w:eastAsia="Arial" w:hAnsi="Arial"/>
          <w:sz w:val="16"/>
          <w:szCs w:val="16"/>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December 31, 2018 and December 31, 2017, we maintained cash of $0.4 million and $1.3 million, respectively, in Russian banks, of which $0.4 million and $1.2 million was denominated in U.S. dollars for the year ended December 31, 2018 and the year ended December 31, 2017, respectively. The amounts denominated in U.S. dollars and used in transacting the day-to-day operations of our Russian subsidiary are subject to transaction gains and losses, which are reported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We have recognized the impact of the Tax Reform Act in these consolidated financial statements and related disclosures. The impact of the remeasurement of our U.S. deferred tax assets and liabilities to 21% resulted in the reduction of deferred tax assets of approximately $23.4 million, which is offset by a full valuation allowance, thus there is no net effect. We recorded no tax expense related to the deemed repatriation tax because our foreign entity, Selecta (RUS) is a foreign disregarded entity, which is not subject to the repatriation tax.</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We currently generate our revenue through grants, collaboration and license agreements with strategic collaborators for the development and commercialization of product candidates. Prior to January 1, 2018, we recognized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we recognized revenue when all of the following criteria were met:</w:t>
      </w:r>
    </w:p>
    <w:p>
      <w:pPr>
        <w:spacing w:after="0" w:line="181" w:lineRule="exact"/>
        <w:rPr>
          <w:sz w:val="20"/>
          <w:szCs w:val="20"/>
          <w:color w:val="auto"/>
        </w:rPr>
      </w:pPr>
    </w:p>
    <w:p>
      <w:pPr>
        <w:ind w:left="760" w:hanging="10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92" w:right="239" w:bottom="1440" w:gutter="0" w:footer="0" w:header="0"/>
        </w:sectPr>
      </w:pPr>
    </w:p>
    <w:bookmarkStart w:id="81" w:name="page82"/>
    <w:bookmarkEnd w:id="81"/>
    <w:p>
      <w:pPr>
        <w:ind w:right="2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our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We adopted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on January 1, 2018, using the modified retrospective method for all contracts not completed as of the date of adoption. The reported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for 2018 reflect the application of ASC 606 guidance while the reported results for 2017 were prepared under the guidance of ASC 605, which is also referred to herein as "legacy GAAP" or the "previous guidance". Refer to Note 13 to our consolidated financial statements included elsewhere in this Annual Report on Form 10-K for the impact of adoption of ASU 2014-09 on our consolidated financial position, results of operations, equity and cash flows as of the adoption date and for the three and twelve months ended December 31, 2018. The adoption of ASC 606 represents a change in accounting principle that will more closely align revenue recognition with the delivery of our services and will provide financial statement readers with enhanced disclosures.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13 to our consolidated financial statements included elsewhere in this Annual Report on Form 10-K) will be satisfied over time, and revenue will be recognized using the output method, based on the proportion of actual deliveries to the total expected deliveries over the initial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1260"/>
        <w:spacing w:after="0" w:line="342" w:lineRule="auto"/>
        <w:rPr>
          <w:sz w:val="20"/>
          <w:szCs w:val="20"/>
          <w:color w:val="auto"/>
        </w:rPr>
      </w:pPr>
      <w:r>
        <w:rPr>
          <w:rFonts w:ascii="Arial" w:cs="Arial" w:eastAsia="Arial" w:hAnsi="Arial"/>
          <w:sz w:val="16"/>
          <w:szCs w:val="16"/>
          <w:color w:val="auto"/>
        </w:rPr>
        <w:t>We currently generate our revenue through grants, collaboration and license agreements with strategic collaborators for the development and commercialization of product candidates. The grants, collaboration and license agreements are within the scope of ASC 606.</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the agreements,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capitalize the incremental costs of obtaining a contract with a customer if we expect to recover those costs. Such incremental costs would not have been incurred if the contract with a customer had not been obtained.</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our intellectual property is determined to be distinct from the other performance obligations identified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584" w:right="259" w:bottom="1440" w:gutter="0" w:footer="0" w:header="0"/>
        </w:sectPr>
      </w:pPr>
    </w:p>
    <w:bookmarkStart w:id="82" w:name="page83"/>
    <w:bookmarkEnd w:id="82"/>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For example, we are not required to provide a contractual obligations table in Part II, Item 7 of our Annual Report on Form 10-K and we are permitted to include only two years of consolidated financial statements.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3"/>
            <w:vMerge w:val="restart"/>
          </w:tcPr>
          <w:p>
            <w:pPr>
              <w:jc w:val="center"/>
              <w:ind w:left="14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Collaboration revenue</w:t>
            </w:r>
          </w:p>
        </w:tc>
        <w:tc>
          <w:tcPr>
            <w:tcW w:w="920" w:type="dxa"/>
            <w:vAlign w:val="bottom"/>
          </w:tcPr>
          <w:p>
            <w:pPr>
              <w:spacing w:after="0"/>
              <w:rPr>
                <w:sz w:val="22"/>
                <w:szCs w:val="2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92" w:right="239" w:bottom="1440" w:gutter="0" w:footer="0" w:header="0"/>
        </w:sectPr>
      </w:pPr>
    </w:p>
    <w:bookmarkStart w:id="83" w:name="page84"/>
    <w:bookmarkEnd w:id="83"/>
    <w:p>
      <w:pPr>
        <w:ind w:right="160"/>
        <w:spacing w:after="0" w:line="342" w:lineRule="auto"/>
        <w:rPr>
          <w:sz w:val="20"/>
          <w:szCs w:val="20"/>
          <w:color w:val="auto"/>
        </w:rPr>
      </w:pPr>
      <w:r>
        <w:rPr>
          <w:rFonts w:ascii="Arial" w:cs="Arial" w:eastAsia="Arial" w:hAnsi="Arial"/>
          <w:sz w:val="16"/>
          <w:szCs w:val="16"/>
          <w:color w:val="auto"/>
        </w:rPr>
        <w:t>During the year ended December 31, 2018, we recognized the remaining grant revenues from NIDA after receiving final approval from NIDA. The increase in grant revenue was the sole result of the conclusion of NIDA versus the conclusion of the grant terms associated with our other grant revenues in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2018 and 2017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87"/>
              </w:rPr>
              <w:t>Increase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8"/>
              </w:rPr>
              <w:t>(decrease)</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47,687</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45,165</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2,522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year ended December 31, 2018</w:t>
      </w:r>
      <w:r>
        <w:rPr>
          <w:rFonts w:ascii="Arial" w:cs="Arial" w:eastAsia="Arial" w:hAnsi="Arial"/>
          <w:sz w:val="18"/>
          <w:szCs w:val="18"/>
          <w:color w:val="2C2C2C"/>
        </w:rPr>
        <w:t>, our research and development expenses increased by $2.5 million, or 6%, as compared to 2017,</w:t>
      </w:r>
      <w:r>
        <w:rPr>
          <w:rFonts w:ascii="Arial" w:cs="Arial" w:eastAsia="Arial" w:hAnsi="Arial"/>
          <w:sz w:val="18"/>
          <w:szCs w:val="18"/>
          <w:color w:val="auto"/>
        </w:rPr>
        <w:t xml:space="preserve"> reflecting increases of $3.2 million relating to our Phase 2 trial of SEL-212 and planning for the SEL-212 Phase 3 program, $1.7 million of compensation costs related to headcount growth to support the clinical trial programs and pipeline advancements, $0.9 million for facilities, and $0.7 million of stock compensation expense, offset by a decrease of $4.3 million for preclinical stage product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2018 and 2017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6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7"/>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18,238</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18,826</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(588)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year ended December 31, 2018, our general and administrative expenses decreased by $0.6 million, or 3%, as compared to 2017, primarily due to decreases of $0.5 million in patent expense, $0.7 million in consulting fees and $0.8 million in contract license fees associated with collaborations, offset by an increase of $1.0 million in stock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Investment income increased by $0.4 million during the year ended December 31, 2018 as compared to 2017. This increase was due to the investment portfolio composition and higher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There was no extinguishment of debt during the year ended December 31, 2018. For the year ended December 31, 2017, we recognized a loss on extinguishment of debt of $0.7 million.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foreign currency gains of $0.1 million and losses of $0.1 million during the years ended December 31, 2018 and 2017, respectively, reflecting little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Interest expense was $1.5 million and $1.2 million for the years ended December 31, 2018 and 2017,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years ended December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2018 was $65.3 million compared to $65.3 million for the year ended December 31, 2017.</w:t>
      </w:r>
    </w:p>
    <w:p>
      <w:pPr>
        <w:sectPr>
          <w:pgSz w:w="11900" w:h="16838" w:orient="portrait"/>
          <w:cols w:equalWidth="0" w:num="1">
            <w:col w:w="11420"/>
          </w:cols>
          <w:pgMar w:left="240" w:top="692" w:right="23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692" w:right="239" w:bottom="1001"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2017 and 2016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8"/>
              </w:rPr>
              <w:t>(decrease)</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5,243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2,840</w:t>
            </w: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w:t>
            </w:r>
          </w:p>
        </w:tc>
        <w:tc>
          <w:tcPr>
            <w:tcW w:w="2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8,083</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year ended December 31, 2017, total revenue decreased by $7.9 million, or 97%, as compared to 2016. The decrease in grant revenue was the result of the conclusion of the grant terms associated with certain of our other grant revenues. The decrease in collaboration revenues was due to the termination of the Sanofi collaboration agreement in November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2017 and 2016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45,165</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29,702</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15,463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During the years ended December 31, 2017</w:t>
      </w:r>
      <w:r>
        <w:rPr>
          <w:rFonts w:ascii="Arial" w:cs="Arial" w:eastAsia="Arial" w:hAnsi="Arial"/>
          <w:sz w:val="16"/>
          <w:szCs w:val="16"/>
          <w:color w:val="2C2C2C"/>
        </w:rPr>
        <w:t>, our research and development expenses increased by $15.5 million, or 52%, as compared to the same period in</w:t>
      </w:r>
      <w:r>
        <w:rPr>
          <w:rFonts w:ascii="Arial" w:cs="Arial" w:eastAsia="Arial" w:hAnsi="Arial"/>
          <w:sz w:val="16"/>
          <w:szCs w:val="16"/>
          <w:color w:val="auto"/>
        </w:rPr>
        <w:t xml:space="preserve"> </w:t>
      </w:r>
      <w:r>
        <w:rPr>
          <w:rFonts w:ascii="Arial" w:cs="Arial" w:eastAsia="Arial" w:hAnsi="Arial"/>
          <w:sz w:val="16"/>
          <w:szCs w:val="16"/>
          <w:color w:val="2C2C2C"/>
        </w:rPr>
        <w:t xml:space="preserve">2016, </w:t>
      </w:r>
      <w:r>
        <w:rPr>
          <w:rFonts w:ascii="Arial" w:cs="Arial" w:eastAsia="Arial" w:hAnsi="Arial"/>
          <w:sz w:val="16"/>
          <w:szCs w:val="16"/>
          <w:color w:val="000000"/>
        </w:rPr>
        <w:t>reflecting increases of $9.7 million relating to our Phase 2 trial of SEL-212 and planning for the SEL-212 Phase 3 program, $5.4 million relating to</w:t>
      </w:r>
      <w:r>
        <w:rPr>
          <w:rFonts w:ascii="Arial" w:cs="Arial" w:eastAsia="Arial" w:hAnsi="Arial"/>
          <w:sz w:val="16"/>
          <w:szCs w:val="16"/>
          <w:color w:val="2C2C2C"/>
        </w:rPr>
        <w:t xml:space="preserve"> </w:t>
      </w:r>
      <w:r>
        <w:rPr>
          <w:rFonts w:ascii="Arial" w:cs="Arial" w:eastAsia="Arial" w:hAnsi="Arial"/>
          <w:sz w:val="16"/>
          <w:szCs w:val="16"/>
          <w:color w:val="000000"/>
        </w:rPr>
        <w:t>discovery and preclinical stage product programs, $0.9 million for facilities and office costs, $0.6 million of stock compensation expense, $0.8 million of compensation costs related to headcount growth to support the clinical trial programs and pipeline advancements and $3.0 million of depreciation and other expenses, offset by decreases of $2.6 million relating to our Nicotine product candidate and $2.3 million for licenses and permits.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2017 and 2016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18,826</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13,051</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5,775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During the year ended December 31, 2017, our general and administrative expenses increased by </w:t>
      </w:r>
      <w:r>
        <w:rPr>
          <w:rFonts w:ascii="Arial" w:cs="Arial" w:eastAsia="Arial" w:hAnsi="Arial"/>
          <w:sz w:val="18"/>
          <w:szCs w:val="18"/>
          <w:color w:val="2C2C2C"/>
        </w:rPr>
        <w:t>$5.8 million</w:t>
      </w:r>
      <w:r>
        <w:rPr>
          <w:rFonts w:ascii="Arial" w:cs="Arial" w:eastAsia="Arial" w:hAnsi="Arial"/>
          <w:sz w:val="18"/>
          <w:szCs w:val="18"/>
          <w:color w:val="auto"/>
        </w:rPr>
        <w:t xml:space="preserve">, or </w:t>
      </w:r>
      <w:r>
        <w:rPr>
          <w:rFonts w:ascii="Arial" w:cs="Arial" w:eastAsia="Arial" w:hAnsi="Arial"/>
          <w:sz w:val="18"/>
          <w:szCs w:val="18"/>
          <w:color w:val="2C2C2C"/>
        </w:rPr>
        <w:t>44%</w:t>
      </w:r>
      <w:r>
        <w:rPr>
          <w:rFonts w:ascii="Arial" w:cs="Arial" w:eastAsia="Arial" w:hAnsi="Arial"/>
          <w:sz w:val="18"/>
          <w:szCs w:val="18"/>
          <w:color w:val="auto"/>
        </w:rPr>
        <w:t>, as compared to the same period in 2016, primarily due to $1.9 million related to growth in headcount to support public company filings and control processes, a $0.6 million increase in professional fees related to the universal shelf registration filing, $1.5 million of stock compensation expense, $0.8 million relating to contract licensing fees associated with collaborations, $0.5 million of office and facilities expense and $0.6 million in consulting fees, offset by a $0.3 million reduction in patent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Investment income increased by $0.4 million during the year ended December 31, 2017 as compared to 2016. This increase was due to the investment portfolio composition and higher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recognized a loss on extinguishment of debt of $0.7 million during the year ended December 31, 2017. There was no extinguishment of debt during the year ended December 31, 2016.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recognized foreign currency losses of $0.1 million during the year ended December 31, 2017, compared to a loss of $0.5 million during the year ended December 31, 2016, respectively, reflecting the fluctuation of the U.S. dollar to the Russian ruble from the beginning to the end of each period.</w:t>
      </w:r>
    </w:p>
    <w:p>
      <w:pPr>
        <w:sectPr>
          <w:pgSz w:w="11900" w:h="16838" w:orient="portrait"/>
          <w:cols w:equalWidth="0" w:num="1">
            <w:col w:w="11420"/>
          </w:cols>
          <w:pgMar w:left="240" w:top="692" w:right="23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692" w:right="239" w:bottom="1027"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Interest expense was $1.2 million and $1.3 million for the years ended December 31, 2017 and 2016,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inception through December 31, 2018, we have raised an aggregate of $310.8 million to fund our operations, of which $118.5 million was from the sale of preferred stock, $11.1 million was from government grants, $25.3 million was from borrowings under our credit facility, $44.3 million was through our collaborations and license agreements, $64.5 million in combined net proceeds was raised from our initial public offering in June 2016 and the underwriters' exercise in part of their option to purchase additional shares of our common stock in July 2016, and $47.1 million in combined net proceeds was raised from our private placement of common stock in June 2017, or the 2017 PIPE.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 We closed the Institutional Purchase Agreement and the Springer Purchase Agreement on June 27, 2017, resulting in total aggregate gross proceeds to us of $50.0 million.</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August 10, 2017, we entered into an open market sale agreement with Jefferies LLC, as sales agent, or the Sales Agreement, pursuant to which we may, from time to time, issue and sell common stock with an aggregate value of up to $50.0 million in an "at-the market offering". To date, there have been no sales of common stock pursuant to the Sales Agreement.</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2018, our cash and cash equivalents were $37.4 million, of which $0.4 million was held by our Russian subsidiary designated solely for use in its operations. Our Russian subsidiary cash is consolidated for financial reporting purposes. In January 2019, the Company completed an offering of its common stock which raised an additional $31.3 million in net proceeds to support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existing cash equivalents, we receive research and development funding pursuant to our research grants and collaboration agreements.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Currently, funding from research grants and payments under our collaboration agreements represent our only source of committed external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w:t>
      </w:r>
    </w:p>
    <w:p>
      <w:pPr>
        <w:sectPr>
          <w:pgSz w:w="11900" w:h="16838" w:orient="portrait"/>
          <w:cols w:equalWidth="0" w:num="1">
            <w:col w:w="11400"/>
          </w:cols>
          <w:pgMar w:left="240" w:top="688" w:right="25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688" w:right="259" w:bottom="1440" w:gutter="0" w:footer="0" w:header="0"/>
          <w:type w:val="continuous"/>
        </w:sectPr>
      </w:pPr>
    </w:p>
    <w:bookmarkStart w:id="86" w:name="page87"/>
    <w:bookmarkEnd w:id="86"/>
    <w:p>
      <w:pPr>
        <w:ind w:right="140"/>
        <w:spacing w:after="0" w:line="277" w:lineRule="auto"/>
        <w:rPr>
          <w:sz w:val="20"/>
          <w:szCs w:val="20"/>
          <w:color w:val="auto"/>
        </w:rPr>
      </w:pPr>
      <w:r>
        <w:rPr>
          <w:rFonts w:ascii="Arial" w:cs="Arial" w:eastAsia="Arial" w:hAnsi="Arial"/>
          <w:sz w:val="18"/>
          <w:szCs w:val="18"/>
          <w:color w:val="auto"/>
        </w:rPr>
        <w:t>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the date of this Annual Report on Form 10-K,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 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of December 31, 2018 and December 31, 2017, we had an accumulated deficit of $280.4 million and $216.9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its ability to continue as a going concern within one year after the date that the financial statements are issued.</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is exploring various sources of funding such as strategic collaborations and the issuance of equity to fund its operations. If the Company raises additional funds through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current operating plan includes the cost to prepare for the Phase 3 clinical program for SEL-212. However, prior to beginning the Phase 3 clinical program, the Company expects to conduct the planned head-to-head Phase 2 trial against Krystexxa. The Company will require an additional equity offering or other external sources of capital to conduct the Phase 3 clinical program. If the Company is unable to raise sufficient capital through the transactions discussed above,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cash resources at December 31, 2018 and through the issuance of additional equity in January 2019, management has concluded that substantial doubt exists with respect to our ability to continue as a going concern within one year after the date of the filing of this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240" w:hanging="232"/>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92" w:right="239" w:bottom="1440" w:gutter="0" w:footer="0" w:header="0"/>
        </w:sectPr>
      </w:pPr>
    </w:p>
    <w:bookmarkStart w:id="87" w:name="page88"/>
    <w:bookmarkEnd w:id="87"/>
    <w:p>
      <w:pPr>
        <w:ind w:left="340" w:right="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(59,161)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(19,757)</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25,272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(22,100)</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66,023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67,659</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operating activities for the year ended December 31, 2018 was $59.2 million compared to $52.0 million in 2017, an increase of $7.2 million year over year. The increase in net cash used in operating activities was primarily due to an increase of $3.8 million to prepaid expenses, a decrease in accounts payable of $1.8 million, and a decrease of $3.2 million to accrued expenses. This was offset by an increase of $1.6 million in stock-based compensation expense.</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net cash used in operating activities in 2017 was primarily due to a $29.1 million increase in recorded net loss associated with the increased research and development expenses as we advanced from Phase 1 to Phase 2 clinical trials, a greater use of cash related to accounts payable of $5.0 million and a decrease in recorded deferred revenues of $7.5 million, offset by increases of $4.9 million in recorded accrued expenses, a $2.0 million reduction in restricted cash, prepaid expenses and other assets, an increase in stock-based compensation expense of $2.0 million and a $0.7 million loss on early extinguishment of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provided by investing activities for the year ended December 31, 2018 was $25.3 million compared to net cash used in investing activities of $2.1 million in 2017. The net cash provided by investing activities in 2018 was primarily due to receipts of $41.7 million from maturities of short-term investments, offset by $15.6 million of purchases of short-term investments.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net cash used in investing activities in 2017 was primarily due to $61.5 million of purchases of short-term investments, offset by receipts of $60.2 million from maturities of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for the year ended December 31, 2018 was $0.7 million compared to net cash provided by financing activities of</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$66.0 million in 2017. The net cash provided by financing activities in 2018 was due to $0.2 million from the issuance of common stock under the ESPP and $0.5 million from the exercise of employee stock options.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cash provided by financing activities in 2017 was due to $47.1 million of net cash derived from the 2017 PIPE, $21.0 million from the issuance of the 2017 Term Loan, $10.0 million received in connection with the issuance of common stock to Spark for contractual equity acquisition rights, $0.7 million from the exercise of employee stock options and $0.2 million from the issuance of common stock under the ESPP, offset by $12.9 million of loan principle repayments.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principal contractual obligations as of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Later</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 obligations (1)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Research and development contract obligations (2)</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obligations (3)</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9,232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r>
      <w:tr>
        <w:trPr>
          <w:trHeight w:val="243"/>
        </w:trPr>
        <w:tc>
          <w:tcPr>
            <w:tcW w:w="6060" w:type="dxa"/>
            <w:vAlign w:val="bottom"/>
          </w:tcPr>
          <w:p>
            <w:pPr>
              <w:ind w:left="220"/>
              <w:spacing w:after="0"/>
              <w:rPr>
                <w:sz w:val="20"/>
                <w:szCs w:val="20"/>
                <w:color w:val="auto"/>
              </w:rPr>
            </w:pPr>
            <w:r>
              <w:rPr>
                <w:rFonts w:ascii="Arial" w:cs="Arial" w:eastAsia="Arial" w:hAnsi="Arial"/>
                <w:sz w:val="14"/>
                <w:szCs w:val="14"/>
                <w:color w:val="auto"/>
              </w:rPr>
              <w:t>Total contractual obligations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26,543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892"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692" w:right="239" w:bottom="892"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color w:val="auto"/>
        </w:rPr>
        <w:t>________________________________________</w:t>
      </w:r>
    </w:p>
    <w:p>
      <w:pPr>
        <w:spacing w:after="0" w:line="13" w:lineRule="exact"/>
        <w:rPr>
          <w:sz w:val="20"/>
          <w:szCs w:val="20"/>
          <w:color w:val="auto"/>
        </w:rPr>
      </w:pPr>
    </w:p>
    <w:p>
      <w:pPr>
        <w:ind w:right="40" w:firstLine="8"/>
        <w:spacing w:after="0" w:line="166" w:lineRule="exact"/>
        <w:tabs>
          <w:tab w:leader="none" w:pos="204"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Operating lease obligations represent future minimum lease payments under non</w:t>
      </w:r>
      <w:r>
        <w:rPr>
          <w:rFonts w:ascii="MS PGothic" w:cs="MS PGothic" w:eastAsia="MS PGothic" w:hAnsi="MS PGothic"/>
          <w:sz w:val="14"/>
          <w:szCs w:val="14"/>
          <w:color w:val="auto"/>
        </w:rPr>
        <w:t>‑</w:t>
      </w:r>
      <w:r>
        <w:rPr>
          <w:rFonts w:ascii="Arial" w:cs="Arial" w:eastAsia="Arial" w:hAnsi="Arial"/>
          <w:sz w:val="14"/>
          <w:szCs w:val="14"/>
          <w:color w:val="auto"/>
        </w:rPr>
        <w:t>cancellable property leases in Watertown, Massachusetts. The minimum lease payments do not include common area maintenance charges, real estate taxes or any sublease income we may earn.</w:t>
      </w:r>
    </w:p>
    <w:p>
      <w:pPr>
        <w:spacing w:after="0" w:line="142" w:lineRule="exact"/>
        <w:rPr>
          <w:rFonts w:ascii="Arial" w:cs="Arial" w:eastAsia="Arial" w:hAnsi="Arial"/>
          <w:sz w:val="14"/>
          <w:szCs w:val="14"/>
          <w:color w:val="auto"/>
        </w:rPr>
      </w:pPr>
    </w:p>
    <w:p>
      <w:pPr>
        <w:jc w:val="both"/>
        <w:ind w:right="240" w:firstLine="8"/>
        <w:spacing w:after="0" w:line="286" w:lineRule="auto"/>
        <w:tabs>
          <w:tab w:leader="none" w:pos="204"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Research and development contract obligations represent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purposes of presenting our contractual obligations under the MIT agreement, we have assumed license payments are fully offset by royalty payments in 2023.</w:t>
      </w:r>
    </w:p>
    <w:p>
      <w:pPr>
        <w:spacing w:after="0" w:line="113" w:lineRule="exact"/>
        <w:rPr>
          <w:rFonts w:ascii="Arial" w:cs="Arial" w:eastAsia="Arial" w:hAnsi="Arial"/>
          <w:sz w:val="13"/>
          <w:szCs w:val="13"/>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Debt obligations payments are based on the contractual payment dates.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2018, we did not have any off-balance sheet arrangements as defined in the rules and regulations of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color w:val="auto"/>
        </w:rPr>
        <w:t>For a discussion of recently adopted or issued accounting pronouncements please refer to Item 8, “Financial Statements and Supplementary Data” within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2018 and December 31, 2017, we had cash, cash equivalents and short-term deposits and investments of $37.4 million and $96.6 million, respectively, consisting of non</w:t>
      </w:r>
      <w:r>
        <w:rPr>
          <w:rFonts w:ascii="MS PGothic" w:cs="MS PGothic" w:eastAsia="MS PGothic" w:hAnsi="MS PGothic"/>
          <w:sz w:val="16"/>
          <w:szCs w:val="16"/>
          <w:color w:val="auto"/>
        </w:rPr>
        <w:t>‑</w:t>
      </w:r>
      <w:r>
        <w:rPr>
          <w:rFonts w:ascii="Arial" w:cs="Arial" w:eastAsia="Arial" w:hAnsi="Arial"/>
          <w:sz w:val="16"/>
          <w:szCs w:val="16"/>
          <w:color w:val="auto"/>
        </w:rPr>
        <w:t>interest and interest</w:t>
      </w:r>
      <w:r>
        <w:rPr>
          <w:rFonts w:ascii="MS PGothic" w:cs="MS PGothic" w:eastAsia="MS PGothic" w:hAnsi="MS PGothic"/>
          <w:sz w:val="16"/>
          <w:szCs w:val="16"/>
          <w:color w:val="auto"/>
        </w:rPr>
        <w:t>‑</w:t>
      </w:r>
      <w:r>
        <w:rPr>
          <w:rFonts w:ascii="Arial" w:cs="Arial" w:eastAsia="Arial" w:hAnsi="Arial"/>
          <w:sz w:val="16"/>
          <w:szCs w:val="16"/>
          <w:color w:val="auto"/>
        </w:rPr>
        <w:t>bearing money market accounts, corporate bonds, U.S. government agency bonds and tri-party repurchase agreements. Our primary exposure to market risk is interest rate sensitivity, which is affected by changes in the general level of U.S. interest rates. Due to the short</w:t>
      </w:r>
      <w:r>
        <w:rPr>
          <w:rFonts w:ascii="MS PGothic" w:cs="MS PGothic" w:eastAsia="MS PGothic" w:hAnsi="MS PGothic"/>
          <w:sz w:val="16"/>
          <w:szCs w:val="16"/>
          <w:color w:val="auto"/>
        </w:rPr>
        <w:t>‑</w:t>
      </w:r>
      <w:r>
        <w:rPr>
          <w:rFonts w:ascii="Arial" w:cs="Arial" w:eastAsia="Arial" w:hAnsi="Arial"/>
          <w:sz w:val="16"/>
          <w:szCs w:val="16"/>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December 31, 2018, we held $0.4 million of total cash in Russian banks to support our Russian subsidiary, which includes $0.4 million of cash and cash equivalents and no restricted cash, of which $0.4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8"/>
          <w:szCs w:val="18"/>
          <w:b w:val="1"/>
          <w:bCs w:val="1"/>
          <w:color w:val="auto"/>
        </w:rPr>
        <w:t>tem 8. Financial Statements and Supplementary Data</w:t>
      </w:r>
    </w:p>
    <w:p>
      <w:pPr>
        <w:spacing w:after="0" w:line="2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consolidated financial statements together with the report of our independent registered public company accounting firm, required to be filed pursuant to this Item 8 are appended to this Annual Report on Form 10-K. An index of those consolidated financial statements is found in Item 15 of this Annual Report on Form 10-K.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ectPr>
          <w:pgSz w:w="11900" w:h="16838" w:orient="portrait"/>
          <w:cols w:equalWidth="0" w:num="1">
            <w:col w:w="11400"/>
          </w:cols>
          <w:pgMar w:left="240" w:top="580" w:right="25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580" w:right="259" w:bottom="1440" w:gutter="0" w:footer="0" w:header="0"/>
          <w:type w:val="continuous"/>
        </w:sectPr>
      </w:pPr>
    </w:p>
    <w:bookmarkStart w:id="89" w:name="page90"/>
    <w:bookmarkEnd w:id="89"/>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Exchange Act.</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Based on this assessment, our management concluded that, as of December 31, 2018, our internal control over financial reporting was effective.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Form 10-K does not include an attestation report of our registered public accounting firm due to an exemption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December 31, 2018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20"/>
          </w:cols>
          <w:pgMar w:left="240" w:top="692"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at www.selectabio.com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response to this item is contained in part under the caption “Executive Officers of the Registrant” at the end of Part I of this Annual Report on Form 10-K. The remainder of the response to this item will be contained in the Proxy Statement for our Annual Meeting of Stockholders scheduled to be held on June 14, 2019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11 of Form 10-K regarding executive compensation will be included in the Proxy Statement for our Annual Meeting of Stockholders scheduled to be held on June 14, 2019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required by this Item 12 of Form 10-K regarding security ownership of certain beneficial owners and management and related stockholder matters will be included in the Proxy Statement for our Annual Meeting of Stockholders scheduled to be held on June 14, 2019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by this Item 13 of Form 10-K regarding certain relationships and related transactions, and director independence will be included in the Proxy Statement for our Annual Meeting of Stockholders scheduled to be held on June 14, 2019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14 of Form 10-K regarding principal accountant fees and services will be included in the Proxy Statement for our Annual Meeting of Stockholders scheduled to be held on June 14, 2019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688" w:right="2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4"/>
          </w:tcPr>
          <w:p>
            <w:pPr>
              <w:ind w:left="68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86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6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10100" w:type="dxa"/>
            <w:vAlign w:val="bottom"/>
            <w:gridSpan w:val="8"/>
          </w:tcPr>
          <w:p>
            <w:pPr>
              <w:spacing w:after="0"/>
              <w:rPr>
                <w:sz w:val="20"/>
                <w:szCs w:val="20"/>
                <w:color w:val="auto"/>
              </w:rPr>
            </w:pPr>
            <w:r>
              <w:rPr>
                <w:rFonts w:ascii="Arial" w:cs="Arial" w:eastAsia="Arial" w:hAnsi="Arial"/>
                <w:sz w:val="18"/>
                <w:szCs w:val="18"/>
                <w:color w:val="auto"/>
              </w:rPr>
              <w:t>The financial statements listed below are filed as part of this Annual Report on Form 10-K.</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6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520" w:type="dxa"/>
            <w:vAlign w:val="bottom"/>
            <w:gridSpan w:val="2"/>
          </w:tcPr>
          <w:p>
            <w:pPr>
              <w:spacing w:after="0"/>
              <w:rPr>
                <w:rFonts w:ascii="Arial" w:cs="Arial" w:eastAsia="Arial" w:hAnsi="Arial"/>
                <w:sz w:val="18"/>
                <w:szCs w:val="18"/>
                <w:b w:val="1"/>
                <w:bCs w:val="1"/>
                <w:color w:val="0000EE"/>
                <w:w w:val="90"/>
              </w:rPr>
            </w:pPr>
            <w:hyperlink w:anchor="page97">
              <w:r>
                <w:rPr>
                  <w:rFonts w:ascii="Arial" w:cs="Arial" w:eastAsia="Arial" w:hAnsi="Arial"/>
                  <w:sz w:val="18"/>
                  <w:szCs w:val="18"/>
                  <w:b w:val="1"/>
                  <w:bCs w:val="1"/>
                  <w:color w:val="0000EE"/>
                  <w:w w:val="90"/>
                </w:rPr>
                <w:t>Report of Independent Registered Public Accounting Firm</w:t>
              </w:r>
            </w:hyperlink>
          </w:p>
        </w:tc>
        <w:tc>
          <w:tcPr>
            <w:tcW w:w="5540" w:type="dxa"/>
            <w:vAlign w:val="bottom"/>
            <w:gridSpan w:val="5"/>
          </w:tcPr>
          <w:p>
            <w:pPr>
              <w:spacing w:after="0"/>
              <w:rPr>
                <w:sz w:val="24"/>
                <w:szCs w:val="24"/>
                <w:color w:val="auto"/>
              </w:rPr>
            </w:pPr>
          </w:p>
        </w:tc>
        <w:tc>
          <w:tcPr>
            <w:tcW w:w="760" w:type="dxa"/>
            <w:vAlign w:val="bottom"/>
            <w:gridSpan w:val="2"/>
          </w:tcPr>
          <w:p>
            <w:pPr>
              <w:ind w:left="500"/>
              <w:spacing w:after="0"/>
              <w:rPr>
                <w:rFonts w:ascii="Arial" w:cs="Arial" w:eastAsia="Arial" w:hAnsi="Arial"/>
                <w:sz w:val="18"/>
                <w:szCs w:val="18"/>
                <w:b w:val="1"/>
                <w:bCs w:val="1"/>
                <w:color w:val="0000EE"/>
                <w:w w:val="88"/>
              </w:rPr>
            </w:pPr>
            <w:hyperlink w:anchor="page97">
              <w:r>
                <w:rPr>
                  <w:rFonts w:ascii="Arial" w:cs="Arial" w:eastAsia="Arial" w:hAnsi="Arial"/>
                  <w:sz w:val="18"/>
                  <w:szCs w:val="18"/>
                  <w:b w:val="1"/>
                  <w:bCs w:val="1"/>
                  <w:color w:val="0000EE"/>
                  <w:w w:val="88"/>
                </w:rPr>
                <w:t>F-1</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0060" w:type="dxa"/>
            <w:vAlign w:val="bottom"/>
            <w:gridSpan w:val="7"/>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Consolidated Balance Sheets at December 31, 2018 and 2017</w:t>
              </w:r>
            </w:hyperlink>
          </w:p>
        </w:tc>
        <w:tc>
          <w:tcPr>
            <w:tcW w:w="760" w:type="dxa"/>
            <w:vAlign w:val="bottom"/>
            <w:gridSpan w:val="2"/>
          </w:tcPr>
          <w:p>
            <w:pPr>
              <w:ind w:left="500"/>
              <w:spacing w:after="0"/>
              <w:rPr>
                <w:rFonts w:ascii="Arial" w:cs="Arial" w:eastAsia="Arial" w:hAnsi="Arial"/>
                <w:sz w:val="18"/>
                <w:szCs w:val="18"/>
                <w:b w:val="1"/>
                <w:bCs w:val="1"/>
                <w:color w:val="0000EE"/>
                <w:w w:val="88"/>
              </w:rPr>
            </w:pPr>
            <w:hyperlink w:anchor="page98">
              <w:r>
                <w:rPr>
                  <w:rFonts w:ascii="Arial" w:cs="Arial" w:eastAsia="Arial" w:hAnsi="Arial"/>
                  <w:sz w:val="18"/>
                  <w:szCs w:val="18"/>
                  <w:b w:val="1"/>
                  <w:bCs w:val="1"/>
                  <w:color w:val="0000EE"/>
                  <w:w w:val="88"/>
                </w:rPr>
                <w:t>F-2</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0" w:type="dxa"/>
            <w:vAlign w:val="bottom"/>
            <w:gridSpan w:val="5"/>
          </w:tcPr>
          <w:p>
            <w:pPr>
              <w:spacing w:after="0"/>
              <w:rPr>
                <w:rFonts w:ascii="Arial" w:cs="Arial" w:eastAsia="Arial" w:hAnsi="Arial"/>
                <w:sz w:val="18"/>
                <w:szCs w:val="18"/>
                <w:b w:val="1"/>
                <w:bCs w:val="1"/>
                <w:color w:val="0000EE"/>
                <w:w w:val="88"/>
              </w:rPr>
            </w:pPr>
            <w:hyperlink w:anchor="page99">
              <w:r>
                <w:rPr>
                  <w:rFonts w:ascii="Arial" w:cs="Arial" w:eastAsia="Arial" w:hAnsi="Arial"/>
                  <w:sz w:val="18"/>
                  <w:szCs w:val="18"/>
                  <w:b w:val="1"/>
                  <w:bCs w:val="1"/>
                  <w:color w:val="0000EE"/>
                  <w:w w:val="88"/>
                </w:rPr>
                <w:t>Consolidated Statements of Operations and Comprehensive Loss for the years ended December 31, 2018, 2017 and 2016</w:t>
              </w:r>
            </w:hyperlink>
          </w:p>
        </w:tc>
        <w:tc>
          <w:tcPr>
            <w:tcW w:w="860" w:type="dxa"/>
            <w:vAlign w:val="bottom"/>
            <w:gridSpan w:val="2"/>
          </w:tcPr>
          <w:p>
            <w:pPr>
              <w:spacing w:after="0"/>
              <w:rPr>
                <w:sz w:val="24"/>
                <w:szCs w:val="24"/>
                <w:color w:val="auto"/>
              </w:rPr>
            </w:pPr>
          </w:p>
        </w:tc>
        <w:tc>
          <w:tcPr>
            <w:tcW w:w="760" w:type="dxa"/>
            <w:vAlign w:val="bottom"/>
            <w:gridSpan w:val="2"/>
          </w:tcPr>
          <w:p>
            <w:pPr>
              <w:ind w:left="500"/>
              <w:spacing w:after="0"/>
              <w:rPr>
                <w:rFonts w:ascii="Arial" w:cs="Arial" w:eastAsia="Arial" w:hAnsi="Arial"/>
                <w:sz w:val="18"/>
                <w:szCs w:val="18"/>
                <w:b w:val="1"/>
                <w:bCs w:val="1"/>
                <w:color w:val="0000EE"/>
                <w:w w:val="88"/>
              </w:rPr>
            </w:pPr>
            <w:hyperlink w:anchor="page99">
              <w:r>
                <w:rPr>
                  <w:rFonts w:ascii="Arial" w:cs="Arial" w:eastAsia="Arial" w:hAnsi="Arial"/>
                  <w:sz w:val="18"/>
                  <w:szCs w:val="18"/>
                  <w:b w:val="1"/>
                  <w:bCs w:val="1"/>
                  <w:color w:val="0000EE"/>
                  <w:w w:val="88"/>
                </w:rPr>
                <w:t>F-3</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560" w:type="dxa"/>
            <w:vAlign w:val="bottom"/>
            <w:gridSpan w:val="6"/>
          </w:tcPr>
          <w:p>
            <w:pPr>
              <w:spacing w:after="0"/>
              <w:rPr>
                <w:rFonts w:ascii="Arial" w:cs="Arial" w:eastAsia="Arial" w:hAnsi="Arial"/>
                <w:sz w:val="18"/>
                <w:szCs w:val="18"/>
                <w:b w:val="1"/>
                <w:bCs w:val="1"/>
                <w:color w:val="0000EE"/>
                <w:w w:val="89"/>
              </w:rPr>
            </w:pPr>
            <w:hyperlink w:anchor="page100">
              <w:r>
                <w:rPr>
                  <w:rFonts w:ascii="Arial" w:cs="Arial" w:eastAsia="Arial" w:hAnsi="Arial"/>
                  <w:sz w:val="18"/>
                  <w:szCs w:val="18"/>
                  <w:b w:val="1"/>
                  <w:bCs w:val="1"/>
                  <w:color w:val="0000EE"/>
                  <w:w w:val="89"/>
                </w:rPr>
                <w:t>Consolidated Statements of Changes in Stockholders' Equity (Deficit) for the years ended December 31, 2018, 2017 and 2016</w:t>
              </w:r>
            </w:hyperlink>
          </w:p>
        </w:tc>
        <w:tc>
          <w:tcPr>
            <w:tcW w:w="500" w:type="dxa"/>
            <w:vAlign w:val="bottom"/>
          </w:tcPr>
          <w:p>
            <w:pPr>
              <w:spacing w:after="0"/>
              <w:rPr>
                <w:sz w:val="24"/>
                <w:szCs w:val="24"/>
                <w:color w:val="auto"/>
              </w:rPr>
            </w:pPr>
          </w:p>
        </w:tc>
        <w:tc>
          <w:tcPr>
            <w:tcW w:w="760" w:type="dxa"/>
            <w:vAlign w:val="bottom"/>
            <w:gridSpan w:val="2"/>
          </w:tcPr>
          <w:p>
            <w:pPr>
              <w:ind w:left="500"/>
              <w:spacing w:after="0"/>
              <w:rPr>
                <w:rFonts w:ascii="Arial" w:cs="Arial" w:eastAsia="Arial" w:hAnsi="Arial"/>
                <w:sz w:val="18"/>
                <w:szCs w:val="18"/>
                <w:b w:val="1"/>
                <w:bCs w:val="1"/>
                <w:color w:val="0000EE"/>
                <w:w w:val="88"/>
              </w:rPr>
            </w:pPr>
            <w:hyperlink w:anchor="page100">
              <w:r>
                <w:rPr>
                  <w:rFonts w:ascii="Arial" w:cs="Arial" w:eastAsia="Arial" w:hAnsi="Arial"/>
                  <w:sz w:val="18"/>
                  <w:szCs w:val="18"/>
                  <w:b w:val="1"/>
                  <w:bCs w:val="1"/>
                  <w:color w:val="0000EE"/>
                  <w:w w:val="88"/>
                </w:rPr>
                <w:t>F-4</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560" w:type="dxa"/>
            <w:vAlign w:val="bottom"/>
            <w:gridSpan w:val="6"/>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Consolidated Statements of Cash Flows for the years ended December 31, 2018, 2017 and 2016</w:t>
              </w:r>
            </w:hyperlink>
          </w:p>
        </w:tc>
        <w:tc>
          <w:tcPr>
            <w:tcW w:w="500" w:type="dxa"/>
            <w:vAlign w:val="bottom"/>
          </w:tcPr>
          <w:p>
            <w:pPr>
              <w:spacing w:after="0"/>
              <w:rPr>
                <w:sz w:val="24"/>
                <w:szCs w:val="24"/>
                <w:color w:val="auto"/>
              </w:rPr>
            </w:pPr>
          </w:p>
        </w:tc>
        <w:tc>
          <w:tcPr>
            <w:tcW w:w="760" w:type="dxa"/>
            <w:vAlign w:val="bottom"/>
            <w:gridSpan w:val="2"/>
          </w:tcPr>
          <w:p>
            <w:pPr>
              <w:ind w:left="500"/>
              <w:spacing w:after="0"/>
              <w:rPr>
                <w:rFonts w:ascii="Arial" w:cs="Arial" w:eastAsia="Arial" w:hAnsi="Arial"/>
                <w:sz w:val="18"/>
                <w:szCs w:val="18"/>
                <w:b w:val="1"/>
                <w:bCs w:val="1"/>
                <w:color w:val="0000EE"/>
                <w:w w:val="88"/>
              </w:rPr>
            </w:pPr>
            <w:hyperlink w:anchor="page102">
              <w:r>
                <w:rPr>
                  <w:rFonts w:ascii="Arial" w:cs="Arial" w:eastAsia="Arial" w:hAnsi="Arial"/>
                  <w:sz w:val="18"/>
                  <w:szCs w:val="18"/>
                  <w:b w:val="1"/>
                  <w:bCs w:val="1"/>
                  <w:color w:val="0000EE"/>
                  <w:w w:val="88"/>
                </w:rPr>
                <w:t>F-6</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40" w:type="dxa"/>
            <w:vAlign w:val="bottom"/>
            <w:gridSpan w:val="4"/>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Notes to Consolidated Financial Statements</w:t>
              </w:r>
            </w:hyperlink>
          </w:p>
        </w:tc>
        <w:tc>
          <w:tcPr>
            <w:tcW w:w="2820" w:type="dxa"/>
            <w:vAlign w:val="bottom"/>
            <w:gridSpan w:val="3"/>
          </w:tcPr>
          <w:p>
            <w:pPr>
              <w:spacing w:after="0"/>
              <w:rPr>
                <w:sz w:val="24"/>
                <w:szCs w:val="24"/>
                <w:color w:val="auto"/>
              </w:rPr>
            </w:pPr>
          </w:p>
        </w:tc>
        <w:tc>
          <w:tcPr>
            <w:tcW w:w="760" w:type="dxa"/>
            <w:vAlign w:val="bottom"/>
            <w:gridSpan w:val="2"/>
          </w:tcPr>
          <w:p>
            <w:pPr>
              <w:ind w:left="500"/>
              <w:spacing w:after="0"/>
              <w:rPr>
                <w:rFonts w:ascii="Arial" w:cs="Arial" w:eastAsia="Arial" w:hAnsi="Arial"/>
                <w:sz w:val="18"/>
                <w:szCs w:val="18"/>
                <w:b w:val="1"/>
                <w:bCs w:val="1"/>
                <w:color w:val="0000EE"/>
                <w:w w:val="88"/>
              </w:rPr>
            </w:pPr>
            <w:hyperlink w:anchor="page103">
              <w:r>
                <w:rPr>
                  <w:rFonts w:ascii="Arial" w:cs="Arial" w:eastAsia="Arial" w:hAnsi="Arial"/>
                  <w:sz w:val="18"/>
                  <w:szCs w:val="18"/>
                  <w:b w:val="1"/>
                  <w:bCs w:val="1"/>
                  <w:color w:val="0000EE"/>
                  <w:w w:val="88"/>
                </w:rPr>
                <w:t>F-7</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0" w:type="dxa"/>
            <w:vAlign w:val="bottom"/>
            <w:gridSpan w:val="12"/>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Filing</w:t>
            </w:r>
          </w:p>
        </w:tc>
        <w:tc>
          <w:tcPr>
            <w:tcW w:w="11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800" w:type="dxa"/>
            <w:vAlign w:val="bottom"/>
            <w:gridSpan w:val="2"/>
          </w:tcPr>
          <w:p>
            <w:pPr>
              <w:jc w:val="center"/>
              <w:ind w:right="580"/>
              <w:spacing w:after="0" w:line="202" w:lineRule="exact"/>
              <w:rPr>
                <w:rFonts w:ascii="Arial" w:cs="Arial" w:eastAsia="Arial" w:hAnsi="Arial"/>
                <w:sz w:val="18"/>
                <w:szCs w:val="18"/>
                <w:color w:val="0000FF"/>
                <w:w w:val="87"/>
              </w:rPr>
            </w:pPr>
            <w:hyperlink r:id="rId2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202" w:lineRule="exact"/>
              <w:rPr>
                <w:rFonts w:ascii="Arial" w:cs="Arial" w:eastAsia="Arial" w:hAnsi="Arial"/>
                <w:sz w:val="18"/>
                <w:szCs w:val="18"/>
                <w:color w:val="0000FF"/>
                <w:w w:val="96"/>
              </w:rPr>
            </w:pPr>
            <w:hyperlink r:id="rId23">
              <w:r>
                <w:rPr>
                  <w:rFonts w:ascii="Arial" w:cs="Arial" w:eastAsia="Arial" w:hAnsi="Arial"/>
                  <w:sz w:val="18"/>
                  <w:szCs w:val="18"/>
                  <w:color w:val="0000FF"/>
                  <w:w w:val="96"/>
                </w:rPr>
                <w:t>Restated Certificate of Incorporation of Selecta</w:t>
              </w:r>
            </w:hyperlink>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rPr>
              <w:t>8-K</w:t>
            </w:r>
          </w:p>
        </w:tc>
        <w:tc>
          <w:tcPr>
            <w:tcW w:w="206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3">
              <w:r>
                <w:rPr>
                  <w:rFonts w:ascii="Arial" w:cs="Arial" w:eastAsia="Arial" w:hAnsi="Arial"/>
                  <w:sz w:val="18"/>
                  <w:szCs w:val="18"/>
                  <w:color w:val="0000FF"/>
                  <w:w w:val="88"/>
                </w:rPr>
                <w:t>Biosciences, Inc.</w:t>
              </w:r>
            </w:hyperlink>
          </w:p>
        </w:tc>
        <w:tc>
          <w:tcPr>
            <w:tcW w:w="2180" w:type="dxa"/>
            <w:vAlign w:val="bottom"/>
            <w:tcBorders>
              <w:top w:val="single" w:sz="8" w:color="0000FF"/>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0" w:type="dxa"/>
            <w:vAlign w:val="bottom"/>
            <w:gridSpan w:val="2"/>
          </w:tcPr>
          <w:p>
            <w:pPr>
              <w:jc w:val="center"/>
              <w:ind w:right="580"/>
              <w:spacing w:after="0"/>
              <w:rPr>
                <w:rFonts w:ascii="Arial" w:cs="Arial" w:eastAsia="Arial" w:hAnsi="Arial"/>
                <w:sz w:val="18"/>
                <w:szCs w:val="18"/>
                <w:color w:val="0000FF"/>
                <w:w w:val="87"/>
              </w:rPr>
            </w:pPr>
            <w:hyperlink r:id="rId2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4"/>
          </w:tcPr>
          <w:p>
            <w:pPr>
              <w:spacing w:after="0"/>
              <w:rPr>
                <w:rFonts w:ascii="Arial" w:cs="Arial" w:eastAsia="Arial" w:hAnsi="Arial"/>
                <w:sz w:val="18"/>
                <w:szCs w:val="18"/>
                <w:color w:val="0000FF"/>
              </w:rPr>
            </w:pPr>
            <w:hyperlink r:id="rId24">
              <w:r>
                <w:rPr>
                  <w:rFonts w:ascii="Arial" w:cs="Arial" w:eastAsia="Arial" w:hAnsi="Arial"/>
                  <w:sz w:val="18"/>
                  <w:szCs w:val="18"/>
                  <w:color w:val="0000FF"/>
                </w:rPr>
                <w:t>Amended and Restated By-laws of Selecta</w:t>
              </w:r>
            </w:hyperlink>
          </w:p>
        </w:tc>
        <w:tc>
          <w:tcPr>
            <w:tcW w:w="460" w:type="dxa"/>
            <w:vAlign w:val="bottom"/>
          </w:tcPr>
          <w:p>
            <w:pPr>
              <w:ind w:left="40"/>
              <w:spacing w:after="0"/>
              <w:rPr>
                <w:sz w:val="20"/>
                <w:szCs w:val="20"/>
                <w:color w:val="auto"/>
              </w:rPr>
            </w:pPr>
            <w:r>
              <w:rPr>
                <w:rFonts w:ascii="Arial" w:cs="Arial" w:eastAsia="Arial" w:hAnsi="Arial"/>
                <w:sz w:val="18"/>
                <w:szCs w:val="18"/>
                <w:color w:val="auto"/>
              </w:rPr>
              <w:t>8-K</w:t>
            </w: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Biosciences, Inc.</w:t>
              </w:r>
            </w:hyperlink>
          </w:p>
        </w:tc>
        <w:tc>
          <w:tcPr>
            <w:tcW w:w="1860" w:type="dxa"/>
            <w:vAlign w:val="bottom"/>
            <w:tcBorders>
              <w:top w:val="single" w:sz="8" w:color="0000FF"/>
            </w:tcBorders>
            <w:gridSpan w:val="6"/>
          </w:tcPr>
          <w:p>
            <w:pPr>
              <w:spacing w:after="0"/>
              <w:rPr>
                <w:sz w:val="17"/>
                <w:szCs w:val="17"/>
                <w:color w:val="auto"/>
              </w:rPr>
            </w:pPr>
          </w:p>
        </w:tc>
        <w:tc>
          <w:tcPr>
            <w:tcW w:w="54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0" w:type="dxa"/>
            <w:vAlign w:val="bottom"/>
            <w:gridSpan w:val="2"/>
          </w:tcPr>
          <w:p>
            <w:pPr>
              <w:jc w:val="center"/>
              <w:ind w:right="580"/>
              <w:spacing w:after="0"/>
              <w:rPr>
                <w:rFonts w:ascii="Arial" w:cs="Arial" w:eastAsia="Arial" w:hAnsi="Arial"/>
                <w:sz w:val="18"/>
                <w:szCs w:val="18"/>
                <w:color w:val="0000FF"/>
                <w:w w:val="87"/>
              </w:rPr>
            </w:pPr>
            <w:hyperlink r:id="rId2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4"/>
          </w:tcPr>
          <w:p>
            <w:pPr>
              <w:spacing w:after="0"/>
              <w:rPr>
                <w:rFonts w:ascii="Arial" w:cs="Arial" w:eastAsia="Arial" w:hAnsi="Arial"/>
                <w:sz w:val="18"/>
                <w:szCs w:val="18"/>
                <w:color w:val="0000FF"/>
                <w:w w:val="98"/>
              </w:rPr>
            </w:pPr>
            <w:hyperlink r:id="rId25">
              <w:r>
                <w:rPr>
                  <w:rFonts w:ascii="Arial" w:cs="Arial" w:eastAsia="Arial" w:hAnsi="Arial"/>
                  <w:sz w:val="18"/>
                  <w:szCs w:val="18"/>
                  <w:color w:val="0000FF"/>
                  <w:w w:val="98"/>
                </w:rPr>
                <w:t>Fifth Amended and Restated Investors' Rights</w:t>
              </w:r>
            </w:hyperlink>
          </w:p>
        </w:tc>
        <w:tc>
          <w:tcPr>
            <w:tcW w:w="460" w:type="dxa"/>
            <w:vAlign w:val="bottom"/>
          </w:tcPr>
          <w:p>
            <w:pPr>
              <w:ind w:left="40"/>
              <w:spacing w:after="0"/>
              <w:rPr>
                <w:sz w:val="20"/>
                <w:szCs w:val="20"/>
                <w:color w:val="auto"/>
              </w:rPr>
            </w:pPr>
            <w:r>
              <w:rPr>
                <w:rFonts w:ascii="Arial" w:cs="Arial" w:eastAsia="Arial" w:hAnsi="Arial"/>
                <w:sz w:val="18"/>
                <w:szCs w:val="18"/>
                <w:color w:val="auto"/>
                <w:w w:val="88"/>
              </w:rPr>
              <w:t>S-1/A</w:t>
            </w: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Agreement, dated as of August 26, 2015, by and</w:t>
              </w:r>
            </w:hyperlink>
          </w:p>
        </w:tc>
        <w:tc>
          <w:tcPr>
            <w:tcW w:w="1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between the Registrant and each of the</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stockholders party thereto, as amended by</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Amendment No. 1 to Fifth Amended and</w:t>
              </w:r>
            </w:hyperlink>
          </w:p>
        </w:tc>
        <w:tc>
          <w:tcPr>
            <w:tcW w:w="60" w:type="dxa"/>
            <w:vAlign w:val="bottom"/>
            <w:tcBorders>
              <w:top w:val="single" w:sz="8" w:color="0000FF"/>
            </w:tcBorders>
          </w:tcPr>
          <w:p>
            <w:pPr>
              <w:spacing w:after="0"/>
              <w:rPr>
                <w:sz w:val="17"/>
                <w:szCs w:val="17"/>
                <w:color w:val="auto"/>
              </w:rPr>
            </w:pPr>
          </w:p>
        </w:tc>
        <w:tc>
          <w:tcPr>
            <w:tcW w:w="60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25">
              <w:r>
                <w:rPr>
                  <w:rFonts w:ascii="Arial" w:cs="Arial" w:eastAsia="Arial" w:hAnsi="Arial"/>
                  <w:sz w:val="18"/>
                  <w:szCs w:val="18"/>
                  <w:color w:val="0000FF"/>
                  <w:w w:val="88"/>
                </w:rPr>
                <w:t>Restated Investors Rights Agreement, dated as</w:t>
              </w:r>
            </w:hyperlink>
          </w:p>
        </w:tc>
        <w:tc>
          <w:tcPr>
            <w:tcW w:w="2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of June 7, 2016</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0" w:type="dxa"/>
            <w:vAlign w:val="bottom"/>
            <w:gridSpan w:val="2"/>
          </w:tcPr>
          <w:p>
            <w:pPr>
              <w:jc w:val="center"/>
              <w:ind w:right="580"/>
              <w:spacing w:after="0"/>
              <w:rPr>
                <w:rFonts w:ascii="Arial" w:cs="Arial" w:eastAsia="Arial" w:hAnsi="Arial"/>
                <w:sz w:val="18"/>
                <w:szCs w:val="18"/>
                <w:color w:val="0000FF"/>
                <w:w w:val="87"/>
              </w:rPr>
            </w:pPr>
            <w:hyperlink r:id="rId2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4"/>
          </w:tcPr>
          <w:p>
            <w:pPr>
              <w:spacing w:after="0"/>
              <w:rPr>
                <w:rFonts w:ascii="Arial" w:cs="Arial" w:eastAsia="Arial" w:hAnsi="Arial"/>
                <w:sz w:val="18"/>
                <w:szCs w:val="18"/>
                <w:color w:val="0000FF"/>
              </w:rPr>
            </w:pPr>
            <w:hyperlink r:id="rId26">
              <w:r>
                <w:rPr>
                  <w:rFonts w:ascii="Arial" w:cs="Arial" w:eastAsia="Arial" w:hAnsi="Arial"/>
                  <w:sz w:val="18"/>
                  <w:szCs w:val="18"/>
                  <w:color w:val="0000FF"/>
                </w:rPr>
                <w:t>Specimen Stock Certificate evidencing the</w:t>
              </w:r>
            </w:hyperlink>
          </w:p>
        </w:tc>
        <w:tc>
          <w:tcPr>
            <w:tcW w:w="460" w:type="dxa"/>
            <w:vAlign w:val="bottom"/>
          </w:tcPr>
          <w:p>
            <w:pPr>
              <w:ind w:left="40"/>
              <w:spacing w:after="0"/>
              <w:rPr>
                <w:sz w:val="20"/>
                <w:szCs w:val="20"/>
                <w:color w:val="auto"/>
              </w:rPr>
            </w:pPr>
            <w:r>
              <w:rPr>
                <w:rFonts w:ascii="Arial" w:cs="Arial" w:eastAsia="Arial" w:hAnsi="Arial"/>
                <w:sz w:val="18"/>
                <w:szCs w:val="18"/>
                <w:color w:val="auto"/>
              </w:rPr>
              <w:t>S-1</w:t>
            </w: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shares of common stock</w:t>
              </w:r>
            </w:hyperlink>
          </w:p>
        </w:tc>
        <w:tc>
          <w:tcPr>
            <w:tcW w:w="56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79"/>
              </w:rPr>
              <w:t>90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88" w:right="25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5"/>
          </w:tcPr>
          <w:p>
            <w:pPr>
              <w:jc w:val="center"/>
              <w:ind w:left="10"/>
              <w:spacing w:after="0"/>
              <w:rPr>
                <w:rFonts w:ascii="Arial" w:cs="Arial" w:eastAsia="Arial" w:hAnsi="Arial"/>
                <w:sz w:val="18"/>
                <w:szCs w:val="18"/>
                <w:color w:val="0000FF"/>
                <w:w w:val="87"/>
              </w:rPr>
            </w:pPr>
            <w:hyperlink r:id="rId2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rPr>
                <w:rFonts w:ascii="Arial" w:cs="Arial" w:eastAsia="Arial" w:hAnsi="Arial"/>
                <w:sz w:val="18"/>
                <w:szCs w:val="18"/>
                <w:color w:val="0000FF"/>
                <w:w w:val="88"/>
              </w:rPr>
            </w:pPr>
            <w:hyperlink r:id="rId27">
              <w:r>
                <w:rPr>
                  <w:rFonts w:ascii="Arial" w:cs="Arial" w:eastAsia="Arial" w:hAnsi="Arial"/>
                  <w:sz w:val="18"/>
                  <w:szCs w:val="18"/>
                  <w:color w:val="0000FF"/>
                  <w:w w:val="88"/>
                </w:rPr>
                <w:t>Form of Warrant to Purchase Shares of Series D</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Preferred Stock, dated August 9, 2013 or July</w:t>
              </w:r>
            </w:hyperlink>
          </w:p>
        </w:tc>
        <w:tc>
          <w:tcPr>
            <w:tcW w:w="160" w:type="dxa"/>
            <w:vAlign w:val="bottom"/>
            <w:tcBorders>
              <w:top w:val="single" w:sz="8" w:color="0000FF"/>
            </w:tcBorders>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line="196" w:lineRule="exact"/>
              <w:rPr>
                <w:rFonts w:ascii="Arial" w:cs="Arial" w:eastAsia="Arial" w:hAnsi="Arial"/>
                <w:sz w:val="18"/>
                <w:szCs w:val="18"/>
                <w:color w:val="0000FF"/>
                <w:w w:val="97"/>
              </w:rPr>
            </w:pPr>
            <w:hyperlink r:id="rId27">
              <w:r>
                <w:rPr>
                  <w:rFonts w:ascii="Arial" w:cs="Arial" w:eastAsia="Arial" w:hAnsi="Arial"/>
                  <w:sz w:val="18"/>
                  <w:szCs w:val="18"/>
                  <w:color w:val="0000FF"/>
                  <w:w w:val="97"/>
                </w:rPr>
                <w:t>25, 2014, issued by the Registrant to Oxford</w:t>
              </w:r>
            </w:hyperlink>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Finance LLC and Square One Bank, together</w:t>
              </w:r>
            </w:hyperlink>
          </w:p>
        </w:tc>
        <w:tc>
          <w:tcPr>
            <w:tcW w:w="18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with a schedule of warrant holders</w:t>
              </w:r>
            </w:hyperlink>
          </w:p>
        </w:tc>
        <w:tc>
          <w:tcPr>
            <w:tcW w:w="980" w:type="dxa"/>
            <w:vAlign w:val="bottom"/>
            <w:gridSpan w:val="22"/>
          </w:tcPr>
          <w:p>
            <w:pPr>
              <w:spacing w:after="0"/>
              <w:rPr>
                <w:sz w:val="17"/>
                <w:szCs w:val="17"/>
                <w:color w:val="auto"/>
              </w:rPr>
            </w:pPr>
          </w:p>
        </w:tc>
      </w:tr>
      <w:tr>
        <w:trPr>
          <w:trHeight w:val="250"/>
        </w:trPr>
        <w:tc>
          <w:tcPr>
            <w:tcW w:w="200" w:type="dxa"/>
            <w:vAlign w:val="bottom"/>
            <w:gridSpan w:val="3"/>
          </w:tcPr>
          <w:p>
            <w:pPr>
              <w:spacing w:after="0"/>
              <w:rPr>
                <w:sz w:val="21"/>
                <w:szCs w:val="21"/>
                <w:color w:val="auto"/>
              </w:rPr>
            </w:pPr>
          </w:p>
        </w:tc>
        <w:tc>
          <w:tcPr>
            <w:tcW w:w="320" w:type="dxa"/>
            <w:vAlign w:val="bottom"/>
            <w:gridSpan w:val="2"/>
          </w:tcPr>
          <w:p>
            <w:pPr>
              <w:jc w:val="center"/>
              <w:ind w:right="100"/>
              <w:spacing w:after="0"/>
              <w:rPr>
                <w:rFonts w:ascii="Arial" w:cs="Arial" w:eastAsia="Arial" w:hAnsi="Arial"/>
                <w:sz w:val="18"/>
                <w:szCs w:val="18"/>
                <w:color w:val="0000FF"/>
                <w:w w:val="87"/>
              </w:rPr>
            </w:pPr>
            <w:hyperlink r:id="rId2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w w:val="88"/>
              </w:rPr>
            </w:pPr>
            <w:hyperlink r:id="rId28">
              <w:r>
                <w:rPr>
                  <w:rFonts w:ascii="Arial" w:cs="Arial" w:eastAsia="Arial" w:hAnsi="Arial"/>
                  <w:sz w:val="18"/>
                  <w:szCs w:val="18"/>
                  <w:color w:val="0000FF"/>
                  <w:w w:val="88"/>
                </w:rPr>
                <w:t>Form of Warrant to Purchase Shares of Series E</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Borders>
              <w:top w:val="single" w:sz="8" w:color="0000FF"/>
            </w:tcBorders>
            <w:gridSpan w:val="28"/>
          </w:tcPr>
          <w:p>
            <w:pPr>
              <w:spacing w:after="0" w:line="196" w:lineRule="exact"/>
              <w:rPr>
                <w:rFonts w:ascii="Arial" w:cs="Arial" w:eastAsia="Arial" w:hAnsi="Arial"/>
                <w:sz w:val="18"/>
                <w:szCs w:val="18"/>
                <w:color w:val="0000FF"/>
                <w:w w:val="98"/>
              </w:rPr>
            </w:pPr>
            <w:hyperlink r:id="rId28">
              <w:r>
                <w:rPr>
                  <w:rFonts w:ascii="Arial" w:cs="Arial" w:eastAsia="Arial" w:hAnsi="Arial"/>
                  <w:sz w:val="18"/>
                  <w:szCs w:val="18"/>
                  <w:color w:val="0000FF"/>
                  <w:w w:val="98"/>
                </w:rPr>
                <w:t>Preferred Stock, dated December 31, 2015,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issued by the Registrant to Oxford Finance LLC</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20" w:type="dxa"/>
            <w:vAlign w:val="bottom"/>
            <w:tcBorders>
              <w:bottom w:val="single" w:sz="8" w:color="0000FF"/>
            </w:tcBorders>
            <w:gridSpan w:val="27"/>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and Square One Bank, together with a schedule</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of warrant holders</w:t>
              </w:r>
            </w:hyperlink>
          </w:p>
        </w:tc>
        <w:tc>
          <w:tcPr>
            <w:tcW w:w="2140" w:type="dxa"/>
            <w:vAlign w:val="bottom"/>
            <w:gridSpan w:val="25"/>
          </w:tcPr>
          <w:p>
            <w:pPr>
              <w:spacing w:after="0"/>
              <w:rPr>
                <w:sz w:val="17"/>
                <w:szCs w:val="17"/>
                <w:color w:val="auto"/>
              </w:rPr>
            </w:pPr>
          </w:p>
        </w:tc>
      </w:tr>
      <w:tr>
        <w:trPr>
          <w:trHeight w:val="250"/>
        </w:trPr>
        <w:tc>
          <w:tcPr>
            <w:tcW w:w="200" w:type="dxa"/>
            <w:vAlign w:val="bottom"/>
            <w:gridSpan w:val="3"/>
          </w:tcPr>
          <w:p>
            <w:pPr>
              <w:spacing w:after="0"/>
              <w:rPr>
                <w:sz w:val="21"/>
                <w:szCs w:val="21"/>
                <w:color w:val="auto"/>
              </w:rPr>
            </w:pPr>
          </w:p>
        </w:tc>
        <w:tc>
          <w:tcPr>
            <w:tcW w:w="320" w:type="dxa"/>
            <w:vAlign w:val="bottom"/>
            <w:gridSpan w:val="2"/>
          </w:tcPr>
          <w:p>
            <w:pPr>
              <w:jc w:val="center"/>
              <w:ind w:right="100"/>
              <w:spacing w:after="0"/>
              <w:rPr>
                <w:rFonts w:ascii="Arial" w:cs="Arial" w:eastAsia="Arial" w:hAnsi="Arial"/>
                <w:sz w:val="18"/>
                <w:szCs w:val="18"/>
                <w:color w:val="0000FF"/>
                <w:w w:val="87"/>
              </w:rPr>
            </w:pPr>
            <w:hyperlink r:id="rId2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Common Stock Purchase Warrant, dated June</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27, 2017, by and between the Registrant and</w:t>
              </w:r>
            </w:hyperlink>
          </w:p>
        </w:tc>
        <w:tc>
          <w:tcPr>
            <w:tcW w:w="80" w:type="dxa"/>
            <w:vAlign w:val="bottom"/>
            <w:tcBorders>
              <w:top w:val="single" w:sz="8" w:color="0000FF"/>
            </w:tcBorders>
            <w:gridSpan w:val="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Timothy Springer, Ph.D.</w:t>
              </w:r>
            </w:hyperlink>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 w:type="dxa"/>
            <w:vAlign w:val="bottom"/>
            <w:gridSpan w:val="3"/>
          </w:tcPr>
          <w:p>
            <w:pPr>
              <w:spacing w:after="0"/>
              <w:rPr>
                <w:sz w:val="21"/>
                <w:szCs w:val="21"/>
                <w:color w:val="auto"/>
              </w:rPr>
            </w:pPr>
          </w:p>
        </w:tc>
        <w:tc>
          <w:tcPr>
            <w:tcW w:w="320" w:type="dxa"/>
            <w:vAlign w:val="bottom"/>
            <w:gridSpan w:val="2"/>
          </w:tcPr>
          <w:p>
            <w:pPr>
              <w:jc w:val="center"/>
              <w:ind w:right="100"/>
              <w:spacing w:after="0"/>
              <w:rPr>
                <w:rFonts w:ascii="Arial" w:cs="Arial" w:eastAsia="Arial" w:hAnsi="Arial"/>
                <w:sz w:val="18"/>
                <w:szCs w:val="18"/>
                <w:color w:val="0000FF"/>
                <w:w w:val="87"/>
              </w:rPr>
            </w:pPr>
            <w:hyperlink r:id="rId3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Registration Rights Agreement, dated June 27,</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Borders>
              <w:top w:val="single" w:sz="8" w:color="0000FF"/>
            </w:tcBorders>
            <w:gridSpan w:val="26"/>
          </w:tcPr>
          <w:p>
            <w:pPr>
              <w:spacing w:after="0" w:line="196" w:lineRule="exact"/>
              <w:rPr>
                <w:rFonts w:ascii="Arial" w:cs="Arial" w:eastAsia="Arial" w:hAnsi="Arial"/>
                <w:sz w:val="18"/>
                <w:szCs w:val="18"/>
                <w:color w:val="0000FF"/>
                <w:w w:val="95"/>
              </w:rPr>
            </w:pPr>
            <w:hyperlink r:id="rId30">
              <w:r>
                <w:rPr>
                  <w:rFonts w:ascii="Arial" w:cs="Arial" w:eastAsia="Arial" w:hAnsi="Arial"/>
                  <w:sz w:val="18"/>
                  <w:szCs w:val="18"/>
                  <w:color w:val="0000FF"/>
                  <w:w w:val="95"/>
                </w:rPr>
                <w:t>2017, by and among the Registrant and the</w:t>
              </w:r>
            </w:hyperlink>
          </w:p>
        </w:tc>
        <w:tc>
          <w:tcPr>
            <w:tcW w:w="1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Investors named therein.</w:t>
              </w:r>
            </w:hyperlink>
          </w:p>
        </w:tc>
        <w:tc>
          <w:tcPr>
            <w:tcW w:w="360" w:type="dxa"/>
            <w:vAlign w:val="bottom"/>
            <w:gridSpan w:val="12"/>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5"/>
          </w:tcPr>
          <w:p>
            <w:pPr>
              <w:jc w:val="center"/>
              <w:ind w:left="30"/>
              <w:spacing w:after="0"/>
              <w:rPr>
                <w:rFonts w:ascii="Arial" w:cs="Arial" w:eastAsia="Arial" w:hAnsi="Arial"/>
                <w:sz w:val="18"/>
                <w:szCs w:val="18"/>
                <w:color w:val="0000FF"/>
                <w:w w:val="88"/>
              </w:rPr>
            </w:pPr>
            <w:hyperlink r:id="rId3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2016 Incentive Award Plan and form of award</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agreements thereunder</w:t>
              </w:r>
            </w:hyperlink>
          </w:p>
        </w:tc>
        <w:tc>
          <w:tcPr>
            <w:tcW w:w="10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5"/>
          </w:tcPr>
          <w:p>
            <w:pPr>
              <w:jc w:val="center"/>
              <w:ind w:left="30"/>
              <w:spacing w:after="0"/>
              <w:rPr>
                <w:rFonts w:ascii="Arial" w:cs="Arial" w:eastAsia="Arial" w:hAnsi="Arial"/>
                <w:sz w:val="18"/>
                <w:szCs w:val="18"/>
                <w:color w:val="0000FF"/>
                <w:w w:val="88"/>
              </w:rPr>
            </w:pPr>
            <w:hyperlink r:id="rId3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rPr>
            </w:pPr>
            <w:hyperlink r:id="rId32">
              <w:r>
                <w:rPr>
                  <w:rFonts w:ascii="Arial" w:cs="Arial" w:eastAsia="Arial" w:hAnsi="Arial"/>
                  <w:sz w:val="18"/>
                  <w:szCs w:val="18"/>
                  <w:color w:val="0000FF"/>
                </w:rPr>
                <w:t>2016 Employee Stock Purchase Plan</w:t>
              </w:r>
            </w:hyperlink>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5"/>
          </w:tcPr>
          <w:p>
            <w:pPr>
              <w:jc w:val="center"/>
              <w:ind w:left="30"/>
              <w:spacing w:after="0"/>
              <w:rPr>
                <w:rFonts w:ascii="Arial" w:cs="Arial" w:eastAsia="Arial" w:hAnsi="Arial"/>
                <w:sz w:val="18"/>
                <w:szCs w:val="18"/>
                <w:color w:val="0000FF"/>
                <w:w w:val="88"/>
              </w:rPr>
            </w:pPr>
            <w:hyperlink r:id="rId3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2018 Employment Inducement Incentive Award</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88"/>
              </w:rPr>
            </w:pPr>
            <w:hyperlink r:id="rId33">
              <w:r>
                <w:rPr>
                  <w:rFonts w:ascii="Arial" w:cs="Arial" w:eastAsia="Arial" w:hAnsi="Arial"/>
                  <w:sz w:val="18"/>
                  <w:szCs w:val="18"/>
                  <w:color w:val="0000FF"/>
                  <w:w w:val="88"/>
                </w:rPr>
                <w:t>Plan, and form of agreements thereunder</w:t>
              </w:r>
            </w:hyperlink>
          </w:p>
        </w:tc>
        <w:tc>
          <w:tcPr>
            <w:tcW w:w="520" w:type="dxa"/>
            <w:vAlign w:val="bottom"/>
            <w:tcBorders>
              <w:top w:val="single" w:sz="8" w:color="0000FF"/>
            </w:tcBorders>
            <w:gridSpan w:val="14"/>
          </w:tcPr>
          <w:p>
            <w:pPr>
              <w:spacing w:after="0"/>
              <w:rPr>
                <w:sz w:val="17"/>
                <w:szCs w:val="17"/>
                <w:color w:val="auto"/>
              </w:rPr>
            </w:pPr>
          </w:p>
        </w:tc>
      </w:tr>
      <w:tr>
        <w:trPr>
          <w:trHeight w:val="250"/>
        </w:trPr>
        <w:tc>
          <w:tcPr>
            <w:tcW w:w="520" w:type="dxa"/>
            <w:vAlign w:val="bottom"/>
            <w:gridSpan w:val="5"/>
          </w:tcPr>
          <w:p>
            <w:pPr>
              <w:jc w:val="center"/>
              <w:ind w:left="30"/>
              <w:spacing w:after="0"/>
              <w:rPr>
                <w:rFonts w:ascii="Arial" w:cs="Arial" w:eastAsia="Arial" w:hAnsi="Arial"/>
                <w:sz w:val="18"/>
                <w:szCs w:val="18"/>
                <w:color w:val="0000FF"/>
                <w:w w:val="88"/>
              </w:rPr>
            </w:pPr>
            <w:hyperlink r:id="rId3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2008 Stock Incentive Plan and form of award</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agreements thereunder</w:t>
              </w:r>
            </w:hyperlink>
          </w:p>
        </w:tc>
        <w:tc>
          <w:tcPr>
            <w:tcW w:w="180" w:type="dxa"/>
            <w:vAlign w:val="bottom"/>
            <w:gridSpan w:val="6"/>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5"/>
          </w:tcPr>
          <w:p>
            <w:pPr>
              <w:jc w:val="center"/>
              <w:ind w:left="30"/>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rPr>
            </w:pPr>
            <w:hyperlink r:id="rId35">
              <w:r>
                <w:rPr>
                  <w:rFonts w:ascii="Arial" w:cs="Arial" w:eastAsia="Arial" w:hAnsi="Arial"/>
                  <w:sz w:val="18"/>
                  <w:szCs w:val="18"/>
                  <w:color w:val="0000FF"/>
                </w:rPr>
                <w:t>Non-Employee Director Compensation</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Program</w:t>
              </w:r>
            </w:hyperlink>
          </w:p>
        </w:tc>
        <w:tc>
          <w:tcPr>
            <w:tcW w:w="2200" w:type="dxa"/>
            <w:vAlign w:val="bottom"/>
            <w:tcBorders>
              <w:top w:val="single" w:sz="8" w:color="0000FF"/>
            </w:tcBorders>
            <w:gridSpan w:val="10"/>
          </w:tcPr>
          <w:p>
            <w:pPr>
              <w:spacing w:after="0"/>
              <w:rPr>
                <w:sz w:val="17"/>
                <w:szCs w:val="17"/>
                <w:color w:val="auto"/>
              </w:rPr>
            </w:pPr>
          </w:p>
        </w:tc>
        <w:tc>
          <w:tcPr>
            <w:tcW w:w="640" w:type="dxa"/>
            <w:vAlign w:val="bottom"/>
            <w:gridSpan w:val="17"/>
          </w:tcPr>
          <w:p>
            <w:pPr>
              <w:spacing w:after="0"/>
              <w:rPr>
                <w:sz w:val="17"/>
                <w:szCs w:val="17"/>
                <w:color w:val="auto"/>
              </w:rPr>
            </w:pPr>
          </w:p>
        </w:tc>
      </w:tr>
      <w:tr>
        <w:trPr>
          <w:trHeight w:val="250"/>
        </w:trPr>
        <w:tc>
          <w:tcPr>
            <w:tcW w:w="520" w:type="dxa"/>
            <w:vAlign w:val="bottom"/>
            <w:gridSpan w:val="5"/>
          </w:tcPr>
          <w:p>
            <w:pPr>
              <w:jc w:val="center"/>
              <w:ind w:left="30"/>
              <w:spacing w:after="0"/>
              <w:rPr>
                <w:rFonts w:ascii="Arial" w:cs="Arial" w:eastAsia="Arial" w:hAnsi="Arial"/>
                <w:sz w:val="18"/>
                <w:szCs w:val="18"/>
                <w:color w:val="0000FF"/>
                <w:w w:val="88"/>
              </w:rPr>
            </w:pPr>
            <w:hyperlink r:id="rId3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6#</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60" w:type="dxa"/>
            <w:vAlign w:val="bottom"/>
            <w:gridSpan w:val="29"/>
          </w:tcPr>
          <w:p>
            <w:pPr>
              <w:spacing w:after="0"/>
              <w:rPr>
                <w:rFonts w:ascii="Arial" w:cs="Arial" w:eastAsia="Arial" w:hAnsi="Arial"/>
                <w:sz w:val="18"/>
                <w:szCs w:val="18"/>
                <w:color w:val="0000FF"/>
              </w:rPr>
            </w:pPr>
            <w:hyperlink r:id="rId36">
              <w:r>
                <w:rPr>
                  <w:rFonts w:ascii="Arial" w:cs="Arial" w:eastAsia="Arial" w:hAnsi="Arial"/>
                  <w:sz w:val="18"/>
                  <w:szCs w:val="18"/>
                  <w:color w:val="0000FF"/>
                </w:rPr>
                <w:t>Form of Indemnification Agreement for</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Directors and Officers</w:t>
              </w:r>
            </w:hyperlink>
          </w:p>
        </w:tc>
        <w:tc>
          <w:tcPr>
            <w:tcW w:w="580" w:type="dxa"/>
            <w:vAlign w:val="bottom"/>
            <w:gridSpan w:val="16"/>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7"/>
          </w:tcPr>
          <w:p>
            <w:pPr>
              <w:jc w:val="center"/>
              <w:ind w:right="520"/>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7(a)†</w:t>
              </w:r>
            </w:hyperlink>
          </w:p>
        </w:tc>
        <w:tc>
          <w:tcPr>
            <w:tcW w:w="3460" w:type="dxa"/>
            <w:vAlign w:val="bottom"/>
            <w:gridSpan w:val="29"/>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Exclusive Patent License Agreement, dated as</w:t>
              </w:r>
            </w:hyperlink>
          </w:p>
        </w:tc>
      </w:tr>
      <w:tr>
        <w:trPr>
          <w:trHeight w:val="196"/>
        </w:trPr>
        <w:tc>
          <w:tcPr>
            <w:tcW w:w="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of November 25, 2008, by and between the</w:t>
              </w:r>
            </w:hyperlink>
          </w:p>
        </w:tc>
        <w:tc>
          <w:tcPr>
            <w:tcW w:w="140" w:type="dxa"/>
            <w:vAlign w:val="bottom"/>
            <w:tcBorders>
              <w:top w:val="single" w:sz="8" w:color="0000FF"/>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6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Registrant and the Massachusetts Institute of</w:t>
              </w:r>
            </w:hyperlink>
          </w:p>
        </w:tc>
        <w:tc>
          <w:tcPr>
            <w:tcW w:w="20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Technology</w:t>
              </w:r>
            </w:hyperlink>
          </w:p>
        </w:tc>
      </w:tr>
      <w:tr>
        <w:trPr>
          <w:trHeight w:val="20"/>
        </w:trPr>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7"/>
          </w:tcPr>
          <w:p>
            <w:pPr>
              <w:jc w:val="center"/>
              <w:ind w:right="540"/>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7(b)†</w:t>
              </w:r>
            </w:hyperlink>
          </w:p>
        </w:tc>
        <w:tc>
          <w:tcPr>
            <w:tcW w:w="3460" w:type="dxa"/>
            <w:vAlign w:val="bottom"/>
            <w:gridSpan w:val="29"/>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First Amendment to Exclusive Patent License</w:t>
              </w:r>
            </w:hyperlink>
          </w:p>
        </w:tc>
      </w:tr>
      <w:tr>
        <w:trPr>
          <w:trHeight w:val="196"/>
        </w:trPr>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32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Agreement, dated as of January 12, 2010, by</w:t>
              </w:r>
            </w:hyperlink>
          </w:p>
        </w:tc>
        <w:tc>
          <w:tcPr>
            <w:tcW w:w="60" w:type="dxa"/>
            <w:vAlign w:val="bottom"/>
            <w:tcBorders>
              <w:top w:val="single" w:sz="8" w:color="0000FF"/>
            </w:tcBorders>
            <w:gridSpan w:val="3"/>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20" w:type="dxa"/>
            <w:vAlign w:val="bottom"/>
            <w:tcBorders>
              <w:bottom w:val="single" w:sz="8" w:color="0000FF"/>
            </w:tcBorders>
            <w:gridSpan w:val="8"/>
          </w:tcPr>
          <w:p>
            <w:pPr>
              <w:spacing w:after="0" w:line="196" w:lineRule="exact"/>
              <w:rPr>
                <w:rFonts w:ascii="Arial" w:cs="Arial" w:eastAsia="Arial" w:hAnsi="Arial"/>
                <w:sz w:val="18"/>
                <w:szCs w:val="18"/>
                <w:color w:val="0000FF"/>
                <w:w w:val="87"/>
              </w:rPr>
            </w:pPr>
            <w:hyperlink r:id="rId38">
              <w:r>
                <w:rPr>
                  <w:rFonts w:ascii="Arial" w:cs="Arial" w:eastAsia="Arial" w:hAnsi="Arial"/>
                  <w:sz w:val="18"/>
                  <w:szCs w:val="18"/>
                  <w:color w:val="0000FF"/>
                  <w:w w:val="87"/>
                </w:rPr>
                <w:t>and between the Registrant and the</w:t>
              </w:r>
            </w:hyperlink>
          </w:p>
        </w:tc>
        <w:tc>
          <w:tcPr>
            <w:tcW w:w="940" w:type="dxa"/>
            <w:vAlign w:val="bottom"/>
            <w:gridSpan w:val="2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Massachusetts Institute of Technology</w:t>
              </w:r>
            </w:hyperlink>
          </w:p>
        </w:tc>
        <w:tc>
          <w:tcPr>
            <w:tcW w:w="700" w:type="dxa"/>
            <w:vAlign w:val="bottom"/>
            <w:gridSpan w:val="18"/>
          </w:tcPr>
          <w:p>
            <w:pPr>
              <w:spacing w:after="0"/>
              <w:rPr>
                <w:sz w:val="17"/>
                <w:szCs w:val="17"/>
                <w:color w:val="auto"/>
              </w:rPr>
            </w:pPr>
          </w:p>
        </w:tc>
      </w:tr>
      <w:tr>
        <w:trPr>
          <w:trHeight w:val="250"/>
        </w:trPr>
        <w:tc>
          <w:tcPr>
            <w:tcW w:w="1160" w:type="dxa"/>
            <w:vAlign w:val="bottom"/>
            <w:gridSpan w:val="7"/>
          </w:tcPr>
          <w:p>
            <w:pPr>
              <w:jc w:val="center"/>
              <w:ind w:right="520"/>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7(c)†</w:t>
              </w:r>
            </w:hyperlink>
          </w:p>
        </w:tc>
        <w:tc>
          <w:tcPr>
            <w:tcW w:w="3460" w:type="dxa"/>
            <w:vAlign w:val="bottom"/>
            <w:gridSpan w:val="29"/>
          </w:tcPr>
          <w:p>
            <w:pPr>
              <w:spacing w:after="0"/>
              <w:rPr>
                <w:rFonts w:ascii="Arial" w:cs="Arial" w:eastAsia="Arial" w:hAnsi="Arial"/>
                <w:sz w:val="18"/>
                <w:szCs w:val="18"/>
                <w:color w:val="0000FF"/>
                <w:w w:val="96"/>
              </w:rPr>
            </w:pPr>
            <w:hyperlink r:id="rId39">
              <w:r>
                <w:rPr>
                  <w:rFonts w:ascii="Arial" w:cs="Arial" w:eastAsia="Arial" w:hAnsi="Arial"/>
                  <w:sz w:val="18"/>
                  <w:szCs w:val="18"/>
                  <w:color w:val="0000FF"/>
                  <w:w w:val="96"/>
                </w:rPr>
                <w:t>Letter Agreement, dated as of November 27,</w:t>
              </w:r>
            </w:hyperlink>
          </w:p>
        </w:tc>
      </w:tr>
      <w:tr>
        <w:trPr>
          <w:trHeight w:val="196"/>
        </w:trPr>
        <w:tc>
          <w:tcPr>
            <w:tcW w:w="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25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2012, by and among the Registrant,</w:t>
              </w:r>
            </w:hyperlink>
          </w:p>
        </w:tc>
        <w:tc>
          <w:tcPr>
            <w:tcW w:w="660" w:type="dxa"/>
            <w:vAlign w:val="bottom"/>
            <w:tcBorders>
              <w:top w:val="single" w:sz="8" w:color="0000FF"/>
            </w:tcBorders>
            <w:gridSpan w:val="11"/>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Massachusetts Institute of Technology and</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Sanofi</w:t>
              </w:r>
            </w:hyperlink>
          </w:p>
        </w:tc>
        <w:tc>
          <w:tcPr>
            <w:tcW w:w="400" w:type="dxa"/>
            <w:vAlign w:val="bottom"/>
            <w:gridSpan w:val="1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7"/>
          </w:tcPr>
          <w:p>
            <w:pPr>
              <w:jc w:val="center"/>
              <w:ind w:right="540"/>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7(d)†</w:t>
              </w:r>
            </w:hyperlink>
          </w:p>
        </w:tc>
        <w:tc>
          <w:tcPr>
            <w:tcW w:w="3460" w:type="dxa"/>
            <w:vAlign w:val="bottom"/>
            <w:gridSpan w:val="29"/>
          </w:tcPr>
          <w:p>
            <w:pPr>
              <w:spacing w:after="0"/>
              <w:rPr>
                <w:rFonts w:ascii="Arial" w:cs="Arial" w:eastAsia="Arial" w:hAnsi="Arial"/>
                <w:sz w:val="18"/>
                <w:szCs w:val="18"/>
                <w:color w:val="0000FF"/>
                <w:w w:val="94"/>
              </w:rPr>
            </w:pPr>
            <w:hyperlink r:id="rId40">
              <w:r>
                <w:rPr>
                  <w:rFonts w:ascii="Arial" w:cs="Arial" w:eastAsia="Arial" w:hAnsi="Arial"/>
                  <w:sz w:val="18"/>
                  <w:szCs w:val="18"/>
                  <w:color w:val="0000FF"/>
                  <w:w w:val="94"/>
                </w:rPr>
                <w:t>Letter Amendment, dated as of November 27,</w:t>
              </w:r>
            </w:hyperlink>
          </w:p>
        </w:tc>
      </w:tr>
      <w:tr>
        <w:trPr>
          <w:trHeight w:val="196"/>
        </w:trPr>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2012, by and between the Registrant and the</w:t>
              </w:r>
            </w:hyperlink>
          </w:p>
        </w:tc>
        <w:tc>
          <w:tcPr>
            <w:tcW w:w="100" w:type="dxa"/>
            <w:vAlign w:val="bottom"/>
            <w:tcBorders>
              <w:top w:val="single" w:sz="8" w:color="0000FF"/>
            </w:tcBorders>
            <w:gridSpan w:val="5"/>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Massachusetts Institute of Technology</w:t>
              </w:r>
            </w:hyperlink>
          </w:p>
        </w:tc>
        <w:tc>
          <w:tcPr>
            <w:tcW w:w="700" w:type="dxa"/>
            <w:vAlign w:val="bottom"/>
            <w:gridSpan w:val="18"/>
          </w:tcPr>
          <w:p>
            <w:pPr>
              <w:spacing w:after="0"/>
              <w:rPr>
                <w:sz w:val="17"/>
                <w:szCs w:val="17"/>
                <w:color w:val="auto"/>
              </w:rPr>
            </w:pPr>
          </w:p>
        </w:tc>
      </w:tr>
      <w:tr>
        <w:trPr>
          <w:trHeight w:val="250"/>
        </w:trPr>
        <w:tc>
          <w:tcPr>
            <w:tcW w:w="1160" w:type="dxa"/>
            <w:vAlign w:val="bottom"/>
            <w:gridSpan w:val="7"/>
          </w:tcPr>
          <w:p>
            <w:pPr>
              <w:jc w:val="center"/>
              <w:ind w:right="520"/>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7(e)†</w:t>
              </w:r>
            </w:hyperlink>
          </w:p>
        </w:tc>
        <w:tc>
          <w:tcPr>
            <w:tcW w:w="3460" w:type="dxa"/>
            <w:vAlign w:val="bottom"/>
            <w:gridSpan w:val="29"/>
          </w:tcPr>
          <w:p>
            <w:pPr>
              <w:spacing w:after="0"/>
              <w:rPr>
                <w:rFonts w:ascii="Arial" w:cs="Arial" w:eastAsia="Arial" w:hAnsi="Arial"/>
                <w:sz w:val="18"/>
                <w:szCs w:val="18"/>
                <w:color w:val="0000FF"/>
              </w:rPr>
            </w:pPr>
            <w:hyperlink r:id="rId41">
              <w:r>
                <w:rPr>
                  <w:rFonts w:ascii="Arial" w:cs="Arial" w:eastAsia="Arial" w:hAnsi="Arial"/>
                  <w:sz w:val="18"/>
                  <w:szCs w:val="18"/>
                  <w:color w:val="0000FF"/>
                </w:rPr>
                <w:t>Second Amendment to Exclusive Patent</w:t>
              </w:r>
            </w:hyperlink>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900" w:type="dxa"/>
            <w:vAlign w:val="bottom"/>
            <w:gridSpan w:val="1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line="196"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License Agreement, dated as of August 29,</w:t>
              </w:r>
            </w:hyperlink>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Borders>
              <w:right w:val="single" w:sz="8" w:color="0000FF"/>
            </w:tcBorders>
            <w:gridSpan w:val="17"/>
            <w:shd w:val="clear" w:color="auto" w:fill="0000FF"/>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0" w:type="dxa"/>
            <w:vAlign w:val="bottom"/>
            <w:tcBorders>
              <w:bottom w:val="single" w:sz="8" w:color="0000FF"/>
            </w:tcBorders>
            <w:gridSpan w:val="19"/>
          </w:tcPr>
          <w:p>
            <w:pP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2013, by and between the Registrant and the</w:t>
              </w:r>
            </w:hyperlink>
          </w:p>
        </w:tc>
        <w:tc>
          <w:tcPr>
            <w:tcW w:w="26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Massachusetts Institute of Technology</w:t>
              </w:r>
            </w:hyperlink>
          </w:p>
        </w:tc>
        <w:tc>
          <w:tcPr>
            <w:tcW w:w="700" w:type="dxa"/>
            <w:vAlign w:val="bottom"/>
            <w:gridSpan w:val="18"/>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40" w:type="dxa"/>
            <w:vAlign w:val="bottom"/>
            <w:gridSpan w:val="6"/>
          </w:tcPr>
          <w:p>
            <w:pPr>
              <w:jc w:val="center"/>
              <w:ind w:right="560"/>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7(f)†</w:t>
              </w:r>
            </w:hyperlink>
          </w:p>
        </w:tc>
        <w:tc>
          <w:tcPr>
            <w:tcW w:w="3460" w:type="dxa"/>
            <w:vAlign w:val="bottom"/>
            <w:gridSpan w:val="29"/>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Third Amendment to Exclusive Patent License</w:t>
              </w:r>
            </w:hyperlink>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Borders>
              <w:right w:val="single" w:sz="8" w:color="0000FF"/>
            </w:tcBorders>
            <w:gridSpan w:val="2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gridSpan w:val="29"/>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Agreement, entered into on November 21, 2016</w:t>
              </w:r>
            </w:hyperlink>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Borders>
              <w:top w:val="single" w:sz="8" w:color="0000FF"/>
            </w:tcBorders>
            <w:gridSpan w:val="28"/>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and effective as of November 18, 2016, by and</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160" w:right="680"/>
        <w:spacing w:after="0" w:line="308" w:lineRule="auto"/>
        <w:rPr>
          <w:rFonts w:ascii="Arial" w:cs="Arial" w:eastAsia="Arial" w:hAnsi="Arial"/>
          <w:sz w:val="17"/>
          <w:szCs w:val="17"/>
          <w:u w:val="single" w:color="auto"/>
          <w:color w:val="0000FF"/>
        </w:rPr>
      </w:pPr>
      <w:hyperlink r:id="rId42">
        <w:r>
          <w:rPr>
            <w:rFonts w:ascii="Arial" w:cs="Arial" w:eastAsia="Arial" w:hAnsi="Arial"/>
            <w:sz w:val="17"/>
            <w:szCs w:val="17"/>
            <w:u w:val="single" w:color="auto"/>
            <w:color w:val="0000FF"/>
          </w:rPr>
          <w:t>between the Massachusetts Institute of</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Technology and the Registrant</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4.5</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1134"/>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4.6</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1134"/>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4.1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6/28/2017</w:t>
            </w:r>
          </w:p>
        </w:tc>
      </w:tr>
      <w:tr>
        <w:trPr>
          <w:trHeight w:val="70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6/28/2017</w:t>
            </w:r>
          </w:p>
        </w:tc>
      </w:tr>
      <w:tr>
        <w:trPr>
          <w:trHeight w:val="702"/>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112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486"/>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10.3</w:t>
            </w:r>
          </w:p>
        </w:tc>
        <w:tc>
          <w:tcPr>
            <w:tcW w:w="112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9/27/2018</w:t>
            </w:r>
          </w:p>
        </w:tc>
      </w:tr>
      <w:tr>
        <w:trPr>
          <w:trHeight w:val="486"/>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6/20/2016</w:t>
            </w:r>
          </w:p>
        </w:tc>
      </w:tr>
      <w:tr>
        <w:trPr>
          <w:trHeight w:val="486"/>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10.4</w:t>
            </w:r>
          </w:p>
        </w:tc>
        <w:tc>
          <w:tcPr>
            <w:tcW w:w="112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486"/>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10.5</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486"/>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10.7(a)</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918"/>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10.7(b)</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918"/>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10.7(c)</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918"/>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10.7(d)</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702"/>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10.7(e)</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5/24/2016</w:t>
            </w:r>
          </w:p>
        </w:tc>
      </w:tr>
      <w:tr>
        <w:trPr>
          <w:trHeight w:val="918"/>
        </w:trPr>
        <w:tc>
          <w:tcPr>
            <w:tcW w:w="820" w:type="dxa"/>
            <w:vAlign w:val="bottom"/>
          </w:tcPr>
          <w:p>
            <w:pPr>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10.3(a)</w:t>
            </w:r>
          </w:p>
        </w:tc>
        <w:tc>
          <w:tcPr>
            <w:tcW w:w="1120" w:type="dxa"/>
            <w:vAlign w:val="bottom"/>
          </w:tcPr>
          <w:p>
            <w:pPr>
              <w:ind w:left="300"/>
              <w:spacing w:after="0"/>
              <w:rPr>
                <w:sz w:val="20"/>
                <w:szCs w:val="20"/>
                <w:color w:val="auto"/>
              </w:rPr>
            </w:pPr>
            <w:r>
              <w:rPr>
                <w:rFonts w:ascii="Arial" w:cs="Arial" w:eastAsia="Arial" w:hAnsi="Arial"/>
                <w:sz w:val="18"/>
                <w:szCs w:val="18"/>
                <w:color w:val="auto"/>
                <w:w w:val="88"/>
              </w:rPr>
              <w:t>12/14/2016</w:t>
            </w:r>
          </w:p>
        </w:tc>
      </w:tr>
      <w:tr>
        <w:trPr>
          <w:trHeight w:val="1459"/>
        </w:trPr>
        <w:tc>
          <w:tcPr>
            <w:tcW w:w="820" w:type="dxa"/>
            <w:vAlign w:val="bottom"/>
          </w:tcPr>
          <w:p>
            <w:pPr>
              <w:ind w:left="42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2">
            <w:col w:w="4620" w:space="200"/>
            <w:col w:w="5019"/>
          </w:cols>
          <w:pgMar w:left="620" w:top="837"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jc w:val="center"/>
              <w:ind w:right="540"/>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7(g)†</w:t>
              </w:r>
            </w:hyperlink>
          </w:p>
        </w:tc>
        <w:tc>
          <w:tcPr>
            <w:tcW w:w="3460" w:type="dxa"/>
            <w:vAlign w:val="bottom"/>
            <w:gridSpan w:val="30"/>
          </w:tcPr>
          <w:p>
            <w:pPr>
              <w:spacing w:after="0"/>
              <w:rPr>
                <w:rFonts w:ascii="Arial" w:cs="Arial" w:eastAsia="Arial" w:hAnsi="Arial"/>
                <w:sz w:val="18"/>
                <w:szCs w:val="18"/>
                <w:color w:val="0000FF"/>
                <w:w w:val="99"/>
              </w:rPr>
            </w:pPr>
            <w:hyperlink r:id="rId43">
              <w:r>
                <w:rPr>
                  <w:rFonts w:ascii="Arial" w:cs="Arial" w:eastAsia="Arial" w:hAnsi="Arial"/>
                  <w:sz w:val="18"/>
                  <w:szCs w:val="18"/>
                  <w:color w:val="0000FF"/>
                  <w:w w:val="99"/>
                </w:rPr>
                <w:t>Letter Agreement, dated as of December 2,</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10.3(b)</w:t>
            </w:r>
          </w:p>
        </w:tc>
        <w:tc>
          <w:tcPr>
            <w:tcW w:w="272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196"/>
        </w:trPr>
        <w:tc>
          <w:tcPr>
            <w:tcW w:w="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3120" w:type="dxa"/>
            <w:vAlign w:val="bottom"/>
            <w:tcBorders>
              <w:top w:val="single" w:sz="8" w:color="0000FF"/>
            </w:tcBorders>
            <w:gridSpan w:val="17"/>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2016, by and between the Massachusetts</w:t>
              </w:r>
            </w:hyperlink>
          </w:p>
        </w:tc>
        <w:tc>
          <w:tcPr>
            <w:tcW w:w="34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Institute of Technology and the Registrant</w:t>
              </w:r>
            </w:hyperlink>
          </w:p>
        </w:tc>
        <w:tc>
          <w:tcPr>
            <w:tcW w:w="420" w:type="dxa"/>
            <w:vAlign w:val="bottom"/>
            <w:gridSpan w:val="14"/>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1160" w:type="dxa"/>
            <w:vAlign w:val="bottom"/>
            <w:gridSpan w:val="4"/>
          </w:tcPr>
          <w:p>
            <w:pPr>
              <w:jc w:val="center"/>
              <w:ind w:right="540"/>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7(h)†</w:t>
              </w:r>
            </w:hyperlink>
          </w:p>
        </w:tc>
        <w:tc>
          <w:tcPr>
            <w:tcW w:w="3460" w:type="dxa"/>
            <w:vAlign w:val="bottom"/>
            <w:gridSpan w:val="30"/>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Letter Agreement, dated as of December 2,</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10.3(c)</w:t>
            </w:r>
          </w:p>
        </w:tc>
        <w:tc>
          <w:tcPr>
            <w:tcW w:w="272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20"/>
        </w:trPr>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2016, by and among Spark Therapeutics, Inc.,</w:t>
              </w:r>
            </w:hyperlink>
          </w:p>
        </w:tc>
        <w:tc>
          <w:tcPr>
            <w:tcW w:w="14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the Massachusetts Institute of Technology and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r:id="rId44">
              <w:r>
                <w:rPr>
                  <w:rFonts w:ascii="Arial" w:cs="Arial" w:eastAsia="Arial" w:hAnsi="Arial"/>
                  <w:sz w:val="18"/>
                  <w:szCs w:val="18"/>
                  <w:color w:val="0000FF"/>
                  <w:w w:val="87"/>
                </w:rPr>
                <w:t>the Registrant</w:t>
              </w:r>
            </w:hyperlink>
          </w:p>
        </w:tc>
        <w:tc>
          <w:tcPr>
            <w:tcW w:w="2320" w:type="dxa"/>
            <w:vAlign w:val="bottom"/>
            <w:tcBorders>
              <w:top w:val="single" w:sz="8" w:color="0000FF"/>
            </w:tcBorders>
            <w:gridSpan w:val="21"/>
          </w:tcPr>
          <w:p>
            <w:pPr>
              <w:spacing w:after="0"/>
              <w:rPr>
                <w:sz w:val="17"/>
                <w:szCs w:val="17"/>
                <w:color w:val="auto"/>
              </w:rPr>
            </w:pPr>
          </w:p>
        </w:tc>
        <w:tc>
          <w:tcPr>
            <w:tcW w:w="14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1040" w:type="dxa"/>
            <w:vAlign w:val="bottom"/>
            <w:gridSpan w:val="3"/>
          </w:tcPr>
          <w:p>
            <w:pPr>
              <w:jc w:val="center"/>
              <w:ind w:right="640"/>
              <w:spacing w:after="0"/>
              <w:rPr>
                <w:rFonts w:ascii="Arial" w:cs="Arial" w:eastAsia="Arial" w:hAnsi="Arial"/>
                <w:sz w:val="18"/>
                <w:szCs w:val="18"/>
                <w:color w:val="0000FF"/>
                <w:w w:val="88"/>
              </w:rPr>
            </w:pPr>
            <w:hyperlink r:id="rId4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8†</w:t>
              </w:r>
            </w:hyperlink>
          </w:p>
        </w:tc>
        <w:tc>
          <w:tcPr>
            <w:tcW w:w="3460" w:type="dxa"/>
            <w:vAlign w:val="bottom"/>
            <w:gridSpan w:val="30"/>
          </w:tcPr>
          <w:p>
            <w:pPr>
              <w:spacing w:after="0"/>
              <w:rPr>
                <w:rFonts w:ascii="Arial" w:cs="Arial" w:eastAsia="Arial" w:hAnsi="Arial"/>
                <w:sz w:val="18"/>
                <w:szCs w:val="18"/>
                <w:color w:val="0000FF"/>
                <w:w w:val="97"/>
              </w:rPr>
            </w:pPr>
            <w:hyperlink r:id="rId45">
              <w:r>
                <w:rPr>
                  <w:rFonts w:ascii="Arial" w:cs="Arial" w:eastAsia="Arial" w:hAnsi="Arial"/>
                  <w:sz w:val="18"/>
                  <w:szCs w:val="18"/>
                  <w:color w:val="0000FF"/>
                  <w:w w:val="97"/>
                </w:rPr>
                <w:t>Amended and Restated License Agreement,</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10.6</w:t>
            </w:r>
          </w:p>
        </w:tc>
        <w:tc>
          <w:tcPr>
            <w:tcW w:w="2720" w:type="dxa"/>
            <w:vAlign w:val="bottom"/>
          </w:tcPr>
          <w:p>
            <w:pPr>
              <w:ind w:left="300"/>
              <w:spacing w:after="0"/>
              <w:rPr>
                <w:sz w:val="20"/>
                <w:szCs w:val="20"/>
                <w:color w:val="auto"/>
              </w:rPr>
            </w:pPr>
            <w:r>
              <w:rPr>
                <w:rFonts w:ascii="Arial" w:cs="Arial" w:eastAsia="Arial" w:hAnsi="Arial"/>
                <w:sz w:val="18"/>
                <w:szCs w:val="18"/>
                <w:color w:val="auto"/>
              </w:rPr>
              <w:t>8/11/2017</w:t>
            </w: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dated as of May 31, 2017, by and between the</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7"/>
              </w:rPr>
            </w:pPr>
            <w:hyperlink r:id="rId45">
              <w:r>
                <w:rPr>
                  <w:rFonts w:ascii="Arial" w:cs="Arial" w:eastAsia="Arial" w:hAnsi="Arial"/>
                  <w:sz w:val="18"/>
                  <w:szCs w:val="18"/>
                  <w:color w:val="0000FF"/>
                  <w:w w:val="87"/>
                </w:rPr>
                <w:t>Registrant and Shenyang Sunshine</w:t>
              </w:r>
            </w:hyperlink>
          </w:p>
        </w:tc>
        <w:tc>
          <w:tcPr>
            <w:tcW w:w="800" w:type="dxa"/>
            <w:vAlign w:val="bottom"/>
            <w:tcBorders>
              <w:top w:val="single" w:sz="8" w:color="0000FF"/>
            </w:tcBorders>
            <w:gridSpan w:val="12"/>
          </w:tcPr>
          <w:p>
            <w:pPr>
              <w:spacing w:after="0"/>
              <w:rPr>
                <w:sz w:val="17"/>
                <w:szCs w:val="17"/>
                <w:color w:val="auto"/>
              </w:rPr>
            </w:pPr>
          </w:p>
        </w:tc>
        <w:tc>
          <w:tcPr>
            <w:tcW w:w="16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Pharmaceutical Co., Ltd.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 w:type="dxa"/>
            <w:vAlign w:val="bottom"/>
            <w:gridSpan w:val="3"/>
          </w:tcPr>
          <w:p>
            <w:pPr>
              <w:jc w:val="center"/>
              <w:ind w:right="640"/>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9†</w:t>
              </w:r>
            </w:hyperlink>
          </w:p>
        </w:tc>
        <w:tc>
          <w:tcPr>
            <w:tcW w:w="3460" w:type="dxa"/>
            <w:vAlign w:val="bottom"/>
            <w:gridSpan w:val="30"/>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Manufacturing Services Agreement, dated as of</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10.10</w:t>
            </w:r>
          </w:p>
        </w:tc>
        <w:tc>
          <w:tcPr>
            <w:tcW w:w="2720" w:type="dxa"/>
            <w:vAlign w:val="bottom"/>
          </w:tcPr>
          <w:p>
            <w:pPr>
              <w:ind w:left="300"/>
              <w:spacing w:after="0"/>
              <w:rPr>
                <w:sz w:val="20"/>
                <w:szCs w:val="20"/>
                <w:color w:val="auto"/>
              </w:rPr>
            </w:pPr>
            <w:r>
              <w:rPr>
                <w:rFonts w:ascii="Arial" w:cs="Arial" w:eastAsia="Arial" w:hAnsi="Arial"/>
                <w:sz w:val="18"/>
                <w:szCs w:val="18"/>
                <w:color w:val="auto"/>
              </w:rPr>
              <w:t>5/24/2016</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tcBorders>
              <w:top w:val="single" w:sz="8" w:color="0000FF"/>
            </w:tcBorders>
            <w:gridSpan w:val="29"/>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August 1, 2014, by and between the Registrant</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7"/>
              </w:rPr>
            </w:pPr>
            <w:hyperlink r:id="rId46">
              <w:r>
                <w:rPr>
                  <w:rFonts w:ascii="Arial" w:cs="Arial" w:eastAsia="Arial" w:hAnsi="Arial"/>
                  <w:sz w:val="18"/>
                  <w:szCs w:val="18"/>
                  <w:color w:val="0000FF"/>
                  <w:w w:val="87"/>
                </w:rPr>
                <w:t>and Shenyang Sunshine Pharmaceutical Co.,</w:t>
              </w:r>
            </w:hyperlink>
          </w:p>
        </w:tc>
        <w:tc>
          <w:tcPr>
            <w:tcW w:w="140" w:type="dxa"/>
            <w:vAlign w:val="bottom"/>
            <w:tcBorders>
              <w:top w:val="single" w:sz="8" w:color="0000FF"/>
            </w:tcBorders>
            <w:gridSpan w:val="6"/>
          </w:tcPr>
          <w:p>
            <w:pPr>
              <w:spacing w:after="0"/>
              <w:rPr>
                <w:sz w:val="17"/>
                <w:szCs w:val="17"/>
                <w:color w:val="auto"/>
              </w:rPr>
            </w:pPr>
          </w:p>
        </w:tc>
        <w:tc>
          <w:tcPr>
            <w:tcW w:w="10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Ltd.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 w:type="dxa"/>
            <w:vAlign w:val="bottom"/>
            <w:gridSpan w:val="3"/>
          </w:tcPr>
          <w:p>
            <w:pPr>
              <w:jc w:val="center"/>
              <w:ind w:right="600"/>
              <w:spacing w:after="0"/>
              <w:rPr>
                <w:rFonts w:ascii="Arial" w:cs="Arial" w:eastAsia="Arial" w:hAnsi="Arial"/>
                <w:sz w:val="18"/>
                <w:szCs w:val="18"/>
                <w:color w:val="0000FF"/>
                <w:w w:val="79"/>
              </w:rPr>
            </w:pPr>
            <w:hyperlink r:id="rId47">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10†</w:t>
              </w:r>
            </w:hyperlink>
          </w:p>
        </w:tc>
        <w:tc>
          <w:tcPr>
            <w:tcW w:w="3460" w:type="dxa"/>
            <w:vAlign w:val="bottom"/>
            <w:gridSpan w:val="30"/>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Exclusive License Agreement, dated as of May</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10.12</w:t>
            </w:r>
          </w:p>
        </w:tc>
        <w:tc>
          <w:tcPr>
            <w:tcW w:w="2720" w:type="dxa"/>
            <w:vAlign w:val="bottom"/>
          </w:tcPr>
          <w:p>
            <w:pPr>
              <w:ind w:left="300"/>
              <w:spacing w:after="0"/>
              <w:rPr>
                <w:sz w:val="20"/>
                <w:szCs w:val="20"/>
                <w:color w:val="auto"/>
              </w:rPr>
            </w:pPr>
            <w:r>
              <w:rPr>
                <w:rFonts w:ascii="Arial" w:cs="Arial" w:eastAsia="Arial" w:hAnsi="Arial"/>
                <w:sz w:val="18"/>
                <w:szCs w:val="18"/>
                <w:color w:val="auto"/>
              </w:rPr>
              <w:t>5/24/2016</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88"/>
              </w:rPr>
            </w:pPr>
            <w:hyperlink r:id="rId47">
              <w:r>
                <w:rPr>
                  <w:rFonts w:ascii="Arial" w:cs="Arial" w:eastAsia="Arial" w:hAnsi="Arial"/>
                  <w:sz w:val="18"/>
                  <w:szCs w:val="18"/>
                  <w:color w:val="0000FF"/>
                  <w:w w:val="88"/>
                </w:rPr>
                <w:t>17, 2016, by and among the Registrant, the</w:t>
              </w:r>
            </w:hyperlink>
          </w:p>
        </w:tc>
        <w:tc>
          <w:tcPr>
            <w:tcW w:w="280" w:type="dxa"/>
            <w:vAlign w:val="bottom"/>
            <w:tcBorders>
              <w:top w:val="single" w:sz="8" w:color="0000FF"/>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Massachusetts Eye and Ear Infirmary and The</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Schepens Eye Research Institute, Inc.</w:t>
              </w:r>
            </w:hyperlink>
          </w:p>
        </w:tc>
        <w:tc>
          <w:tcPr>
            <w:tcW w:w="14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 w:type="dxa"/>
            <w:vAlign w:val="bottom"/>
            <w:gridSpan w:val="3"/>
          </w:tcPr>
          <w:p>
            <w:pPr>
              <w:jc w:val="center"/>
              <w:ind w:right="600"/>
              <w:spacing w:after="0"/>
              <w:rPr>
                <w:rFonts w:ascii="Arial" w:cs="Arial" w:eastAsia="Arial" w:hAnsi="Arial"/>
                <w:sz w:val="18"/>
                <w:szCs w:val="18"/>
                <w:color w:val="0000FF"/>
                <w:w w:val="79"/>
              </w:rPr>
            </w:pPr>
            <w:hyperlink r:id="rId48">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11†</w:t>
              </w:r>
            </w:hyperlink>
          </w:p>
        </w:tc>
        <w:tc>
          <w:tcPr>
            <w:tcW w:w="3460" w:type="dxa"/>
            <w:vAlign w:val="bottom"/>
            <w:gridSpan w:val="30"/>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Lease, dated as of September 30, 2008, as</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10.13</w:t>
            </w:r>
          </w:p>
        </w:tc>
        <w:tc>
          <w:tcPr>
            <w:tcW w:w="2720" w:type="dxa"/>
            <w:vAlign w:val="bottom"/>
          </w:tcPr>
          <w:p>
            <w:pPr>
              <w:ind w:left="300"/>
              <w:spacing w:after="0"/>
              <w:rPr>
                <w:sz w:val="20"/>
                <w:szCs w:val="20"/>
                <w:color w:val="auto"/>
              </w:rPr>
            </w:pPr>
            <w:r>
              <w:rPr>
                <w:rFonts w:ascii="Arial" w:cs="Arial" w:eastAsia="Arial" w:hAnsi="Arial"/>
                <w:sz w:val="18"/>
                <w:szCs w:val="18"/>
                <w:color w:val="auto"/>
              </w:rPr>
              <w:t>5/24/2016</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amended by the First Amendment, dated as of</w:t>
              </w:r>
            </w:hyperlink>
          </w:p>
        </w:tc>
        <w:tc>
          <w:tcPr>
            <w:tcW w:w="14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r:id="rId48">
              <w:r>
                <w:rPr>
                  <w:rFonts w:ascii="Arial" w:cs="Arial" w:eastAsia="Arial" w:hAnsi="Arial"/>
                  <w:sz w:val="18"/>
                  <w:szCs w:val="18"/>
                  <w:color w:val="0000FF"/>
                  <w:w w:val="88"/>
                </w:rPr>
                <w:t>July 12, 2011, the Second Amendment, dated as</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of October 11, 2011 and the Third Amendment,</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20" w:type="dxa"/>
            <w:vAlign w:val="bottom"/>
            <w:tcBorders>
              <w:top w:val="single" w:sz="8" w:color="0000FF"/>
            </w:tcBorders>
            <w:gridSpan w:val="28"/>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dated as of April 6, 2015, by and between the</w:t>
              </w:r>
            </w:hyperlink>
          </w:p>
        </w:tc>
        <w:tc>
          <w:tcPr>
            <w:tcW w:w="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Registrant and ARE-480 Arsenal Street, LLC</w:t>
              </w:r>
            </w:hyperlink>
          </w:p>
        </w:tc>
        <w:tc>
          <w:tcPr>
            <w:tcW w:w="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1040" w:type="dxa"/>
            <w:vAlign w:val="bottom"/>
            <w:gridSpan w:val="3"/>
          </w:tcPr>
          <w:p>
            <w:pPr>
              <w:jc w:val="center"/>
              <w:ind w:right="600"/>
              <w:spacing w:after="0"/>
              <w:rPr>
                <w:rFonts w:ascii="Arial" w:cs="Arial" w:eastAsia="Arial" w:hAnsi="Arial"/>
                <w:sz w:val="18"/>
                <w:szCs w:val="18"/>
                <w:color w:val="0000FF"/>
                <w:w w:val="79"/>
              </w:rPr>
            </w:pPr>
            <w:hyperlink r:id="rId4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12†</w:t>
              </w:r>
            </w:hyperlink>
          </w:p>
        </w:tc>
        <w:tc>
          <w:tcPr>
            <w:tcW w:w="3460" w:type="dxa"/>
            <w:vAlign w:val="bottom"/>
            <w:gridSpan w:val="30"/>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Fourth Amendment to Lease, dated August 21,</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2720" w:type="dxa"/>
            <w:vAlign w:val="bottom"/>
          </w:tcPr>
          <w:p>
            <w:pPr>
              <w:ind w:left="300"/>
              <w:spacing w:after="0"/>
              <w:rPr>
                <w:sz w:val="20"/>
                <w:szCs w:val="20"/>
                <w:color w:val="auto"/>
              </w:rPr>
            </w:pPr>
            <w:r>
              <w:rPr>
                <w:rFonts w:ascii="Arial" w:cs="Arial" w:eastAsia="Arial" w:hAnsi="Arial"/>
                <w:sz w:val="18"/>
                <w:szCs w:val="18"/>
                <w:color w:val="auto"/>
              </w:rPr>
              <w:t>9/14/2016</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2016, by and between ARE-480 Arsenal Street</w:t>
              </w:r>
            </w:hyperlink>
          </w:p>
        </w:tc>
        <w:tc>
          <w:tcPr>
            <w:tcW w:w="8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LLC and Selecta Biosciences, Inc.</w:t>
              </w:r>
            </w:hyperlink>
          </w:p>
        </w:tc>
        <w:tc>
          <w:tcPr>
            <w:tcW w:w="980" w:type="dxa"/>
            <w:vAlign w:val="bottom"/>
            <w:gridSpan w:val="22"/>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500" w:type="dxa"/>
            <w:vAlign w:val="bottom"/>
            <w:gridSpan w:val="2"/>
          </w:tcPr>
          <w:p>
            <w:pPr>
              <w:jc w:val="center"/>
              <w:ind w:right="60"/>
              <w:spacing w:after="0"/>
              <w:rPr>
                <w:rFonts w:ascii="Arial" w:cs="Arial" w:eastAsia="Arial" w:hAnsi="Arial"/>
                <w:sz w:val="18"/>
                <w:szCs w:val="18"/>
                <w:color w:val="0000FF"/>
                <w:w w:val="79"/>
              </w:rPr>
            </w:pPr>
            <w:hyperlink r:id="rId50">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13#</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Consulting Agreement, dated as of May 30,</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2720" w:type="dxa"/>
            <w:vAlign w:val="bottom"/>
          </w:tcPr>
          <w:p>
            <w:pPr>
              <w:ind w:left="300"/>
              <w:spacing w:after="0"/>
              <w:rPr>
                <w:sz w:val="20"/>
                <w:szCs w:val="20"/>
                <w:color w:val="auto"/>
              </w:rPr>
            </w:pPr>
            <w:r>
              <w:rPr>
                <w:rFonts w:ascii="Arial" w:cs="Arial" w:eastAsia="Arial" w:hAnsi="Arial"/>
                <w:sz w:val="18"/>
                <w:szCs w:val="18"/>
                <w:color w:val="auto"/>
              </w:rPr>
              <w:t>8/8/2018</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2018, by and between the Registrant and Omid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Farokhzad</w:t>
              </w:r>
            </w:hyperlink>
          </w:p>
        </w:tc>
        <w:tc>
          <w:tcPr>
            <w:tcW w:w="2620" w:type="dxa"/>
            <w:vAlign w:val="bottom"/>
            <w:tcBorders>
              <w:top w:val="single" w:sz="8" w:color="0000FF"/>
            </w:tcBorders>
            <w:gridSpan w:val="24"/>
          </w:tcPr>
          <w:p>
            <w:pPr>
              <w:spacing w:after="0"/>
              <w:rPr>
                <w:sz w:val="17"/>
                <w:szCs w:val="17"/>
                <w:color w:val="auto"/>
              </w:rPr>
            </w:pPr>
          </w:p>
        </w:tc>
        <w:tc>
          <w:tcPr>
            <w:tcW w:w="8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500" w:type="dxa"/>
            <w:vAlign w:val="bottom"/>
            <w:gridSpan w:val="2"/>
          </w:tcPr>
          <w:p>
            <w:pPr>
              <w:jc w:val="center"/>
              <w:ind w:right="60"/>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14#</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96"/>
              </w:rPr>
            </w:pPr>
            <w:hyperlink w:anchor="page136">
              <w:r>
                <w:rPr>
                  <w:rFonts w:ascii="Arial" w:cs="Arial" w:eastAsia="Arial" w:hAnsi="Arial"/>
                  <w:sz w:val="18"/>
                  <w:szCs w:val="18"/>
                  <w:color w:val="0000FF"/>
                  <w:w w:val="96"/>
                </w:rPr>
                <w:t>Amendment to Consulting Agreement, dated</w:t>
              </w:r>
            </w:hyperlink>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720" w:type="dxa"/>
            <w:vAlign w:val="bottom"/>
          </w:tcPr>
          <w:p>
            <w:pPr>
              <w:ind w:left="2640"/>
              <w:spacing w:after="0"/>
              <w:rPr>
                <w:sz w:val="20"/>
                <w:szCs w:val="20"/>
                <w:color w:val="auto"/>
              </w:rPr>
            </w:pPr>
            <w:r>
              <w:rPr>
                <w:rFonts w:ascii="Arial" w:cs="Arial" w:eastAsia="Arial" w:hAnsi="Arial"/>
                <w:sz w:val="18"/>
                <w:szCs w:val="18"/>
                <w:color w:val="auto"/>
                <w:w w:val="84"/>
              </w:rPr>
              <w:t>*</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w:anchor="page136">
              <w:r>
                <w:rPr>
                  <w:rFonts w:ascii="Arial" w:cs="Arial" w:eastAsia="Arial" w:hAnsi="Arial"/>
                  <w:sz w:val="18"/>
                  <w:szCs w:val="18"/>
                  <w:color w:val="0000FF"/>
                  <w:w w:val="90"/>
                </w:rPr>
                <w:t>December 31, 2018, to Consulting Agreement</w:t>
              </w:r>
            </w:hyperlink>
          </w:p>
        </w:tc>
        <w:tc>
          <w:tcPr>
            <w:tcW w:w="12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by and between Registrant and Omid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Farokzhad, dated May 30, 2018</w:t>
              </w:r>
            </w:hyperlink>
          </w:p>
        </w:tc>
        <w:tc>
          <w:tcPr>
            <w:tcW w:w="760" w:type="dxa"/>
            <w:vAlign w:val="bottom"/>
            <w:gridSpan w:val="19"/>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00" w:type="dxa"/>
            <w:vAlign w:val="bottom"/>
            <w:gridSpan w:val="2"/>
          </w:tcPr>
          <w:p>
            <w:pPr>
              <w:jc w:val="center"/>
              <w:ind w:right="60"/>
              <w:spacing w:after="0"/>
              <w:rPr>
                <w:rFonts w:ascii="Arial" w:cs="Arial" w:eastAsia="Arial" w:hAnsi="Arial"/>
                <w:sz w:val="18"/>
                <w:szCs w:val="18"/>
                <w:color w:val="0000FF"/>
                <w:w w:val="79"/>
              </w:rPr>
            </w:pPr>
            <w:hyperlink r:id="rId51">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15#</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Summary of Oral Agreement, by and between</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10.16</w:t>
            </w:r>
          </w:p>
        </w:tc>
        <w:tc>
          <w:tcPr>
            <w:tcW w:w="272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the Registrant and Omid Farokhzad</w:t>
              </w:r>
            </w:hyperlink>
          </w:p>
        </w:tc>
        <w:tc>
          <w:tcPr>
            <w:tcW w:w="14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00" w:type="dxa"/>
            <w:vAlign w:val="bottom"/>
            <w:gridSpan w:val="2"/>
          </w:tcPr>
          <w:p>
            <w:pPr>
              <w:jc w:val="center"/>
              <w:ind w:right="60"/>
              <w:spacing w:after="0"/>
              <w:rPr>
                <w:rFonts w:ascii="Arial" w:cs="Arial" w:eastAsia="Arial" w:hAnsi="Arial"/>
                <w:sz w:val="18"/>
                <w:szCs w:val="18"/>
                <w:color w:val="0000FF"/>
                <w:w w:val="79"/>
              </w:rPr>
            </w:pPr>
            <w:hyperlink r:id="rId5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16#</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96"/>
              </w:rPr>
            </w:pPr>
            <w:hyperlink r:id="rId52">
              <w:r>
                <w:rPr>
                  <w:rFonts w:ascii="Arial" w:cs="Arial" w:eastAsia="Arial" w:hAnsi="Arial"/>
                  <w:sz w:val="18"/>
                  <w:szCs w:val="18"/>
                  <w:color w:val="0000FF"/>
                  <w:w w:val="96"/>
                </w:rPr>
                <w:t>Employment Agreement, dated as of June 6,</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10.17</w:t>
            </w:r>
          </w:p>
        </w:tc>
        <w:tc>
          <w:tcPr>
            <w:tcW w:w="272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Borders>
              <w:top w:val="single" w:sz="8" w:color="0000FF"/>
            </w:tcBorders>
            <w:gridSpan w:val="19"/>
          </w:tcPr>
          <w:p>
            <w:pPr>
              <w:spacing w:after="0" w:line="196" w:lineRule="exact"/>
              <w:rPr>
                <w:rFonts w:ascii="Arial" w:cs="Arial" w:eastAsia="Arial" w:hAnsi="Arial"/>
                <w:sz w:val="18"/>
                <w:szCs w:val="18"/>
                <w:color w:val="0000FF"/>
                <w:w w:val="96"/>
              </w:rPr>
            </w:pPr>
            <w:hyperlink r:id="rId52">
              <w:r>
                <w:rPr>
                  <w:rFonts w:ascii="Arial" w:cs="Arial" w:eastAsia="Arial" w:hAnsi="Arial"/>
                  <w:sz w:val="18"/>
                  <w:szCs w:val="18"/>
                  <w:color w:val="0000FF"/>
                  <w:w w:val="96"/>
                </w:rPr>
                <w:t>2016, by and between the Registrant and</w:t>
              </w:r>
            </w:hyperlink>
          </w:p>
        </w:tc>
        <w:tc>
          <w:tcPr>
            <w:tcW w:w="24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Werner Cautreels</w:t>
              </w:r>
            </w:hyperlink>
          </w:p>
        </w:tc>
        <w:tc>
          <w:tcPr>
            <w:tcW w:w="540" w:type="dxa"/>
            <w:vAlign w:val="bottom"/>
            <w:gridSpan w:val="16"/>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00" w:type="dxa"/>
            <w:vAlign w:val="bottom"/>
            <w:gridSpan w:val="2"/>
          </w:tcPr>
          <w:p>
            <w:pPr>
              <w:jc w:val="center"/>
              <w:ind w:right="60"/>
              <w:spacing w:after="0"/>
              <w:rPr>
                <w:rFonts w:ascii="Arial" w:cs="Arial" w:eastAsia="Arial" w:hAnsi="Arial"/>
                <w:sz w:val="18"/>
                <w:szCs w:val="18"/>
                <w:color w:val="0000FF"/>
                <w:w w:val="79"/>
              </w:rPr>
            </w:pPr>
            <w:hyperlink r:id="rId53">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17#</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Separation Agreement and Release, dated as of</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2720" w:type="dxa"/>
            <w:vAlign w:val="bottom"/>
          </w:tcPr>
          <w:p>
            <w:pPr>
              <w:ind w:left="300"/>
              <w:spacing w:after="0"/>
              <w:rPr>
                <w:sz w:val="20"/>
                <w:szCs w:val="20"/>
                <w:color w:val="auto"/>
              </w:rPr>
            </w:pPr>
            <w:r>
              <w:rPr>
                <w:rFonts w:ascii="Arial" w:cs="Arial" w:eastAsia="Arial" w:hAnsi="Arial"/>
                <w:sz w:val="18"/>
                <w:szCs w:val="18"/>
                <w:color w:val="auto"/>
              </w:rPr>
              <w:t>12/3/2018</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December 1, 2018, by and between the</w:t>
              </w:r>
            </w:hyperlink>
          </w:p>
        </w:tc>
        <w:tc>
          <w:tcPr>
            <w:tcW w:w="8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r:id="rId53">
              <w:r>
                <w:rPr>
                  <w:rFonts w:ascii="Arial" w:cs="Arial" w:eastAsia="Arial" w:hAnsi="Arial"/>
                  <w:sz w:val="18"/>
                  <w:szCs w:val="18"/>
                  <w:color w:val="0000FF"/>
                  <w:w w:val="88"/>
                </w:rPr>
                <w:t>Registrant and Werner Cautreels, Ph.D.</w:t>
              </w:r>
            </w:hyperlink>
          </w:p>
        </w:tc>
        <w:tc>
          <w:tcPr>
            <w:tcW w:w="6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620" w:type="dxa"/>
            <w:vAlign w:val="bottom"/>
            <w:gridSpan w:val="3"/>
          </w:tcPr>
          <w:p>
            <w:pPr>
              <w:jc w:val="cente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18#</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Consulting Agreement, dated as of December 1,</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2720" w:type="dxa"/>
            <w:vAlign w:val="bottom"/>
          </w:tcPr>
          <w:p>
            <w:pPr>
              <w:ind w:left="300"/>
              <w:spacing w:after="0"/>
              <w:rPr>
                <w:sz w:val="20"/>
                <w:szCs w:val="20"/>
                <w:color w:val="auto"/>
              </w:rPr>
            </w:pPr>
            <w:r>
              <w:rPr>
                <w:rFonts w:ascii="Arial" w:cs="Arial" w:eastAsia="Arial" w:hAnsi="Arial"/>
                <w:sz w:val="18"/>
                <w:szCs w:val="18"/>
                <w:color w:val="auto"/>
              </w:rPr>
              <w:t>12/3/2018</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2018, by and between the Registrant and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Werner Cautreels, Ph.D.</w:t>
              </w:r>
            </w:hyperlink>
          </w:p>
        </w:tc>
        <w:tc>
          <w:tcPr>
            <w:tcW w:w="540" w:type="dxa"/>
            <w:vAlign w:val="bottom"/>
            <w:gridSpan w:val="16"/>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gridSpan w:val="13"/>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0"/>
        </w:trPr>
        <w:tc>
          <w:tcPr>
            <w:tcW w:w="620" w:type="dxa"/>
            <w:vAlign w:val="bottom"/>
            <w:gridSpan w:val="3"/>
          </w:tcPr>
          <w:p>
            <w:pPr>
              <w:jc w:val="cente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19#</w:t>
              </w:r>
            </w:hyperlink>
          </w:p>
        </w:tc>
        <w:tc>
          <w:tcPr>
            <w:tcW w:w="540" w:type="dxa"/>
            <w:vAlign w:val="bottom"/>
          </w:tcPr>
          <w:p>
            <w:pPr>
              <w:spacing w:after="0"/>
              <w:rPr>
                <w:sz w:val="21"/>
                <w:szCs w:val="21"/>
                <w:color w:val="auto"/>
              </w:rPr>
            </w:pPr>
          </w:p>
        </w:tc>
        <w:tc>
          <w:tcPr>
            <w:tcW w:w="3460" w:type="dxa"/>
            <w:vAlign w:val="bottom"/>
            <w:gridSpan w:val="30"/>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Employment Agreement, dated as of September</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2720" w:type="dxa"/>
            <w:vAlign w:val="bottom"/>
          </w:tcPr>
          <w:p>
            <w:pPr>
              <w:ind w:left="300"/>
              <w:spacing w:after="0"/>
              <w:rPr>
                <w:sz w:val="20"/>
                <w:szCs w:val="20"/>
                <w:color w:val="auto"/>
              </w:rPr>
            </w:pPr>
            <w:r>
              <w:rPr>
                <w:rFonts w:ascii="Arial" w:cs="Arial" w:eastAsia="Arial" w:hAnsi="Arial"/>
                <w:sz w:val="18"/>
                <w:szCs w:val="18"/>
                <w:color w:val="auto"/>
              </w:rPr>
              <w:t>9/27/2018</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25, 2018, by and between the Registrant and</w:t>
              </w:r>
            </w:hyperlink>
          </w:p>
        </w:tc>
        <w:tc>
          <w:tcPr>
            <w:tcW w:w="240" w:type="dxa"/>
            <w:vAlign w:val="bottom"/>
            <w:tcBorders>
              <w:top w:val="single" w:sz="8" w:color="0000FF"/>
            </w:tcBorders>
            <w:gridSpan w:val="11"/>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gridSpan w:val="30"/>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Carsten Brunn, Ph.D.</w:t>
              </w:r>
            </w:hyperlink>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615"/>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92</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0980"/>
          </w:cols>
          <w:pgMar w:left="620" w:top="837" w:right="2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5"/>
          </w:tcPr>
          <w:p>
            <w:pPr>
              <w:jc w:val="center"/>
              <w:ind w:right="600"/>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20#</w:t>
              </w:r>
            </w:hyperlink>
          </w:p>
        </w:tc>
        <w:tc>
          <w:tcPr>
            <w:tcW w:w="3560" w:type="dxa"/>
            <w:vAlign w:val="bottom"/>
            <w:gridSpan w:val="27"/>
          </w:tcPr>
          <w:p>
            <w:pP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Employment Agreement, dated as of June 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10.18</w:t>
            </w:r>
          </w:p>
        </w:tc>
        <w:tc>
          <w:tcPr>
            <w:tcW w:w="2780" w:type="dxa"/>
            <w:vAlign w:val="bottom"/>
          </w:tcPr>
          <w:p>
            <w:pPr>
              <w:ind w:left="360"/>
              <w:spacing w:after="0"/>
              <w:rPr>
                <w:sz w:val="20"/>
                <w:szCs w:val="20"/>
                <w:color w:val="auto"/>
              </w:rPr>
            </w:pPr>
            <w:r>
              <w:rPr>
                <w:rFonts w:ascii="Arial" w:cs="Arial" w:eastAsia="Arial" w:hAnsi="Arial"/>
                <w:sz w:val="18"/>
                <w:szCs w:val="18"/>
                <w:color w:val="auto"/>
              </w:rPr>
              <w:t>6/8/2016</w:t>
            </w:r>
          </w:p>
        </w:tc>
      </w:tr>
      <w:tr>
        <w:trPr>
          <w:trHeight w:val="196"/>
        </w:trPr>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2016, by and between the Registrant and</w:t>
              </w:r>
            </w:hyperlink>
          </w:p>
        </w:tc>
        <w:tc>
          <w:tcPr>
            <w:tcW w:w="4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Takashi Kei Kishimoto</w:t>
              </w:r>
            </w:hyperlink>
          </w:p>
        </w:tc>
        <w:tc>
          <w:tcPr>
            <w:tcW w:w="64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21#</w:t>
              </w:r>
            </w:hyperlink>
          </w:p>
        </w:tc>
        <w:tc>
          <w:tcPr>
            <w:tcW w:w="3560" w:type="dxa"/>
            <w:vAlign w:val="bottom"/>
            <w:gridSpan w:val="27"/>
          </w:tcPr>
          <w:p>
            <w:pPr>
              <w:spacing w:after="0"/>
              <w:rPr>
                <w:rFonts w:ascii="Arial" w:cs="Arial" w:eastAsia="Arial" w:hAnsi="Arial"/>
                <w:sz w:val="18"/>
                <w:szCs w:val="18"/>
                <w:color w:val="0000FF"/>
                <w:w w:val="99"/>
              </w:rPr>
            </w:pPr>
            <w:hyperlink r:id="rId57">
              <w:r>
                <w:rPr>
                  <w:rFonts w:ascii="Arial" w:cs="Arial" w:eastAsia="Arial" w:hAnsi="Arial"/>
                  <w:sz w:val="18"/>
                  <w:szCs w:val="18"/>
                  <w:color w:val="0000FF"/>
                  <w:w w:val="99"/>
                </w:rPr>
                <w:t>Employment Agreement, dated as of June 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10.21</w:t>
            </w:r>
          </w:p>
        </w:tc>
        <w:tc>
          <w:tcPr>
            <w:tcW w:w="2780" w:type="dxa"/>
            <w:vAlign w:val="bottom"/>
          </w:tcPr>
          <w:p>
            <w:pPr>
              <w:ind w:left="360"/>
              <w:spacing w:after="0"/>
              <w:rPr>
                <w:sz w:val="20"/>
                <w:szCs w:val="20"/>
                <w:color w:val="auto"/>
              </w:rPr>
            </w:pPr>
            <w:r>
              <w:rPr>
                <w:rFonts w:ascii="Arial" w:cs="Arial" w:eastAsia="Arial" w:hAnsi="Arial"/>
                <w:sz w:val="18"/>
                <w:szCs w:val="18"/>
                <w:color w:val="auto"/>
              </w:rPr>
              <w:t>6/8/2016</w:t>
            </w:r>
          </w:p>
        </w:tc>
      </w:tr>
      <w:tr>
        <w:trPr>
          <w:trHeight w:val="20"/>
        </w:trPr>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60" w:type="dxa"/>
            <w:vAlign w:val="bottom"/>
            <w:gridSpan w:val="27"/>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2016, by and between the Registrant and Lloyd</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7"/>
              </w:rPr>
            </w:pPr>
            <w:hyperlink r:id="rId57">
              <w:r>
                <w:rPr>
                  <w:rFonts w:ascii="Arial" w:cs="Arial" w:eastAsia="Arial" w:hAnsi="Arial"/>
                  <w:sz w:val="18"/>
                  <w:szCs w:val="18"/>
                  <w:color w:val="0000FF"/>
                  <w:w w:val="87"/>
                </w:rPr>
                <w:t>P. M. Johnston, Ph.D.</w:t>
              </w:r>
            </w:hyperlink>
          </w:p>
        </w:tc>
        <w:tc>
          <w:tcPr>
            <w:tcW w:w="1840" w:type="dxa"/>
            <w:vAlign w:val="bottom"/>
            <w:tcBorders>
              <w:top w:val="single" w:sz="8" w:color="0000FF"/>
            </w:tcBorders>
            <w:gridSpan w:val="19"/>
          </w:tcPr>
          <w:p>
            <w:pPr>
              <w:spacing w:after="0"/>
              <w:rPr>
                <w:sz w:val="17"/>
                <w:szCs w:val="17"/>
                <w:color w:val="auto"/>
              </w:rPr>
            </w:pPr>
          </w:p>
        </w:tc>
        <w:tc>
          <w:tcPr>
            <w:tcW w:w="1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22#</w:t>
              </w:r>
            </w:hyperlink>
          </w:p>
        </w:tc>
        <w:tc>
          <w:tcPr>
            <w:tcW w:w="3560" w:type="dxa"/>
            <w:vAlign w:val="bottom"/>
            <w:gridSpan w:val="27"/>
          </w:tcPr>
          <w:p>
            <w:pPr>
              <w:spacing w:after="0"/>
              <w:rPr>
                <w:rFonts w:ascii="Arial" w:cs="Arial" w:eastAsia="Arial" w:hAnsi="Arial"/>
                <w:sz w:val="18"/>
                <w:szCs w:val="18"/>
                <w:color w:val="0000FF"/>
              </w:rPr>
            </w:pPr>
            <w:hyperlink r:id="rId58">
              <w:r>
                <w:rPr>
                  <w:rFonts w:ascii="Arial" w:cs="Arial" w:eastAsia="Arial" w:hAnsi="Arial"/>
                  <w:sz w:val="18"/>
                  <w:szCs w:val="18"/>
                  <w:color w:val="0000FF"/>
                </w:rPr>
                <w:t>Employment Agreement, dated October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2780" w:type="dxa"/>
            <w:vAlign w:val="bottom"/>
          </w:tcPr>
          <w:p>
            <w:pPr>
              <w:ind w:left="360"/>
              <w:spacing w:after="0"/>
              <w:rPr>
                <w:sz w:val="20"/>
                <w:szCs w:val="20"/>
                <w:color w:val="auto"/>
              </w:rPr>
            </w:pPr>
            <w:r>
              <w:rPr>
                <w:rFonts w:ascii="Arial" w:cs="Arial" w:eastAsia="Arial" w:hAnsi="Arial"/>
                <w:sz w:val="18"/>
                <w:szCs w:val="18"/>
                <w:color w:val="auto"/>
              </w:rPr>
              <w:t>10/26/2017</w:t>
            </w:r>
          </w:p>
        </w:tc>
      </w:tr>
      <w:tr>
        <w:trPr>
          <w:trHeight w:val="20"/>
        </w:trPr>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20" w:type="dxa"/>
            <w:vAlign w:val="bottom"/>
            <w:tcBorders>
              <w:bottom w:val="single" w:sz="8" w:color="0000FF"/>
            </w:tcBorders>
            <w:gridSpan w:val="21"/>
          </w:tcPr>
          <w:p>
            <w:pPr>
              <w:spacing w:after="0" w:line="196"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2017, by and between the Registrant and John</w:t>
              </w:r>
            </w:hyperlink>
          </w:p>
        </w:tc>
        <w:tc>
          <w:tcPr>
            <w:tcW w:w="2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60" w:type="dxa"/>
            <w:vAlign w:val="bottom"/>
            <w:gridSpan w:val="2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H. Leaman, M.D.</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23#</w:t>
              </w:r>
            </w:hyperlink>
          </w:p>
        </w:tc>
        <w:tc>
          <w:tcPr>
            <w:tcW w:w="3560" w:type="dxa"/>
            <w:vAlign w:val="bottom"/>
            <w:gridSpan w:val="27"/>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Transition and Release Agreement, dated as of</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2780" w:type="dxa"/>
            <w:vAlign w:val="bottom"/>
          </w:tcPr>
          <w:p>
            <w:pPr>
              <w:ind w:left="360"/>
              <w:spacing w:after="0"/>
              <w:rPr>
                <w:sz w:val="20"/>
                <w:szCs w:val="20"/>
                <w:color w:val="auto"/>
              </w:rPr>
            </w:pPr>
            <w:r>
              <w:rPr>
                <w:rFonts w:ascii="Arial" w:cs="Arial" w:eastAsia="Arial" w:hAnsi="Arial"/>
                <w:sz w:val="18"/>
                <w:szCs w:val="18"/>
                <w:color w:val="auto"/>
              </w:rPr>
              <w:t>3/8/2019</w:t>
            </w:r>
          </w:p>
        </w:tc>
      </w:tr>
      <w:tr>
        <w:trPr>
          <w:trHeight w:val="196"/>
        </w:trPr>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3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March 6, 2019, by and between the Registrant</w:t>
              </w:r>
            </w:hyperlink>
          </w:p>
        </w:tc>
        <w:tc>
          <w:tcPr>
            <w:tcW w:w="40" w:type="dxa"/>
            <w:vAlign w:val="bottom"/>
            <w:tcBorders>
              <w:top w:val="single" w:sz="8" w:color="0000FF"/>
            </w:tcBorders>
            <w:gridSpan w:val="2"/>
          </w:tcPr>
          <w:p>
            <w:pPr>
              <w:spacing w:after="0"/>
              <w:rPr>
                <w:sz w:val="17"/>
                <w:szCs w:val="17"/>
                <w:color w:val="auto"/>
              </w:rPr>
            </w:pPr>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and John H. Leaman, M.D.</w:t>
              </w:r>
            </w:hyperlink>
          </w:p>
        </w:tc>
        <w:tc>
          <w:tcPr>
            <w:tcW w:w="160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24#</w:t>
              </w:r>
            </w:hyperlink>
          </w:p>
        </w:tc>
        <w:tc>
          <w:tcPr>
            <w:tcW w:w="3560" w:type="dxa"/>
            <w:vAlign w:val="bottom"/>
            <w:gridSpan w:val="27"/>
          </w:tcPr>
          <w:p>
            <w:pPr>
              <w:spacing w:after="0"/>
              <w:rPr>
                <w:rFonts w:ascii="Arial" w:cs="Arial" w:eastAsia="Arial" w:hAnsi="Arial"/>
                <w:sz w:val="18"/>
                <w:szCs w:val="18"/>
                <w:color w:val="0000FF"/>
              </w:rPr>
            </w:pPr>
            <w:hyperlink r:id="rId60">
              <w:r>
                <w:rPr>
                  <w:rFonts w:ascii="Arial" w:cs="Arial" w:eastAsia="Arial" w:hAnsi="Arial"/>
                  <w:sz w:val="18"/>
                  <w:szCs w:val="18"/>
                  <w:color w:val="0000FF"/>
                </w:rPr>
                <w:t>Employment Agreement, dated October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10.3</w:t>
            </w:r>
          </w:p>
        </w:tc>
        <w:tc>
          <w:tcPr>
            <w:tcW w:w="2780" w:type="dxa"/>
            <w:vAlign w:val="bottom"/>
          </w:tcPr>
          <w:p>
            <w:pPr>
              <w:ind w:left="360"/>
              <w:spacing w:after="0"/>
              <w:rPr>
                <w:sz w:val="20"/>
                <w:szCs w:val="20"/>
                <w:color w:val="auto"/>
              </w:rPr>
            </w:pPr>
            <w:r>
              <w:rPr>
                <w:rFonts w:ascii="Arial" w:cs="Arial" w:eastAsia="Arial" w:hAnsi="Arial"/>
                <w:sz w:val="18"/>
                <w:szCs w:val="18"/>
                <w:color w:val="auto"/>
              </w:rPr>
              <w:t>11/7/2017</w:t>
            </w:r>
          </w:p>
        </w:tc>
      </w:tr>
      <w:tr>
        <w:trPr>
          <w:trHeight w:val="196"/>
        </w:trPr>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2017, by and between the Registrant and</w:t>
              </w:r>
            </w:hyperlink>
          </w:p>
        </w:tc>
        <w:tc>
          <w:tcPr>
            <w:tcW w:w="4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Stephen Smolinski</w:t>
              </w:r>
            </w:hyperlink>
          </w:p>
        </w:tc>
        <w:tc>
          <w:tcPr>
            <w:tcW w:w="64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25†</w:t>
              </w:r>
            </w:hyperlink>
          </w:p>
        </w:tc>
        <w:tc>
          <w:tcPr>
            <w:tcW w:w="3560" w:type="dxa"/>
            <w:vAlign w:val="bottom"/>
            <w:gridSpan w:val="27"/>
          </w:tcPr>
          <w:p>
            <w:pPr>
              <w:spacing w:after="0"/>
              <w:rPr>
                <w:rFonts w:ascii="Arial" w:cs="Arial" w:eastAsia="Arial" w:hAnsi="Arial"/>
                <w:sz w:val="18"/>
                <w:szCs w:val="18"/>
                <w:color w:val="0000FF"/>
              </w:rPr>
            </w:pPr>
            <w:hyperlink r:id="rId61">
              <w:r>
                <w:rPr>
                  <w:rFonts w:ascii="Arial" w:cs="Arial" w:eastAsia="Arial" w:hAnsi="Arial"/>
                  <w:sz w:val="18"/>
                  <w:szCs w:val="18"/>
                  <w:color w:val="0000FF"/>
                </w:rPr>
                <w:t>License and Option Agreement, dated as of</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2780" w:type="dxa"/>
            <w:vAlign w:val="bottom"/>
          </w:tcPr>
          <w:p>
            <w:pPr>
              <w:ind w:left="360"/>
              <w:spacing w:after="0"/>
              <w:rPr>
                <w:sz w:val="20"/>
                <w:szCs w:val="20"/>
                <w:color w:val="auto"/>
              </w:rPr>
            </w:pPr>
            <w:r>
              <w:rPr>
                <w:rFonts w:ascii="Arial" w:cs="Arial" w:eastAsia="Arial" w:hAnsi="Arial"/>
                <w:sz w:val="18"/>
                <w:szCs w:val="18"/>
                <w:color w:val="auto"/>
              </w:rPr>
              <w:t>2/14/2017</w:t>
            </w:r>
          </w:p>
        </w:tc>
      </w:tr>
      <w:tr>
        <w:trPr>
          <w:trHeight w:val="196"/>
        </w:trPr>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top w:val="single" w:sz="8" w:color="0000FF"/>
            </w:tcBorders>
            <w:gridSpan w:val="18"/>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December 2, 2016, by and between Spark</w:t>
              </w:r>
            </w:hyperlink>
          </w:p>
        </w:tc>
        <w:tc>
          <w:tcPr>
            <w:tcW w:w="4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Therapeutics, Inc. and the Registrant</w:t>
              </w:r>
            </w:hyperlink>
          </w:p>
        </w:tc>
        <w:tc>
          <w:tcPr>
            <w:tcW w:w="5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26†</w:t>
              </w:r>
            </w:hyperlink>
          </w:p>
        </w:tc>
        <w:tc>
          <w:tcPr>
            <w:tcW w:w="3560" w:type="dxa"/>
            <w:vAlign w:val="bottom"/>
            <w:gridSpan w:val="27"/>
          </w:tcPr>
          <w:p>
            <w:pPr>
              <w:spacing w:after="0"/>
              <w:rPr>
                <w:rFonts w:ascii="Arial" w:cs="Arial" w:eastAsia="Arial" w:hAnsi="Arial"/>
                <w:sz w:val="18"/>
                <w:szCs w:val="18"/>
                <w:color w:val="0000FF"/>
              </w:rPr>
            </w:pPr>
            <w:hyperlink r:id="rId62">
              <w:r>
                <w:rPr>
                  <w:rFonts w:ascii="Arial" w:cs="Arial" w:eastAsia="Arial" w:hAnsi="Arial"/>
                  <w:sz w:val="18"/>
                  <w:szCs w:val="18"/>
                  <w:color w:val="0000FF"/>
                </w:rPr>
                <w:t>Stock Purchase Agreement, dated as of</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10.2</w:t>
            </w:r>
          </w:p>
        </w:tc>
        <w:tc>
          <w:tcPr>
            <w:tcW w:w="2780" w:type="dxa"/>
            <w:vAlign w:val="bottom"/>
          </w:tcPr>
          <w:p>
            <w:pPr>
              <w:ind w:left="360"/>
              <w:spacing w:after="0"/>
              <w:rPr>
                <w:sz w:val="20"/>
                <w:szCs w:val="20"/>
                <w:color w:val="auto"/>
              </w:rPr>
            </w:pPr>
            <w:r>
              <w:rPr>
                <w:rFonts w:ascii="Arial" w:cs="Arial" w:eastAsia="Arial" w:hAnsi="Arial"/>
                <w:sz w:val="18"/>
                <w:szCs w:val="18"/>
                <w:color w:val="auto"/>
              </w:rPr>
              <w:t>12/14/2016</w:t>
            </w:r>
          </w:p>
        </w:tc>
      </w:tr>
      <w:tr>
        <w:trPr>
          <w:trHeight w:val="20"/>
        </w:trPr>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60" w:type="dxa"/>
            <w:vAlign w:val="bottom"/>
            <w:gridSpan w:val="2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December 2, 2016, by and between Spark</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Therapeutics, Inc. and the Registrant</w:t>
              </w:r>
            </w:hyperlink>
          </w:p>
        </w:tc>
        <w:tc>
          <w:tcPr>
            <w:tcW w:w="5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27†</w:t>
              </w:r>
            </w:hyperlink>
          </w:p>
        </w:tc>
        <w:tc>
          <w:tcPr>
            <w:tcW w:w="3560" w:type="dxa"/>
            <w:vAlign w:val="bottom"/>
            <w:gridSpan w:val="27"/>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Letter Agreement, dated June 6, 2017, by and</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10.7</w:t>
            </w:r>
          </w:p>
        </w:tc>
        <w:tc>
          <w:tcPr>
            <w:tcW w:w="2780" w:type="dxa"/>
            <w:vAlign w:val="bottom"/>
          </w:tcPr>
          <w:p>
            <w:pPr>
              <w:ind w:left="360"/>
              <w:spacing w:after="0"/>
              <w:rPr>
                <w:sz w:val="20"/>
                <w:szCs w:val="20"/>
                <w:color w:val="auto"/>
              </w:rPr>
            </w:pPr>
            <w:r>
              <w:rPr>
                <w:rFonts w:ascii="Arial" w:cs="Arial" w:eastAsia="Arial" w:hAnsi="Arial"/>
                <w:sz w:val="18"/>
                <w:szCs w:val="18"/>
                <w:color w:val="auto"/>
              </w:rPr>
              <w:t>8/11/2017</w:t>
            </w:r>
          </w:p>
        </w:tc>
      </w:tr>
      <w:tr>
        <w:trPr>
          <w:trHeight w:val="20"/>
        </w:trPr>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40" w:type="dxa"/>
            <w:vAlign w:val="bottom"/>
            <w:tcBorders>
              <w:bottom w:val="single" w:sz="8" w:color="0000FF"/>
            </w:tcBorders>
            <w:gridSpan w:val="25"/>
          </w:tcPr>
          <w:p>
            <w:pPr>
              <w:spacing w:after="0" w:line="196"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between the Registrant and Spark Therapeutics,</w:t>
              </w:r>
            </w:hyperlink>
          </w:p>
        </w:tc>
        <w:tc>
          <w:tcPr>
            <w:tcW w:w="1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60" w:type="dxa"/>
            <w:vAlign w:val="bottom"/>
            <w:gridSpan w:val="27"/>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Inc.</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100" w:type="dxa"/>
            <w:vAlign w:val="bottom"/>
            <w:gridSpan w:val="5"/>
          </w:tcPr>
          <w:p>
            <w:pPr>
              <w:jc w:val="center"/>
              <w:ind w:right="600"/>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28†</w:t>
              </w:r>
            </w:hyperlink>
          </w:p>
        </w:tc>
        <w:tc>
          <w:tcPr>
            <w:tcW w:w="3560" w:type="dxa"/>
            <w:vAlign w:val="bottom"/>
            <w:gridSpan w:val="27"/>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Patent License Agreement, entered into as of</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2780" w:type="dxa"/>
            <w:vAlign w:val="bottom"/>
          </w:tcPr>
          <w:p>
            <w:pPr>
              <w:ind w:left="360"/>
              <w:spacing w:after="0"/>
              <w:rPr>
                <w:sz w:val="20"/>
                <w:szCs w:val="20"/>
                <w:color w:val="auto"/>
              </w:rPr>
            </w:pPr>
            <w:r>
              <w:rPr>
                <w:rFonts w:ascii="Arial" w:cs="Arial" w:eastAsia="Arial" w:hAnsi="Arial"/>
                <w:sz w:val="18"/>
                <w:szCs w:val="18"/>
                <w:color w:val="auto"/>
              </w:rPr>
              <w:t>5/11/2017</w:t>
            </w:r>
          </w:p>
        </w:tc>
      </w:tr>
      <w:tr>
        <w:trPr>
          <w:trHeight w:val="196"/>
        </w:trPr>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April 27, 2017, by and between the U.S.</w:t>
              </w:r>
            </w:hyperlink>
          </w:p>
        </w:tc>
        <w:tc>
          <w:tcPr>
            <w:tcW w:w="320" w:type="dxa"/>
            <w:vAlign w:val="bottom"/>
            <w:tcBorders>
              <w:top w:val="single" w:sz="8" w:color="0000FF"/>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4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Department of Health and Human Services, as</w:t>
              </w:r>
            </w:hyperlink>
          </w:p>
        </w:tc>
        <w:tc>
          <w:tcPr>
            <w:tcW w:w="22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60" w:type="dxa"/>
            <w:vAlign w:val="bottom"/>
            <w:gridSpan w:val="27"/>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represented by The National Cancer Institute an</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40" w:type="dxa"/>
            <w:vAlign w:val="bottom"/>
            <w:tcBorders>
              <w:top w:val="single" w:sz="8" w:color="0000FF"/>
            </w:tcBorders>
            <w:gridSpan w:val="25"/>
          </w:tcPr>
          <w:p>
            <w:pPr>
              <w:spacing w:after="0" w:line="19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Institute or Center of the National Institutes of</w:t>
              </w:r>
            </w:hyperlink>
          </w:p>
        </w:tc>
        <w:tc>
          <w:tcPr>
            <w:tcW w:w="1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Health and the Registrant</w:t>
              </w:r>
            </w:hyperlink>
          </w:p>
        </w:tc>
        <w:tc>
          <w:tcPr>
            <w:tcW w:w="2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500" w:type="dxa"/>
            <w:vAlign w:val="bottom"/>
            <w:gridSpan w:val="4"/>
          </w:tcPr>
          <w:p>
            <w:pPr>
              <w:jc w:val="center"/>
              <w:spacing w:after="0"/>
              <w:rPr>
                <w:rFonts w:ascii="Arial" w:cs="Arial" w:eastAsia="Arial" w:hAnsi="Arial"/>
                <w:sz w:val="18"/>
                <w:szCs w:val="18"/>
                <w:color w:val="0000FF"/>
                <w:w w:val="88"/>
              </w:rPr>
            </w:pPr>
            <w:hyperlink r:id="rId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29</w:t>
              </w:r>
            </w:hyperlink>
          </w:p>
        </w:tc>
        <w:tc>
          <w:tcPr>
            <w:tcW w:w="600" w:type="dxa"/>
            <w:vAlign w:val="bottom"/>
          </w:tcPr>
          <w:p>
            <w:pPr>
              <w:spacing w:after="0"/>
              <w:rPr>
                <w:sz w:val="21"/>
                <w:szCs w:val="21"/>
                <w:color w:val="auto"/>
              </w:rPr>
            </w:pPr>
          </w:p>
        </w:tc>
        <w:tc>
          <w:tcPr>
            <w:tcW w:w="3560" w:type="dxa"/>
            <w:vAlign w:val="bottom"/>
            <w:gridSpan w:val="27"/>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Securities Purchase Agreement, dated June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2780" w:type="dxa"/>
            <w:vAlign w:val="bottom"/>
          </w:tcPr>
          <w:p>
            <w:pPr>
              <w:ind w:left="360"/>
              <w:spacing w:after="0"/>
              <w:rPr>
                <w:sz w:val="20"/>
                <w:szCs w:val="20"/>
                <w:color w:val="auto"/>
              </w:rPr>
            </w:pPr>
            <w:r>
              <w:rPr>
                <w:rFonts w:ascii="Arial" w:cs="Arial" w:eastAsia="Arial" w:hAnsi="Arial"/>
                <w:sz w:val="18"/>
                <w:szCs w:val="18"/>
                <w:color w:val="auto"/>
              </w:rPr>
              <w:t>6/28/2017</w:t>
            </w:r>
          </w:p>
        </w:tc>
      </w:tr>
      <w:tr>
        <w:trPr>
          <w:trHeight w:val="196"/>
        </w:trPr>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2017, by and among the Registrant and the</w:t>
              </w:r>
            </w:hyperlink>
          </w:p>
        </w:tc>
        <w:tc>
          <w:tcPr>
            <w:tcW w:w="260" w:type="dxa"/>
            <w:vAlign w:val="bottom"/>
            <w:tcBorders>
              <w:top w:val="single" w:sz="8" w:color="0000FF"/>
            </w:tcBorders>
            <w:gridSpan w:val="6"/>
          </w:tcPr>
          <w:p>
            <w:pPr>
              <w:spacing w:after="0"/>
              <w:rPr>
                <w:sz w:val="17"/>
                <w:szCs w:val="17"/>
                <w:color w:val="auto"/>
              </w:rPr>
            </w:pPr>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60" w:type="dxa"/>
            <w:vAlign w:val="bottom"/>
            <w:gridSpan w:val="27"/>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Investors named therein</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6"/>
        </w:trPr>
        <w:tc>
          <w:tcPr>
            <w:tcW w:w="500" w:type="dxa"/>
            <w:vAlign w:val="bottom"/>
            <w:gridSpan w:val="4"/>
          </w:tcPr>
          <w:p>
            <w:pPr>
              <w:jc w:val="center"/>
              <w:spacing w:after="0"/>
              <w:rPr>
                <w:rFonts w:ascii="Arial" w:cs="Arial" w:eastAsia="Arial" w:hAnsi="Arial"/>
                <w:sz w:val="18"/>
                <w:szCs w:val="18"/>
                <w:color w:val="0000FF"/>
                <w:w w:val="88"/>
              </w:rPr>
            </w:pPr>
            <w:hyperlink r:id="rId6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30</w:t>
              </w:r>
            </w:hyperlink>
          </w:p>
        </w:tc>
        <w:tc>
          <w:tcPr>
            <w:tcW w:w="600" w:type="dxa"/>
            <w:vAlign w:val="bottom"/>
          </w:tcPr>
          <w:p>
            <w:pPr>
              <w:spacing w:after="0"/>
              <w:rPr>
                <w:sz w:val="24"/>
                <w:szCs w:val="24"/>
                <w:color w:val="auto"/>
              </w:rPr>
            </w:pPr>
          </w:p>
        </w:tc>
        <w:tc>
          <w:tcPr>
            <w:tcW w:w="3560" w:type="dxa"/>
            <w:vAlign w:val="bottom"/>
            <w:gridSpan w:val="27"/>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Securities Purchase Agreement, dated June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10.2</w:t>
            </w:r>
          </w:p>
        </w:tc>
        <w:tc>
          <w:tcPr>
            <w:tcW w:w="2780" w:type="dxa"/>
            <w:vAlign w:val="bottom"/>
          </w:tcPr>
          <w:p>
            <w:pPr>
              <w:ind w:left="360"/>
              <w:spacing w:after="0"/>
              <w:rPr>
                <w:sz w:val="20"/>
                <w:szCs w:val="20"/>
                <w:color w:val="auto"/>
              </w:rPr>
            </w:pPr>
            <w:r>
              <w:rPr>
                <w:rFonts w:ascii="Arial" w:cs="Arial" w:eastAsia="Arial" w:hAnsi="Arial"/>
                <w:sz w:val="18"/>
                <w:szCs w:val="18"/>
                <w:color w:val="auto"/>
              </w:rPr>
              <w:t>6/28/2017</w:t>
            </w:r>
          </w:p>
        </w:tc>
      </w:tr>
      <w:tr>
        <w:trPr>
          <w:trHeight w:val="196"/>
        </w:trPr>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3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2017, by and between the Registrant and</w:t>
              </w:r>
            </w:hyperlink>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Timothy Springer, Ph.D.</w:t>
              </w:r>
            </w:hyperlink>
          </w:p>
        </w:tc>
        <w:tc>
          <w:tcPr>
            <w:tcW w:w="64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6"/>
        </w:trPr>
        <w:tc>
          <w:tcPr>
            <w:tcW w:w="500" w:type="dxa"/>
            <w:vAlign w:val="bottom"/>
            <w:gridSpan w:val="4"/>
          </w:tcPr>
          <w:p>
            <w:pPr>
              <w:jc w:val="center"/>
              <w:spacing w:after="0"/>
              <w:rPr>
                <w:rFonts w:ascii="Arial" w:cs="Arial" w:eastAsia="Arial" w:hAnsi="Arial"/>
                <w:sz w:val="18"/>
                <w:szCs w:val="18"/>
                <w:color w:val="0000FF"/>
                <w:w w:val="88"/>
              </w:rPr>
            </w:pPr>
            <w:hyperlink r:id="rId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31</w:t>
              </w:r>
            </w:hyperlink>
          </w:p>
        </w:tc>
        <w:tc>
          <w:tcPr>
            <w:tcW w:w="600" w:type="dxa"/>
            <w:vAlign w:val="bottom"/>
          </w:tcPr>
          <w:p>
            <w:pPr>
              <w:spacing w:after="0"/>
              <w:rPr>
                <w:sz w:val="24"/>
                <w:szCs w:val="24"/>
                <w:color w:val="auto"/>
              </w:rPr>
            </w:pPr>
          </w:p>
        </w:tc>
        <w:tc>
          <w:tcPr>
            <w:tcW w:w="3560" w:type="dxa"/>
            <w:vAlign w:val="bottom"/>
            <w:gridSpan w:val="27"/>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Loan and Security Agreement, dated September</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2780" w:type="dxa"/>
            <w:vAlign w:val="bottom"/>
          </w:tcPr>
          <w:p>
            <w:pPr>
              <w:ind w:left="360"/>
              <w:spacing w:after="0"/>
              <w:rPr>
                <w:sz w:val="20"/>
                <w:szCs w:val="20"/>
                <w:color w:val="auto"/>
              </w:rPr>
            </w:pPr>
            <w:r>
              <w:rPr>
                <w:rFonts w:ascii="Arial" w:cs="Arial" w:eastAsia="Arial" w:hAnsi="Arial"/>
                <w:sz w:val="18"/>
                <w:szCs w:val="18"/>
                <w:color w:val="auto"/>
              </w:rPr>
              <w:t>9/13/2017</w:t>
            </w:r>
          </w:p>
        </w:tc>
      </w:tr>
      <w:tr>
        <w:trPr>
          <w:trHeight w:val="196"/>
        </w:trPr>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6"/>
              </w:rPr>
            </w:pPr>
            <w:hyperlink r:id="rId67">
              <w:r>
                <w:rPr>
                  <w:rFonts w:ascii="Arial" w:cs="Arial" w:eastAsia="Arial" w:hAnsi="Arial"/>
                  <w:sz w:val="18"/>
                  <w:szCs w:val="18"/>
                  <w:color w:val="0000FF"/>
                  <w:w w:val="86"/>
                </w:rPr>
                <w:t>12, 2017, by and between the Registrant and</w:t>
              </w:r>
            </w:hyperlink>
          </w:p>
        </w:tc>
        <w:tc>
          <w:tcPr>
            <w:tcW w:w="320" w:type="dxa"/>
            <w:vAlign w:val="bottom"/>
            <w:tcBorders>
              <w:top w:val="single" w:sz="8" w:color="0000FF"/>
            </w:tcBorders>
            <w:gridSpan w:val="8"/>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Silicon Valley Bank</w:t>
              </w:r>
            </w:hyperlink>
          </w:p>
        </w:tc>
        <w:tc>
          <w:tcPr>
            <w:tcW w:w="212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50"/>
        </w:trPr>
        <w:tc>
          <w:tcPr>
            <w:tcW w:w="420" w:type="dxa"/>
            <w:vAlign w:val="bottom"/>
            <w:gridSpan w:val="3"/>
          </w:tcPr>
          <w:p>
            <w:pPr>
              <w:jc w:val="center"/>
              <w:ind w:left="10"/>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60" w:type="dxa"/>
            <w:vAlign w:val="bottom"/>
            <w:gridSpan w:val="27"/>
          </w:tcPr>
          <w:p>
            <w:pPr>
              <w:spacing w:after="0"/>
              <w:rPr>
                <w:rFonts w:ascii="Arial" w:cs="Arial" w:eastAsia="Arial" w:hAnsi="Arial"/>
                <w:sz w:val="18"/>
                <w:szCs w:val="18"/>
                <w:color w:val="0000FF"/>
              </w:rPr>
            </w:pPr>
            <w:hyperlink r:id="rId68">
              <w:r>
                <w:rPr>
                  <w:rFonts w:ascii="Arial" w:cs="Arial" w:eastAsia="Arial" w:hAnsi="Arial"/>
                  <w:sz w:val="18"/>
                  <w:szCs w:val="18"/>
                  <w:color w:val="0000FF"/>
                </w:rPr>
                <w:t>Subsidiaries of Selecta Biosciences, Inc.</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21.1</w:t>
            </w:r>
          </w:p>
        </w:tc>
        <w:tc>
          <w:tcPr>
            <w:tcW w:w="2780" w:type="dxa"/>
            <w:vAlign w:val="bottom"/>
          </w:tcPr>
          <w:p>
            <w:pPr>
              <w:ind w:left="360"/>
              <w:spacing w:after="0"/>
              <w:rPr>
                <w:sz w:val="20"/>
                <w:szCs w:val="20"/>
                <w:color w:val="auto"/>
              </w:rPr>
            </w:pPr>
            <w:r>
              <w:rPr>
                <w:rFonts w:ascii="Arial" w:cs="Arial" w:eastAsia="Arial" w:hAnsi="Arial"/>
                <w:sz w:val="18"/>
                <w:szCs w:val="18"/>
                <w:color w:val="auto"/>
              </w:rPr>
              <w:t>5/24/2016</w:t>
            </w:r>
          </w:p>
        </w:tc>
      </w:tr>
      <w:tr>
        <w:trPr>
          <w:trHeight w:val="20"/>
        </w:trPr>
        <w:tc>
          <w:tcPr>
            <w:tcW w:w="1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420" w:type="dxa"/>
            <w:vAlign w:val="bottom"/>
            <w:gridSpan w:val="3"/>
          </w:tcPr>
          <w:p>
            <w:pPr>
              <w:jc w:val="center"/>
              <w:ind w:left="10"/>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60" w:type="dxa"/>
            <w:vAlign w:val="bottom"/>
            <w:gridSpan w:val="27"/>
          </w:tcPr>
          <w:p>
            <w:pPr>
              <w:spacing w:after="0"/>
              <w:rPr>
                <w:rFonts w:ascii="Arial" w:cs="Arial" w:eastAsia="Arial" w:hAnsi="Arial"/>
                <w:sz w:val="18"/>
                <w:szCs w:val="18"/>
                <w:color w:val="0000FF"/>
                <w:w w:val="99"/>
              </w:rPr>
            </w:pPr>
            <w:hyperlink w:anchor="page138">
              <w:r>
                <w:rPr>
                  <w:rFonts w:ascii="Arial" w:cs="Arial" w:eastAsia="Arial" w:hAnsi="Arial"/>
                  <w:sz w:val="18"/>
                  <w:szCs w:val="18"/>
                  <w:color w:val="0000FF"/>
                  <w:w w:val="99"/>
                </w:rPr>
                <w:t>Consent of Ernst &amp; Young LLP, Independent</w:t>
              </w:r>
            </w:hyperlink>
          </w:p>
        </w:tc>
        <w:tc>
          <w:tcPr>
            <w:tcW w:w="9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780" w:type="dxa"/>
            <w:vAlign w:val="bottom"/>
          </w:tcPr>
          <w:p>
            <w:pPr>
              <w:ind w:left="2700"/>
              <w:spacing w:after="0"/>
              <w:rPr>
                <w:sz w:val="20"/>
                <w:szCs w:val="20"/>
                <w:color w:val="auto"/>
              </w:rPr>
            </w:pPr>
            <w:r>
              <w:rPr>
                <w:rFonts w:ascii="Arial" w:cs="Arial" w:eastAsia="Arial" w:hAnsi="Arial"/>
                <w:sz w:val="18"/>
                <w:szCs w:val="18"/>
                <w:color w:val="auto"/>
                <w:w w:val="84"/>
              </w:rPr>
              <w:t>*</w:t>
            </w: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Registered Public Accounting Firm</w:t>
              </w:r>
            </w:hyperlink>
          </w:p>
        </w:tc>
        <w:tc>
          <w:tcPr>
            <w:tcW w:w="28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420" w:type="dxa"/>
            <w:vAlign w:val="bottom"/>
            <w:gridSpan w:val="3"/>
          </w:tcPr>
          <w:p>
            <w:pPr>
              <w:jc w:val="center"/>
              <w:ind w:left="10"/>
              <w:spacing w:after="0"/>
              <w:rPr>
                <w:rFonts w:ascii="Arial" w:cs="Arial" w:eastAsia="Arial" w:hAnsi="Arial"/>
                <w:sz w:val="18"/>
                <w:szCs w:val="18"/>
                <w:color w:val="0000FF"/>
                <w:w w:val="91"/>
              </w:rPr>
            </w:pPr>
            <w:hyperlink w:anchor="page13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60" w:type="dxa"/>
            <w:vAlign w:val="bottom"/>
            <w:gridSpan w:val="27"/>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Rule 13a-14(a) / 15d-14(a) Certification of</w:t>
              </w:r>
            </w:hyperlink>
          </w:p>
        </w:tc>
        <w:tc>
          <w:tcPr>
            <w:tcW w:w="9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780" w:type="dxa"/>
            <w:vAlign w:val="bottom"/>
          </w:tcPr>
          <w:p>
            <w:pPr>
              <w:ind w:left="2700"/>
              <w:spacing w:after="0"/>
              <w:rPr>
                <w:sz w:val="20"/>
                <w:szCs w:val="20"/>
                <w:color w:val="auto"/>
              </w:rPr>
            </w:pPr>
            <w:r>
              <w:rPr>
                <w:rFonts w:ascii="Arial" w:cs="Arial" w:eastAsia="Arial" w:hAnsi="Arial"/>
                <w:sz w:val="18"/>
                <w:szCs w:val="18"/>
                <w:color w:val="auto"/>
                <w:w w:val="84"/>
              </w:rPr>
              <w:t>*</w:t>
            </w: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39">
              <w:r>
                <w:rPr>
                  <w:rFonts w:ascii="Arial" w:cs="Arial" w:eastAsia="Arial" w:hAnsi="Arial"/>
                  <w:sz w:val="18"/>
                  <w:szCs w:val="18"/>
                  <w:color w:val="0000FF"/>
                </w:rPr>
                <w:t>Chief Executive Officer</w:t>
              </w:r>
            </w:hyperlink>
          </w:p>
        </w:tc>
        <w:tc>
          <w:tcPr>
            <w:tcW w:w="4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615"/>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93</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ectPr>
          <w:pgSz w:w="11900" w:h="16838" w:orient="portrait"/>
          <w:cols w:equalWidth="0" w:num="1">
            <w:col w:w="10920"/>
          </w:cols>
          <w:pgMar w:left="680" w:top="837" w:right="299" w:bottom="1440" w:gutter="0" w:footer="0" w:header="0"/>
        </w:sectPr>
      </w:pPr>
    </w:p>
    <w:bookmarkStart w:id="95" w:name="page96"/>
    <w:bookmarkEnd w:id="95"/>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180" w:type="dxa"/>
            <w:vAlign w:val="bottom"/>
            <w:gridSpan w:val="3"/>
          </w:tcPr>
          <w:p>
            <w:pPr>
              <w:jc w:val="center"/>
              <w:ind w:right="500"/>
              <w:spacing w:after="0"/>
              <w:rPr>
                <w:rFonts w:ascii="Arial" w:cs="Arial" w:eastAsia="Arial" w:hAnsi="Arial"/>
                <w:sz w:val="18"/>
                <w:szCs w:val="18"/>
                <w:color w:val="0000FF"/>
                <w:w w:val="91"/>
              </w:rPr>
            </w:pPr>
            <w:hyperlink w:anchor="page14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6560" w:type="dxa"/>
            <w:vAlign w:val="bottom"/>
            <w:gridSpan w:val="7"/>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Rule 13a-14(a) / 15d-14(a) Certification of</w:t>
              </w:r>
            </w:hyperlink>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w:anchor="page140">
              <w:r>
                <w:rPr>
                  <w:rFonts w:ascii="Arial" w:cs="Arial" w:eastAsia="Arial" w:hAnsi="Arial"/>
                  <w:sz w:val="18"/>
                  <w:szCs w:val="18"/>
                  <w:color w:val="0000FF"/>
                  <w:w w:val="93"/>
                </w:rPr>
                <w:t>Chief Financial Officer</w:t>
              </w:r>
            </w:hyperlink>
          </w:p>
        </w:tc>
        <w:tc>
          <w:tcPr>
            <w:tcW w:w="1400" w:type="dxa"/>
            <w:vAlign w:val="bottom"/>
            <w:tcBorders>
              <w:top w:val="single" w:sz="8" w:color="0000FF"/>
            </w:tcBorders>
          </w:tcPr>
          <w:p>
            <w:pPr>
              <w:spacing w:after="0"/>
              <w:rPr>
                <w:sz w:val="17"/>
                <w:szCs w:val="17"/>
                <w:color w:val="auto"/>
              </w:rPr>
            </w:pPr>
          </w:p>
        </w:tc>
        <w:tc>
          <w:tcPr>
            <w:tcW w:w="3480" w:type="dxa"/>
            <w:vAlign w:val="bottom"/>
            <w:gridSpan w:val="3"/>
          </w:tcPr>
          <w:p>
            <w:pPr>
              <w:spacing w:after="0"/>
              <w:rPr>
                <w:sz w:val="17"/>
                <w:szCs w:val="17"/>
                <w:color w:val="auto"/>
              </w:rPr>
            </w:pPr>
          </w:p>
        </w:tc>
        <w:tc>
          <w:tcPr>
            <w:tcW w:w="3260" w:type="dxa"/>
            <w:vAlign w:val="bottom"/>
          </w:tcPr>
          <w:p>
            <w:pPr>
              <w:spacing w:after="0"/>
              <w:rPr>
                <w:sz w:val="17"/>
                <w:szCs w:val="17"/>
                <w:color w:val="auto"/>
              </w:rPr>
            </w:pPr>
          </w:p>
        </w:tc>
      </w:tr>
      <w:tr>
        <w:trPr>
          <w:trHeight w:val="250"/>
        </w:trPr>
        <w:tc>
          <w:tcPr>
            <w:tcW w:w="1180" w:type="dxa"/>
            <w:vAlign w:val="bottom"/>
            <w:gridSpan w:val="3"/>
          </w:tcPr>
          <w:p>
            <w:pPr>
              <w:jc w:val="center"/>
              <w:ind w:right="500"/>
              <w:spacing w:after="0"/>
              <w:rPr>
                <w:rFonts w:ascii="Arial" w:cs="Arial" w:eastAsia="Arial" w:hAnsi="Arial"/>
                <w:sz w:val="18"/>
                <w:szCs w:val="18"/>
                <w:color w:val="0000FF"/>
                <w:w w:val="91"/>
              </w:rPr>
            </w:pPr>
            <w:hyperlink w:anchor="page14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6560" w:type="dxa"/>
            <w:vAlign w:val="bottom"/>
            <w:gridSpan w:val="7"/>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Section 1350 Certification of Chief Executive</w:t>
              </w:r>
            </w:hyperlink>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7"/>
              </w:rPr>
            </w:pPr>
            <w:hyperlink w:anchor="page141">
              <w:r>
                <w:rPr>
                  <w:rFonts w:ascii="Arial" w:cs="Arial" w:eastAsia="Arial" w:hAnsi="Arial"/>
                  <w:sz w:val="18"/>
                  <w:szCs w:val="18"/>
                  <w:color w:val="0000FF"/>
                  <w:w w:val="97"/>
                </w:rPr>
                <w:t>Officer</w:t>
              </w:r>
            </w:hyperlink>
          </w:p>
        </w:tc>
        <w:tc>
          <w:tcPr>
            <w:tcW w:w="2760" w:type="dxa"/>
            <w:vAlign w:val="bottom"/>
            <w:tcBorders>
              <w:top w:val="single" w:sz="8" w:color="0000FF"/>
            </w:tcBorders>
            <w:gridSpan w:val="4"/>
          </w:tcPr>
          <w:p>
            <w:pPr>
              <w:spacing w:after="0"/>
              <w:rPr>
                <w:sz w:val="17"/>
                <w:szCs w:val="17"/>
                <w:color w:val="auto"/>
              </w:rPr>
            </w:pPr>
          </w:p>
        </w:tc>
        <w:tc>
          <w:tcPr>
            <w:tcW w:w="32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50"/>
        </w:trPr>
        <w:tc>
          <w:tcPr>
            <w:tcW w:w="1180" w:type="dxa"/>
            <w:vAlign w:val="bottom"/>
            <w:gridSpan w:val="3"/>
          </w:tcPr>
          <w:p>
            <w:pPr>
              <w:jc w:val="center"/>
              <w:ind w:right="500"/>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6560" w:type="dxa"/>
            <w:vAlign w:val="bottom"/>
            <w:gridSpan w:val="7"/>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Section 1350 Certification of Chief Financial</w:t>
              </w:r>
            </w:hyperlink>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142">
              <w:r>
                <w:rPr>
                  <w:rFonts w:ascii="Arial" w:cs="Arial" w:eastAsia="Arial" w:hAnsi="Arial"/>
                  <w:sz w:val="18"/>
                  <w:szCs w:val="18"/>
                  <w:color w:val="0000FF"/>
                  <w:w w:val="94"/>
                </w:rPr>
                <w:t>Officer</w:t>
              </w:r>
            </w:hyperlink>
          </w:p>
        </w:tc>
        <w:tc>
          <w:tcPr>
            <w:tcW w:w="2720" w:type="dxa"/>
            <w:vAlign w:val="bottom"/>
            <w:tcBorders>
              <w:top w:val="single" w:sz="8" w:color="0000FF"/>
            </w:tcBorders>
            <w:gridSpan w:val="4"/>
          </w:tcPr>
          <w:p>
            <w:pPr>
              <w:spacing w:after="0"/>
              <w:rPr>
                <w:sz w:val="17"/>
                <w:szCs w:val="17"/>
                <w:color w:val="auto"/>
              </w:rPr>
            </w:pPr>
          </w:p>
        </w:tc>
        <w:tc>
          <w:tcPr>
            <w:tcW w:w="3320" w:type="dxa"/>
            <w:vAlign w:val="bottom"/>
            <w:gridSpan w:val="2"/>
          </w:tcPr>
          <w:p>
            <w:pPr>
              <w:spacing w:after="0"/>
              <w:rPr>
                <w:sz w:val="17"/>
                <w:szCs w:val="17"/>
                <w:color w:val="auto"/>
              </w:rPr>
            </w:pPr>
          </w:p>
        </w:tc>
        <w:tc>
          <w:tcPr>
            <w:tcW w:w="3260" w:type="dxa"/>
            <w:vAlign w:val="bottom"/>
          </w:tcPr>
          <w:p>
            <w:pPr>
              <w:spacing w:after="0"/>
              <w:rPr>
                <w:sz w:val="17"/>
                <w:szCs w:val="17"/>
                <w:color w:val="auto"/>
              </w:rPr>
            </w:pPr>
          </w:p>
        </w:tc>
      </w:tr>
      <w:tr>
        <w:trPr>
          <w:trHeight w:val="291"/>
        </w:trPr>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101.INS</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18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101.SCH</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101.CAL</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Calculation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3260" w:type="dxa"/>
            <w:vAlign w:val="bottom"/>
          </w:tcPr>
          <w:p>
            <w:pPr>
              <w:spacing w:after="0"/>
              <w:rPr>
                <w:sz w:val="20"/>
                <w:szCs w:val="20"/>
                <w:color w:val="auto"/>
              </w:rPr>
            </w:pPr>
          </w:p>
        </w:tc>
      </w:tr>
      <w:tr>
        <w:trPr>
          <w:trHeight w:val="256"/>
        </w:trPr>
        <w:tc>
          <w:tcPr>
            <w:tcW w:w="118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101.DEF</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Definition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3260" w:type="dxa"/>
            <w:vAlign w:val="bottom"/>
          </w:tcPr>
          <w:p>
            <w:pPr>
              <w:spacing w:after="0"/>
              <w:rPr>
                <w:sz w:val="20"/>
                <w:szCs w:val="20"/>
                <w:color w:val="auto"/>
              </w:rPr>
            </w:pPr>
          </w:p>
        </w:tc>
      </w:tr>
      <w:tr>
        <w:trPr>
          <w:trHeight w:val="256"/>
        </w:trPr>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101.LAB</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3260" w:type="dxa"/>
            <w:vAlign w:val="bottom"/>
          </w:tcPr>
          <w:p>
            <w:pPr>
              <w:spacing w:after="0"/>
              <w:rPr>
                <w:sz w:val="20"/>
                <w:szCs w:val="20"/>
                <w:color w:val="auto"/>
              </w:rPr>
            </w:pPr>
          </w:p>
        </w:tc>
      </w:tr>
      <w:tr>
        <w:trPr>
          <w:trHeight w:val="256"/>
        </w:trPr>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101.PRE</w:t>
            </w:r>
          </w:p>
        </w:tc>
        <w:tc>
          <w:tcPr>
            <w:tcW w:w="65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3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Indicates management contract or compensatory plan.</w:t>
      </w:r>
    </w:p>
    <w:p>
      <w:pPr>
        <w:spacing w:after="0" w:line="225" w:lineRule="exact"/>
        <w:rPr>
          <w:sz w:val="20"/>
          <w:szCs w:val="20"/>
          <w:color w:val="auto"/>
        </w:rPr>
      </w:pPr>
    </w:p>
    <w:p>
      <w:pPr>
        <w:ind w:left="1140" w:firstLine="2"/>
        <w:spacing w:after="0" w:line="277" w:lineRule="auto"/>
        <w:tabs>
          <w:tab w:leader="none" w:pos="13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24h-2 under the Securities Exchange Act of 1934.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837"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the Board of Directors of Selecta Biosciences,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Selecta Biosciences, Inc. and subsidiaries (the Company) as of December 31, 2018 and 2017, the related consolidated statements of operations and comprehensive loss, changes in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recurring losses from operations and insufficient cash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 xml:space="preserve">As discussed in Note 13 to the consolidated financial statements, the Company changed its method of accounting for revenue in 2018 due to the adoption of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the related amendments.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80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388" w:lineRule="exact"/>
        <w:rPr>
          <w:sz w:val="20"/>
          <w:szCs w:val="20"/>
          <w:color w:val="auto"/>
        </w:rPr>
      </w:pPr>
    </w:p>
    <w:p>
      <w:pPr>
        <w:ind w:left="9020"/>
        <w:spacing w:after="0"/>
        <w:tabs>
          <w:tab w:leader="none" w:pos="1036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9300"/>
        <w:spacing w:after="0"/>
        <w:tabs>
          <w:tab w:leader="none" w:pos="10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shd w:val="clear" w:color="auto" w:fill="CCEEFF"/>
        </w:rPr>
        <w:t>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Cash, cash equivalents, and restricted cash</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37,403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70,698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Short-term deposits and investments</w:t>
            </w:r>
          </w:p>
        </w:tc>
        <w:tc>
          <w:tcPr>
            <w:tcW w:w="3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Prepaid expenses and other current assets</w:t>
            </w: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4,673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204"/>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42,076</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98,680</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Property and equipment, net</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 and other assets</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assets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Accrued expenses</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11,700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8,580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 payable, current portion</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21,385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Deferred revenue, current portion</w:t>
            </w: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04"/>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35,144</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shd w:val="clear" w:color="auto" w:fill="CCEEFF"/>
              </w:rPr>
              <w:t>Non</w:t>
            </w:r>
            <w:r>
              <w:rPr>
                <w:rFonts w:ascii="MS PGothic" w:cs="MS PGothic" w:eastAsia="MS PGothic" w:hAnsi="MS PGothic"/>
                <w:sz w:val="14"/>
                <w:szCs w:val="14"/>
                <w:b w:val="1"/>
                <w:bCs w:val="1"/>
                <w:color w:val="auto"/>
                <w:shd w:val="clear" w:color="auto" w:fill="CCEEFF"/>
              </w:rPr>
              <w:t>‑</w:t>
            </w:r>
            <w:r>
              <w:rPr>
                <w:rFonts w:ascii="Arial" w:cs="Arial" w:eastAsia="Arial" w:hAnsi="Arial"/>
                <w:sz w:val="14"/>
                <w:szCs w:val="14"/>
                <w:b w:val="1"/>
                <w:bCs w:val="1"/>
                <w:color w:val="auto"/>
                <w:shd w:val="clear" w:color="auto" w:fill="CCEEFF"/>
              </w:rPr>
              <w:t>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Loan payable, net of current portion</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15,919</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4"/>
                <w:szCs w:val="14"/>
                <w:color w:val="auto"/>
                <w:shd w:val="clear" w:color="auto" w:fill="CCEEFF"/>
              </w:rPr>
              <w:t>Other long</w:t>
            </w:r>
            <w:r>
              <w:rPr>
                <w:rFonts w:ascii="MS PGothic" w:cs="MS PGothic" w:eastAsia="MS PGothic" w:hAnsi="MS PGothic"/>
                <w:sz w:val="14"/>
                <w:szCs w:val="14"/>
                <w:color w:val="auto"/>
                <w:shd w:val="clear" w:color="auto" w:fill="CCEEFF"/>
              </w:rPr>
              <w:t>‑</w:t>
            </w:r>
            <w:r>
              <w:rPr>
                <w:rFonts w:ascii="Arial" w:cs="Arial" w:eastAsia="Arial" w:hAnsi="Arial"/>
                <w:sz w:val="14"/>
                <w:szCs w:val="14"/>
                <w:color w:val="auto"/>
                <w:shd w:val="clear" w:color="auto" w:fill="CCEEFF"/>
              </w:rPr>
              <w:t>term liabilities</w:t>
            </w: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49,900</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Commitments and contingencies (Note 8)</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Stockholders’ (deficit) equity:</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December 31, 2018 and December 31, 2017,</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2"/>
              </w:rPr>
              <w:t>Common stock, $0.0001 par value; 200,000,000 shares authorized; 22,471,776 and 22,343,254 shares issued and outstanding as of December 31, 2018</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and December 31, 2017, respectively</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Additional paid-in capital</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279,539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(280,403)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(216,897)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(deficit) equity</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936"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700" w:type="dxa"/>
            <w:vAlign w:val="bottom"/>
            <w:tcBorders>
              <w:bottom w:val="single" w:sz="8" w:color="CCEEFF"/>
            </w:tcBorders>
          </w:tcPr>
          <w:p>
            <w:pPr>
              <w:spacing w:after="0"/>
              <w:rPr>
                <w:sz w:val="22"/>
                <w:szCs w:val="22"/>
                <w:color w:val="auto"/>
              </w:rPr>
            </w:pPr>
          </w:p>
        </w:tc>
        <w:tc>
          <w:tcPr>
            <w:tcW w:w="40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4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gridSpan w:val="3"/>
          </w:tcPr>
          <w:p>
            <w:pPr>
              <w:ind w:left="40"/>
              <w:spacing w:after="0"/>
              <w:rPr>
                <w:sz w:val="20"/>
                <w:szCs w:val="20"/>
                <w:color w:val="auto"/>
              </w:rPr>
            </w:pPr>
            <w:r>
              <w:rPr>
                <w:rFonts w:ascii="Arial" w:cs="Arial" w:eastAsia="Arial" w:hAnsi="Arial"/>
                <w:sz w:val="14"/>
                <w:szCs w:val="14"/>
                <w:color w:val="auto"/>
              </w:rPr>
              <w:t>Grant and collaboration revenue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8,083</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Operating expenses:</w:t>
            </w:r>
          </w:p>
        </w:tc>
        <w:tc>
          <w:tcPr>
            <w:tcW w:w="4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47,687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45,165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29,702</w:t>
            </w:r>
          </w:p>
        </w:tc>
        <w:tc>
          <w:tcPr>
            <w:tcW w:w="0" w:type="dxa"/>
            <w:vAlign w:val="bottom"/>
          </w:tcPr>
          <w:p>
            <w:pPr>
              <w:spacing w:after="0"/>
              <w:rPr>
                <w:sz w:val="1"/>
                <w:szCs w:val="1"/>
                <w:color w:val="auto"/>
              </w:rPr>
            </w:pPr>
          </w:p>
        </w:tc>
      </w:tr>
      <w:tr>
        <w:trPr>
          <w:trHeight w:val="276"/>
        </w:trPr>
        <w:tc>
          <w:tcPr>
            <w:tcW w:w="4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General and administrative</w:t>
            </w:r>
          </w:p>
        </w:tc>
        <w:tc>
          <w:tcPr>
            <w:tcW w:w="40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18,238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18,826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65,925</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63,991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42,753</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Loss from operations</w:t>
            </w:r>
          </w:p>
        </w:tc>
        <w:tc>
          <w:tcPr>
            <w:tcW w:w="4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(34,670)</w:t>
            </w:r>
          </w:p>
        </w:tc>
        <w:tc>
          <w:tcPr>
            <w:tcW w:w="0" w:type="dxa"/>
            <w:vAlign w:val="bottom"/>
          </w:tcPr>
          <w:p>
            <w:pPr>
              <w:spacing w:after="0"/>
              <w:rPr>
                <w:sz w:val="1"/>
                <w:szCs w:val="1"/>
                <w:color w:val="auto"/>
              </w:rPr>
            </w:pPr>
          </w:p>
        </w:tc>
      </w:tr>
      <w:tr>
        <w:trPr>
          <w:trHeight w:val="264"/>
        </w:trPr>
        <w:tc>
          <w:tcPr>
            <w:tcW w:w="6740" w:type="dxa"/>
            <w:vAlign w:val="bottom"/>
            <w:gridSpan w:val="3"/>
          </w:tcPr>
          <w:p>
            <w:pPr>
              <w:ind w:left="40"/>
              <w:spacing w:after="0"/>
              <w:rPr>
                <w:sz w:val="20"/>
                <w:szCs w:val="20"/>
                <w:color w:val="auto"/>
              </w:rPr>
            </w:pPr>
            <w:r>
              <w:rPr>
                <w:rFonts w:ascii="Arial" w:cs="Arial" w:eastAsia="Arial" w:hAnsi="Arial"/>
                <w:sz w:val="14"/>
                <w:szCs w:val="14"/>
                <w:color w:val="auto"/>
              </w:rPr>
              <w:t>Investment income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Loss on extinguishment of debt</w:t>
            </w:r>
          </w:p>
        </w:tc>
        <w:tc>
          <w:tcPr>
            <w:tcW w:w="4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gridSpan w:val="3"/>
          </w:tcPr>
          <w:p>
            <w:pPr>
              <w:ind w:left="40"/>
              <w:spacing w:after="0"/>
              <w:rPr>
                <w:sz w:val="20"/>
                <w:szCs w:val="20"/>
                <w:color w:val="auto"/>
              </w:rPr>
            </w:pPr>
            <w:r>
              <w:rPr>
                <w:rFonts w:ascii="Arial" w:cs="Arial" w:eastAsia="Arial" w:hAnsi="Arial"/>
                <w:sz w:val="14"/>
                <w:szCs w:val="14"/>
                <w:color w:val="auto"/>
              </w:rPr>
              <w:t>Foreign currency transaction gain (loss),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Interest expense</w:t>
            </w:r>
          </w:p>
        </w:tc>
        <w:tc>
          <w:tcPr>
            <w:tcW w:w="4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Other income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Net loss</w:t>
            </w:r>
          </w:p>
        </w:tc>
        <w:tc>
          <w:tcPr>
            <w:tcW w:w="4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0" w:type="dxa"/>
            <w:vAlign w:val="bottom"/>
          </w:tcPr>
          <w:p>
            <w:pPr>
              <w:spacing w:after="0"/>
              <w:rPr>
                <w:sz w:val="1"/>
                <w:szCs w:val="1"/>
                <w:color w:val="auto"/>
              </w:rPr>
            </w:pPr>
          </w:p>
        </w:tc>
      </w:tr>
      <w:tr>
        <w:trPr>
          <w:trHeight w:val="258"/>
        </w:trPr>
        <w:tc>
          <w:tcPr>
            <w:tcW w:w="6740" w:type="dxa"/>
            <w:vAlign w:val="bottom"/>
            <w:gridSpan w:val="3"/>
          </w:tcPr>
          <w:p>
            <w:pPr>
              <w:ind w:left="40"/>
              <w:spacing w:after="0"/>
              <w:rPr>
                <w:sz w:val="20"/>
                <w:szCs w:val="20"/>
                <w:color w:val="auto"/>
              </w:rPr>
            </w:pPr>
            <w:r>
              <w:rPr>
                <w:rFonts w:ascii="Arial" w:cs="Arial" w:eastAsia="Arial" w:hAnsi="Arial"/>
                <w:sz w:val="14"/>
                <w:szCs w:val="14"/>
                <w:color w:val="auto"/>
              </w:rPr>
              <w:t>Other comprehensive loss: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2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shd w:val="clear" w:color="auto" w:fill="CCEEFF"/>
              </w:rPr>
              <w:t>Foreign currency translation adjustment</w:t>
            </w:r>
          </w:p>
        </w:tc>
        <w:tc>
          <w:tcPr>
            <w:tcW w:w="4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2700" w:type="dxa"/>
            <w:vAlign w:val="bottom"/>
            <w:shd w:val="clear" w:color="auto" w:fill="CCEEFF"/>
          </w:tcPr>
          <w:p>
            <w:pPr>
              <w:spacing w:after="0"/>
              <w:rPr>
                <w:sz w:val="8"/>
                <w:szCs w:val="8"/>
                <w:color w:val="auto"/>
              </w:rPr>
            </w:pPr>
          </w:p>
        </w:tc>
        <w:tc>
          <w:tcPr>
            <w:tcW w:w="40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Unrealized gain (loss) on securities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36"/>
        </w:trPr>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comprehensive loss</w:t>
            </w:r>
          </w:p>
        </w:tc>
        <w:tc>
          <w:tcPr>
            <w:tcW w:w="40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Net loss</w:t>
            </w:r>
          </w:p>
        </w:tc>
        <w:tc>
          <w:tcPr>
            <w:tcW w:w="4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(65,336)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Accretion of redeemable convertible preferred stock</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Net loss attributable to common stockholders</w:t>
            </w:r>
          </w:p>
        </w:tc>
        <w:tc>
          <w:tcPr>
            <w:tcW w:w="40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(65,336)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Net loss per share:</w:t>
            </w:r>
          </w:p>
        </w:tc>
        <w:tc>
          <w:tcPr>
            <w:tcW w:w="4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Basic and diluted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31"/>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Weighted average common shares outstanding:</w:t>
            </w:r>
          </w:p>
        </w:tc>
        <w:tc>
          <w:tcPr>
            <w:tcW w:w="40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Basic and diluted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22,389,286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20,425,050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10,493,939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936" w:right="239" w:bottom="1440" w:gutter="0" w:footer="0" w:header="0"/>
        </w:sectPr>
      </w:pPr>
    </w:p>
    <w:bookmarkStart w:id="99" w:name="page100"/>
    <w:bookmarkEnd w:id="99"/>
    <w:p>
      <w:pPr>
        <w:jc w:val="center"/>
        <w:ind w:right="6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20" w:type="dxa"/>
            <w:vAlign w:val="bottom"/>
          </w:tcPr>
          <w:p>
            <w:pPr>
              <w:spacing w:after="0"/>
              <w:rPr>
                <w:sz w:val="12"/>
                <w:szCs w:val="12"/>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1"/>
              </w:rPr>
              <w:t>Series A</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1"/>
              </w:rPr>
              <w:t>Series B</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Series C</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Series D</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7"/>
              </w:rPr>
              <w:t>Series SRN</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7"/>
              </w:rPr>
              <w:t>Series 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4"/>
              </w:rPr>
              <w:t>redeemable</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4"/>
              </w:rPr>
              <w:t>redeemable</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redeemable</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redeemable</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4"/>
              </w:rPr>
              <w:t>redeemable</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redeemable</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convertible</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convertible</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5"/>
              </w:rPr>
              <w:t>convertible</w:t>
            </w:r>
          </w:p>
        </w:tc>
        <w:tc>
          <w:tcPr>
            <w:tcW w:w="106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8"/>
              </w:rPr>
              <w:t>convertible</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convertible</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5"/>
              </w:rPr>
              <w:t>convertible</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3"/>
          </w:tcPr>
          <w:p>
            <w:pPr>
              <w:ind w:left="2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23"/>
                <w:szCs w:val="23"/>
                <w:color w:val="auto"/>
              </w:rPr>
            </w:pPr>
          </w:p>
        </w:tc>
        <w:tc>
          <w:tcPr>
            <w:tcW w:w="520" w:type="dxa"/>
            <w:vAlign w:val="bottom"/>
            <w:gridSpan w:val="2"/>
          </w:tcPr>
          <w:p>
            <w:pPr>
              <w:ind w:left="4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9"/>
              </w:rPr>
              <w:t>preferred stock</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9"/>
              </w:rPr>
              <w:t>preferred stock</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9"/>
              </w:rPr>
              <w:t>preferred stock</w:t>
            </w:r>
          </w:p>
        </w:tc>
        <w:tc>
          <w:tcPr>
            <w:tcW w:w="10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23"/>
                <w:szCs w:val="23"/>
                <w:color w:val="auto"/>
              </w:rPr>
            </w:pPr>
          </w:p>
        </w:tc>
        <w:tc>
          <w:tcPr>
            <w:tcW w:w="540" w:type="dxa"/>
            <w:vAlign w:val="bottom"/>
            <w:gridSpan w:val="2"/>
          </w:tcPr>
          <w:p>
            <w:pPr>
              <w:spacing w:after="0" w:line="127" w:lineRule="exact"/>
              <w:rPr>
                <w:sz w:val="20"/>
                <w:szCs w:val="20"/>
                <w:color w:val="auto"/>
              </w:rPr>
            </w:pPr>
            <w:r>
              <w:rPr>
                <w:rFonts w:ascii="Arial" w:cs="Arial" w:eastAsia="Arial" w:hAnsi="Arial"/>
                <w:sz w:val="11"/>
                <w:szCs w:val="11"/>
                <w:b w:val="1"/>
                <w:bCs w:val="1"/>
                <w:color w:val="auto"/>
              </w:rPr>
              <w:t>paid</w:t>
            </w:r>
            <w:r>
              <w:rPr>
                <w:rFonts w:ascii="MS PGothic" w:cs="MS PGothic" w:eastAsia="MS PGothic" w:hAnsi="MS PGothic"/>
                <w:sz w:val="11"/>
                <w:szCs w:val="11"/>
                <w:b w:val="1"/>
                <w:bCs w:val="1"/>
                <w:color w:val="auto"/>
              </w:rPr>
              <w:t>‑</w:t>
            </w:r>
            <w:r>
              <w:rPr>
                <w:rFonts w:ascii="Arial" w:cs="Arial" w:eastAsia="Arial" w:hAnsi="Arial"/>
                <w:sz w:val="11"/>
                <w:szCs w:val="11"/>
                <w:b w:val="1"/>
                <w:bCs w:val="1"/>
                <w:color w:val="auto"/>
              </w:rPr>
              <w:t>In</w:t>
            </w:r>
          </w:p>
        </w:tc>
        <w:tc>
          <w:tcPr>
            <w:tcW w:w="80" w:type="dxa"/>
            <w:vAlign w:val="bottom"/>
          </w:tcPr>
          <w:p>
            <w:pPr>
              <w:spacing w:after="0"/>
              <w:rPr>
                <w:sz w:val="23"/>
                <w:szCs w:val="23"/>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option</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comprehensive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ind w:right="151"/>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Capital</w:t>
            </w:r>
          </w:p>
        </w:tc>
        <w:tc>
          <w:tcPr>
            <w:tcW w:w="600" w:type="dxa"/>
            <w:vAlign w:val="bottom"/>
            <w:gridSpan w:val="3"/>
          </w:tcPr>
          <w:p>
            <w:pPr>
              <w:ind w:left="20"/>
              <w:spacing w:after="0"/>
              <w:rPr>
                <w:sz w:val="20"/>
                <w:szCs w:val="20"/>
                <w:color w:val="auto"/>
              </w:rPr>
            </w:pPr>
            <w:r>
              <w:rPr>
                <w:rFonts w:ascii="Arial" w:cs="Arial" w:eastAsia="Arial" w:hAnsi="Arial"/>
                <w:sz w:val="10"/>
                <w:szCs w:val="10"/>
                <w:b w:val="1"/>
                <w:bCs w:val="1"/>
                <w:color w:val="auto"/>
              </w:rPr>
              <w:t>receivable</w:t>
            </w:r>
          </w:p>
        </w:tc>
        <w:tc>
          <w:tcPr>
            <w:tcW w:w="12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deficit</w:t>
            </w:r>
          </w:p>
        </w:tc>
        <w:tc>
          <w:tcPr>
            <w:tcW w:w="16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79"/>
              </w:rPr>
              <w:t>loss</w:t>
            </w:r>
          </w:p>
        </w:tc>
        <w:tc>
          <w:tcPr>
            <w:tcW w:w="120" w:type="dxa"/>
            <w:vAlign w:val="bottom"/>
          </w:tcPr>
          <w:p>
            <w:pPr>
              <w:spacing w:after="0"/>
              <w:rPr>
                <w:sz w:val="10"/>
                <w:szCs w:val="10"/>
                <w:color w:val="auto"/>
              </w:rPr>
            </w:pPr>
          </w:p>
        </w:tc>
        <w:tc>
          <w:tcPr>
            <w:tcW w:w="560" w:type="dxa"/>
            <w:vAlign w:val="bottom"/>
          </w:tcPr>
          <w:p>
            <w:pPr>
              <w:jc w:val="right"/>
              <w:ind w:right="131"/>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6"/>
        </w:trPr>
        <w:tc>
          <w:tcPr>
            <w:tcW w:w="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Balance at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December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31, 2015</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2,589,868</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9"/>
              </w:rPr>
              <w:t>3,644</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98"/>
              </w:rPr>
              <w:t>7,437,325</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84"/>
              </w:rPr>
              <w:t>21,448</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5,000,002</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84"/>
              </w:rPr>
              <w:t>20,178</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8,099,994</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84"/>
              </w:rPr>
              <w:t>42,902</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98"/>
              </w:rPr>
              <w:t>2,111,109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84"/>
              </w:rPr>
              <w:t>12,082</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8,888,888</w:t>
            </w: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84"/>
              </w:rPr>
              <w:t>37,228</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2,173,399</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(111,508)</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(4,986)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(116,493)</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Vesting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restricted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8,535</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upon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options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71,816</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224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(75)</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149</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compensation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expense</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2,030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2,030</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Accretion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to</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redemption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value</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75</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449</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446</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1,131</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913</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1,552</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(708)</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(3,858)</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(4,566)</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warrants</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572,003</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Conversion</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4"/>
              </w:rPr>
              <w:t>of convertible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upon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listing</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9"/>
              </w:rPr>
              <w:t>(2,589,868)</w:t>
            </w:r>
          </w:p>
        </w:tc>
        <w:tc>
          <w:tcPr>
            <w:tcW w:w="4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(3,719)</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(7,437,325)</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(21,897)</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9"/>
              </w:rPr>
              <w:t>(5,000,002)</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(20,624)</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(8,099,994)</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(44,033)</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(2,111,109)</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(12,995)</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9"/>
              </w:rPr>
              <w:t>(8,888,888)</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(38,780)</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1"/>
              </w:rPr>
              <w:t>10,126,118</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88"/>
              </w:rPr>
              <w:t>142,047</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142,048</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Initial</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public</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offering net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 issuance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costs</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5,289,633</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64,465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64,465</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3"/>
              </w:rPr>
              <w:t>stock, license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agreement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197,238</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2,743</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2,743</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Conversion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 series 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7"/>
              </w:rPr>
              <w:t>warrants into</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warrants for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6"/>
              </w:rPr>
              <w:t>the purchase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 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189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Conversion</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 series 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7"/>
              </w:rPr>
              <w:t>warrants into</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warrants for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6"/>
              </w:rPr>
              <w:t>the purchase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 common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113</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Currency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translation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adjustment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tcPr>
          <w:p>
            <w:pPr>
              <w:jc w:val="right"/>
              <w:ind w:right="90"/>
              <w:spacing w:after="0"/>
              <w:rPr>
                <w:sz w:val="20"/>
                <w:szCs w:val="20"/>
                <w:color w:val="auto"/>
              </w:rPr>
            </w:pPr>
            <w:r>
              <w:rPr>
                <w:rFonts w:ascii="Arial" w:cs="Arial" w:eastAsia="Arial" w:hAnsi="Arial"/>
                <w:sz w:val="10"/>
                <w:szCs w:val="10"/>
                <w:color w:val="auto"/>
              </w:rPr>
              <w:t>504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504</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Unrealized</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0"/>
              </w:rPr>
              <w:t>gains (losses)</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9"/>
              </w:rPr>
              <w:t>on securities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(36)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44"/>
        </w:trPr>
        <w:tc>
          <w:tcPr>
            <w:tcW w:w="620" w:type="dxa"/>
            <w:vAlign w:val="bottom"/>
          </w:tcPr>
          <w:p>
            <w:pPr>
              <w:ind w:left="40"/>
              <w:spacing w:after="0"/>
              <w:rPr>
                <w:sz w:val="20"/>
                <w:szCs w:val="20"/>
                <w:color w:val="auto"/>
              </w:rPr>
            </w:pPr>
            <w:r>
              <w:rPr>
                <w:rFonts w:ascii="Arial" w:cs="Arial" w:eastAsia="Arial" w:hAnsi="Arial"/>
                <w:sz w:val="10"/>
                <w:szCs w:val="10"/>
                <w:color w:val="auto"/>
              </w:rPr>
              <w:t>Net loss</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(36,210)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(36,210)</w:t>
            </w:r>
          </w:p>
        </w:tc>
        <w:tc>
          <w:tcPr>
            <w:tcW w:w="0" w:type="dxa"/>
            <w:vAlign w:val="bottom"/>
          </w:tcPr>
          <w:p>
            <w:pPr>
              <w:spacing w:after="0"/>
              <w:rPr>
                <w:sz w:val="1"/>
                <w:szCs w:val="1"/>
                <w:color w:val="auto"/>
              </w:rPr>
            </w:pPr>
          </w:p>
        </w:tc>
      </w:tr>
      <w:tr>
        <w:trPr>
          <w:trHeight w:val="26"/>
        </w:trPr>
        <w:tc>
          <w:tcPr>
            <w:tcW w:w="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Balance at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December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31, 2016</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1"/>
              </w:rPr>
              <w:t>18,438,742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88"/>
              </w:rPr>
              <w:t>211,125</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(75)</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(151,576)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(4,518)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54,957</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under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Employee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Purchase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Plan</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16,263</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180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180</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upon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options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269,842</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630</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75</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705</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compensation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expense</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4,080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4,080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80"/>
          </w:cols>
          <w:pgMar w:left="240" w:top="936" w:right="179" w:bottom="1440" w:gutter="0" w:footer="0" w:header="0"/>
        </w:sectPr>
      </w:pP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80"/>
          </w:cols>
          <w:pgMar w:left="240" w:top="936" w:right="17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3"/>
              </w:rPr>
              <w:t>stock, license</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agreement</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529,616</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10,000</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3"/>
              </w:rPr>
              <w:t>stock, Private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placement net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 issuance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costs</w:t>
            </w:r>
          </w:p>
        </w:tc>
        <w:tc>
          <w:tcPr>
            <w:tcW w:w="540" w:type="dxa"/>
            <w:vAlign w:val="bottom"/>
          </w:tcPr>
          <w:p>
            <w:pPr>
              <w:ind w:left="3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2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tcPr>
          <w:p>
            <w:pPr>
              <w:ind w:lef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3,088,791</w:t>
            </w:r>
          </w:p>
        </w:tc>
        <w:tc>
          <w:tcPr>
            <w:tcW w:w="200" w:type="dxa"/>
            <w:vAlign w:val="bottom"/>
          </w:tcPr>
          <w:p>
            <w:pPr>
              <w:spacing w:after="0"/>
              <w:rPr>
                <w:sz w:val="10"/>
                <w:szCs w:val="10"/>
                <w:color w:val="auto"/>
              </w:rPr>
            </w:pPr>
          </w:p>
        </w:tc>
        <w:tc>
          <w:tcPr>
            <w:tcW w:w="280" w:type="dxa"/>
            <w:vAlign w:val="bottom"/>
          </w:tcPr>
          <w:p>
            <w:pPr>
              <w:jc w:val="right"/>
              <w:ind w:right="5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47,113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47,115</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Currency</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translation</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adjustment</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78</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78</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Unrealized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0"/>
              </w:rPr>
              <w:t>gains (losses)</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w w:val="99"/>
              </w:rPr>
              <w:t>on securities</w:t>
            </w:r>
          </w:p>
        </w:tc>
        <w:tc>
          <w:tcPr>
            <w:tcW w:w="540" w:type="dxa"/>
            <w:vAlign w:val="bottom"/>
          </w:tcPr>
          <w:p>
            <w:pPr>
              <w:ind w:left="3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2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tcPr>
          <w:p>
            <w:pPr>
              <w:ind w:lef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60" w:type="dxa"/>
            <w:vAlign w:val="bottom"/>
          </w:tcPr>
          <w:p>
            <w:pPr>
              <w:jc w:val="right"/>
              <w:ind w:right="51"/>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Net loss</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(65,321)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(65,321)</w:t>
            </w:r>
          </w:p>
        </w:tc>
        <w:tc>
          <w:tcPr>
            <w:tcW w:w="0" w:type="dxa"/>
            <w:vAlign w:val="bottom"/>
          </w:tcPr>
          <w:p>
            <w:pPr>
              <w:spacing w:after="0"/>
              <w:rPr>
                <w:sz w:val="1"/>
                <w:szCs w:val="1"/>
                <w:color w:val="auto"/>
              </w:rPr>
            </w:pPr>
          </w:p>
        </w:tc>
      </w:tr>
      <w:tr>
        <w:trPr>
          <w:trHeight w:val="127"/>
        </w:trPr>
        <w:tc>
          <w:tcPr>
            <w:tcW w:w="620" w:type="dxa"/>
            <w:vAlign w:val="bottom"/>
          </w:tcPr>
          <w:p>
            <w:pPr>
              <w:ind w:left="40"/>
              <w:spacing w:after="0"/>
              <w:rPr>
                <w:sz w:val="20"/>
                <w:szCs w:val="20"/>
                <w:color w:val="auto"/>
              </w:rPr>
            </w:pPr>
            <w:r>
              <w:rPr>
                <w:rFonts w:ascii="Arial" w:cs="Arial" w:eastAsia="Arial" w:hAnsi="Arial"/>
                <w:sz w:val="10"/>
                <w:szCs w:val="10"/>
                <w:color w:val="auto"/>
              </w:rPr>
              <w:t>Balance at</w:t>
            </w: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December 31,</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2017</w:t>
            </w:r>
          </w:p>
        </w:tc>
        <w:tc>
          <w:tcPr>
            <w:tcW w:w="540" w:type="dxa"/>
            <w:vAlign w:val="bottom"/>
          </w:tcPr>
          <w:p>
            <w:pPr>
              <w:ind w:left="36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2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tcPr>
          <w:p>
            <w:pPr>
              <w:ind w:lef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w w:val="91"/>
              </w:rPr>
              <w:t>22,343,254</w:t>
            </w:r>
          </w:p>
        </w:tc>
        <w:tc>
          <w:tcPr>
            <w:tcW w:w="2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5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w w:val="94"/>
              </w:rPr>
              <w:t>$ 273,128</w:t>
            </w:r>
          </w:p>
        </w:tc>
        <w:tc>
          <w:tcPr>
            <w:tcW w:w="120" w:type="dxa"/>
            <w:vAlign w:val="bottom"/>
          </w:tcPr>
          <w:p>
            <w:pPr>
              <w:spacing w:after="0"/>
              <w:rPr>
                <w:sz w:val="10"/>
                <w:szCs w:val="10"/>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31"/>
              <w:spacing w:after="0"/>
              <w:rPr>
                <w:sz w:val="20"/>
                <w:szCs w:val="20"/>
                <w:color w:val="auto"/>
              </w:rPr>
            </w:pPr>
            <w:r>
              <w:rPr>
                <w:rFonts w:ascii="Arial" w:cs="Arial" w:eastAsia="Arial" w:hAnsi="Arial"/>
                <w:sz w:val="10"/>
                <w:szCs w:val="10"/>
                <w:color w:val="auto"/>
                <w:w w:val="98"/>
              </w:rPr>
              <w:t>(216,897)</w:t>
            </w:r>
          </w:p>
        </w:tc>
        <w:tc>
          <w:tcPr>
            <w:tcW w:w="10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(4,420)</w:t>
            </w:r>
          </w:p>
        </w:tc>
        <w:tc>
          <w:tcPr>
            <w:tcW w:w="120" w:type="dxa"/>
            <w:vAlign w:val="bottom"/>
          </w:tcPr>
          <w:p>
            <w:pPr>
              <w:spacing w:after="0"/>
              <w:rPr>
                <w:sz w:val="10"/>
                <w:szCs w:val="10"/>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51,814</w:t>
            </w:r>
          </w:p>
        </w:tc>
        <w:tc>
          <w:tcPr>
            <w:tcW w:w="0" w:type="dxa"/>
            <w:vAlign w:val="bottom"/>
          </w:tcPr>
          <w:p>
            <w:pPr>
              <w:spacing w:after="0"/>
              <w:rPr>
                <w:sz w:val="1"/>
                <w:szCs w:val="1"/>
                <w:color w:val="auto"/>
              </w:rPr>
            </w:pPr>
          </w:p>
        </w:tc>
      </w:tr>
      <w:tr>
        <w:trPr>
          <w:trHeight w:val="26"/>
        </w:trPr>
        <w:tc>
          <w:tcPr>
            <w:tcW w:w="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Adoption of</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new</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accounting</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principle</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1,830</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1,830</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under</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Employee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w w:val="86"/>
              </w:rPr>
              <w:t>Purchase Plan</w:t>
            </w:r>
          </w:p>
        </w:tc>
        <w:tc>
          <w:tcPr>
            <w:tcW w:w="540" w:type="dxa"/>
            <w:vAlign w:val="bottom"/>
          </w:tcPr>
          <w:p>
            <w:pPr>
              <w:ind w:left="3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2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tcPr>
          <w:p>
            <w:pPr>
              <w:ind w:lef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24,738</w:t>
            </w:r>
          </w:p>
        </w:tc>
        <w:tc>
          <w:tcPr>
            <w:tcW w:w="20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196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196</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upon</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exercise of</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options</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103,784</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501</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501</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compensation</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expense</w:t>
            </w:r>
          </w:p>
        </w:tc>
        <w:tc>
          <w:tcPr>
            <w:tcW w:w="540" w:type="dxa"/>
            <w:vAlign w:val="bottom"/>
          </w:tcPr>
          <w:p>
            <w:pPr>
              <w:ind w:left="3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2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tcPr>
          <w:p>
            <w:pPr>
              <w:ind w:lef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5,714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5,714</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Currency</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translation</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adjustment</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(153)</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(153)</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Unrealized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0"/>
              </w:rPr>
              <w:t>gains (losses)</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w w:val="99"/>
              </w:rPr>
              <w:t>on securities</w:t>
            </w:r>
          </w:p>
        </w:tc>
        <w:tc>
          <w:tcPr>
            <w:tcW w:w="540" w:type="dxa"/>
            <w:vAlign w:val="bottom"/>
          </w:tcPr>
          <w:p>
            <w:pPr>
              <w:ind w:left="3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2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400" w:type="dxa"/>
            <w:vAlign w:val="bottom"/>
          </w:tcPr>
          <w:p>
            <w:pPr>
              <w:ind w:lef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60" w:type="dxa"/>
            <w:vAlign w:val="bottom"/>
          </w:tcPr>
          <w:p>
            <w:pPr>
              <w:jc w:val="right"/>
              <w:ind w:right="51"/>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Net loss</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(65,336)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(65,336)</w:t>
            </w:r>
          </w:p>
        </w:tc>
        <w:tc>
          <w:tcPr>
            <w:tcW w:w="0" w:type="dxa"/>
            <w:vAlign w:val="bottom"/>
          </w:tcPr>
          <w:p>
            <w:pPr>
              <w:spacing w:after="0"/>
              <w:rPr>
                <w:sz w:val="1"/>
                <w:szCs w:val="1"/>
                <w:color w:val="auto"/>
              </w:rPr>
            </w:pPr>
          </w:p>
        </w:tc>
      </w:tr>
      <w:tr>
        <w:trPr>
          <w:trHeight w:val="127"/>
        </w:trPr>
        <w:tc>
          <w:tcPr>
            <w:tcW w:w="620" w:type="dxa"/>
            <w:vAlign w:val="bottom"/>
          </w:tcPr>
          <w:p>
            <w:pPr>
              <w:ind w:left="40"/>
              <w:spacing w:after="0"/>
              <w:rPr>
                <w:sz w:val="20"/>
                <w:szCs w:val="20"/>
                <w:color w:val="auto"/>
              </w:rPr>
            </w:pPr>
            <w:r>
              <w:rPr>
                <w:rFonts w:ascii="Arial" w:cs="Arial" w:eastAsia="Arial" w:hAnsi="Arial"/>
                <w:sz w:val="10"/>
                <w:szCs w:val="10"/>
                <w:color w:val="auto"/>
              </w:rPr>
              <w:t>Balance at</w:t>
            </w: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December 31,</w:t>
            </w:r>
          </w:p>
        </w:tc>
        <w:tc>
          <w:tcPr>
            <w:tcW w:w="540" w:type="dxa"/>
            <w:vAlign w:val="bottom"/>
            <w:vMerge w:val="restart"/>
          </w:tcPr>
          <w:p>
            <w:pPr>
              <w:ind w:left="360"/>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0"/>
                <w:szCs w:val="10"/>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ind w:left="240"/>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400" w:type="dxa"/>
            <w:vAlign w:val="bottom"/>
            <w:gridSpan w:val="2"/>
            <w:vMerge w:val="restart"/>
          </w:tcPr>
          <w:p>
            <w:pPr>
              <w:ind w:left="80"/>
              <w:spacing w:after="0"/>
              <w:rPr>
                <w:sz w:val="20"/>
                <w:szCs w:val="20"/>
                <w:color w:val="auto"/>
              </w:rPr>
            </w:pPr>
            <w:r>
              <w:rPr>
                <w:rFonts w:ascii="Arial" w:cs="Arial" w:eastAsia="Arial" w:hAnsi="Arial"/>
                <w:sz w:val="10"/>
                <w:szCs w:val="10"/>
                <w:color w:val="auto"/>
              </w:rPr>
              <w:t>—</w:t>
            </w:r>
          </w:p>
        </w:tc>
        <w:tc>
          <w:tcPr>
            <w:tcW w:w="380" w:type="dxa"/>
            <w:vAlign w:val="bottom"/>
            <w:vMerge w:val="restart"/>
          </w:tcPr>
          <w:p>
            <w:pPr>
              <w:ind w:left="220"/>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0"/>
                <w:szCs w:val="10"/>
                <w:color w:val="auto"/>
              </w:rPr>
              <w:t>—</w:t>
            </w:r>
          </w:p>
        </w:tc>
        <w:tc>
          <w:tcPr>
            <w:tcW w:w="400" w:type="dxa"/>
            <w:vAlign w:val="bottom"/>
            <w:vMerge w:val="restart"/>
          </w:tcPr>
          <w:p>
            <w:pPr>
              <w:ind w:left="240"/>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tcPr>
          <w:p>
            <w:pPr>
              <w:ind w:left="60"/>
              <w:spacing w:after="0"/>
              <w:rPr>
                <w:sz w:val="20"/>
                <w:szCs w:val="20"/>
                <w:color w:val="auto"/>
              </w:rPr>
            </w:pPr>
            <w:r>
              <w:rPr>
                <w:rFonts w:ascii="Arial" w:cs="Arial" w:eastAsia="Arial" w:hAnsi="Arial"/>
                <w:sz w:val="10"/>
                <w:szCs w:val="10"/>
                <w:color w:val="auto"/>
              </w:rPr>
              <w:t>—</w:t>
            </w:r>
          </w:p>
        </w:tc>
        <w:tc>
          <w:tcPr>
            <w:tcW w:w="400" w:type="dxa"/>
            <w:vAlign w:val="bottom"/>
            <w:vMerge w:val="restart"/>
          </w:tcPr>
          <w:p>
            <w:pPr>
              <w:ind w:left="220"/>
              <w:spacing w:after="0"/>
              <w:rPr>
                <w:sz w:val="20"/>
                <w:szCs w:val="20"/>
                <w:color w:val="auto"/>
              </w:rPr>
            </w:pPr>
            <w:r>
              <w:rPr>
                <w:rFonts w:ascii="Arial" w:cs="Arial" w:eastAsia="Arial" w:hAnsi="Arial"/>
                <w:sz w:val="10"/>
                <w:szCs w:val="10"/>
                <w:color w:val="auto"/>
              </w:rPr>
              <w:t>—</w:t>
            </w:r>
          </w:p>
        </w:tc>
        <w:tc>
          <w:tcPr>
            <w:tcW w:w="18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400" w:type="dxa"/>
            <w:vAlign w:val="bottom"/>
            <w:gridSpan w:val="2"/>
            <w:vMerge w:val="restart"/>
          </w:tcPr>
          <w:p>
            <w:pPr>
              <w:ind w:left="80"/>
              <w:spacing w:after="0"/>
              <w:rPr>
                <w:sz w:val="20"/>
                <w:szCs w:val="20"/>
                <w:color w:val="auto"/>
              </w:rPr>
            </w:pPr>
            <w:r>
              <w:rPr>
                <w:rFonts w:ascii="Arial" w:cs="Arial" w:eastAsia="Arial" w:hAnsi="Arial"/>
                <w:sz w:val="10"/>
                <w:szCs w:val="10"/>
                <w:color w:val="auto"/>
              </w:rPr>
              <w:t>—</w:t>
            </w:r>
          </w:p>
        </w:tc>
        <w:tc>
          <w:tcPr>
            <w:tcW w:w="380" w:type="dxa"/>
            <w:vAlign w:val="bottom"/>
            <w:vMerge w:val="restart"/>
          </w:tcPr>
          <w:p>
            <w:pPr>
              <w:ind w:left="220"/>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11"/>
              <w:spacing w:after="0"/>
              <w:rPr>
                <w:sz w:val="20"/>
                <w:szCs w:val="20"/>
                <w:color w:val="auto"/>
              </w:rPr>
            </w:pPr>
            <w:r>
              <w:rPr>
                <w:rFonts w:ascii="Arial" w:cs="Arial" w:eastAsia="Arial" w:hAnsi="Arial"/>
                <w:sz w:val="10"/>
                <w:szCs w:val="10"/>
                <w:color w:val="auto"/>
                <w:w w:val="91"/>
              </w:rPr>
              <w:t>22,471,776</w:t>
            </w:r>
          </w:p>
        </w:tc>
        <w:tc>
          <w:tcPr>
            <w:tcW w:w="20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280" w:type="dxa"/>
            <w:vAlign w:val="bottom"/>
            <w:vMerge w:val="restart"/>
          </w:tcPr>
          <w:p>
            <w:pPr>
              <w:jc w:val="right"/>
              <w:ind w:right="5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540" w:type="dxa"/>
            <w:vAlign w:val="bottom"/>
            <w:vMerge w:val="restart"/>
          </w:tcPr>
          <w:p>
            <w:pPr>
              <w:jc w:val="right"/>
              <w:ind w:right="51"/>
              <w:spacing w:after="0"/>
              <w:rPr>
                <w:sz w:val="20"/>
                <w:szCs w:val="20"/>
                <w:color w:val="auto"/>
              </w:rPr>
            </w:pPr>
            <w:r>
              <w:rPr>
                <w:rFonts w:ascii="Arial" w:cs="Arial" w:eastAsia="Arial" w:hAnsi="Arial"/>
                <w:sz w:val="10"/>
                <w:szCs w:val="10"/>
                <w:color w:val="auto"/>
                <w:w w:val="94"/>
              </w:rPr>
              <w:t>$ 279,539</w:t>
            </w:r>
          </w:p>
        </w:tc>
        <w:tc>
          <w:tcPr>
            <w:tcW w:w="120" w:type="dxa"/>
            <w:vAlign w:val="bottom"/>
          </w:tcPr>
          <w:p>
            <w:pPr>
              <w:spacing w:after="0"/>
              <w:rPr>
                <w:sz w:val="10"/>
                <w:szCs w:val="10"/>
                <w:color w:val="auto"/>
              </w:rPr>
            </w:pPr>
          </w:p>
        </w:tc>
        <w:tc>
          <w:tcPr>
            <w:tcW w:w="14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400" w:type="dxa"/>
            <w:vAlign w:val="bottom"/>
            <w:gridSpan w:val="2"/>
            <w:vMerge w:val="restart"/>
          </w:tcPr>
          <w:p>
            <w:pPr>
              <w:ind w:left="8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31"/>
              <w:spacing w:after="0"/>
              <w:rPr>
                <w:sz w:val="20"/>
                <w:szCs w:val="20"/>
                <w:color w:val="auto"/>
              </w:rPr>
            </w:pPr>
            <w:r>
              <w:rPr>
                <w:rFonts w:ascii="Arial" w:cs="Arial" w:eastAsia="Arial" w:hAnsi="Arial"/>
                <w:sz w:val="10"/>
                <w:szCs w:val="10"/>
                <w:color w:val="auto"/>
                <w:w w:val="98"/>
              </w:rPr>
              <w:t>(280,403)</w:t>
            </w:r>
          </w:p>
        </w:tc>
        <w:tc>
          <w:tcPr>
            <w:tcW w:w="100" w:type="dxa"/>
            <w:vAlign w:val="bottom"/>
          </w:tcPr>
          <w:p>
            <w:pPr>
              <w:spacing w:after="0"/>
              <w:rPr>
                <w:sz w:val="10"/>
                <w:szCs w:val="10"/>
                <w:color w:val="auto"/>
              </w:rPr>
            </w:pPr>
          </w:p>
        </w:tc>
        <w:tc>
          <w:tcPr>
            <w:tcW w:w="2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(4,557)</w:t>
            </w:r>
          </w:p>
        </w:tc>
        <w:tc>
          <w:tcPr>
            <w:tcW w:w="120" w:type="dxa"/>
            <w:vAlign w:val="bottom"/>
          </w:tcPr>
          <w:p>
            <w:pPr>
              <w:spacing w:after="0"/>
              <w:rPr>
                <w:sz w:val="10"/>
                <w:szCs w:val="10"/>
                <w:color w:val="auto"/>
              </w:rPr>
            </w:pPr>
          </w:p>
        </w:tc>
        <w:tc>
          <w:tcPr>
            <w:tcW w:w="16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31"/>
              <w:spacing w:after="0"/>
              <w:rPr>
                <w:sz w:val="20"/>
                <w:szCs w:val="20"/>
                <w:color w:val="auto"/>
              </w:rPr>
            </w:pPr>
            <w:r>
              <w:rPr>
                <w:rFonts w:ascii="Arial" w:cs="Arial" w:eastAsia="Arial" w:hAnsi="Arial"/>
                <w:sz w:val="10"/>
                <w:szCs w:val="10"/>
                <w:color w:val="auto"/>
              </w:rPr>
              <w:t>(5,418)</w:t>
            </w:r>
          </w:p>
        </w:tc>
        <w:tc>
          <w:tcPr>
            <w:tcW w:w="0" w:type="dxa"/>
            <w:vAlign w:val="bottom"/>
          </w:tcPr>
          <w:p>
            <w:pPr>
              <w:spacing w:after="0"/>
              <w:rPr>
                <w:sz w:val="1"/>
                <w:szCs w:val="1"/>
                <w:color w:val="auto"/>
              </w:rPr>
            </w:pPr>
          </w:p>
        </w:tc>
      </w:tr>
      <w:tr>
        <w:trPr>
          <w:trHeight w:val="130"/>
        </w:trPr>
        <w:tc>
          <w:tcPr>
            <w:tcW w:w="620" w:type="dxa"/>
            <w:vAlign w:val="bottom"/>
          </w:tcPr>
          <w:p>
            <w:pPr>
              <w:ind w:left="40"/>
              <w:spacing w:after="0"/>
              <w:rPr>
                <w:sz w:val="20"/>
                <w:szCs w:val="20"/>
                <w:color w:val="auto"/>
              </w:rPr>
            </w:pPr>
            <w:r>
              <w:rPr>
                <w:rFonts w:ascii="Arial" w:cs="Arial" w:eastAsia="Arial" w:hAnsi="Arial"/>
                <w:sz w:val="10"/>
                <w:szCs w:val="10"/>
                <w:color w:val="auto"/>
              </w:rPr>
              <w:t>2018</w:t>
            </w:r>
          </w:p>
        </w:tc>
        <w:tc>
          <w:tcPr>
            <w:tcW w:w="5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color w:val="auto"/>
        </w:rPr>
        <w:t>.</w:t>
      </w: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842" w:right="439" w:bottom="1440" w:gutter="0" w:footer="0" w:header="0"/>
        </w:sectPr>
      </w:pPr>
    </w:p>
    <w:bookmarkStart w:id="101" w:name="page102"/>
    <w:bookmarkEnd w:id="101"/>
    <w:p>
      <w:pPr>
        <w:ind w:left="42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(65,336)</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91"/>
        </w:trPr>
        <w:tc>
          <w:tcPr>
            <w:tcW w:w="7080" w:type="dxa"/>
            <w:vAlign w:val="bottom"/>
            <w:vMerge w:val="restart"/>
          </w:tcPr>
          <w:p>
            <w:pPr>
              <w:ind w:left="280"/>
              <w:spacing w:after="0"/>
              <w:rPr>
                <w:sz w:val="20"/>
                <w:szCs w:val="20"/>
                <w:color w:val="auto"/>
              </w:rPr>
            </w:pPr>
            <w:r>
              <w:rPr>
                <w:rFonts w:ascii="Arial" w:cs="Arial" w:eastAsia="Arial" w:hAnsi="Arial"/>
                <w:sz w:val="14"/>
                <w:szCs w:val="14"/>
                <w:color w:val="auto"/>
              </w:rPr>
              <w:t>Amortization of premiums (accretion of discounts) on investments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74"/>
        </w:trPr>
        <w:tc>
          <w:tcPr>
            <w:tcW w:w="70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(Gain) loss on disposal of property and equipment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7080" w:type="dxa"/>
            <w:vAlign w:val="bottom"/>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losses on investments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Prepaid expenses, deposits and other current assets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10,409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Contingently repayable grant funding</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(59,161)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(52,026)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(19,757)</w:t>
            </w:r>
          </w:p>
        </w:tc>
        <w:tc>
          <w:tcPr>
            <w:tcW w:w="0" w:type="dxa"/>
            <w:vAlign w:val="bottom"/>
          </w:tcPr>
          <w:p>
            <w:pPr>
              <w:spacing w:after="0"/>
              <w:rPr>
                <w:sz w:val="1"/>
                <w:szCs w:val="1"/>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Receipts from the maturity of short-term investments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41,655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6,900</w:t>
            </w: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color w:val="auto"/>
              </w:rPr>
              <w:t>Purchases of short-term investments</w:t>
            </w: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(15,598)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(61,527)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(28,416)</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the sale of property and equipment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25,272</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(22,100)</w:t>
            </w:r>
          </w:p>
        </w:tc>
        <w:tc>
          <w:tcPr>
            <w:tcW w:w="0" w:type="dxa"/>
            <w:vAlign w:val="bottom"/>
          </w:tcPr>
          <w:p>
            <w:pPr>
              <w:spacing w:after="0"/>
              <w:rPr>
                <w:sz w:val="1"/>
                <w:szCs w:val="1"/>
                <w:color w:val="auto"/>
              </w:rPr>
            </w:pPr>
          </w:p>
        </w:tc>
      </w:tr>
      <w:tr>
        <w:trPr>
          <w:trHeight w:val="252"/>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936" w:right="239" w:bottom="30" w:gutter="0" w:footer="0" w:header="0"/>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issuance of long-term debt, net of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right="1380"/>
        <w:spacing w:after="0" w:line="402" w:lineRule="auto"/>
        <w:rPr>
          <w:sz w:val="20"/>
          <w:szCs w:val="20"/>
          <w:color w:val="auto"/>
        </w:rPr>
      </w:pPr>
      <w:r>
        <w:rPr>
          <w:rFonts w:ascii="Arial" w:cs="Arial" w:eastAsia="Arial" w:hAnsi="Arial"/>
          <w:sz w:val="14"/>
          <w:szCs w:val="14"/>
          <w:color w:val="auto"/>
        </w:rPr>
        <w:t>Proceeds from Initial Public Offering, net of underwriters' discounts and commissions Deferred IPO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Proceeds from Private Placement, net of issuance costs ($2.9 million)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exercise of stock options</w:t>
      </w:r>
    </w:p>
    <w:p>
      <w:pPr>
        <w:spacing w:after="0" w:line="109" w:lineRule="exact"/>
        <w:rPr>
          <w:sz w:val="20"/>
          <w:szCs w:val="20"/>
          <w:color w:val="auto"/>
        </w:rPr>
      </w:pPr>
    </w:p>
    <w:p>
      <w:pPr>
        <w:ind w:left="760" w:right="1740" w:hanging="719"/>
        <w:spacing w:after="0" w:line="402" w:lineRule="auto"/>
        <w:rPr>
          <w:sz w:val="20"/>
          <w:szCs w:val="20"/>
          <w:color w:val="auto"/>
        </w:rPr>
      </w:pPr>
      <w:r>
        <w:rPr>
          <w:rFonts w:ascii="Arial" w:cs="Arial" w:eastAsia="Arial" w:hAnsi="Arial"/>
          <w:sz w:val="14"/>
          <w:szCs w:val="14"/>
          <w:color w:val="auto"/>
        </w:rPr>
        <w:t>Proceeds from issuance of common stock under Employee Stock Purchase Plan 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cash, cash equivalents,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interest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property and equipment not yet paid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 (loss)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right="1120"/>
        <w:spacing w:after="0" w:line="402" w:lineRule="auto"/>
        <w:rPr>
          <w:sz w:val="20"/>
          <w:szCs w:val="20"/>
          <w:color w:val="auto"/>
        </w:rPr>
      </w:pPr>
      <w:r>
        <w:rPr>
          <w:rFonts w:ascii="Arial" w:cs="Arial" w:eastAsia="Arial" w:hAnsi="Arial"/>
          <w:sz w:val="14"/>
          <w:szCs w:val="14"/>
          <w:color w:val="auto"/>
        </w:rPr>
        <w:t>Reclassification of deferred IPO costs from non-current assets to additional paid-in capital Debt issuance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Accrued dividends and accretion of preferred stock to redemption value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20,957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68,870</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(4,103)</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47,114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6"/>
        </w:trPr>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66,023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67,659</w:t>
            </w: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(33,345)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11,977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26,265</w:t>
            </w:r>
          </w:p>
        </w:tc>
        <w:tc>
          <w:tcPr>
            <w:tcW w:w="0" w:type="dxa"/>
            <w:vAlign w:val="bottom"/>
          </w:tcPr>
          <w:p>
            <w:pPr>
              <w:spacing w:after="0"/>
              <w:rPr>
                <w:sz w:val="1"/>
                <w:szCs w:val="1"/>
                <w:color w:val="auto"/>
              </w:rPr>
            </w:pPr>
          </w:p>
        </w:tc>
      </w:tr>
      <w:tr>
        <w:trPr>
          <w:trHeight w:val="276"/>
        </w:trPr>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71,027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59,050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32,785</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37,682</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71,027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59,050</w:t>
            </w: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473"/>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4"/>
                <w:szCs w:val="2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4,404</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60" w:space="720"/>
            <w:col w:w="4340"/>
          </w:cols>
          <w:pgMar w:left="240" w:top="936" w:right="239" w:bottom="3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r>
        <w:rPr>
          <w:rFonts w:ascii="Arial" w:cs="Arial" w:eastAsia="Arial" w:hAnsi="Arial"/>
          <w:sz w:val="14"/>
          <w:szCs w:val="14"/>
          <w:b w:val="1"/>
          <w:bCs w:val="1"/>
          <w:color w:val="auto"/>
        </w:rPr>
        <w:t>.</w:t>
      </w:r>
    </w:p>
    <w:p>
      <w:pPr>
        <w:sectPr>
          <w:pgSz w:w="11900" w:h="16838" w:orient="portrait"/>
          <w:cols w:equalWidth="0" w:num="1">
            <w:col w:w="11420"/>
          </w:cols>
          <w:pgMar w:left="240" w:top="936" w:right="239" w:bottom="3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936" w:right="239" w:bottom="30" w:gutter="0" w:footer="0" w:header="0"/>
          <w:type w:val="continuous"/>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date, the Company has financed its operations primarily through the initial public offering of its common stock, a private placement of its common stock, issuances of preferred stock, debt, research grants and research collaborations. The Company currently has no source of product revenue, and it does not expect to generate product revenue for the foreseeable future. All of its revenue to date has been collaboration and grant revenue. The Company has devoted substantially all of its financial resources and efforts to developing its ImmTOR technology,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December 31, 2018, the Company’s cash and cash equivalents were $37.4 million, of which $0.4 million was held by its Russian subsidiary designated solely for use in its operations. In addition, approximately $31.3 million was raised from an equity offering that closed in January 2019. The Company has incurred losses and negative cash flows from operating activities since inception. As of December 31, 2018, and December 31, 2017, the Company had an accumulated deficit of $280.4 million and $216.9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its ability to continue as a going concern within one year after the date that the financial statements are issued.</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958" w:right="299" w:bottom="1440" w:gutter="0" w:footer="0" w:header="0"/>
        </w:sectPr>
      </w:pPr>
    </w:p>
    <w:bookmarkStart w:id="103" w:name="page104"/>
    <w:bookmarkEnd w:id="103"/>
    <w:p>
      <w:pPr>
        <w:ind w:right="100"/>
        <w:spacing w:after="0" w:line="287" w:lineRule="auto"/>
        <w:rPr>
          <w:sz w:val="20"/>
          <w:szCs w:val="20"/>
          <w:color w:val="auto"/>
        </w:rPr>
      </w:pPr>
      <w:r>
        <w:rPr>
          <w:rFonts w:ascii="Arial" w:cs="Arial" w:eastAsia="Arial" w:hAnsi="Arial"/>
          <w:sz w:val="16"/>
          <w:szCs w:val="16"/>
          <w:color w:val="auto"/>
        </w:rPr>
        <w:t>Management is exploring various sources of funding such as strategic collaborations and the issuance of equity to fund its operations. If the Company raises additional funds through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current operating plan includes the cost to prepare for the Phase 3 clinical program for SEL-212. However, prior to beginning the Phase 3 clinical program, the Company expects to conduct the planned head-to-head Phase 2 trial against Krystexxa. The Company will require additional external sources of capital to conduct the Phase 3 clinical program. If the Company is unable to raise sufficient capital through the transactions discussed above,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cash resources at December 31, 2018 and through the issuance of additional equity in January 2019, management has concluded that substantial doubt exists with respect to our ability to continue as a going concern within one year after the date of the filing of this Annual Report on Form 10-K.</w:t>
      </w:r>
    </w:p>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amounts due under the 2017 Term Loan (Note 9) have been classified as a current liability as of December 31, 2018 due to the considerations discussed above and the assessment that the material adverse change clause under the 2017 Term Loan is not within the Company's control. The Company has not been notified of an event of default by the Lender as of the date of the filing of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December 31,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81" w:lineRule="exact"/>
        <w:rPr>
          <w:sz w:val="20"/>
          <w:szCs w:val="20"/>
          <w:color w:val="auto"/>
        </w:rPr>
      </w:pPr>
    </w:p>
    <w:p>
      <w:pPr>
        <w:ind w:right="7860" w:firstLine="8"/>
        <w:spacing w:after="0" w:line="503" w:lineRule="auto"/>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and estimating accrued research and development expenses. The Company assesses the above estimates on an ongoing basis; however, actual results could materially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8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Company has restricted cash balances relating to a secured letter of credit in connection with its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25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70,622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58,656</w:t>
            </w:r>
          </w:p>
        </w:tc>
      </w:tr>
      <w:tr>
        <w:trPr>
          <w:trHeight w:val="264"/>
        </w:trPr>
        <w:tc>
          <w:tcPr>
            <w:tcW w:w="76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w:t>
            </w: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r>
      <w:tr>
        <w:trPr>
          <w:trHeight w:val="243"/>
        </w:trPr>
        <w:tc>
          <w:tcPr>
            <w:tcW w:w="760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37,682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71,027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59,050</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December 31, 2018, the Company maintained approximately $0.4 million in Russian bank accounts, of which $0.4 million was held in U.S. dollars.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December 31, 2018 and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580"/>
        <w:spacing w:after="0" w:line="220" w:lineRule="exact"/>
        <w:rPr>
          <w:sz w:val="20"/>
          <w:szCs w:val="20"/>
          <w:color w:val="auto"/>
        </w:rPr>
      </w:pPr>
      <w:r>
        <w:rPr>
          <w:rFonts w:ascii="Arial" w:cs="Arial" w:eastAsia="Arial" w:hAnsi="Arial"/>
          <w:sz w:val="17"/>
          <w:szCs w:val="17"/>
          <w:color w:val="auto"/>
        </w:rPr>
        <w:t>The Company’s financial instruments consist mainly of cash equivalents, short</w:t>
      </w:r>
      <w:r>
        <w:rPr>
          <w:rFonts w:ascii="MS PGothic" w:cs="MS PGothic" w:eastAsia="MS PGothic" w:hAnsi="MS PGothic"/>
          <w:sz w:val="17"/>
          <w:szCs w:val="17"/>
          <w:color w:val="auto"/>
        </w:rPr>
        <w:t>‑</w:t>
      </w:r>
      <w:r>
        <w:rPr>
          <w:rFonts w:ascii="Arial" w:cs="Arial" w:eastAsia="Arial" w:hAnsi="Arial"/>
          <w:sz w:val="17"/>
          <w:szCs w:val="17"/>
          <w:color w:val="auto"/>
        </w:rPr>
        <w:t>term investments, restricted cash, accounts payable, loans payable, and common stock warrants. The carrying amounts of cash equivalents, short-term investments, restricted cash, accounts receivable, and accounts payable approximate their estimated fair value due to their short-term maturities. At December 31, 2018, the carrying amount of the Company's loan payable approximates its estimated fair value due to the short-term nature of the instrument.</w:t>
      </w:r>
    </w:p>
    <w:p>
      <w:pPr>
        <w:spacing w:after="0" w:line="204" w:lineRule="exact"/>
        <w:rPr>
          <w:sz w:val="20"/>
          <w:szCs w:val="20"/>
          <w:color w:val="auto"/>
        </w:rPr>
      </w:pPr>
    </w:p>
    <w:p>
      <w:pPr>
        <w:ind w:right="28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688" w:right="239" w:bottom="1440" w:gutter="0" w:footer="0" w:header="0"/>
          <w:type w:val="continuous"/>
        </w:sectPr>
      </w:pPr>
    </w:p>
    <w:bookmarkStart w:id="105" w:name="page106"/>
    <w:bookmarkEnd w:id="105"/>
    <w:p>
      <w:pPr>
        <w:ind w:right="180"/>
        <w:spacing w:after="0" w:line="342" w:lineRule="auto"/>
        <w:rPr>
          <w:sz w:val="20"/>
          <w:szCs w:val="20"/>
          <w:color w:val="auto"/>
        </w:rPr>
      </w:pPr>
      <w:r>
        <w:rPr>
          <w:rFonts w:ascii="Arial" w:cs="Arial" w:eastAsia="Arial" w:hAnsi="Arial"/>
          <w:sz w:val="16"/>
          <w:szCs w:val="16"/>
          <w:color w:val="auto"/>
        </w:rPr>
        <w:t>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124"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twelve months ended December 31, 2018 or the year ended December 31,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60"/>
        <w:spacing w:after="0" w:line="219" w:lineRule="exact"/>
        <w:rPr>
          <w:sz w:val="20"/>
          <w:szCs w:val="20"/>
          <w:color w:val="auto"/>
        </w:rPr>
      </w:pPr>
      <w:r>
        <w:rPr>
          <w:rFonts w:ascii="Arial" w:cs="Arial" w:eastAsia="Arial" w:hAnsi="Arial"/>
          <w:sz w:val="16"/>
          <w:szCs w:val="16"/>
          <w:color w:val="auto"/>
        </w:rPr>
        <w:t>Property and equipment are recorded at cost and depreciated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Company reviews long</w:t>
      </w:r>
      <w:r>
        <w:rPr>
          <w:rFonts w:ascii="MS PGothic" w:cs="MS PGothic" w:eastAsia="MS PGothic" w:hAnsi="MS PGothic"/>
          <w:sz w:val="16"/>
          <w:szCs w:val="16"/>
          <w:color w:val="auto"/>
        </w:rPr>
        <w:t>‑</w:t>
      </w:r>
      <w:r>
        <w:rPr>
          <w:rFonts w:ascii="Arial" w:cs="Arial" w:eastAsia="Arial" w:hAnsi="Arial"/>
          <w:sz w:val="16"/>
          <w:szCs w:val="16"/>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 impairment loss during the twelve months ended December 31, 2018 and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 currency translation</w:t>
            </w:r>
          </w:p>
        </w:tc>
        <w:tc>
          <w:tcPr>
            <w:tcW w:w="1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Unrealized gains (losses)</w:t>
            </w:r>
          </w:p>
        </w:tc>
        <w:tc>
          <w:tcPr>
            <w:tcW w:w="240" w:type="dxa"/>
            <w:vAlign w:val="bottom"/>
          </w:tcPr>
          <w:p>
            <w:pPr>
              <w:spacing w:after="0"/>
              <w:rPr>
                <w:sz w:val="14"/>
                <w:szCs w:val="14"/>
                <w:color w:val="auto"/>
              </w:rPr>
            </w:pPr>
          </w:p>
        </w:tc>
        <w:tc>
          <w:tcPr>
            <w:tcW w:w="1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available-for-sale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year</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during the year</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period</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692"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 xml:space="preserve">The Company currently generates its revenue through grants, collaboration and license agreements with strategic collaborators for the development and commercialization of product candidates. Prior to January 1, 2018, the Company recognized revenue in accordance with ASC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("ASC 605"). Under ASC 605, the Company recognized revenue when all of the following criteria were met:</w:t>
      </w:r>
    </w:p>
    <w:p>
      <w:pPr>
        <w:spacing w:after="0" w:line="166" w:lineRule="exact"/>
        <w:rPr>
          <w:sz w:val="20"/>
          <w:szCs w:val="20"/>
          <w:color w:val="auto"/>
        </w:rPr>
      </w:pPr>
    </w:p>
    <w:p>
      <w:pPr>
        <w:ind w:left="760" w:hanging="10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enters into agreements that contain multiple deliverables. Prior to the adoption of ASC 606, when evaluating multiple element arrangements, the Company considered whether the deliverables under the arrangement represent separate units of accounting. In determining the units of accounting, management evaluated certain criteria, including whether the deliverables had standalone value. The consideration received was allocated among the separate units of accounting using the relative selling price method, and the applicable revenue recognition criteria was applied to each of the separate units. If deliverables had no standalone value, they were grouped together and revenue was recognized over the estimated performance period.</w:t>
      </w:r>
    </w:p>
    <w:p>
      <w:pPr>
        <w:spacing w:after="0" w:line="158" w:lineRule="exact"/>
        <w:rPr>
          <w:sz w:val="20"/>
          <w:szCs w:val="20"/>
          <w:color w:val="auto"/>
        </w:rPr>
      </w:pPr>
    </w:p>
    <w:p>
      <w:pPr>
        <w:ind w:right="20"/>
        <w:spacing w:after="0" w:line="220" w:lineRule="exact"/>
        <w:rPr>
          <w:sz w:val="20"/>
          <w:szCs w:val="20"/>
          <w:color w:val="auto"/>
        </w:rPr>
      </w:pPr>
      <w:r>
        <w:rPr>
          <w:rFonts w:ascii="Arial" w:cs="Arial" w:eastAsia="Arial" w:hAnsi="Arial"/>
          <w:sz w:val="17"/>
          <w:szCs w:val="17"/>
          <w:color w:val="auto"/>
        </w:rPr>
        <w:t>Prior to the adoption of ASC 606, the Company determined the estimated selling price for deliverables within each agreement using vendor</w:t>
      </w:r>
      <w:r>
        <w:rPr>
          <w:rFonts w:ascii="MS PGothic" w:cs="MS PGothic" w:eastAsia="MS PGothic" w:hAnsi="MS PGothic"/>
          <w:sz w:val="17"/>
          <w:szCs w:val="17"/>
          <w:color w:val="auto"/>
        </w:rPr>
        <w:t>‑</w:t>
      </w:r>
      <w:r>
        <w:rPr>
          <w:rFonts w:ascii="Arial" w:cs="Arial" w:eastAsia="Arial" w:hAnsi="Arial"/>
          <w:sz w:val="17"/>
          <w:szCs w:val="17"/>
          <w:color w:val="auto"/>
        </w:rPr>
        <w:t>specific objective evidence (“VSOE”) of selling price, if available, third</w:t>
      </w:r>
      <w:r>
        <w:rPr>
          <w:rFonts w:ascii="MS PGothic" w:cs="MS PGothic" w:eastAsia="MS PGothic" w:hAnsi="MS PGothic"/>
          <w:sz w:val="17"/>
          <w:szCs w:val="17"/>
          <w:color w:val="auto"/>
        </w:rPr>
        <w:t>‑</w:t>
      </w:r>
      <w:r>
        <w:rPr>
          <w:rFonts w:ascii="Arial" w:cs="Arial" w:eastAsia="Arial" w:hAnsi="Arial"/>
          <w:sz w:val="17"/>
          <w:szCs w:val="17"/>
          <w:color w:val="auto"/>
        </w:rPr>
        <w:t>party evidence (“TPE”) of selling price if VSOE is not available, or best estimate of selling price if neither VSOE nor TPE was available. Since the Company is a clinical stage company without a marketable product the Company used its best estimate of selling price to estimate the selling price for licenses and deliverables related to the Company’s proprietary technology.</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Prior to the adoption of ASC 606, options for future deliverables were considered substantive if, at the inception of the arrangement, the Company is at risk as to whether the collaboration partner will choose to exercise the option. When an option was considered substantive and there is no significant incremental discount, the option is not considered a deliverable in the arrangement and no consideration is allocated to it. Conversely, when an option was not considered substantive or it was considered substantive but was priced at an incremental discount, it would have been considered a deliverable at the inception of the arrangement and a corresponding amount would be included in the initial consideration.</w:t>
      </w:r>
    </w:p>
    <w:p>
      <w:pPr>
        <w:spacing w:after="0" w:line="173"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The Company may receive upfront payments when licensing its intellectual property in conjunction with a manufacturing or a research and development agreement. Prior to the adoption of ASC 606, when management believed the license to its intellectual property did not have stand</w:t>
      </w:r>
      <w:r>
        <w:rPr>
          <w:rFonts w:ascii="MS PGothic" w:cs="MS PGothic" w:eastAsia="MS PGothic" w:hAnsi="MS PGothic"/>
          <w:sz w:val="18"/>
          <w:szCs w:val="18"/>
          <w:color w:val="auto"/>
        </w:rPr>
        <w:t>‑</w:t>
      </w:r>
      <w:r>
        <w:rPr>
          <w:rFonts w:ascii="Arial" w:cs="Arial" w:eastAsia="Arial" w:hAnsi="Arial"/>
          <w:sz w:val="18"/>
          <w:szCs w:val="18"/>
          <w:color w:val="auto"/>
        </w:rPr>
        <w:t>alone value from the other deliverables to be provided in the arrangement, the Company generally recognized revenue attributed to the license over the Company’s contractual or estimated performance period. When management believed the license to its intellectual property had stand</w:t>
      </w:r>
      <w:r>
        <w:rPr>
          <w:rFonts w:ascii="MS PGothic" w:cs="MS PGothic" w:eastAsia="MS PGothic" w:hAnsi="MS PGothic"/>
          <w:sz w:val="18"/>
          <w:szCs w:val="18"/>
          <w:color w:val="auto"/>
        </w:rPr>
        <w:t>‑</w:t>
      </w:r>
      <w:r>
        <w:rPr>
          <w:rFonts w:ascii="Arial" w:cs="Arial" w:eastAsia="Arial" w:hAnsi="Arial"/>
          <w:sz w:val="18"/>
          <w:szCs w:val="18"/>
          <w:color w:val="auto"/>
        </w:rPr>
        <w:t>alone value, the Company generally recognized revenue attributed to the license upon delivery.</w:t>
      </w:r>
    </w:p>
    <w:p>
      <w:pPr>
        <w:spacing w:after="0" w:line="20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Prior to the adoption of ASC 606, at the inception of each agreement that included milestone payments, the Company evaluated whether each milestone is substantive and at risk to both parties based on the contingent nature of the milestone. Revenues from milestones, if they were nonrefundable and deemed substantive, were recognized upon successful accomplishment of the milestones. Milestones that were not considered substantive were accounted for as license payments and recognized over the remaining period of performance.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the Company’s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The Company adopted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on January 1, 2018, using the modified retrospective method for all contracts not completed as of the date of adoption.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results for 2018 reflect the application of ASC 606 guidance while the reported results for 2017 were prepared under the guidance of ASC 605, which is also referred to herein as "legacy GAAP" or the "previous guidance". Refer to Note 13 to its consolidated financial statements included elsewhere in this Annual Report on Form 10-K for the impact of adoption of ASU 2014-09 on the Company’s consolidated financial position, results of operations, equity and cash flows as of the adoption date and for the year ended December 31, 2018.</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688" w:right="259" w:bottom="1440" w:gutter="0" w:footer="0" w:header="0"/>
        </w:sectPr>
      </w:pPr>
    </w:p>
    <w:bookmarkStart w:id="107" w:name="page108"/>
    <w:bookmarkEnd w:id="107"/>
    <w:p>
      <w:pPr>
        <w:ind w:right="20"/>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(see Note 13 to the Company's consolidated financial statements included elsewhere in this Annual Report on Form 10-K) will be satisfied over time, and revenue will be recognized using the output method, based on the proportion of actual deliveries to the total expected deliveries over the initial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currently generates its revenue through grants, collaboration and license agreements with strategic collaborators for the development and commercialization of product candidates. The grants, collaboration and license agreements are within the scope of ASC 606.</w:t>
      </w:r>
    </w:p>
    <w:p>
      <w:pPr>
        <w:spacing w:after="0" w:line="14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the agreements,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108" w:name="page109"/>
    <w:bookmarkEnd w:id="108"/>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47" w:lineRule="exact"/>
        <w:rPr>
          <w:sz w:val="20"/>
          <w:szCs w:val="20"/>
          <w:color w:val="auto"/>
        </w:rPr>
      </w:pPr>
    </w:p>
    <w:p>
      <w:pPr>
        <w:ind w:right="28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692" w:right="239" w:bottom="1440" w:gutter="0" w:footer="0" w:header="0"/>
        </w:sectPr>
      </w:pPr>
    </w:p>
    <w:bookmarkStart w:id="109" w:name="page110"/>
    <w:bookmarkEnd w:id="109"/>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Prior to the adoption of ASU 2018-07 during the second quarter of 2018 described below in "Recent Accounting Pronouncements",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awarded to non</w:t>
      </w:r>
      <w:r>
        <w:rPr>
          <w:rFonts w:ascii="MS PGothic" w:cs="MS PGothic" w:eastAsia="MS PGothic" w:hAnsi="MS PGothic"/>
          <w:sz w:val="16"/>
          <w:szCs w:val="16"/>
          <w:color w:val="auto"/>
        </w:rPr>
        <w:t>‑</w:t>
      </w:r>
      <w:r>
        <w:rPr>
          <w:rFonts w:ascii="Arial" w:cs="Arial" w:eastAsia="Arial" w:hAnsi="Arial"/>
          <w:sz w:val="16"/>
          <w:szCs w:val="16"/>
          <w:color w:val="auto"/>
        </w:rPr>
        <w:t>employees was subject to revaluation over its vesting terms. Subsequent to the adoption of ASU 2018-07, non-employee share-based payment awards are measured on the date of grant, similar to share-based payment awards granted to employees.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ind w:right="40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2018 and December 31, 2017,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The new guidance requires the application of a five-step model to determine the amount and timing of revenue to be recognized. The underlying principle is that revenue is to be recognized for the transfer of goods or services to customers that reflects the amount of consideration that the Company expects to be entitled to in exchange for those goods or services. The Company adopted the standard as of the required effective date of January 1, 2018 using the modified retrospective method. See Note 13 for details.</w:t>
      </w:r>
    </w:p>
    <w:p>
      <w:pPr>
        <w:spacing w:after="0" w:line="16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In January 2016, the Financial Accounting Standards Board ("FASB") issued ASU No. 2016-01, </w:t>
      </w:r>
      <w:r>
        <w:rPr>
          <w:rFonts w:ascii="Arial" w:cs="Arial" w:eastAsia="Arial" w:hAnsi="Arial"/>
          <w:sz w:val="16"/>
          <w:szCs w:val="16"/>
          <w:i w:val="1"/>
          <w:iCs w:val="1"/>
          <w:color w:val="auto"/>
        </w:rPr>
        <w:t>Financial Instruments-Overall (Subtopic 825-10):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(“ASU 2016-01”)</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2016-01 supersedes the guidance to classify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with readily determinable fair values into different categories (that is, trading or available-for-sale) and requires equity securities (including other ownership interests, such as partnerships, unincorporated joint ventures, and limited liability companies) to be measured at fair value with changes in fair value recognized through net income. The amendments allow equity investments that do not have readily determinable fair values to be remeasured at fair value either upon the occurrence of an observable price change or upon identification of an impairment. The amendments also require enhanced disclosures about those investments. ASU 2016-01 is effective for annual reporting beginning after December 15, 2017, including interim periods within the year of adoption, and calls for prospective application, with early application permitted. The Company adopted ASU 2016-01 during the first quarter of 2018. Because the Company held no equity investments upon adoption, there was no impact on its consolidated financial statements.</w:t>
      </w:r>
    </w:p>
    <w:p>
      <w:pPr>
        <w:spacing w:after="0" w:line="16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 February 2016, the FASB issued Accounting Standards Update No. (“ASU”) 2016-02, “Leases (Topic 842).” ASU 2016-02 requires lessees to recognize most leases on their balance sheet as a right-of-use asset and a lease liability. Leases are classified as either operating or finance based on criteria similar to current lease accounting, with the classification affecting the pattern and classification of expense recognition in the statement of operations.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688" w:right="299" w:bottom="1440" w:gutter="0" w:footer="0" w:header="0"/>
        </w:sectPr>
      </w:pPr>
    </w:p>
    <w:bookmarkStart w:id="110" w:name="page111"/>
    <w:bookmarkEnd w:id="110"/>
    <w:p>
      <w:pPr>
        <w:ind w:right="60"/>
        <w:spacing w:after="0" w:line="257" w:lineRule="auto"/>
        <w:rPr>
          <w:sz w:val="20"/>
          <w:szCs w:val="20"/>
          <w:color w:val="auto"/>
        </w:rPr>
      </w:pPr>
      <w:r>
        <w:rPr>
          <w:rFonts w:ascii="Arial" w:cs="Arial" w:eastAsia="Arial" w:hAnsi="Arial"/>
          <w:sz w:val="18"/>
          <w:szCs w:val="18"/>
          <w:color w:val="auto"/>
        </w:rPr>
        <w:t>Subsequently, in July 2018, the FASB issued ASU No. 2018-11, Leases (Topic 842): Targeted Improvements (“ASU 2018-11”), which includes certain amendments to ASU 2016-02 intended to provide relief in implementing the new standard. Among these amendments is the option to not restate comparative periods presented in the financial statements. The Company has elected this transition approach, using a cumulative-effect adjustment on the effective date of the standard, with comparative periods presented in accordance with the existing guidance in ASC 840. We expect to adopt the new standard on January 1, 2019 and use the effective date as our date of initial application.</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Pursuant to the guidance under ASU 2016-02, the Company expects to take advantage of certain available expedients by electing the transition package of practical expedients permitted with ASU 2016-02, which allows the Company the option not to reassess previous accounting conclusions around, (i) whether expired or existing contracts contain leases, (ii) lease classification for any expired or existing leases, and (iii) the treatment of initial direct costs for any existing leases. The Company also made an accounting policy election to exclude leases with an initial term of 12 months or less from their balance sheet.</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adoption of the new standard is expected to result in the recognition of a net additional lease liability up to $2.0 million, and right-of-use assets up to $2.0 million as of January 1, 2019 related to the Company’s operating leases. We further expect to provide enhanced new disclosures about our leasing arrangements. The Company does not expect that the new standard will have a material impact on the Company’s consolidated statement of operations or cash flows.</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Statements of Cash Flows (Topic 230) - Classifications of Certain Cash Receipts and Cash Payments</w:t>
      </w:r>
      <w:r>
        <w:rPr>
          <w:rFonts w:ascii="Arial" w:cs="Arial" w:eastAsia="Arial" w:hAnsi="Arial"/>
          <w:sz w:val="18"/>
          <w:szCs w:val="18"/>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adoption of ASU 2016-15 did not have a retrospective impact because it classified cash payments for debt prepayment and debt extinguishment costs as cash outflows for financing activities for the year end 2017.</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w:t>
      </w:r>
      <w:r>
        <w:rPr>
          <w:rFonts w:ascii="Arial" w:cs="Arial" w:eastAsia="Arial" w:hAnsi="Arial"/>
          <w:sz w:val="16"/>
          <w:szCs w:val="16"/>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beginning-of-period and end-of-period to total amounts shown on the statement of cash flows. The Company adopted ASU 2016-18 during the first quarter ended March 31, 2018. The adoption of ASU 2016-18 resulted in the Company's cash, cash equivalents and restricted cash being included in the beginning and ending amounts for the periods shown on the statement of cash flows and was applied retroactively and reflected in the balances presented for any prior periods. The Company believes that the adoption of this guidance did not have a significant impact on its consolidated financial statements.</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which clarifies the definition of a business to assist entities with evaluating whether transactions should be accounted for as acquisitions (or disposals) of assets or businesses. This ASU is effective for public entities for fiscal years beginning after December 15, 2017, with early adoption permitted. The adoption of ASU 2017-01 did not have a material impact on the Company's consolidated financial statements.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Effective January 1, 2018, the Company adopted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ASU 2017-09 specifies the types of changes to the terms or conditions of a share-based payment award that require an entity to apply modification accounting in accordance with Topic 718. The adoption of ASU 2017-09 did not have a material impact on the Company's consolidated financial statements.</w:t>
      </w:r>
    </w:p>
    <w:p>
      <w:pPr>
        <w:spacing w:after="0" w:line="14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to simplify the accounting for share-based payments to nonemployees by aligning it with the accounting for share-based payments to employees, with certain exceptions. This ASU is effective for public entities for fiscal years beginning after December 15, 2018, with early adoption permitted. The Company early adopted ASU 2018-07 during the second quarter of 2018. Prior to the adoption of ASU 2018-07,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awarded to non</w:t>
      </w:r>
      <w:r>
        <w:rPr>
          <w:rFonts w:ascii="MS PGothic" w:cs="MS PGothic" w:eastAsia="MS PGothic" w:hAnsi="MS PGothic"/>
          <w:sz w:val="18"/>
          <w:szCs w:val="18"/>
          <w:color w:val="auto"/>
        </w:rPr>
        <w:t>‑</w:t>
      </w:r>
      <w:r>
        <w:rPr>
          <w:rFonts w:ascii="Arial" w:cs="Arial" w:eastAsia="Arial" w:hAnsi="Arial"/>
          <w:sz w:val="18"/>
          <w:szCs w:val="18"/>
          <w:color w:val="auto"/>
        </w:rPr>
        <w:t>employees was subject to revaluation over its vesting terms. Subsequent to the adoption of ASU 2018-07, non-employee share-based payment awards are measured on the date of grant, similar to share-based payment awards granted to employees. The adoption of ASU 2018-07 did not have a material impact on the Company's consolidated financial statements.</w:t>
      </w:r>
    </w:p>
    <w:p>
      <w:pPr>
        <w:spacing w:after="0" w:line="20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 Clarifying the Interaction between Topic 808 and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 </w:t>
      </w:r>
      <w:r>
        <w:rPr>
          <w:rFonts w:ascii="Arial" w:cs="Arial" w:eastAsia="Arial" w:hAnsi="Arial"/>
          <w:sz w:val="17"/>
          <w:szCs w:val="17"/>
          <w:color w:val="auto"/>
        </w:rPr>
        <w:t>(ASU 2018-18), which provides guidance on whether certain transactions between collaborative arrangement participants should be accounted for with</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under Topic 606. This ASU is effective for public entities for fiscal years beginning after December 15, 2019, with early adoption permitted. The Company is assessing the impact this standard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9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2018, the Company did not have available-for-sale marketable securities. As of December 31, 2017, the Company’s available-for-sale marketable securities consisted of U.S. government and agency securities and corporate bonds.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Company’s available-for-sale marketable securities by major type of security as of December 31,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114935</wp:posOffset>
            </wp:positionV>
            <wp:extent cx="3850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available-for-sale marketable securities are classified in the Company’s consolidated balance sheets as short-term deposits and investments. The Company classifies its marketable debt securities based on their contractual maturity dates.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8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25,940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The Company has reported a net loss for the years ended December 31, 2018, and 2017, and 2016, and for this reason basic and diluted net loss per share are the same for all periods presented.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1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39"/>
        </w:trPr>
        <w:tc>
          <w:tcPr>
            <w:tcW w:w="6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80"/>
        </w:trPr>
        <w:tc>
          <w:tcPr>
            <w:tcW w:w="69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(65,336)</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(36,210)</w:t>
            </w:r>
          </w:p>
        </w:tc>
      </w:tr>
      <w:tr>
        <w:trPr>
          <w:trHeight w:val="80"/>
        </w:trPr>
        <w:tc>
          <w:tcPr>
            <w:tcW w:w="6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1"/>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accretion on preferred stock</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r>
      <w:tr>
        <w:trPr>
          <w:trHeight w:val="80"/>
        </w:trPr>
        <w:tc>
          <w:tcPr>
            <w:tcW w:w="69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(65,336)</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(40,776)</w:t>
            </w:r>
          </w:p>
        </w:tc>
      </w:tr>
      <w:tr>
        <w:trPr>
          <w:trHeight w:val="93"/>
        </w:trPr>
        <w:tc>
          <w:tcPr>
            <w:tcW w:w="69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144"/>
        </w:trPr>
        <w:tc>
          <w:tcPr>
            <w:tcW w:w="69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80"/>
        </w:trPr>
        <w:tc>
          <w:tcPr>
            <w:tcW w:w="69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1"/>
        </w:trPr>
        <w:tc>
          <w:tcPr>
            <w:tcW w:w="698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3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22,389,286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20,425,050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10,493,939</w:t>
            </w:r>
          </w:p>
        </w:tc>
      </w:tr>
      <w:tr>
        <w:trPr>
          <w:trHeight w:val="80"/>
        </w:trPr>
        <w:tc>
          <w:tcPr>
            <w:tcW w:w="69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4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1480" w:type="dxa"/>
            <w:vAlign w:val="bottom"/>
            <w:tcBorders>
              <w:bottom w:val="single" w:sz="8" w:color="auto"/>
            </w:tcBorders>
          </w:tcPr>
          <w:p>
            <w:pPr>
              <w:spacing w:after="0"/>
              <w:rPr>
                <w:sz w:val="16"/>
                <w:szCs w:val="16"/>
                <w:color w:val="auto"/>
              </w:rPr>
            </w:pPr>
          </w:p>
        </w:tc>
      </w:tr>
      <w:tr>
        <w:trPr>
          <w:trHeight w:val="217"/>
        </w:trPr>
        <w:tc>
          <w:tcPr>
            <w:tcW w:w="6640" w:type="dxa"/>
            <w:vAlign w:val="bottom"/>
          </w:tcPr>
          <w:p>
            <w:pPr>
              <w:spacing w:after="0"/>
              <w:rPr>
                <w:sz w:val="18"/>
                <w:szCs w:val="18"/>
                <w:color w:val="auto"/>
              </w:rPr>
            </w:pPr>
          </w:p>
        </w:tc>
        <w:tc>
          <w:tcPr>
            <w:tcW w:w="150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39"/>
        </w:trPr>
        <w:tc>
          <w:tcPr>
            <w:tcW w:w="66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4,093,979</w:t>
            </w:r>
          </w:p>
        </w:tc>
        <w:tc>
          <w:tcPr>
            <w:tcW w:w="1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2,657,187</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2,128,346</w:t>
            </w:r>
          </w:p>
        </w:tc>
      </w:tr>
      <w:tr>
        <w:trPr>
          <w:trHeight w:val="66"/>
        </w:trPr>
        <w:tc>
          <w:tcPr>
            <w:tcW w:w="66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191"/>
        </w:trPr>
        <w:tc>
          <w:tcPr>
            <w:tcW w:w="664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175,000</w:t>
            </w:r>
          </w:p>
        </w:tc>
        <w:tc>
          <w:tcPr>
            <w:tcW w:w="2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6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19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95,619</w:t>
            </w:r>
          </w:p>
        </w:tc>
        <w:tc>
          <w:tcPr>
            <w:tcW w:w="1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97,302</w:t>
            </w:r>
          </w:p>
        </w:tc>
      </w:tr>
      <w:tr>
        <w:trPr>
          <w:trHeight w:val="80"/>
        </w:trPr>
        <w:tc>
          <w:tcPr>
            <w:tcW w:w="6640" w:type="dxa"/>
            <w:vAlign w:val="bottom"/>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4"/>
                <w:szCs w:val="14"/>
                <w:color w:val="auto"/>
              </w:rPr>
              <w:t>Total</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4,364,598</w:t>
            </w:r>
          </w:p>
        </w:tc>
        <w:tc>
          <w:tcPr>
            <w:tcW w:w="1700" w:type="dxa"/>
            <w:vAlign w:val="bottom"/>
            <w:gridSpan w:val="2"/>
          </w:tcPr>
          <w:p>
            <w:pPr>
              <w:jc w:val="right"/>
              <w:ind w:right="28"/>
              <w:spacing w:after="0"/>
              <w:rPr>
                <w:sz w:val="20"/>
                <w:szCs w:val="20"/>
                <w:color w:val="auto"/>
              </w:rPr>
            </w:pPr>
            <w:r>
              <w:rPr>
                <w:rFonts w:ascii="Arial" w:cs="Arial" w:eastAsia="Arial" w:hAnsi="Arial"/>
                <w:sz w:val="14"/>
                <w:szCs w:val="14"/>
                <w:color w:val="auto"/>
              </w:rPr>
              <w:t>2,833,619</w:t>
            </w:r>
          </w:p>
        </w:tc>
        <w:tc>
          <w:tcPr>
            <w:tcW w:w="100" w:type="dxa"/>
            <w:vAlign w:val="bottom"/>
          </w:tcPr>
          <w:p>
            <w:pPr>
              <w:spacing w:after="0"/>
              <w:rPr>
                <w:sz w:val="20"/>
                <w:szCs w:val="20"/>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2,225,648</w:t>
            </w:r>
          </w:p>
        </w:tc>
      </w:tr>
      <w:tr>
        <w:trPr>
          <w:trHeight w:val="20"/>
        </w:trPr>
        <w:tc>
          <w:tcPr>
            <w:tcW w:w="6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tables below present information about the Company’s financial assets that are measured and carried at fair value as of December 31, 2018 and December 31, 2017, and indicate the level within the fair value hierarchy where each measurement is</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688"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classified. Below is a summary of assets measured at fair value on a recurring basis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4"/>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10,123</w:t>
            </w:r>
          </w:p>
        </w:tc>
      </w:tr>
      <w:tr>
        <w:trPr>
          <w:trHeight w:val="243"/>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39,478</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83"/>
        </w:trPr>
        <w:tc>
          <w:tcPr>
            <w:tcW w:w="690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40,478</w:t>
            </w:r>
          </w:p>
        </w:tc>
      </w:tr>
      <w:tr>
        <w:trPr>
          <w:trHeight w:val="251"/>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13,152</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r>
      <w:tr>
        <w:trPr>
          <w:trHeight w:val="243"/>
        </w:trPr>
        <w:tc>
          <w:tcPr>
            <w:tcW w:w="6900" w:type="dxa"/>
            <w:vAlign w:val="bottom"/>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25,940</w:t>
            </w: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2018, cash and cash equivalent investments were held in money market funds maturing within 90 days from the date of purchase. At December 31, 2017, cash and cash equivalent investments were held in money market funds and U.S. government and agency securities maturing within 90 days from the date of purchase.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average maturity date for U.S. government and agency securities, included in investments at December 31, 2017, was 179 days. Fair value of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agency securities approximated amortized value at the reporting date.</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December 31, 2017 was 168 days. Fair value of corporate bonds approximated amortized value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480</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$1.0 million, $0.8 million and $0.8 million for the years ended December 31, 2018, 2017 and 2016, respectively.</w:t>
      </w:r>
    </w:p>
    <w:p>
      <w:pPr>
        <w:sectPr>
          <w:pgSz w:w="11900" w:h="16838" w:orient="portrait"/>
          <w:cols w:equalWidth="0" w:num="1">
            <w:col w:w="11420"/>
          </w:cols>
          <w:pgMar w:left="240" w:top="692" w:right="23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692" w:right="239" w:bottom="96"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r>
      <w:tr>
        <w:trPr>
          <w:trHeight w:val="216"/>
        </w:trPr>
        <w:tc>
          <w:tcPr>
            <w:tcW w:w="85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8,580</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680" w:firstLine="8"/>
        <w:spacing w:after="0" w:line="533" w:lineRule="auto"/>
        <w:tabs>
          <w:tab w:leader="none" w:pos="18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40"/>
        <w:spacing w:after="0" w:line="220"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August 2016, the Company signed an amendment to the Headquarters Lease, which extends the term through March 31, 2020. The Headquarters Lease includes a rent escalation clause, and accordingly, rent expense is being recognized on a straight-line basis over the lease term.</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2017, the Company entered into a lease for approximately 5,100 square feet of additional office space located in Watertown, Massachusetts. The lease includes a rent escalation clause, and accordingly, rent expense is being recognized on a straight-line basis over the lease term. In addition, the Company decided to vacate certain office space in Watertown, MA on January 11, 2019 and consolidated all employees at its corporate headquarters also in Watertown, MA. The lease term expires in March 2020.</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both December 31, 2018 and December 31, 2017, deferred rent and lease incentive liability totaled $0.2 million. The current portion of deferred rent and lease incentive liability is presented within accrued expenses, and was $0.1 million and less than $0.1 million at December 31, 2018 and December 31, 2017, respectively.</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2018, 2017 and 2016 was $2.0 million, $1.9 million and $1.6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aggregate future minimum lease payments related to these leases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ending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1,482</w:t>
            </w:r>
          </w:p>
        </w:tc>
      </w:tr>
      <w:tr>
        <w:trPr>
          <w:trHeight w:val="21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r>
      <w:tr>
        <w:trPr>
          <w:trHeight w:val="21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1,857</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w:t>
      </w:r>
    </w:p>
    <w:p>
      <w:pPr>
        <w:sectPr>
          <w:pgSz w:w="11900" w:h="16838" w:orient="portrait"/>
          <w:cols w:equalWidth="0" w:num="1">
            <w:col w:w="11420"/>
          </w:cols>
          <w:pgMar w:left="240" w:top="688"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688" w:right="239" w:bottom="1440" w:gutter="0" w:footer="0" w:header="0"/>
          <w:type w:val="continuous"/>
        </w:sectPr>
      </w:pPr>
    </w:p>
    <w:bookmarkStart w:id="114" w:name="page115"/>
    <w:bookmarkEnd w:id="114"/>
    <w:p>
      <w:pPr>
        <w:ind w:right="60"/>
        <w:spacing w:after="0" w:line="220" w:lineRule="exact"/>
        <w:rPr>
          <w:sz w:val="20"/>
          <w:szCs w:val="20"/>
          <w:color w:val="auto"/>
        </w:rPr>
      </w:pPr>
      <w:r>
        <w:rPr>
          <w:rFonts w:ascii="Arial" w:cs="Arial" w:eastAsia="Arial" w:hAnsi="Arial"/>
          <w:sz w:val="18"/>
          <w:szCs w:val="18"/>
          <w:color w:val="auto"/>
        </w:rPr>
        <w:t>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Term Loan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9, 2013, the Company entered into a loan and security agreement with Oxford Finance LLC (“Oxford”) and Square 1 Bank (“Square 1”) to borrow up to $7.5 million. The Company initially borrowed $3.0 million in August 2013 and subsequently borrowed an additional $4.5 million in July 2014. In December 2015, the Company refinanced this debt facility to increase the amount of the borrowing to $12.0 million and to extend the repayment term. The amounts borrowed are collectively referred to as the “2015 Term Loan”.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extinguishment of the 2015 Term Loan debt in September 2017 that is discussed in greater detail below, the 2015 Term Loan was collateralized by substantially all of the assets of the Company and bore interest at 8.1% per annum. The monthly payments for the 2015 Term Loan were initially interest only through January 2017. Principal repayments for the 2015 Term Loan were due over 30 monthly installments beginning on February 1,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Term Loan could be prepaid at the Company’s option at any time prior to maturity subject to a prepayment fee of 2% if prepaid after the first anniversary but before the second anniversaries, and 1% if prepaid after the second anniversary. The 2015 Term Loan did not include any financial covenants. The 2015 Term Loan required a final payment fee of 6.0% on the aggregate principal amounts borrowed upon repayment at maturity, on a prepayment date, or upon default. The final payment fee totaling $0.7 million was recorded as a loan discount.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2015 Term Loan,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up to 17,888 shares of the Company’s common stock at an exercise price of $16.77 per share. These warrants are classified as permanent equity in the accompanying consolidated balance sheets and will expire ten years from the date of issuance.</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Additionally, with the refinancing of the 2015 Term Loan at December 31, 2015, the Company granted the lenders 37,978 shares of the Company’s Series E Preferred which also was converted at the IPO to warrants to purchase up to 15,094 shares of Company’s common stock at an exercise price of $11.32 per share. These warrants are classified as permanent equity in the accompanying consolidated balance sheets and will expire ten years from the date of issuance.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initial grant date fair value of the Series D Preferred and Series E Preferred warrants was $0.1 million and $0.1 million for each issuance, respectively and was recorded as a loan discount.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 had been established at the time the warrants were converted.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proceeds of which were used to repay the 2015 Term Loan and for general corporate and working capital purposes. The Company refers to the 2015 Term Loan and the 2017 Term Loan, collectively, as the “Term Loans.” The 2017 Term Loan is governed by a loan and security agreement, dated September 12, 2017, between the Company and SVB (the “Loan Agreement”). The 2017 Term Loan was funded in full on September 13, 2017 (the “Funding Date”).</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115" w:name="page116"/>
    <w:bookmarkEnd w:id="115"/>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jc w:val="both"/>
        <w:ind w:right="480" w:firstLine="8"/>
        <w:spacing w:after="0" w:line="323" w:lineRule="auto"/>
        <w:tabs>
          <w:tab w:leader="none" w:pos="2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pays on the date of such prepayment (A) all outstanding principal plus accrued and unpaid interest, and (B) a prepayment premium of 3% if prepaid before the first anniversary, 2% if prepaid after the first anniversary but before the second anniversaries, and 1% if prepaid after the second anniversary.</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December 31, 2017, the outstanding principal balance under the 2017 Term Loan was $21.0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and interest payments on the 2017 Term Loan as of December 31, 2018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Pr>
          <w:p>
            <w:pPr>
              <w:ind w:left="40"/>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4,742</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9,232</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8,718</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1,754</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24,446</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(665)</w:t>
            </w: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portion of loan payable</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(21,385)</w:t>
            </w:r>
          </w:p>
        </w:tc>
      </w:tr>
      <w:tr>
        <w:trPr>
          <w:trHeight w:val="190"/>
        </w:trPr>
        <w:tc>
          <w:tcPr>
            <w:tcW w:w="9940" w:type="dxa"/>
            <w:vAlign w:val="bottom"/>
          </w:tcPr>
          <w:p>
            <w:pPr>
              <w:ind w:left="40"/>
              <w:spacing w:after="0"/>
              <w:rPr>
                <w:sz w:val="20"/>
                <w:szCs w:val="20"/>
                <w:color w:val="auto"/>
              </w:rPr>
            </w:pPr>
            <w:r>
              <w:rPr>
                <w:rFonts w:ascii="Arial" w:cs="Arial" w:eastAsia="Arial" w:hAnsi="Arial"/>
                <w:sz w:val="14"/>
                <w:szCs w:val="14"/>
                <w:color w:val="auto"/>
              </w:rPr>
              <w:t>Loan payable, net of current portion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
        </w:trPr>
        <w:tc>
          <w:tcPr>
            <w:tcW w:w="9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amounts due under the 2017 Term Loan have been classified as a current liability as of December 31, 2018 due to the considerations discussed in Note 1 and the assessment that the material adverse change clause under the 2017 Term Loan is not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116" w:name="page117"/>
    <w:bookmarkEnd w:id="116"/>
    <w:p>
      <w:pPr>
        <w:ind w:right="240"/>
        <w:spacing w:after="0" w:line="277" w:lineRule="auto"/>
        <w:rPr>
          <w:sz w:val="20"/>
          <w:szCs w:val="20"/>
          <w:color w:val="auto"/>
        </w:rPr>
      </w:pPr>
      <w:r>
        <w:rPr>
          <w:rFonts w:ascii="Arial" w:cs="Arial" w:eastAsia="Arial" w:hAnsi="Arial"/>
          <w:sz w:val="18"/>
          <w:szCs w:val="18"/>
          <w:color w:val="auto"/>
        </w:rPr>
        <w:t>within the Company's control. The Company has not been notified of an event of default by SVB as of the date of the filing of this Annual Report on Form 10-K.</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years ended December 31, 2018, 2017 and 2016, the Company recognized $1.5 million, $1.2 million and $1.3 million respectively, of interest expense related to the Term Loans.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Prior to the completion of its IPO, the Company had 37,835,623 authorized shares of preferred stock, par value $0.0001 per share (the "Preferred Stock") as of December 31, 2015. The Company issued Preferred Stock to investors for cash or as settlement for outstanding debt under convertible notes.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December 31, 2015, the Company had issued and outstanding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outstanding shares of the Company’s convertible preferred stock automatically converted into 10,126,118 shares of the Company’s common stock upon the closing of the IPO on June 27, 2016.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December 31, 2018, no securities have been issued from this shelf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6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w:t>
      </w:r>
    </w:p>
    <w:p>
      <w:pPr>
        <w:sectPr>
          <w:pgSz w:w="11900" w:h="16838" w:orient="portrait"/>
          <w:cols w:equalWidth="0" w:num="1">
            <w:col w:w="11400"/>
          </w:cols>
          <w:pgMar w:left="240" w:top="692"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00"/>
          </w:cols>
          <w:pgMar w:left="240" w:top="692" w:right="25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color w:val="auto"/>
        </w:rPr>
        <w:t>selling holder(s), and any underwriting discounts and selling commissions) incident to the Company’s obligations under the Registration Rights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21, 2016, the Company completed its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Company's IPO on June 27, 2016, all outstanding shares of its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December 31, 2018, the Company has 200,000,000 shares of common stock authorized for issuance, $0.0001 par value per share, with 22,471,776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December 31, 2018,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48"/>
              <w:spacing w:after="0"/>
              <w:rPr>
                <w:sz w:val="20"/>
                <w:szCs w:val="20"/>
                <w:color w:val="auto"/>
              </w:rPr>
            </w:pPr>
            <w:r>
              <w:rPr>
                <w:rFonts w:ascii="Arial" w:cs="Arial" w:eastAsia="Arial" w:hAnsi="Arial"/>
                <w:sz w:val="14"/>
                <w:szCs w:val="14"/>
                <w:b w:val="1"/>
                <w:bCs w:val="1"/>
                <w:color w:val="auto"/>
              </w:rPr>
              <w:t>Period ending</w:t>
            </w:r>
          </w:p>
        </w:tc>
      </w:tr>
      <w:tr>
        <w:trPr>
          <w:trHeight w:val="264"/>
        </w:trPr>
        <w:tc>
          <w:tcPr>
            <w:tcW w:w="7900" w:type="dxa"/>
            <w:vAlign w:val="bottom"/>
          </w:tcPr>
          <w:p>
            <w:pPr>
              <w:spacing w:after="0"/>
              <w:rPr>
                <w:sz w:val="22"/>
                <w:szCs w:val="22"/>
                <w:color w:val="auto"/>
              </w:rPr>
            </w:pP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95,619</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1,586,925</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923,440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restricted stock units</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4,093,979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2,657,187</w:t>
            </w:r>
          </w:p>
        </w:tc>
      </w:tr>
      <w:tr>
        <w:trPr>
          <w:trHeight w:val="21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5,951,523</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3,757,059</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00" w:firstLine="8"/>
        <w:spacing w:after="0" w:line="503"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2008 Plan provided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w:t>
      </w:r>
    </w:p>
    <w:p>
      <w:pPr>
        <w:sectPr>
          <w:pgSz w:w="11900" w:h="16838" w:orient="portrait"/>
          <w:cols w:equalWidth="0" w:num="1">
            <w:col w:w="11420"/>
          </w:cols>
          <w:pgMar w:left="240" w:top="69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692" w:right="239" w:bottom="1440" w:gutter="0" w:footer="0" w:header="0"/>
          <w:type w:val="continuous"/>
        </w:sectPr>
      </w:pPr>
    </w:p>
    <w:bookmarkStart w:id="118" w:name="page119"/>
    <w:bookmarkEnd w:id="118"/>
    <w:p>
      <w:pPr>
        <w:ind w:right="80"/>
        <w:spacing w:after="0" w:line="277" w:lineRule="auto"/>
        <w:rPr>
          <w:sz w:val="20"/>
          <w:szCs w:val="20"/>
          <w:color w:val="auto"/>
        </w:rPr>
      </w:pPr>
      <w:r>
        <w:rPr>
          <w:rFonts w:ascii="Arial" w:cs="Arial" w:eastAsia="Arial" w:hAnsi="Arial"/>
          <w:sz w:val="18"/>
          <w:szCs w:val="18"/>
          <w:color w:val="auto"/>
        </w:rPr>
        <w:t>restricted stock awards granted under the 2008 Plan vest over periods as determined by the Board, which are generally four years and, for options, with terms that generally expire ten years from the grant date.</w:t>
      </w:r>
    </w:p>
    <w:p>
      <w:pPr>
        <w:spacing w:after="0" w:line="170"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1,947,779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twelve months ended December 31, 2018 and 2017, the number of shares of common stock that may be issued under the 2016 Plan was increased by 893,730 shares and 737,550 shares, respectively. As of December 31, 2018, 1,586,925 shares remain available for future issuance under the 2016 Plan.</w:t>
      </w:r>
    </w:p>
    <w:p>
      <w:pPr>
        <w:spacing w:after="0" w:line="2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Plan provides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2016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Pursuant to an employment agreement entered into with Carsten Brunn, Ph.D., upon Dr. Brunn's commencing employment as the Company’s President and Chief Executive Officer on December 1, 2018, the Company issued Dr. Brunn equity awards from the Inducement Incentive Award Plan consisting of an option to purchase 1,000,000 shares of common stock and 175,000 restricted stock units. As of December 31, 2018, there are no shares available for future grant under the 2018 Inducement Incentive Award Plan.</w:t>
      </w:r>
    </w:p>
    <w:p>
      <w:pPr>
        <w:spacing w:after="0" w:line="169"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color w:val="auto"/>
        </w:rPr>
        <w:t>The fair value of each option award was estimated on the grant date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only on awards that are expected to vest.</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2008 Plan, 2016 Plan and the Inducement Incentive Award Plan were calculated using the Black-Scholes option pricing model, based on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r>
      <w:tr>
        <w:trPr>
          <w:trHeight w:val="256"/>
        </w:trPr>
        <w:tc>
          <w:tcPr>
            <w:tcW w:w="7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264"/>
        </w:trPr>
        <w:tc>
          <w:tcPr>
            <w:tcW w:w="78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240" w:type="dxa"/>
            <w:vAlign w:val="bottom"/>
          </w:tcPr>
          <w:p>
            <w:pPr>
              <w:spacing w:after="0"/>
              <w:rPr>
                <w:sz w:val="22"/>
                <w:szCs w:val="22"/>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7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6.06</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r>
      <w:tr>
        <w:trPr>
          <w:trHeight w:val="264"/>
        </w:trPr>
        <w:tc>
          <w:tcPr>
            <w:tcW w:w="78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85.17%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94.97%</w:t>
            </w:r>
          </w:p>
        </w:tc>
      </w:tr>
      <w:tr>
        <w:trPr>
          <w:trHeight w:val="276"/>
        </w:trPr>
        <w:tc>
          <w:tcPr>
            <w:tcW w:w="7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13.25</w:t>
            </w:r>
          </w:p>
        </w:tc>
      </w:tr>
    </w:tbl>
    <w:p>
      <w:pPr>
        <w:spacing w:after="0" w:line="200" w:lineRule="exact"/>
        <w:rPr>
          <w:sz w:val="20"/>
          <w:szCs w:val="20"/>
          <w:color w:val="auto"/>
        </w:rPr>
      </w:pPr>
    </w:p>
    <w:p>
      <w:pPr>
        <w:spacing w:after="0" w:line="21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weighted average grant date fair value of stock options granted to employees during the years ended December 31, 2018, 2017 and 2016 was $6.17, $10.97, and $10.23, respectively. The aggregate intrinsic value of stock options exercised during the years ended December 31, 2018, 2017 and 2016 was $0.6 million, $2.6 million and $0.8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692" w:right="239" w:bottom="1440" w:gutter="0" w:footer="0" w:header="0"/>
        </w:sectPr>
      </w:pPr>
    </w:p>
    <w:bookmarkStart w:id="119" w:name="page120"/>
    <w:bookmarkEnd w:id="119"/>
    <w:p>
      <w:pPr>
        <w:ind w:right="300"/>
        <w:spacing w:after="0" w:line="342" w:lineRule="auto"/>
        <w:rPr>
          <w:sz w:val="20"/>
          <w:szCs w:val="20"/>
          <w:color w:val="auto"/>
        </w:rPr>
      </w:pPr>
      <w:r>
        <w:rPr>
          <w:rFonts w:ascii="Arial" w:cs="Arial" w:eastAsia="Arial" w:hAnsi="Arial"/>
          <w:sz w:val="16"/>
          <w:szCs w:val="16"/>
          <w:color w:val="auto"/>
        </w:rPr>
        <w:t>As of December 31, 2018 and December 31, 2017, total unrecognized compensation expense related to unvested employee stock options was $9.8 million and $10.2 million, respectively, which is expected to be recognized over a weighted average period of 3.1 years and 2.9 years, respectively.</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year ended December 31, 2017, the status of two executives changed from an employee to a consultant (non-employee). Stock-based compensation expense relating to the executives' stock option awards were recognized through the termination date. In accordance with ASC 505-50, 55,073 unvested stock option awards were subsequently remeasured using the then-current fair value of the Company's common stock and updated assumption inputs in the Black-Scholes option pricing model, while 62,546 shares in aggregate were forfeited and expired as of December 31, 2017. The right to exercise vested, exercisable stock option awards (126,457 shares in aggregate) as of December 31, 2017 were extended to March 31, 2019, resulting in a modification; and during the first quarter of 2018, a stock option award to purchase 20,000 shares of the Company's common stock was granted. In connection with the Company's adoption of ASU 2018-07 during the second quarter of 2018, final remeasurement of the executives' stock option awards were performed as of April 1, 2018. Stock-based compensation expense was recognized over the consulting period until services were completed. All granted stock option awards are presented in the employee awards stock option table below.</w:t>
      </w:r>
    </w:p>
    <w:p>
      <w:pPr>
        <w:spacing w:after="0" w:line="182"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color w:val="auto"/>
        </w:rPr>
        <w:t>The Company granted a stock option award covering 95,000 shares to a non-employee director during the second quarter of 2018, with a weighted average grant date fair value of $8.71 for consulting services in addition to his responsibilities as a director. Prior to the adoption of ASU 2018-07 during the second quarter of 2018, the unvested options held by non</w:t>
      </w:r>
      <w:r>
        <w:rPr>
          <w:rFonts w:ascii="MS PGothic" w:cs="MS PGothic" w:eastAsia="MS PGothic" w:hAnsi="MS PGothic"/>
          <w:sz w:val="17"/>
          <w:szCs w:val="17"/>
          <w:color w:val="auto"/>
        </w:rPr>
        <w:t>‑</w:t>
      </w:r>
      <w:r>
        <w:rPr>
          <w:rFonts w:ascii="Arial" w:cs="Arial" w:eastAsia="Arial" w:hAnsi="Arial"/>
          <w:sz w:val="17"/>
          <w:szCs w:val="17"/>
          <w:color w:val="auto"/>
        </w:rPr>
        <w:t>employees were revalued using the Company’s estimate of fair value on each vesting and reporting date through the remaining vesting period. Subsequent to the adoption of ASU 2018-07, non-employee share-based payment awards are measured on the date of grant, similar to share-based payment awards granted to employees. During the fourth quarter of 2018, an additional stock option award of 75,000 shares was granted to the non-employee director, with a weighted average grant date fair value of $4.35.</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November 30, 2018, an executive officer resigned and immediately entered into a consulting arrangement with the Company for the period December 1, 2018 to November 30, 2019. In connection with his consulting arrangement, (i) all of his unvested equity-based compensation awards continue to vest subject to his continued consulting services (84,604 shares in aggregate) and (ii) his right to exercise the vested and exercisable stock option awards (310,219 shares in aggregate) as of November 30, 2019 was extended 180 days to May 28, 2020, resulting in a modification. In addition, since the consulting agreement was not considered substantive, the Company recorded a charge for the fair value of the options in the fourth quarter for the acceleration of the vesting of his awards.</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estimated grant date fair values of non-employee stock option awards granted under the 2016 Plan were calculated using the Black-Scholes option pricing model, based on the following weighted-average assumptions: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740" w:type="dxa"/>
            <w:vAlign w:val="bottom"/>
            <w:tcBorders>
              <w:bottom w:val="single" w:sz="8" w:color="auto"/>
            </w:tcBorders>
            <w:gridSpan w:val="5"/>
          </w:tcPr>
          <w:p>
            <w:pPr>
              <w:jc w:val="center"/>
              <w:ind w:left="808"/>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r>
      <w:tr>
        <w:trPr>
          <w:trHeight w:val="25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2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5.81</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8.80</w:t>
            </w:r>
          </w:p>
        </w:tc>
      </w:tr>
      <w:tr>
        <w:trPr>
          <w:trHeight w:val="258"/>
        </w:trPr>
        <w:tc>
          <w:tcPr>
            <w:tcW w:w="77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060" w:type="dxa"/>
            <w:vAlign w:val="bottom"/>
          </w:tcPr>
          <w:p>
            <w:pPr>
              <w:jc w:val="right"/>
              <w:spacing w:after="0"/>
              <w:rPr>
                <w:sz w:val="20"/>
                <w:szCs w:val="20"/>
                <w:color w:val="auto"/>
              </w:rPr>
            </w:pPr>
            <w:r>
              <w:rPr>
                <w:rFonts w:ascii="Arial" w:cs="Arial" w:eastAsia="Arial" w:hAnsi="Arial"/>
                <w:sz w:val="14"/>
                <w:szCs w:val="14"/>
                <w:color w:val="auto"/>
              </w:rPr>
              <w:t>85.86%</w:t>
            </w:r>
          </w:p>
        </w:tc>
        <w:tc>
          <w:tcPr>
            <w:tcW w:w="220" w:type="dxa"/>
            <w:vAlign w:val="bottom"/>
          </w:tcPr>
          <w:p>
            <w:pPr>
              <w:spacing w:after="0"/>
              <w:rPr>
                <w:sz w:val="22"/>
                <w:szCs w:val="22"/>
                <w:color w:val="auto"/>
              </w:rPr>
            </w:pPr>
          </w:p>
        </w:tc>
        <w:tc>
          <w:tcPr>
            <w:tcW w:w="14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87.33%</w:t>
            </w:r>
          </w:p>
        </w:tc>
      </w:tr>
    </w:tbl>
    <w:p>
      <w:pPr>
        <w:spacing w:after="0" w:line="200" w:lineRule="exact"/>
        <w:rPr>
          <w:sz w:val="20"/>
          <w:szCs w:val="20"/>
          <w:color w:val="auto"/>
        </w:rPr>
      </w:pPr>
    </w:p>
    <w:p>
      <w:pPr>
        <w:spacing w:after="0" w:line="230" w:lineRule="exact"/>
        <w:rPr>
          <w:sz w:val="20"/>
          <w:szCs w:val="20"/>
          <w:color w:val="auto"/>
        </w:rPr>
      </w:pPr>
    </w:p>
    <w:p>
      <w:pPr>
        <w:ind w:right="360"/>
        <w:spacing w:after="0" w:line="224" w:lineRule="exact"/>
        <w:rPr>
          <w:sz w:val="20"/>
          <w:szCs w:val="20"/>
          <w:color w:val="auto"/>
        </w:rPr>
      </w:pPr>
      <w:r>
        <w:rPr>
          <w:rFonts w:ascii="Arial" w:cs="Arial" w:eastAsia="Arial" w:hAnsi="Arial"/>
          <w:sz w:val="17"/>
          <w:szCs w:val="17"/>
          <w:color w:val="auto"/>
        </w:rPr>
        <w:t>As of December 31, 2018 and 2017, total unrecognized compensation expense related to unvested non</w:t>
      </w:r>
      <w:r>
        <w:rPr>
          <w:rFonts w:ascii="MS PGothic" w:cs="MS PGothic" w:eastAsia="MS PGothic" w:hAnsi="MS PGothic"/>
          <w:sz w:val="17"/>
          <w:szCs w:val="17"/>
          <w:color w:val="auto"/>
        </w:rPr>
        <w:t>‑</w:t>
      </w:r>
      <w:r>
        <w:rPr>
          <w:rFonts w:ascii="Arial" w:cs="Arial" w:eastAsia="Arial" w:hAnsi="Arial"/>
          <w:sz w:val="17"/>
          <w:szCs w:val="17"/>
          <w:color w:val="auto"/>
        </w:rPr>
        <w:t>employee stock options was $1.1 million and $0.6 million, respectively, which is expected to be recognized over a weighted average period of 2.2 years years and 1.9 years, respectively.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8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The following table summarizes the activity under the 2008 Plan, 2016 Plan, and Inducement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 price ($)</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2,411,237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4,729</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1,625,679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(103,784)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(251,557)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3,681,575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300</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December 31,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1,484,196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December 31, 2018</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2,990,612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1,351</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412,404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December 31,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223,180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December 31, 2018</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412,404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second quarter of 2018, the Company awarded 40,000 restricted stock units under the 2016 Plan to certain employees subject to the achievement of performance conditions. These restricted stock units will vest in a single installment on the date the performance condition is achieved, on or prior to December 31, 2018.</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restricted stock units granted during the second quarter of 2018 had a weighted average fair value of $12.75 per share based on the closing price of the Company’s common stock on the date of grant. These restricted stock units were valued at approximately $0.5 million on their grant date.</w:t>
      </w:r>
    </w:p>
    <w:p>
      <w:pPr>
        <w:spacing w:after="0" w:line="12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During the third quarter of 2018, the Company determined that it was not probable the performance criteria would be achieved on or prior to December 31, 2018. For this reason, the Company reversed less than $0.1 million of previously-recognized stock-based compensation expense in the third quarter of 2018. The performance condition was not satisfied on or prior to December 31, 2018, therefore the restricted stock units are forfeited for no consideration.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2018, the Company awarded 175,000 restricted stock units under the Inducement Incentive Award Plan. The restricted stock units granted had a weighted average fair value of $6.03 per share based on the closing price of the Company’s common stock on the date of grant. These restricted stock units were valued at approximately $1.1 million. Unrecognized compensation expense is $1.0 million as of December 31, 2018, which is expected to be recognized over a weighted average period of 3.9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 ($)</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at December 31, 2017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215,000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7.28</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Forfeited</w:t>
            </w:r>
          </w:p>
        </w:tc>
        <w:tc>
          <w:tcPr>
            <w:tcW w:w="1260" w:type="dxa"/>
            <w:vAlign w:val="bottom"/>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at December 31, 2018</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r>
    </w:tbl>
    <w:p>
      <w:pPr>
        <w:spacing w:after="0" w:line="200" w:lineRule="exact"/>
        <w:rPr>
          <w:sz w:val="20"/>
          <w:szCs w:val="20"/>
          <w:color w:val="auto"/>
        </w:rPr>
      </w:pPr>
    </w:p>
    <w:p>
      <w:pPr>
        <w:sectPr>
          <w:pgSz w:w="11900" w:h="16838" w:orient="portrait"/>
          <w:cols w:equalWidth="0" w:num="1">
            <w:col w:w="11420"/>
          </w:cols>
          <w:pgMar w:left="240" w:top="692" w:right="239" w:bottom="9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692" w:right="239" w:bottom="933"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ESPP offering period began on March 1, 2017.</w:t>
      </w:r>
    </w:p>
    <w:p>
      <w:pPr>
        <w:spacing w:after="0" w:line="21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year ended December 31, 2018 and 2017, the number of shares of common stock that may be issued under the ESPP was increased by 223,432 shares and 184,387 shares, respectively. During the year ended December 31, 2018, the Company issued 24,738 shares of common stock under the ESPP. As of December 31, 2018, 539,894 shares remain available for future issuance under the ESPP.</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2018 and 2017, the Company recognized less than $0.1 million and $0.1 million of stock-based compensation expense under the ESPP.</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847</w:t>
            </w:r>
          </w:p>
        </w:tc>
      </w:tr>
      <w:tr>
        <w:trPr>
          <w:trHeight w:val="243"/>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Arrangements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which is also referred to herein as "legacy GAAP" or the "previous guidance". The adoption of ASC 606 represents a change in accounting principle that will more closely align revenue recognition with the delivery of the Company's services and will provide financial statement readers with enhanced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to the Company's accounts on the consolidated balance sheet as of January 1, 2018 (in thousands):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688" w:right="2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Reported at</w:t>
            </w:r>
          </w:p>
        </w:tc>
        <w:tc>
          <w:tcPr>
            <w:tcW w:w="280" w:type="dxa"/>
            <w:vAlign w:val="bottom"/>
          </w:tcPr>
          <w:p>
            <w:pPr>
              <w:spacing w:after="0"/>
              <w:rPr>
                <w:sz w:val="23"/>
                <w:szCs w:val="2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Due to</w:t>
            </w:r>
          </w:p>
        </w:tc>
        <w:tc>
          <w:tcPr>
            <w:tcW w:w="220" w:type="dxa"/>
            <w:vAlign w:val="bottom"/>
          </w:tcPr>
          <w:p>
            <w:pPr>
              <w:spacing w:after="0"/>
              <w:rPr>
                <w:sz w:val="23"/>
                <w:szCs w:val="23"/>
                <w:color w:val="auto"/>
              </w:rPr>
            </w:pP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December 31, 2017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ASU 2014-09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January 1, 2018</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70,698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70,698</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2,042</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98,680</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2,091</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r>
      <w:tr>
        <w:trPr>
          <w:trHeight w:val="283"/>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101,100</w:t>
            </w:r>
          </w:p>
        </w:tc>
      </w:tr>
      <w:tr>
        <w:trPr>
          <w:trHeight w:val="251"/>
        </w:trPr>
        <w:tc>
          <w:tcPr>
            <w:tcW w:w="60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8,580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8,580</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10,973</w:t>
            </w:r>
          </w:p>
        </w:tc>
      </w:tr>
      <w:tr>
        <w:trPr>
          <w:trHeight w:val="276"/>
        </w:trPr>
        <w:tc>
          <w:tcPr>
            <w:tcW w:w="60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Loan payable</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15,919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14,089</w:t>
            </w:r>
          </w:p>
        </w:tc>
      </w:tr>
      <w:tr>
        <w:trPr>
          <w:trHeight w:val="270"/>
        </w:trPr>
        <w:tc>
          <w:tcPr>
            <w:tcW w:w="60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r>
      <w:tr>
        <w:trPr>
          <w:trHeight w:val="250"/>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49,286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47,456</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(216,897)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(215,067)</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r>
      <w:tr>
        <w:trPr>
          <w:trHeight w:val="250"/>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51,814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53,644</w:t>
            </w:r>
          </w:p>
        </w:tc>
      </w:tr>
      <w:tr>
        <w:trPr>
          <w:trHeight w:val="24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 connection with the adoption of ASC 606, the Company identified three collaboration/grant arrangements that required analysis to quantify the impact of adoption to its opening accumulated deficit balance as of January 1, 2018: Spark Therapeutics, Inc., Skolkovo Foundation and National Institutes of Health.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914" w:right="239" w:bottom="1440" w:gutter="0" w:footer="0" w:header="0"/>
        </w:sectPr>
      </w:pPr>
    </w:p>
    <w:bookmarkStart w:id="123" w:name="page124"/>
    <w:bookmarkEnd w:id="123"/>
    <w:p>
      <w:pPr>
        <w:ind w:right="18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right="4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60" w:hanging="328"/>
        <w:spacing w:after="0" w:line="276"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(Note 15) totaling $2.2 million for the MIT sub-license provided to Spark, and $0.4 million relative to the calculated premium paid by Spark for the equity investments made under the Spark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of Revenue Recognition from ASC Topic 605 to ASC Topic 606</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identified the following promises at the inception of the agreement: (1) certain exclusive, worldwide, royalty bearing licenses to the Company’s intellectual property and a license to conduct certain research activities under the collaboration, or the License Obligation, (2) options to research, develop and commercialize gene therapies utilizing the ImmTOR technology for up to four additional target therapy options, or the Option Obligation, (3) manufactured supply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92" w:right="239" w:bottom="1440" w:gutter="0" w:footer="0" w:header="0"/>
        </w:sectPr>
      </w:pPr>
    </w:p>
    <w:bookmarkStart w:id="124" w:name="page125"/>
    <w:bookmarkEnd w:id="124"/>
    <w:p>
      <w:pPr>
        <w:ind w:right="40"/>
        <w:spacing w:after="0" w:line="293" w:lineRule="auto"/>
        <w:rPr>
          <w:sz w:val="20"/>
          <w:szCs w:val="20"/>
          <w:color w:val="auto"/>
        </w:rPr>
      </w:pPr>
      <w:r>
        <w:rPr>
          <w:rFonts w:ascii="Arial" w:cs="Arial" w:eastAsia="Arial" w:hAnsi="Arial"/>
          <w:sz w:val="16"/>
          <w:szCs w:val="16"/>
          <w:color w:val="auto"/>
        </w:rPr>
        <w:t>preclinical and clinical SVP, or the Supply Obligation at a discount, and (4) option to purchase manufactured supply of commercial SVP, 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 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 not at an incremental discount. Therefore, the Company determined that the Spark agreement contains five distinct performance obligations: the Combined License and Supply Obligation, and the four separate Option Obligations.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the adoption date and as of December 31, 2018, all milestones were constrained. The Company will re-evaluate the transaction price in each reporting period, as uncertain events are resolved, or as other changes in circumstances occur.</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estimated that revenue recognized under ASC 605 is consistent with the revenue recognized in accordance with ASC 606 from contract inception. However, upon the initial adoption of ASC 606 on January 1, 2018, the Company recognized other assets of $2.6 million related to the incremental costs relating to the payments to MIT that would not have been incurred if the contract with Spark had not been obtained. Under the Company existing license agreement with MIT (See Note 15), in the event the Company sublicenses the MIT patents to a third party, it will be required to remit to MIT a percentage (ranging from 10% to 30%) of sublicense income. The Company concluded that the payments made to MIT were analogous to sales commissions and represented the cost to obtain a contract, which were evaluated under ASC 340-40-25-1. Such amounts were capitalized as they were both incremental and recoverable. However, upon further review, the Company noted that the amounts paid to MIT represent the cost to fulfill a contract rather than a cost to obtain a contract as they represent the costs that were incurred in order to fulfill their supply obligations under the Spark License Agreement. Therefore, the incremental payments to MIT represent part of the cost to fulfill the contract. When determining the appropriate accounting guidance for the costs to fulfill a customer contract, ASC 340-40-25-6 indicates that any other applicable literature should be considered first. Since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92" w:right="239" w:bottom="1440" w:gutter="0" w:footer="0" w:header="0"/>
        </w:sectPr>
      </w:pPr>
    </w:p>
    <w:bookmarkStart w:id="125" w:name="page126"/>
    <w:bookmarkEnd w:id="125"/>
    <w:p>
      <w:pPr>
        <w:ind w:right="140"/>
        <w:spacing w:after="0" w:line="286" w:lineRule="auto"/>
        <w:rPr>
          <w:sz w:val="20"/>
          <w:szCs w:val="20"/>
          <w:color w:val="auto"/>
        </w:rPr>
      </w:pPr>
      <w:r>
        <w:rPr>
          <w:rFonts w:ascii="Arial" w:cs="Arial" w:eastAsia="Arial" w:hAnsi="Arial"/>
          <w:sz w:val="17"/>
          <w:szCs w:val="17"/>
          <w:color w:val="auto"/>
        </w:rPr>
        <w:t>the intellectual property is being used exclusively for research and development, the accounting for the MIT costs were previously accounted for under ASC 730-10. Since all of the payments to MIT related to the underlying intellectual property, that does not have alternative future use, such amounts should not have been capitalized, and instead remained recorded as research and development expense upon adoption of ASC 606.</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 evaluated the impact of the error on previously issued financial statements included in the Form 10-Q for the quarters ended March 31, 2018, June 30, 2018 and September 30, 2018, noting that the impact was not material to the balance sheet, statement of operations or cash flows. However, correcting the error would be material to the quarterly trends in the statement of operations to expense the amount in the fourth quarter. Therefore, such amounts were corrected by reducing current and long-term assets by $0.2 million and $2.4 million, respectively and increasing accumulated deficit by $2.6 million as of January 1, 2018 by reversing the amounts initially recorded in transition. There was no impact to the consolidated statements of operations or cash flows for any of the quarters previously filed and no impact to any of the previously issued annual financial statements.</w:t>
      </w:r>
    </w:p>
    <w:p>
      <w:pPr>
        <w:spacing w:after="0" w:line="16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During the twelve months ended December 31, 2018, there were no deliveries and thus no revenue was recognized. The Company recognized revenues of less than $0.1 million related to the Spark License Agreement during the twelve months ended December 31, 2017.</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2018, there was a contract liability of $14.7 million representing deferred revenue associated with this agreement. A total of $1.0 million is presented as current and $13.7 million is presented as noncurrent in the accompanying consolidated balance sheet. As of December 31, 2017, there was $14.7 million of deferred revenue related to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 of $2.5 million.</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Under ASC 606, 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are made, the underlying liability will be reduced. To the extent that an amount is expected to be applied towards the clinical supply obligation, the analysis of variable consideration will be updated accordingly.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utilized the practical expedient relating to contract modifications that occurred prior to January 1, 2018. The practical expedient allows the Company to reflect the aggregate effect of all modifications that occurred before January 1, 2018 when identifying the satisfied and unsatisfied performance obligations, determining the transaction price and allocating the transaction price to the satisfied and unsatisfied performance obligations for the modified contract at transition.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Skolkovo Foundation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receives grant funding from the Russia-based Development Fund of New Technologies Development and Commercialization Center ("Skolkovo"). On November 28, 2014, the Company executed a grant awarded by Skolkovo for the development of a therapeutic vaccine using nanoparticles to treat chronic infection caused by human papillomavirus (HPV) and diseases associated with this infection. The grant covered the period from August 1, 2014 through July 21, 2017. The grant provided for up to $2.7 million that covers 48.5% of the estimated total cost of the research plan with the remaining 51.5% of estimated costs to be contributed by the Company. From grant inception through December 31, 2018, the Company received $2.0 million from Skolkovo.</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in accordance with ASC 605, the Company determined that the grant funding was not fixed or determinable and the entire amount received through December 31, 2017 was recorded as deferred revenue in the consolidated balance sheet until the completion of the Skolkovo audit or the expiration of the audit term, which is expected April 2021.</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Skolkovo, is a customer. Furthermore, the Company determined that the agreement with Skolkovo has commercial substance, and that the grant should be accounted for as revenue. The Company identified the research and development services being provided to Skolkovo as the only performance obligation in the agreement. 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as a cumulative-effect adjustment through accumulated deficit upon adoption of ASC 606. The remainder of $0.2 million was recorded as a contract liability upon adoption of ASC 606.</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2018, a contract liability of $0.1 million remains on the balance sheet and will not be recognized as revenue until the expiration of the three-year audit period, or sooner, if resolution is reached with Skolkovo or there is a change in the estimate.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May 14, 2014, the National Institute on Drug Abuse (“NIDA”), part of the National Institutes of Health ("NIH"), provided the Company with a Notice of Award (“NoA”), for a grant relating to the preclinical development and clinical proof of concept for a synthetic nanoparticle (the “Project”). The grant will help advance the Company’s development of the nanoparticle from a preclinical through early clinical stage and will provide support for one or more clinical trials. Under the terms of the grant, NIDA agreed to provide up to $8.1 million in funding to be used to offset the qualifying expenses incurred by the Company. The grant was to be funded over the course of three years, according to budget forecasts prepared by the Company.</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accordance with ASC 605, revenue associated with this grant was recognized as the related research and development work was performed, and expenses incurred. Revenue under this grant arrangement was recognized using a proportional performance method. Amounts received prior to satisfying the ASC 605 revenue recognition criteria (if any) was recorded as deferred revenue on the balance sheet. Through December 31, 2017, the Company received and recognized under ASC 605 approximately $7.2 million of grant revenue. The remaining $0.9 million available under the grant requires a change to the overhead rate, which is subject to final reconciliation and approval from NIDA and, therefore, was not recognized under ASC 605.</w:t>
      </w:r>
    </w:p>
    <w:p>
      <w:pPr>
        <w:spacing w:after="0" w:line="15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NIDA, is a customer. Furthermore, the Company determined that the agreement with NIDA has commercial substance, and that the grant should be accounted for as revenue. The Company identified the research and development services being provided to NIDA as the only performance obligation in the agreement.</w:t>
      </w:r>
    </w:p>
    <w:p>
      <w:pPr>
        <w:spacing w:after="0" w:line="14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Upon adoption of ASC 606, the remaining $0.9 million was not recognized because the change to the overhead rate required approval from NIDA, and therefore, represents a contract modification. On December 19, 2018, the Company received supervisory review and approval of the overhead rate change from NIDA. During the fourth quarter of 2018, the Company recognized the full $0.9 million of grant revenue from NIDA.</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688"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compares the reported consolidated balance sheet and statement of operations, as of and for the year ended December 31, 2018, to the pro-forma amounts had the previous guidance been in effect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4"/>
          </w:tcPr>
          <w:p>
            <w:pPr>
              <w:jc w:val="right"/>
              <w:ind w:right="1488"/>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2"/>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As reported</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w w:val="96"/>
              </w:rPr>
              <w:t>Pro forma as if the previous</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accounting was in effect</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37,403</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vMerge w:val="restart"/>
          </w:tcPr>
          <w:p>
            <w:pPr>
              <w:jc w:val="right"/>
              <w:ind w:right="28"/>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74"/>
        </w:trPr>
        <w:tc>
          <w:tcPr>
            <w:tcW w:w="6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440" w:type="dxa"/>
            <w:vAlign w:val="bottom"/>
          </w:tcPr>
          <w:p>
            <w:pPr>
              <w:spacing w:after="0"/>
              <w:rPr>
                <w:sz w:val="21"/>
                <w:szCs w:val="21"/>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42,076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42,076</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other assets</w:t>
            </w: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11,700</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Loan payable, current portion</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21,385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21,385</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21"/>
                <w:szCs w:val="21"/>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35,144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35,144</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Deferred rent and lease incentive</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15,648</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5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4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49,900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51,730</w:t>
            </w:r>
          </w:p>
        </w:tc>
        <w:tc>
          <w:tcPr>
            <w:tcW w:w="0" w:type="dxa"/>
            <w:vAlign w:val="bottom"/>
          </w:tcPr>
          <w:p>
            <w:pPr>
              <w:spacing w:after="0"/>
              <w:rPr>
                <w:sz w:val="1"/>
                <w:szCs w:val="1"/>
                <w:color w:val="auto"/>
              </w:rPr>
            </w:pPr>
          </w:p>
        </w:tc>
      </w:tr>
      <w:tr>
        <w:trPr>
          <w:trHeight w:val="258"/>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279,539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279,539</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 from stock option exercises</w:t>
            </w:r>
          </w:p>
        </w:tc>
        <w:tc>
          <w:tcPr>
            <w:tcW w:w="44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4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(280,403)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(282,233)</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Total reported liabilities were $1.8 million less than the pro-forma balance sheet, which assumes the previous guidance remained in effect as of December 31, 2018. The lower reported liabilities were due to reductions recognized to deferred revenue balances related to Skolkovo, which would remain deferred under ASC 605 as of December 31, 2018.</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was no difference in the amounts reported in the statement of operations under ASC 606 during the twelve months ended December 31, 2018, and the pro-forma statement of operations, which assumes the previous guidance remained in effect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Remaining performance obligations represent the transaction price of contracts for which work has not been performed (or has been partially performed) and excludes unexercised contract options. As of December 31, 2018, the aggregate amount of the transaction price allocated to remaining performance obligations was $8.6 million. The Company expects to recognize revenue on approximately 8.9% of the remaining performance obligations over the next 12 months.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692"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twelve months ended December 31,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ind w:right="56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Beginning of Period</w:t>
            </w: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24"/>
                <w:szCs w:val="2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24"/>
                <w:szCs w:val="24"/>
                <w:color w:val="auto"/>
              </w:rPr>
            </w:pPr>
          </w:p>
        </w:tc>
        <w:tc>
          <w:tcPr>
            <w:tcW w:w="1600" w:type="dxa"/>
            <w:vAlign w:val="bottom"/>
          </w:tcPr>
          <w:p>
            <w:pPr>
              <w:jc w:val="right"/>
              <w:ind w:right="468"/>
              <w:spacing w:after="0"/>
              <w:rPr>
                <w:sz w:val="20"/>
                <w:szCs w:val="20"/>
                <w:color w:val="auto"/>
              </w:rPr>
            </w:pPr>
            <w:r>
              <w:rPr>
                <w:rFonts w:ascii="Arial" w:cs="Arial" w:eastAsia="Arial" w:hAnsi="Arial"/>
                <w:sz w:val="14"/>
                <w:szCs w:val="14"/>
                <w:b w:val="1"/>
                <w:bCs w:val="1"/>
                <w:color w:val="auto"/>
              </w:rPr>
              <w:t>End of Period</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3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14,876</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14,777</w:t>
            </w:r>
          </w:p>
        </w:tc>
      </w:tr>
      <w:tr>
        <w:trPr>
          <w:trHeight w:val="264"/>
        </w:trPr>
        <w:tc>
          <w:tcPr>
            <w:tcW w:w="3340" w:type="dxa"/>
            <w:vAlign w:val="bottom"/>
          </w:tcPr>
          <w:p>
            <w:pPr>
              <w:ind w:left="220"/>
              <w:spacing w:after="0"/>
              <w:rPr>
                <w:sz w:val="20"/>
                <w:szCs w:val="20"/>
                <w:color w:val="auto"/>
              </w:rPr>
            </w:pPr>
            <w:r>
              <w:rPr>
                <w:rFonts w:ascii="Arial" w:cs="Arial" w:eastAsia="Arial" w:hAnsi="Arial"/>
                <w:sz w:val="14"/>
                <w:szCs w:val="14"/>
                <w:color w:val="auto"/>
              </w:rPr>
              <w:t>Other liabilities (i)</w:t>
            </w:r>
          </w:p>
        </w:tc>
        <w:tc>
          <w:tcPr>
            <w:tcW w:w="2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2,231</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2,126</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16,903</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80" w:firstLine="8"/>
        <w:spacing w:after="0" w:line="273" w:lineRule="auto"/>
        <w:tabs>
          <w:tab w:leader="none" w:pos="17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 of December 31, 2018, the current portion of other liabilities in the amount of $1.2 million is presented in the accrued expenses line of the consolidated balance sheet. The non-current portion of other liabilities in the amount of $0.9 million is presented in the other long-term liabilities line of the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2018, the Company drew down $0.9 million of grant funds from NIDA and received the required written approval from NIDA on December 19, 2018, however, amounts were not deferred at the beginning of the period.</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return unused grant funds to Skolkovo, which resulted in a reduction to deferred revenue of less than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connection with its cost reimbursement arrangement with Spark, the Company received reimbursement invoices during the year ended December 31, 2018 amounting to approximately $0.1 million, which reduced the other liability balance to $2.1 million as of December 31, 2018.</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timing of revenue recognition and cash collections results in contract liabilities on the consolidated balance sheets.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products or services is transferred to the customer and all revenue recognition criteria have been met.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688" w:right="239" w:bottom="1440" w:gutter="0" w:footer="0" w:header="0"/>
        </w:sectPr>
      </w:pPr>
    </w:p>
    <w:bookmarkStart w:id="129" w:name="page130"/>
    <w:bookmarkEnd w:id="129"/>
    <w:p>
      <w:pPr>
        <w:spacing w:after="0" w:line="207" w:lineRule="exact"/>
        <w:rPr>
          <w:sz w:val="20"/>
          <w:szCs w:val="20"/>
          <w:color w:val="auto"/>
        </w:rPr>
      </w:pPr>
      <w:r>
        <w:rPr>
          <w:rFonts w:ascii="Arial" w:cs="Arial" w:eastAsia="Arial" w:hAnsi="Arial"/>
          <w:sz w:val="18"/>
          <w:szCs w:val="18"/>
          <w:b w:val="1"/>
          <w:bCs w:val="1"/>
          <w:color w:val="auto"/>
        </w:rPr>
        <w:t>14.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2017 PIPE, the Company sold to Timothy Springer, Ph.D., a member of its Board of Directors, an aggregate of 338,791 shares of common stock at a purchase price equal to $17.71 per share, which was equal to the most recent consolidated closing bid price on the Nasdaq Global Market on June 23, 2017. In addition, the Company sold warrants to Dr. Springer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$0.2 million, $0.2 million and $0.3 million during the years ended December 31, 2018, 2017 and 2016, respectively.</w:t>
      </w:r>
    </w:p>
    <w:p>
      <w:pPr>
        <w:spacing w:after="0" w:line="166" w:lineRule="exact"/>
        <w:rPr>
          <w:sz w:val="20"/>
          <w:szCs w:val="20"/>
          <w:color w:val="auto"/>
        </w:rPr>
      </w:pPr>
    </w:p>
    <w:p>
      <w:pPr>
        <w:ind w:right="8500" w:firstLine="8"/>
        <w:spacing w:after="0" w:line="604" w:lineRule="auto"/>
        <w:tabs>
          <w:tab w:leader="none" w:pos="27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Technology License Agreements Massachusetts Institute of Technology</w:t>
      </w:r>
    </w:p>
    <w:p>
      <w:pPr>
        <w:spacing w:after="0" w:line="218" w:lineRule="exact"/>
        <w:rPr>
          <w:sz w:val="20"/>
          <w:szCs w:val="20"/>
          <w:color w:val="auto"/>
        </w:rPr>
      </w:pPr>
      <w:r>
        <w:rPr>
          <w:rFonts w:ascii="Arial" w:cs="Arial" w:eastAsia="Arial" w:hAnsi="Arial"/>
          <w:sz w:val="16"/>
          <w:szCs w:val="16"/>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6"/>
          <w:szCs w:val="16"/>
          <w:color w:val="auto"/>
        </w:rPr>
        <w:t>‑</w:t>
      </w:r>
      <w:r>
        <w:rPr>
          <w:rFonts w:ascii="Arial" w:cs="Arial" w:eastAsia="Arial" w:hAnsi="Arial"/>
          <w:sz w:val="16"/>
          <w:szCs w:val="16"/>
          <w:color w:val="auto"/>
        </w:rPr>
        <w:t>cross</w:t>
      </w:r>
      <w:r>
        <w:rPr>
          <w:rFonts w:ascii="MS PGothic" w:cs="MS PGothic" w:eastAsia="MS PGothic" w:hAnsi="MS PGothic"/>
          <w:sz w:val="16"/>
          <w:szCs w:val="16"/>
          <w:color w:val="auto"/>
        </w:rPr>
        <w:t>‑</w:t>
      </w:r>
      <w:r>
        <w:rPr>
          <w:rFonts w:ascii="Arial" w:cs="Arial" w:eastAsia="Arial" w:hAnsi="Arial"/>
          <w:sz w:val="16"/>
          <w:szCs w:val="16"/>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6"/>
          <w:szCs w:val="16"/>
          <w:color w:val="auto"/>
        </w:rPr>
        <w:t>‑</w:t>
      </w:r>
      <w:r>
        <w:rPr>
          <w:rFonts w:ascii="Arial" w:cs="Arial" w:eastAsia="Arial" w:hAnsi="Arial"/>
          <w:sz w:val="16"/>
          <w:szCs w:val="16"/>
          <w:color w:val="auto"/>
        </w:rPr>
        <w:t>time expense in 2008.</w:t>
      </w:r>
    </w:p>
    <w:p>
      <w:pPr>
        <w:spacing w:after="0" w:line="20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As of December 31, 2018,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 License. Pursuant to the 3SBio License, which was amended and restated in May 2017, the Company was granted an exclusive license to certain pegadricase (formerly 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 commercialization of products based thereupon for human therapeutic, diagnostic and prophylactic use. Pegadricase is the new United States Adopted Name (USAN) for pegsiticase. The Company was also granted a worldwide (except for Greater China) exclusive license to develop, commercialize and manufacture or have manufactured products combining the Company’s proprietary ImmTOR technology with pegadricase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pegadricase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pegadricase or a related compound. If the Company does not commercialize any such product in a particular country in Asia, Africa or South America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48 months after approval of any such product in the United States or a major European country, then 3SBio will have the right to do so, but only until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commercializes a product combining the Company’s ImmTOR technology with any such compound in such country. The Company has paid to</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was expensed in 2016 and was included within accounts payable on the balance sheet as of December 31, 2016. The Company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make future payments to 3SBio contingent upon the occurrence of events related to the achievement of clinical and regulatory approval milestones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up to an aggregate of $21.0 million for products containing the Company’s ImmTOR technology, and up to an aggregate of $41.5 million for products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without the Company’s ImmTOR technology. The Company is also required to pay 3SBio tiered royalties on annual worldwide net sales (on a</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and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related to the pegadricase component of products at percentages ranging from the low</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mid single digits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 products containing the Company’s ImmTOR technology, and a range of no more than ten percent points from the mid</w:t>
      </w:r>
      <w:r>
        <w:rPr>
          <w:rFonts w:ascii="MS PGothic" w:cs="MS PGothic" w:eastAsia="MS PGothic" w:hAnsi="MS PGothic"/>
          <w:sz w:val="16"/>
          <w:szCs w:val="16"/>
          <w:color w:val="auto"/>
        </w:rPr>
        <w:t>‑</w:t>
      </w:r>
      <w:r>
        <w:rPr>
          <w:rFonts w:ascii="Arial" w:cs="Arial" w:eastAsia="Arial" w:hAnsi="Arial"/>
          <w:sz w:val="16"/>
          <w:szCs w:val="16"/>
          <w:color w:val="auto"/>
        </w:rPr>
        <w:t>single digits to low double</w:t>
      </w:r>
      <w:r>
        <w:rPr>
          <w:rFonts w:ascii="MS PGothic" w:cs="MS PGothic" w:eastAsia="MS PGothic" w:hAnsi="MS PGothic"/>
          <w:sz w:val="16"/>
          <w:szCs w:val="16"/>
          <w:color w:val="auto"/>
        </w:rPr>
        <w:t>‑</w:t>
      </w:r>
      <w:r>
        <w:rPr>
          <w:rFonts w:ascii="Arial" w:cs="Arial" w:eastAsia="Arial" w:hAnsi="Arial"/>
          <w:sz w:val="16"/>
          <w:szCs w:val="16"/>
          <w:color w:val="auto"/>
        </w:rPr>
        <w:t>digits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products without the Company’s ImmTOR technology. The Company will pay these royalties to 3SBio, subject to specified reductions, on a</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and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until the later of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688" w:right="239" w:bottom="1440" w:gutter="0" w:footer="0" w:header="0"/>
        </w:sectPr>
      </w:pPr>
    </w:p>
    <w:bookmarkStart w:id="130" w:name="page131"/>
    <w:bookmarkEnd w:id="130"/>
    <w:p>
      <w:pPr>
        <w:ind w:right="160" w:firstLine="8"/>
        <w:spacing w:after="0" w:line="277" w:lineRule="auto"/>
        <w:tabs>
          <w:tab w:leader="none" w:pos="2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that all of the patent rights for that product have expired in that country, or (ii) a specified number of years from the first commercial sale of such product in such country.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28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MEE License, the Company agreed to pay MEE a license fee in the low six figures, annual license maintenance fees ranging from the</w:t>
      </w:r>
    </w:p>
    <w:p>
      <w:pPr>
        <w:spacing w:after="0" w:line="35" w:lineRule="exact"/>
        <w:rPr>
          <w:sz w:val="20"/>
          <w:szCs w:val="20"/>
          <w:color w:val="auto"/>
        </w:rPr>
      </w:pPr>
    </w:p>
    <w:p>
      <w:pPr>
        <w:ind w:right="100"/>
        <w:spacing w:after="0" w:line="216" w:lineRule="exact"/>
        <w:rPr>
          <w:sz w:val="20"/>
          <w:szCs w:val="20"/>
          <w:color w:val="auto"/>
        </w:rPr>
      </w:pPr>
      <w:r>
        <w:rPr>
          <w:rFonts w:ascii="Arial" w:cs="Arial" w:eastAsia="Arial" w:hAnsi="Arial"/>
          <w:sz w:val="18"/>
          <w:szCs w:val="18"/>
          <w:color w:val="auto"/>
        </w:rPr>
        <w:t>mid</w:t>
      </w:r>
      <w:r>
        <w:rPr>
          <w:rFonts w:ascii="MS PGothic" w:cs="MS PGothic" w:eastAsia="MS PGothic" w:hAnsi="MS PGothic"/>
          <w:sz w:val="18"/>
          <w:szCs w:val="18"/>
          <w:color w:val="auto"/>
        </w:rPr>
        <w:t>‑</w:t>
      </w:r>
      <w:r>
        <w:rPr>
          <w:rFonts w:ascii="Arial" w:cs="Arial" w:eastAsia="Arial" w:hAnsi="Arial"/>
          <w:sz w:val="18"/>
          <w:szCs w:val="18"/>
          <w:color w:val="auto"/>
        </w:rPr>
        <w:t>twenty thousands to mid</w:t>
      </w:r>
      <w:r>
        <w:rPr>
          <w:rFonts w:ascii="MS PGothic" w:cs="MS PGothic" w:eastAsia="MS PGothic" w:hAnsi="MS PGothic"/>
          <w:sz w:val="18"/>
          <w:szCs w:val="18"/>
          <w:color w:val="auto"/>
        </w:rPr>
        <w:t>‑</w:t>
      </w:r>
      <w:r>
        <w:rPr>
          <w:rFonts w:ascii="Arial" w:cs="Arial" w:eastAsia="Arial" w:hAnsi="Arial"/>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equal to a percentage of net sales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Arial" w:cs="Arial" w:eastAsia="Arial" w:hAnsi="Arial"/>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Arial" w:cs="Arial" w:eastAsia="Arial" w:hAnsi="Arial"/>
          <w:sz w:val="18"/>
          <w:szCs w:val="18"/>
          <w:color w:val="auto"/>
        </w:rPr>
        <w:t>six figures to mid</w:t>
      </w:r>
      <w:r>
        <w:rPr>
          <w:rFonts w:ascii="MS PGothic" w:cs="MS PGothic" w:eastAsia="MS PGothic" w:hAnsi="MS PGothic"/>
          <w:sz w:val="18"/>
          <w:szCs w:val="18"/>
          <w:color w:val="auto"/>
        </w:rPr>
        <w:t>‑</w:t>
      </w:r>
      <w:r>
        <w:rPr>
          <w:rFonts w:ascii="Arial" w:cs="Arial" w:eastAsia="Arial" w:hAnsi="Arial"/>
          <w:sz w:val="18"/>
          <w:szCs w:val="18"/>
          <w:color w:val="auto"/>
        </w:rPr>
        <w:t>six figures, depending on the prevalence of the targeted disease.</w:t>
      </w:r>
    </w:p>
    <w:p>
      <w:pPr>
        <w:spacing w:after="0" w:line="206"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Through December 31, 2018, the Company paid a total of $0.4 million in license fees due under the MEE License. No license fees are accrued under the MEE License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692" w:right="239" w:bottom="1440" w:gutter="0" w:footer="0" w:header="0"/>
        </w:sectPr>
      </w:pPr>
    </w:p>
    <w:bookmarkStart w:id="131" w:name="page132"/>
    <w:bookmarkEnd w:id="131"/>
    <w:p>
      <w:pPr>
        <w:ind w:right="40"/>
        <w:spacing w:after="0" w:line="277" w:lineRule="auto"/>
        <w:rPr>
          <w:sz w:val="20"/>
          <w:szCs w:val="20"/>
          <w:color w:val="auto"/>
        </w:rPr>
      </w:pPr>
      <w:r>
        <w:rPr>
          <w:rFonts w:ascii="Arial" w:cs="Arial" w:eastAsia="Arial" w:hAnsi="Arial"/>
          <w:sz w:val="18"/>
          <w:szCs w:val="18"/>
          <w:color w:val="auto"/>
        </w:rPr>
        <w:t>For the years ended December 31, 2018, 2017 and 2016, the Company did not record a current or deferred income tax expense or benefit. The following table reconciles the federal statutory income rate to the Company's effective income tax rate:</w:t>
      </w:r>
    </w:p>
    <w:p>
      <w:pPr>
        <w:spacing w:after="0" w:line="39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23495</wp:posOffset>
            </wp:positionV>
            <wp:extent cx="32759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56"/>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Statutory U.S. federal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264"/>
        </w:trPr>
        <w:tc>
          <w:tcPr>
            <w:tcW w:w="7300" w:type="dxa"/>
            <w:vAlign w:val="bottom"/>
            <w:gridSpan w:val="2"/>
          </w:tcPr>
          <w:p>
            <w:pPr>
              <w:ind w:left="40"/>
              <w:spacing w:after="0"/>
              <w:rPr>
                <w:sz w:val="20"/>
                <w:szCs w:val="20"/>
                <w:color w:val="auto"/>
              </w:rPr>
            </w:pPr>
            <w:r>
              <w:rPr>
                <w:rFonts w:ascii="Arial" w:cs="Arial" w:eastAsia="Arial" w:hAnsi="Arial"/>
                <w:sz w:val="14"/>
                <w:szCs w:val="14"/>
                <w:color w:val="auto"/>
              </w:rPr>
              <w:t>State income taxes - net of federal benefit</w:t>
            </w:r>
          </w:p>
        </w:tc>
        <w:tc>
          <w:tcPr>
            <w:tcW w:w="58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5.8 %</w:t>
            </w:r>
          </w:p>
        </w:tc>
      </w:tr>
      <w:tr>
        <w:trPr>
          <w:trHeight w:val="276"/>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Permanent items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7300" w:type="dxa"/>
            <w:vAlign w:val="bottom"/>
            <w:gridSpan w:val="2"/>
          </w:tcPr>
          <w:p>
            <w:pPr>
              <w:ind w:left="40"/>
              <w:spacing w:after="0"/>
              <w:rPr>
                <w:sz w:val="20"/>
                <w:szCs w:val="20"/>
                <w:color w:val="auto"/>
              </w:rPr>
            </w:pPr>
            <w:r>
              <w:rPr>
                <w:rFonts w:ascii="Arial" w:cs="Arial" w:eastAsia="Arial" w:hAnsi="Arial"/>
                <w:sz w:val="14"/>
                <w:szCs w:val="14"/>
                <w:color w:val="auto"/>
              </w:rPr>
              <w:t>Research tax credits/other</w:t>
            </w:r>
          </w:p>
        </w:tc>
        <w:tc>
          <w:tcPr>
            <w:tcW w:w="58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76"/>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Change in enacted rates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7300" w:type="dxa"/>
            <w:vAlign w:val="bottom"/>
            <w:gridSpan w:val="2"/>
          </w:tcPr>
          <w:p>
            <w:pPr>
              <w:ind w:left="40"/>
              <w:spacing w:after="0"/>
              <w:rPr>
                <w:sz w:val="20"/>
                <w:szCs w:val="20"/>
                <w:color w:val="auto"/>
              </w:rPr>
            </w:pPr>
            <w:r>
              <w:rPr>
                <w:rFonts w:ascii="Arial" w:cs="Arial" w:eastAsia="Arial" w:hAnsi="Arial"/>
                <w:sz w:val="14"/>
                <w:szCs w:val="14"/>
                <w:color w:val="auto"/>
              </w:rPr>
              <w:t>Valuation allowance, net</w:t>
            </w:r>
          </w:p>
        </w:tc>
        <w:tc>
          <w:tcPr>
            <w:tcW w:w="58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4"/>
                <w:szCs w:val="14"/>
                <w:color w:val="auto"/>
              </w:rPr>
              <w:t>Effective income tax rate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760" w:type="dxa"/>
            <w:vAlign w:val="bottom"/>
            <w:gridSpan w:val="2"/>
          </w:tcPr>
          <w:p>
            <w:pPr>
              <w:ind w:left="1320"/>
              <w:spacing w:after="0"/>
              <w:rPr>
                <w:sz w:val="20"/>
                <w:szCs w:val="20"/>
                <w:color w:val="auto"/>
              </w:rPr>
            </w:pPr>
            <w:r>
              <w:rPr>
                <w:rFonts w:ascii="Arial" w:cs="Arial" w:eastAsia="Arial" w:hAnsi="Arial"/>
                <w:sz w:val="14"/>
                <w:szCs w:val="14"/>
                <w:color w:val="auto"/>
              </w:rPr>
              <w:t>— %</w:t>
            </w:r>
          </w:p>
        </w:tc>
        <w:tc>
          <w:tcPr>
            <w:tcW w:w="16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6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the Company's net deferred tax assets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Net operating loss carryforwards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59,126</w:t>
            </w:r>
          </w:p>
        </w:tc>
        <w:tc>
          <w:tcPr>
            <w:tcW w:w="12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44,146</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credits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4,092</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Stock-based compensations expense</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1,946</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959</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rent and other expenses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Deferred revenue</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4,037</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4,021</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 costs/amortization</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4,881</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4,264</w:t>
            </w:r>
          </w:p>
        </w:tc>
      </w:tr>
      <w:tr>
        <w:trPr>
          <w:trHeight w:val="250"/>
        </w:trPr>
        <w:tc>
          <w:tcPr>
            <w:tcW w:w="8100" w:type="dxa"/>
            <w:vAlign w:val="bottom"/>
          </w:tcPr>
          <w:p>
            <w:pPr>
              <w:ind w:left="40"/>
              <w:spacing w:after="0"/>
              <w:rPr>
                <w:sz w:val="20"/>
                <w:szCs w:val="20"/>
                <w:color w:val="auto"/>
              </w:rPr>
            </w:pPr>
            <w:r>
              <w:rPr>
                <w:rFonts w:ascii="Arial" w:cs="Arial" w:eastAsia="Arial" w:hAnsi="Arial"/>
                <w:sz w:val="14"/>
                <w:szCs w:val="14"/>
                <w:color w:val="auto"/>
              </w:rPr>
              <w:t>Gross deferred tax assets</w:t>
            </w:r>
          </w:p>
        </w:tc>
        <w:tc>
          <w:tcPr>
            <w:tcW w:w="100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76,228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57,745</w:t>
            </w:r>
          </w:p>
        </w:tc>
      </w:tr>
      <w:tr>
        <w:trPr>
          <w:trHeight w:val="168"/>
        </w:trPr>
        <w:tc>
          <w:tcPr>
            <w:tcW w:w="8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250"/>
        </w:trPr>
        <w:tc>
          <w:tcPr>
            <w:tcW w:w="8100" w:type="dxa"/>
            <w:vAlign w:val="bottom"/>
          </w:tcPr>
          <w:p>
            <w:pPr>
              <w:ind w:left="40"/>
              <w:spacing w:after="0"/>
              <w:rPr>
                <w:sz w:val="20"/>
                <w:szCs w:val="20"/>
                <w:color w:val="auto"/>
              </w:rPr>
            </w:pPr>
            <w:r>
              <w:rPr>
                <w:rFonts w:ascii="Arial" w:cs="Arial" w:eastAsia="Arial" w:hAnsi="Arial"/>
                <w:sz w:val="14"/>
                <w:szCs w:val="14"/>
                <w:color w:val="auto"/>
              </w:rPr>
              <w:t>Gross deferred tax liabilities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76,162</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57,637</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Valuation allowance</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(76,162)</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(57,637)</w:t>
            </w:r>
          </w:p>
        </w:tc>
      </w:tr>
      <w:tr>
        <w:trPr>
          <w:trHeight w:val="243"/>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$18.5 million and $4.7 million for the years ended December 31, 2018 and 2017, respectively, primarily as a result of an increase in net operating loss. In 2014, the Company's Russian subsidiary was granted a 10 year tax holiday in Russia. The Company's foreign operations continue to benefit from the tax holiday, which is set to expire on December 31, 2023, however the Company is in the process of closing down operations in Russia and does not expect any tax liability.</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2018, the Company had federal and state net operating loss carryforwards of $217.7 million and $212.1 million, respectively, which will expire at various times through 2038. Of the federal net operating loss carryforwards, $55.2 million can be carried forward indefinitely. The Company also has federal and state research and development tax credit carryforwards of $3.6 million and $2.8 million, respectively, available to reduce future tax liabilities, which will expire at various times through 2038.</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The Company has recognized the impact of the Tax Reform Act in these consolidated financial statements and related disclosures. The impact of the remeasurement of the Company’s U.S. deferred tax assets and liabilities to 21% resulted in the reduction of deferred tax assets of approximately $23.4 million, which was offset by a full valuation</w:t>
      </w:r>
    </w:p>
    <w:p>
      <w:pPr>
        <w:sectPr>
          <w:pgSz w:w="11900" w:h="16838" w:orient="portrait"/>
          <w:cols w:equalWidth="0" w:num="1">
            <w:col w:w="11420"/>
          </w:cols>
          <w:pgMar w:left="240" w:top="692" w:right="239" w:bottom="1014"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692" w:right="239" w:bottom="1014" w:gutter="0" w:footer="0" w:header="0"/>
          <w:type w:val="continuous"/>
        </w:sectPr>
      </w:pPr>
    </w:p>
    <w:bookmarkStart w:id="132" w:name="page133"/>
    <w:bookmarkEnd w:id="132"/>
    <w:p>
      <w:pPr>
        <w:ind w:right="20"/>
        <w:spacing w:after="0" w:line="277" w:lineRule="auto"/>
        <w:rPr>
          <w:sz w:val="20"/>
          <w:szCs w:val="20"/>
          <w:color w:val="auto"/>
        </w:rPr>
      </w:pPr>
      <w:r>
        <w:rPr>
          <w:rFonts w:ascii="Arial" w:cs="Arial" w:eastAsia="Arial" w:hAnsi="Arial"/>
          <w:sz w:val="18"/>
          <w:szCs w:val="18"/>
          <w:color w:val="auto"/>
        </w:rPr>
        <w:t>allowance, thus there was no net effect. The Company recorded no tax expense related to the deemed repatriation tax because its foreign entity, Selecta (RUS) is a foreign disregarded entity, which is not subject to the repatriation tax.</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2017, the SEC staff issued SAB 118 to address the application of GAAP in situations when a registrant does not have the necessary information available, prepared, or analyzed (including computations) in reasonable detail to complete the accounting for certain income tax effects of H.R.1. The Company did not record any adjustments in the year ended December 31, 2018 to provisional amounts. As of December 31, 2018, the Company’s accounting treatment is complete.</w:t>
      </w:r>
    </w:p>
    <w:p>
      <w:pPr>
        <w:spacing w:after="0" w:line="7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completed an equity offering that it believes will result in an ownership change under Section 382 of the Internal Revenue Code. Based upon estimates, the Company believes that deferred tax assets of $49.5 million, related to federal and Massachusetts net operating losses and credits, will no longer be available going forward. Such amounts are offset by a full valuation allowance at December 31, 2018. The Company will finalize this calculation in 2019.</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applies ASC 740, Income Taxes to uncertain tax positions. As of the adoption date on January 1, 2010 and through December 31, 2018, the Company had no unrecognized tax benefits or related interest and penalties accrued.</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7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 of operations. As of December 31, 2018, the Company had no accrued interest related to uncertain tax positions.</w:t>
      </w:r>
    </w:p>
    <w:p>
      <w:pPr>
        <w:spacing w:after="0" w:line="14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Contribution Plan</w:t>
      </w:r>
    </w:p>
    <w:p>
      <w:pPr>
        <w:spacing w:after="0" w:line="229"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$0.2 million, $0.2 million and $0.1 million during each of the years ended December 31, 2018, 2017 and 2016, respectively.</w:t>
      </w:r>
    </w:p>
    <w:p>
      <w:pPr>
        <w:spacing w:after="0" w:line="154" w:lineRule="exact"/>
        <w:rPr>
          <w:sz w:val="20"/>
          <w:szCs w:val="20"/>
          <w:color w:val="auto"/>
        </w:rPr>
      </w:pPr>
    </w:p>
    <w:p>
      <w:pPr>
        <w:ind w:right="9480" w:firstLine="8"/>
        <w:spacing w:after="0" w:line="566" w:lineRule="auto"/>
        <w:tabs>
          <w:tab w:leader="none" w:pos="27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Corporate Restructuring</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December 21, 2018, the Board of Directors (the “Board”) of the Company approved a plan to reduce Selecta’s budgeted headcount by approximately 36% (the “Workforce Reduction”) following a strategic review of the Company’s business. The Workforce Reduction aimed to align Selecta’s workforce with the Company’s recently announced strategy to focus on the development of the Company’s lead product candidate, SEL-212, for the treatment of chronic refractory gout, and advancement of the Company’s ImmTOR technology in the area of gene therapy, specifically ImmTOR in combination with AAV gene therapy for the treatment of Crigler-Najjar Syndrome (“CN”), as well as the deprioritization of the Company’s oncology development program. While the Workforce Reduction generally affected employees in all areas of Selecta, primarily affected were those working in research and related general and accounting functions. The Workforce Reduction resulted in the termination of approximately 17 employment positions effective January 3, 2019, and the affected employees were notified on the same date. Since the Company does not have a pre-existing severance plan, the restructuring activity will be accounted for under ASC 420 and since the employees were notified after year end and exited within the minimum retention period, a charge totaling approximately $0.5 million will be recorded in the first quarter. Following the Workforce Reduction, Selecta expects to have approximately 45 full-time employment positions and to be appropriately resourced to continue executing on its current strategy.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692" w:right="239" w:bottom="1440" w:gutter="0" w:footer="0" w:header="0"/>
        </w:sectPr>
      </w:pPr>
    </w:p>
    <w:bookmarkStart w:id="133" w:name="page134"/>
    <w:bookmarkEnd w:id="133"/>
    <w:p>
      <w:pPr>
        <w:ind w:right="520"/>
        <w:spacing w:after="0" w:line="277" w:lineRule="auto"/>
        <w:rPr>
          <w:sz w:val="20"/>
          <w:szCs w:val="20"/>
          <w:color w:val="auto"/>
        </w:rPr>
      </w:pPr>
      <w:r>
        <w:rPr>
          <w:rFonts w:ascii="Arial" w:cs="Arial" w:eastAsia="Arial" w:hAnsi="Arial"/>
          <w:sz w:val="18"/>
          <w:szCs w:val="18"/>
          <w:color w:val="auto"/>
        </w:rPr>
        <w:t>In addition, the Company decided to vacate certain office space in Watertown, MA on January 11, 2019 and consolidated all employees at its corporate headquarters also in Watertown, MA. The lease term expires in March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23, 2019, the Company entered into an underwriting agreement (the “Underwriting Agreement”) with Stifel, Nicolaus &amp; Company, Incorporated, as representative of the several underwriters named therein (collectively, the “Underwriters”), in connection with the public offering, issuance and sale by the Company of 20,000,000 shares of the Company’s common stock, $0.0001 par value per share, at a public offering price of $1.50 per share, less underwriting discounts and commissions, pursuant to an effective shelf registration statement on Form S-3 (Registration No. 333-219900) and a related prospectus supplement filed with the Securities and Exchange Commission. Under the terms of the Underwriting Agreement, the Company has also granted the Underwriters an option exercisable for 30 days to purchase up to an additional 3,000,000 shares of its common stock at the public offering price, less underwriting discounts and commissions.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January 25, 2019, the Company closed the offering of 20,000,000 shares at a public offering price of $1.50 per share. Effective January 29, 2019, an additional 2,188,706 shares were sold at a public offering price of $1.50 per share. The total net proceeds from the offering was $31.3 million, after deducting underwriting discounts and commissions.</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intends to use the net proceeds of the offering and a portion of its existing cash and cash equivalents to advance the clinical development of SEL-212, including the completion of a head-to-head (COMPARE) clinical trial of SEL-212 compared to the current FDA-approved uricase therapy, completion of the Phase 2 clinical trial and preparations for a Phase 3 clinical trial, pursue other preclinical programs, including gene therapy development work, and for other operational activities and general corporate purposes.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unaudited quarterly financial data for the years ended December 31, 2018 and 2017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(unaudited)</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903</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15,402</w:t>
            </w:r>
          </w:p>
        </w:tc>
      </w:tr>
      <w:tr>
        <w:trPr>
          <w:trHeight w:val="28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(14,651)</w:t>
            </w:r>
          </w:p>
        </w:tc>
      </w:tr>
      <w:tr>
        <w:trPr>
          <w:trHeight w:val="21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(unaudited)</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13,881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19,294</w:t>
            </w: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(19,544)</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(19,544)</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(0.88)</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692"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920" w:type="dxa"/>
            <w:vAlign w:val="bottom"/>
            <w:gridSpan w:val="2"/>
          </w:tcPr>
          <w:p>
            <w:pPr>
              <w:ind w:left="286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4440" w:type="dxa"/>
            <w:vAlign w:val="bottom"/>
          </w:tcPr>
          <w:p>
            <w:pPr>
              <w:spacing w:after="0"/>
              <w:rPr>
                <w:sz w:val="20"/>
                <w:szCs w:val="20"/>
                <w:color w:val="auto"/>
              </w:rPr>
            </w:pPr>
            <w:r>
              <w:rPr>
                <w:rFonts w:ascii="Arial" w:cs="Arial" w:eastAsia="Arial" w:hAnsi="Arial"/>
                <w:sz w:val="18"/>
                <w:szCs w:val="18"/>
                <w:color w:val="auto"/>
              </w:rPr>
              <w:t>Date: March 15, 2019</w:t>
            </w:r>
          </w:p>
        </w:tc>
        <w:tc>
          <w:tcPr>
            <w:tcW w:w="3280" w:type="dxa"/>
            <w:vAlign w:val="bottom"/>
          </w:tcPr>
          <w:p>
            <w:pPr>
              <w:ind w:left="2860"/>
              <w:spacing w:after="0"/>
              <w:rPr>
                <w:sz w:val="20"/>
                <w:szCs w:val="20"/>
                <w:color w:val="auto"/>
              </w:rPr>
            </w:pPr>
            <w:r>
              <w:rPr>
                <w:rFonts w:ascii="Arial" w:cs="Arial" w:eastAsia="Arial" w:hAnsi="Arial"/>
                <w:sz w:val="18"/>
                <w:szCs w:val="18"/>
                <w:color w:val="auto"/>
              </w:rPr>
              <w:t>By:</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7"/>
        </w:trPr>
        <w:tc>
          <w:tcPr>
            <w:tcW w:w="44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bl>
    <w:p>
      <w:pPr>
        <w:spacing w:after="0" w:line="40" w:lineRule="exact"/>
        <w:rPr>
          <w:sz w:val="20"/>
          <w:szCs w:val="20"/>
          <w:color w:val="auto"/>
        </w:rPr>
      </w:pPr>
    </w:p>
    <w:p>
      <w:pPr>
        <w:ind w:left="82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23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15"/>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Carsten Brunn,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Carsten Brunn,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John Leaman, M.D.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w w:val="98"/>
              </w:rPr>
              <w:t>Chief Financial Officer, Head of Corporate Strategy, and Treasurer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John Leaman, M.D.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/s/ Omid Farokhzad, M.D.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Omid Farokhzad, M.D.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Timothy C. Barabe</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Amir Nashat,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Timothy Springer,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80" w:type="dxa"/>
            <w:vAlign w:val="bottom"/>
            <w:gridSpan w:val="3"/>
          </w:tcPr>
          <w:p>
            <w:pPr>
              <w:ind w:left="1760"/>
              <w:spacing w:after="0"/>
              <w:rPr>
                <w:sz w:val="20"/>
                <w:szCs w:val="20"/>
                <w:color w:val="auto"/>
              </w:rPr>
            </w:pPr>
            <w:r>
              <w:rPr>
                <w:rFonts w:ascii="Arial" w:cs="Arial" w:eastAsia="Arial" w:hAnsi="Arial"/>
                <w:sz w:val="18"/>
                <w:szCs w:val="18"/>
                <w:color w:val="auto"/>
              </w:rPr>
              <w:t>F-39</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20"/>
          <w:szCs w:val="20"/>
          <w:b w:val="1"/>
          <w:bCs w:val="1"/>
          <w:color w:val="242424"/>
        </w:rPr>
        <w:t>AMENDMENT TO CONSULTING AGREEMENT</w:t>
      </w:r>
    </w:p>
    <w:p>
      <w:pPr>
        <w:spacing w:after="0" w:line="22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242424"/>
        </w:rPr>
        <w:t xml:space="preserve">This Amendment to Consulting Agreement (the </w:t>
      </w:r>
      <w:r>
        <w:rPr>
          <w:rFonts w:ascii="Arial" w:cs="Arial" w:eastAsia="Arial" w:hAnsi="Arial"/>
          <w:sz w:val="20"/>
          <w:szCs w:val="20"/>
          <w:u w:val="single" w:color="auto"/>
          <w:color w:val="242424"/>
        </w:rPr>
        <w:t>"Amendment"</w:t>
      </w:r>
      <w:r>
        <w:rPr>
          <w:rFonts w:ascii="Arial" w:cs="Arial" w:eastAsia="Arial" w:hAnsi="Arial"/>
          <w:sz w:val="20"/>
          <w:szCs w:val="20"/>
          <w:color w:val="242424"/>
        </w:rPr>
        <w:t xml:space="preserve">) is made as of December 31, 2018 between Selecta Biosciences, Inc., a Delaware corporation (the </w:t>
      </w:r>
      <w:r>
        <w:rPr>
          <w:rFonts w:ascii="Arial" w:cs="Arial" w:eastAsia="Arial" w:hAnsi="Arial"/>
          <w:sz w:val="20"/>
          <w:szCs w:val="20"/>
          <w:u w:val="single" w:color="auto"/>
          <w:color w:val="242424"/>
        </w:rPr>
        <w:t>"Company"</w:t>
      </w:r>
      <w:r>
        <w:rPr>
          <w:rFonts w:ascii="Arial" w:cs="Arial" w:eastAsia="Arial" w:hAnsi="Arial"/>
          <w:sz w:val="20"/>
          <w:szCs w:val="20"/>
          <w:color w:val="242424"/>
        </w:rPr>
        <w:t xml:space="preserve">), and Omid Farokhzad, M.D. (the </w:t>
      </w:r>
      <w:r>
        <w:rPr>
          <w:rFonts w:ascii="Arial" w:cs="Arial" w:eastAsia="Arial" w:hAnsi="Arial"/>
          <w:sz w:val="20"/>
          <w:szCs w:val="20"/>
          <w:u w:val="single" w:color="auto"/>
          <w:color w:val="242424"/>
        </w:rPr>
        <w:t>"Consultant"</w:t>
      </w:r>
      <w:r>
        <w:rPr>
          <w:rFonts w:ascii="Arial" w:cs="Arial" w:eastAsia="Arial" w:hAnsi="Arial"/>
          <w:sz w:val="20"/>
          <w:szCs w:val="20"/>
          <w:color w:val="242424"/>
        </w:rPr>
        <w:t>).</w:t>
      </w:r>
    </w:p>
    <w:p>
      <w:pPr>
        <w:spacing w:after="0" w:line="177"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242424"/>
        </w:rPr>
        <w:t>WHEREAS, the parties entered into a Consulting Agreement dated as of May 30, 2018 (the "Agreement") and wish to amend certain terms of the Agreement.</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242424"/>
        </w:rPr>
        <w:t>NOW, THEREFORE, in consideration of the foregoing and the mutual promises and covenants set forth herein and in the Agreement, the parties hereby agree as follows:</w:t>
      </w:r>
    </w:p>
    <w:p>
      <w:pPr>
        <w:spacing w:after="0" w:line="177"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8"/>
          <w:szCs w:val="18"/>
          <w:u w:val="single" w:color="auto"/>
          <w:color w:val="242424"/>
        </w:rPr>
        <w:t>Defined Terms</w:t>
      </w:r>
      <w:r>
        <w:rPr>
          <w:rFonts w:ascii="Arial" w:cs="Arial" w:eastAsia="Arial" w:hAnsi="Arial"/>
          <w:sz w:val="18"/>
          <w:szCs w:val="18"/>
          <w:color w:val="242424"/>
        </w:rPr>
        <w:t>. Capitalized terms used, but not defined, herein shall have the meanings ascribed to them in the Agreement.</w:t>
      </w:r>
    </w:p>
    <w:p>
      <w:pPr>
        <w:spacing w:after="0" w:line="238"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20"/>
          <w:szCs w:val="20"/>
          <w:u w:val="single" w:color="auto"/>
          <w:color w:val="242424"/>
        </w:rPr>
        <w:t>Term</w:t>
      </w:r>
      <w:r>
        <w:rPr>
          <w:rFonts w:ascii="Arial" w:cs="Arial" w:eastAsia="Arial" w:hAnsi="Arial"/>
          <w:sz w:val="20"/>
          <w:szCs w:val="20"/>
          <w:color w:val="242424"/>
        </w:rPr>
        <w:t>. The parties agree to delete Section 4 of the Agreement in its entirety and replace it with the following:</w:t>
      </w:r>
    </w:p>
    <w:p>
      <w:pPr>
        <w:spacing w:after="0" w:line="216" w:lineRule="exact"/>
        <w:rPr>
          <w:sz w:val="20"/>
          <w:szCs w:val="20"/>
          <w:color w:val="auto"/>
        </w:rPr>
      </w:pPr>
    </w:p>
    <w:p>
      <w:pPr>
        <w:ind w:left="980" w:firstLine="324"/>
        <w:spacing w:after="0" w:line="250" w:lineRule="auto"/>
        <w:rPr>
          <w:sz w:val="20"/>
          <w:szCs w:val="20"/>
          <w:color w:val="auto"/>
        </w:rPr>
      </w:pPr>
      <w:r>
        <w:rPr>
          <w:rFonts w:ascii="Arial" w:cs="Arial" w:eastAsia="Arial" w:hAnsi="Arial"/>
          <w:sz w:val="20"/>
          <w:szCs w:val="20"/>
          <w:u w:val="single" w:color="auto"/>
          <w:color w:val="242424"/>
        </w:rPr>
        <w:t>Term</w:t>
      </w:r>
      <w:r>
        <w:rPr>
          <w:rFonts w:ascii="Arial" w:cs="Arial" w:eastAsia="Arial" w:hAnsi="Arial"/>
          <w:sz w:val="20"/>
          <w:szCs w:val="20"/>
          <w:color w:val="242424"/>
        </w:rPr>
        <w:t>. The term of this Agreement will begin on April 1, 2018 and will end on December 31, 2019; provided, however, that the term may be extended by mutual agreement of the Company and the Consultant. The Company may terminate this Agreement at any time for any reason, without cause and without prior notice.</w:t>
      </w:r>
    </w:p>
    <w:p>
      <w:pPr>
        <w:spacing w:after="0" w:line="186"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20"/>
          <w:szCs w:val="20"/>
          <w:u w:val="single" w:color="auto"/>
          <w:color w:val="242424"/>
        </w:rPr>
        <w:t>Schedule A:</w:t>
      </w:r>
      <w:r>
        <w:rPr>
          <w:rFonts w:ascii="Arial" w:cs="Arial" w:eastAsia="Arial" w:hAnsi="Arial"/>
          <w:sz w:val="20"/>
          <w:szCs w:val="20"/>
          <w:color w:val="242424"/>
        </w:rPr>
        <w:t xml:space="preserve"> The parties agree the following shall be added to "2. Compensation" set forth in Schedule A:</w:t>
      </w:r>
    </w:p>
    <w:p>
      <w:pPr>
        <w:spacing w:after="0" w:line="216" w:lineRule="exact"/>
        <w:rPr>
          <w:sz w:val="20"/>
          <w:szCs w:val="20"/>
          <w:color w:val="auto"/>
        </w:rPr>
      </w:pPr>
    </w:p>
    <w:p>
      <w:pPr>
        <w:ind w:left="660" w:right="100" w:firstLine="324"/>
        <w:spacing w:after="0" w:line="282" w:lineRule="auto"/>
        <w:rPr>
          <w:sz w:val="20"/>
          <w:szCs w:val="20"/>
          <w:color w:val="auto"/>
        </w:rPr>
      </w:pPr>
      <w:r>
        <w:rPr>
          <w:rFonts w:ascii="Arial" w:cs="Arial" w:eastAsia="Arial" w:hAnsi="Arial"/>
          <w:sz w:val="18"/>
          <w:szCs w:val="18"/>
          <w:color w:val="242424"/>
        </w:rPr>
        <w:t>On December 2, 2018, the Company granted the Consultant an option to purchase 75,000 shares of the Company's common stock (the "Option"), subject to the terms and conditions of the Company's 2016 Incentive Award Plan (the "2016 Plan") and a stock option agreement between the Company and the Consultant. Subject to its terms, the Option shall continue to vest after termination of this Agreement, for as long as the Consultant serves the Company as a Service Provider (as defined in the 2016 Plan).</w:t>
      </w:r>
    </w:p>
    <w:p>
      <w:pPr>
        <w:spacing w:after="0" w:line="162" w:lineRule="exact"/>
        <w:rPr>
          <w:sz w:val="20"/>
          <w:szCs w:val="20"/>
          <w:color w:val="auto"/>
        </w:rPr>
      </w:pPr>
    </w:p>
    <w:p>
      <w:pPr>
        <w:ind w:left="660" w:right="100" w:firstLine="324"/>
        <w:spacing w:after="0" w:line="250" w:lineRule="auto"/>
        <w:rPr>
          <w:sz w:val="20"/>
          <w:szCs w:val="20"/>
          <w:color w:val="auto"/>
        </w:rPr>
      </w:pPr>
      <w:r>
        <w:rPr>
          <w:rFonts w:ascii="Arial" w:cs="Arial" w:eastAsia="Arial" w:hAnsi="Arial"/>
          <w:sz w:val="20"/>
          <w:szCs w:val="20"/>
          <w:color w:val="242424"/>
        </w:rPr>
        <w:t>The Company shall compensate Consultant in consideration of Consultant's performance of the Services hereunder, for the period beginning January 1, 2019 and ending December 31, 2019, in the amount of $85,000, to be paid quarterly in arrears beginning on March 31, 2019 and prorated for any partial period of service.</w:t>
      </w:r>
    </w:p>
    <w:p>
      <w:pPr>
        <w:spacing w:after="0" w:line="186" w:lineRule="exact"/>
        <w:rPr>
          <w:sz w:val="20"/>
          <w:szCs w:val="20"/>
          <w:color w:val="auto"/>
        </w:rPr>
      </w:pPr>
    </w:p>
    <w:p>
      <w:pPr>
        <w:ind w:left="980" w:right="160" w:hanging="324"/>
        <w:spacing w:after="0" w:line="287"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9"/>
          <w:szCs w:val="19"/>
          <w:color w:val="242424"/>
        </w:rPr>
        <w:t>All other terms and conditions of the Agreement that are not amended by this Amendment shall remain in full force and effect. If there is conflict between this Amendment and the Agreement, the terms of the Amendment will prevail.</w:t>
      </w:r>
    </w:p>
    <w:p>
      <w:pPr>
        <w:sectPr>
          <w:pgSz w:w="11900" w:h="16838" w:orient="portrait"/>
          <w:cols w:equalWidth="0" w:num="1">
            <w:col w:w="11360"/>
          </w:cols>
          <w:pgMar w:left="240" w:top="859" w:right="299" w:bottom="1440" w:gutter="0" w:footer="0" w:header="0"/>
        </w:sectPr>
      </w:pPr>
    </w:p>
    <w:bookmarkStart w:id="136" w:name="page137"/>
    <w:bookmarkEnd w:id="136"/>
    <w:p>
      <w:pPr>
        <w:ind w:right="520" w:firstLine="648"/>
        <w:spacing w:after="0" w:line="260" w:lineRule="auto"/>
        <w:rPr>
          <w:sz w:val="20"/>
          <w:szCs w:val="20"/>
          <w:color w:val="auto"/>
        </w:rPr>
      </w:pPr>
      <w:r>
        <w:rPr>
          <w:rFonts w:ascii="Arial" w:cs="Arial" w:eastAsia="Arial" w:hAnsi="Arial"/>
          <w:sz w:val="20"/>
          <w:szCs w:val="20"/>
          <w:color w:val="464646"/>
        </w:rPr>
        <w:t>IN WITNESS WHEREOF, the Parties have caused this Amendment to be executed as an agreement under seal as of the date first written above.</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780" w:type="dxa"/>
            <w:vAlign w:val="bottom"/>
            <w:gridSpan w:val="2"/>
          </w:tcPr>
          <w:p>
            <w:pPr>
              <w:spacing w:after="0"/>
              <w:rPr>
                <w:sz w:val="20"/>
                <w:szCs w:val="20"/>
                <w:color w:val="auto"/>
              </w:rPr>
            </w:pPr>
            <w:r>
              <w:rPr>
                <w:rFonts w:ascii="Arial" w:cs="Arial" w:eastAsia="Arial" w:hAnsi="Arial"/>
                <w:sz w:val="22"/>
                <w:szCs w:val="22"/>
                <w:color w:val="auto"/>
              </w:rPr>
              <w:t>SELECTA BIOSCIENCES,INC</w:t>
            </w:r>
          </w:p>
        </w:tc>
        <w:tc>
          <w:tcPr>
            <w:tcW w:w="6600" w:type="dxa"/>
            <w:vAlign w:val="bottom"/>
            <w:gridSpan w:val="2"/>
          </w:tcPr>
          <w:p>
            <w:pPr>
              <w:ind w:left="1960"/>
              <w:spacing w:after="0"/>
              <w:rPr>
                <w:sz w:val="20"/>
                <w:szCs w:val="20"/>
                <w:color w:val="auto"/>
              </w:rPr>
            </w:pPr>
            <w:r>
              <w:rPr>
                <w:rFonts w:ascii="Arial" w:cs="Arial" w:eastAsia="Arial" w:hAnsi="Arial"/>
                <w:sz w:val="22"/>
                <w:szCs w:val="22"/>
                <w:color w:val="auto"/>
              </w:rPr>
              <w:t>CONSULTANT</w:t>
            </w:r>
          </w:p>
        </w:tc>
      </w:tr>
      <w:tr>
        <w:trPr>
          <w:trHeight w:val="602"/>
        </w:trPr>
        <w:tc>
          <w:tcPr>
            <w:tcW w:w="780" w:type="dxa"/>
            <w:vAlign w:val="bottom"/>
          </w:tcPr>
          <w:p>
            <w:pPr>
              <w:spacing w:after="0"/>
              <w:rPr>
                <w:sz w:val="20"/>
                <w:szCs w:val="20"/>
                <w:color w:val="auto"/>
              </w:rPr>
            </w:pPr>
            <w:r>
              <w:rPr>
                <w:rFonts w:ascii="Arial" w:cs="Arial" w:eastAsia="Arial" w:hAnsi="Arial"/>
                <w:sz w:val="20"/>
                <w:szCs w:val="20"/>
                <w:color w:val="464646"/>
              </w:rPr>
              <w:t>By:</w:t>
            </w:r>
          </w:p>
        </w:tc>
        <w:tc>
          <w:tcPr>
            <w:tcW w:w="4000" w:type="dxa"/>
            <w:vAlign w:val="bottom"/>
          </w:tcPr>
          <w:p>
            <w:pPr>
              <w:ind w:left="20"/>
              <w:spacing w:after="0"/>
              <w:rPr>
                <w:sz w:val="20"/>
                <w:szCs w:val="20"/>
                <w:color w:val="auto"/>
              </w:rPr>
            </w:pPr>
            <w:r>
              <w:rPr>
                <w:rFonts w:ascii="Arial" w:cs="Arial" w:eastAsia="Arial" w:hAnsi="Arial"/>
                <w:sz w:val="20"/>
                <w:szCs w:val="20"/>
                <w:color w:val="464646"/>
              </w:rPr>
              <w:t>/s/Carsten Brunn, Ph.D.</w:t>
            </w:r>
          </w:p>
        </w:tc>
        <w:tc>
          <w:tcPr>
            <w:tcW w:w="2720" w:type="dxa"/>
            <w:vAlign w:val="bottom"/>
          </w:tcPr>
          <w:p>
            <w:pPr>
              <w:ind w:left="1960"/>
              <w:spacing w:after="0"/>
              <w:rPr>
                <w:sz w:val="20"/>
                <w:szCs w:val="20"/>
                <w:color w:val="auto"/>
              </w:rPr>
            </w:pPr>
            <w:r>
              <w:rPr>
                <w:rFonts w:ascii="Arial" w:cs="Arial" w:eastAsia="Arial" w:hAnsi="Arial"/>
                <w:sz w:val="20"/>
                <w:szCs w:val="20"/>
                <w:color w:val="464646"/>
              </w:rPr>
              <w:t>By:</w:t>
            </w:r>
          </w:p>
        </w:tc>
        <w:tc>
          <w:tcPr>
            <w:tcW w:w="3880" w:type="dxa"/>
            <w:vAlign w:val="bottom"/>
          </w:tcPr>
          <w:p>
            <w:pPr>
              <w:ind w:left="40"/>
              <w:spacing w:after="0"/>
              <w:rPr>
                <w:sz w:val="20"/>
                <w:szCs w:val="20"/>
                <w:color w:val="auto"/>
              </w:rPr>
            </w:pPr>
            <w:r>
              <w:rPr>
                <w:rFonts w:ascii="Arial" w:cs="Arial" w:eastAsia="Arial" w:hAnsi="Arial"/>
                <w:sz w:val="20"/>
                <w:szCs w:val="20"/>
                <w:color w:val="464646"/>
              </w:rPr>
              <w:t>/s/Omid Farokhzad, M.D.</w:t>
            </w:r>
          </w:p>
        </w:tc>
      </w:tr>
      <w:tr>
        <w:trPr>
          <w:trHeight w:val="23"/>
        </w:trPr>
        <w:tc>
          <w:tcPr>
            <w:tcW w:w="7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spacing w:after="0"/>
              <w:rPr>
                <w:sz w:val="20"/>
                <w:szCs w:val="20"/>
                <w:color w:val="auto"/>
              </w:rPr>
            </w:pPr>
            <w:r>
              <w:rPr>
                <w:rFonts w:ascii="Arial" w:cs="Arial" w:eastAsia="Arial" w:hAnsi="Arial"/>
                <w:sz w:val="20"/>
                <w:szCs w:val="20"/>
                <w:color w:val="464646"/>
              </w:rPr>
              <w:t>Name:</w:t>
            </w:r>
          </w:p>
        </w:tc>
        <w:tc>
          <w:tcPr>
            <w:tcW w:w="4000" w:type="dxa"/>
            <w:vAlign w:val="bottom"/>
          </w:tcPr>
          <w:p>
            <w:pPr>
              <w:ind w:left="20"/>
              <w:spacing w:after="0"/>
              <w:rPr>
                <w:sz w:val="20"/>
                <w:szCs w:val="20"/>
                <w:color w:val="auto"/>
              </w:rPr>
            </w:pPr>
            <w:r>
              <w:rPr>
                <w:rFonts w:ascii="Arial" w:cs="Arial" w:eastAsia="Arial" w:hAnsi="Arial"/>
                <w:sz w:val="20"/>
                <w:szCs w:val="20"/>
                <w:color w:val="464646"/>
              </w:rPr>
              <w:t>Carsten Brunn, Ph.D.</w:t>
            </w:r>
          </w:p>
        </w:tc>
        <w:tc>
          <w:tcPr>
            <w:tcW w:w="2720" w:type="dxa"/>
            <w:vAlign w:val="bottom"/>
          </w:tcPr>
          <w:p>
            <w:pPr>
              <w:ind w:left="1960"/>
              <w:spacing w:after="0"/>
              <w:rPr>
                <w:sz w:val="20"/>
                <w:szCs w:val="20"/>
                <w:color w:val="auto"/>
              </w:rPr>
            </w:pPr>
            <w:r>
              <w:rPr>
                <w:rFonts w:ascii="Arial" w:cs="Arial" w:eastAsia="Arial" w:hAnsi="Arial"/>
                <w:sz w:val="20"/>
                <w:szCs w:val="20"/>
                <w:color w:val="464646"/>
              </w:rPr>
              <w:t>Name:</w:t>
            </w:r>
          </w:p>
        </w:tc>
        <w:tc>
          <w:tcPr>
            <w:tcW w:w="3880" w:type="dxa"/>
            <w:vAlign w:val="bottom"/>
          </w:tcPr>
          <w:p>
            <w:pPr>
              <w:ind w:left="40"/>
              <w:spacing w:after="0"/>
              <w:rPr>
                <w:sz w:val="20"/>
                <w:szCs w:val="20"/>
                <w:color w:val="auto"/>
              </w:rPr>
            </w:pPr>
            <w:r>
              <w:rPr>
                <w:rFonts w:ascii="Arial" w:cs="Arial" w:eastAsia="Arial" w:hAnsi="Arial"/>
                <w:sz w:val="20"/>
                <w:szCs w:val="20"/>
                <w:color w:val="464646"/>
              </w:rPr>
              <w:t>Omid Farokhzad, M.D.</w:t>
            </w:r>
          </w:p>
        </w:tc>
      </w:tr>
      <w:tr>
        <w:trPr>
          <w:trHeight w:val="23"/>
        </w:trPr>
        <w:tc>
          <w:tcPr>
            <w:tcW w:w="7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spacing w:after="0"/>
              <w:rPr>
                <w:sz w:val="20"/>
                <w:szCs w:val="20"/>
                <w:color w:val="auto"/>
              </w:rPr>
            </w:pPr>
            <w:r>
              <w:rPr>
                <w:rFonts w:ascii="Arial" w:cs="Arial" w:eastAsia="Arial" w:hAnsi="Arial"/>
                <w:sz w:val="20"/>
                <w:szCs w:val="20"/>
                <w:color w:val="464646"/>
              </w:rPr>
              <w:t>Title:</w:t>
            </w:r>
          </w:p>
        </w:tc>
        <w:tc>
          <w:tcPr>
            <w:tcW w:w="4000" w:type="dxa"/>
            <w:vAlign w:val="bottom"/>
          </w:tcPr>
          <w:p>
            <w:pPr>
              <w:ind w:left="20"/>
              <w:spacing w:after="0"/>
              <w:rPr>
                <w:sz w:val="20"/>
                <w:szCs w:val="20"/>
                <w:color w:val="auto"/>
              </w:rPr>
            </w:pPr>
            <w:r>
              <w:rPr>
                <w:rFonts w:ascii="Arial" w:cs="Arial" w:eastAsia="Arial" w:hAnsi="Arial"/>
                <w:sz w:val="20"/>
                <w:szCs w:val="20"/>
                <w:color w:val="464646"/>
              </w:rPr>
              <w:t>President and Chief Executive Officer</w:t>
            </w:r>
          </w:p>
        </w:tc>
        <w:tc>
          <w:tcPr>
            <w:tcW w:w="2720" w:type="dxa"/>
            <w:vAlign w:val="bottom"/>
          </w:tcPr>
          <w:p>
            <w:pPr>
              <w:ind w:left="1960"/>
              <w:spacing w:after="0"/>
              <w:rPr>
                <w:sz w:val="20"/>
                <w:szCs w:val="20"/>
                <w:color w:val="auto"/>
              </w:rPr>
            </w:pPr>
            <w:r>
              <w:rPr>
                <w:rFonts w:ascii="Arial" w:cs="Arial" w:eastAsia="Arial" w:hAnsi="Arial"/>
                <w:sz w:val="20"/>
                <w:szCs w:val="20"/>
                <w:color w:val="464646"/>
              </w:rPr>
              <w:t>Title:</w:t>
            </w:r>
          </w:p>
        </w:tc>
        <w:tc>
          <w:tcPr>
            <w:tcW w:w="3880" w:type="dxa"/>
            <w:vAlign w:val="bottom"/>
          </w:tcPr>
          <w:p>
            <w:pPr>
              <w:ind w:left="40"/>
              <w:spacing w:after="0"/>
              <w:rPr>
                <w:sz w:val="20"/>
                <w:szCs w:val="20"/>
                <w:color w:val="auto"/>
              </w:rPr>
            </w:pPr>
            <w:r>
              <w:rPr>
                <w:rFonts w:ascii="Arial" w:cs="Arial" w:eastAsia="Arial" w:hAnsi="Arial"/>
                <w:sz w:val="20"/>
                <w:szCs w:val="20"/>
                <w:color w:val="464646"/>
              </w:rPr>
              <w:t>Chairman</w:t>
            </w:r>
          </w:p>
        </w:tc>
      </w:tr>
      <w:tr>
        <w:trPr>
          <w:trHeight w:val="23"/>
        </w:trPr>
        <w:tc>
          <w:tcPr>
            <w:tcW w:w="7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879"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84" w:lineRule="exact"/>
        <w:rPr>
          <w:sz w:val="20"/>
          <w:szCs w:val="20"/>
          <w:color w:val="auto"/>
        </w:rPr>
      </w:pPr>
    </w:p>
    <w:p>
      <w:pPr>
        <w:ind w:left="660" w:right="80" w:hanging="328"/>
        <w:spacing w:after="0" w:line="287" w:lineRule="auto"/>
        <w:tabs>
          <w:tab w:leader="none" w:pos="660" w:val="left"/>
        </w:tabs>
        <w:numPr>
          <w:ilvl w:val="0"/>
          <w:numId w:val="66"/>
        </w:numPr>
        <w:rPr>
          <w:rFonts w:ascii="Arial" w:cs="Arial" w:eastAsia="Arial" w:hAnsi="Arial"/>
          <w:sz w:val="19"/>
          <w:szCs w:val="19"/>
          <w:color w:val="auto"/>
        </w:rPr>
      </w:pPr>
      <w:r>
        <w:rPr>
          <w:rFonts w:ascii="Arial" w:cs="Arial" w:eastAsia="Arial" w:hAnsi="Arial"/>
          <w:sz w:val="21"/>
          <w:szCs w:val="21"/>
          <w:color w:val="auto"/>
        </w:rPr>
        <w:t>Registration Statement (Form S-8, File No. 333-212215) pertaining to the 2008 Stock Incentive Plan, as amended, the 2016 Incentive Award Plan and the 2016 Employee Stock Purchase Plan of Selecta Biosciences, Inc.,</w:t>
      </w:r>
    </w:p>
    <w:p>
      <w:pPr>
        <w:spacing w:after="0" w:line="165" w:lineRule="exact"/>
        <w:rPr>
          <w:rFonts w:ascii="Arial" w:cs="Arial" w:eastAsia="Arial" w:hAnsi="Arial"/>
          <w:sz w:val="19"/>
          <w:szCs w:val="19"/>
          <w:color w:val="auto"/>
        </w:rPr>
      </w:pPr>
    </w:p>
    <w:p>
      <w:pPr>
        <w:ind w:left="660" w:right="720" w:hanging="328"/>
        <w:spacing w:after="0" w:line="263"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2"/>
          <w:szCs w:val="22"/>
          <w:color w:val="auto"/>
        </w:rPr>
        <w:t>Registration Statement (Form S-8, File No. 333-224109) pertaining to the 2016 Incentive Awards Plan and the 2016 Employee Stock Purchase Plan,</w:t>
      </w:r>
    </w:p>
    <w:p>
      <w:pPr>
        <w:spacing w:after="0" w:line="188" w:lineRule="exact"/>
        <w:rPr>
          <w:rFonts w:ascii="Arial" w:cs="Arial" w:eastAsia="Arial" w:hAnsi="Arial"/>
          <w:sz w:val="20"/>
          <w:szCs w:val="20"/>
          <w:color w:val="auto"/>
        </w:rPr>
      </w:pPr>
    </w:p>
    <w:p>
      <w:pPr>
        <w:ind w:left="660" w:right="180" w:hanging="328"/>
        <w:spacing w:after="0" w:line="263"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2"/>
          <w:szCs w:val="22"/>
          <w:color w:val="auto"/>
        </w:rPr>
        <w:t>Registration Statement (Form S-8, File No. 333-228264) pertaining to the 2018 Employment Inducement Incentive Award Plan,</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Registration Statement (</w:t>
      </w:r>
      <w:r>
        <w:rPr>
          <w:rFonts w:ascii="Arial" w:cs="Arial" w:eastAsia="Arial" w:hAnsi="Arial"/>
          <w:sz w:val="21"/>
          <w:szCs w:val="21"/>
          <w:color w:val="auto"/>
        </w:rPr>
        <w:t>Form S-3, File No. 333-219262), and</w:t>
      </w:r>
    </w:p>
    <w:p>
      <w:pPr>
        <w:spacing w:after="0" w:line="258"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Registration Statement (</w:t>
      </w:r>
      <w:r>
        <w:rPr>
          <w:rFonts w:ascii="Arial" w:cs="Arial" w:eastAsia="Arial" w:hAnsi="Arial"/>
          <w:sz w:val="21"/>
          <w:szCs w:val="21"/>
          <w:color w:val="auto"/>
        </w:rPr>
        <w:t>Form S-3, File No. 333-219900);</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of our report dated March 15, 2019 with respect to the consolidated financial statements of Selecta Biosciences, Inc. included in this Annual Report (Form 10-K) of Selecta Biosciences, Inc. for the year ended December 31, 2018.</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15, 2019</w:t>
      </w:r>
    </w:p>
    <w:p>
      <w:pPr>
        <w:sectPr>
          <w:pgSz w:w="11900" w:h="16838" w:orient="portrait"/>
          <w:cols w:equalWidth="0" w:num="1">
            <w:col w:w="11420"/>
          </w:cols>
          <w:pgMar w:left="240" w:top="973"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certify that:</w:t>
      </w:r>
    </w:p>
    <w:p>
      <w:pPr>
        <w:spacing w:after="0" w:line="39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0"/>
          <w:szCs w:val="20"/>
          <w:color w:val="auto"/>
        </w:rPr>
        <w:t>March 15, 2019</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John Leaman, certify that:</w:t>
      </w:r>
    </w:p>
    <w:p>
      <w:pPr>
        <w:spacing w:after="0" w:line="39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March 15, 2019</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7020"/>
        <w:spacing w:after="0"/>
        <w:rPr>
          <w:sz w:val="20"/>
          <w:szCs w:val="20"/>
          <w:color w:val="auto"/>
        </w:rPr>
      </w:pPr>
      <w:r>
        <w:rPr>
          <w:rFonts w:ascii="Arial" w:cs="Arial" w:eastAsia="Arial" w:hAnsi="Arial"/>
          <w:sz w:val="20"/>
          <w:szCs w:val="20"/>
          <w:i w:val="1"/>
          <w:iCs w:val="1"/>
          <w:color w:val="auto"/>
        </w:rPr>
        <w:t>Chief Financial Officer, Head of Corporate</w:t>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20"/>
          <w:szCs w:val="20"/>
          <w:i w:val="1"/>
          <w:iCs w:val="1"/>
          <w:color w:val="auto"/>
        </w:rPr>
        <w:t>Strategy and Treasurer</w:t>
      </w:r>
    </w:p>
    <w:p>
      <w:pPr>
        <w:sectPr>
          <w:pgSz w:w="11900" w:h="16838" w:orient="portrait"/>
          <w:cols w:equalWidth="0" w:num="1">
            <w:col w:w="11420"/>
          </w:cols>
          <w:pgMar w:left="240" w:top="576"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400" w:hanging="328"/>
        <w:spacing w:after="0" w:line="26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2018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0"/>
          <w:szCs w:val="20"/>
          <w:color w:val="auto"/>
        </w:rPr>
        <w:t>March 15, 2019</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John Leaman,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400" w:hanging="328"/>
        <w:spacing w:after="0" w:line="26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2018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40" w:val="left"/>
        </w:tabs>
        <w:rPr>
          <w:sz w:val="20"/>
          <w:szCs w:val="20"/>
          <w:color w:val="auto"/>
        </w:rPr>
      </w:pPr>
      <w:r>
        <w:rPr>
          <w:rFonts w:ascii="Arial" w:cs="Arial" w:eastAsia="Arial" w:hAnsi="Arial"/>
          <w:sz w:val="20"/>
          <w:szCs w:val="20"/>
          <w:color w:val="auto"/>
        </w:rPr>
        <w:t>March 15, 2019</w:t>
      </w:r>
      <w:r>
        <w:rPr>
          <w:sz w:val="20"/>
          <w:szCs w:val="20"/>
          <w:color w:val="auto"/>
        </w:rPr>
        <w:tab/>
      </w:r>
      <w:r>
        <w:rPr>
          <w:rFonts w:ascii="Arial" w:cs="Arial" w:eastAsia="Arial" w:hAnsi="Arial"/>
          <w:sz w:val="18"/>
          <w:szCs w:val="18"/>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6720"/>
        <w:spacing w:after="0"/>
        <w:rPr>
          <w:sz w:val="20"/>
          <w:szCs w:val="20"/>
          <w:color w:val="auto"/>
        </w:rPr>
      </w:pPr>
      <w:r>
        <w:rPr>
          <w:rFonts w:ascii="Arial" w:cs="Arial" w:eastAsia="Arial" w:hAnsi="Arial"/>
          <w:sz w:val="19"/>
          <w:szCs w:val="19"/>
          <w:i w:val="1"/>
          <w:iCs w:val="1"/>
          <w:color w:val="auto"/>
        </w:rPr>
        <w:t>Chief Financial Officer, Head of Corporate Strategy and</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20"/>
          <w:szCs w:val="20"/>
          <w:i w:val="1"/>
          <w:iCs w:val="1"/>
          <w:color w:val="auto"/>
        </w:rPr>
        <w:t>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upperLetter"/>
      <w:start w:val="1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30"/>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lvl w:ilvl="1">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2"/>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8"/>
    </w:lvl>
  </w:abstractNum>
  <w:abstractNum w:abstractNumId="55">
    <w:nsid w:val="77AE35EB"/>
    <w:multiLevelType w:val="hybridMultilevel"/>
    <w:lvl w:ilvl="0">
      <w:lvlJc w:val="left"/>
      <w:lvlText w:val="(%1)"/>
      <w:numFmt w:val="lowerRoman"/>
      <w:start w:val="2"/>
    </w:lvl>
  </w:abstractNum>
  <w:abstractNum w:abstractNumId="56">
    <w:nsid w:val="579BE4F1"/>
    <w:multiLevelType w:val="hybridMultilevel"/>
    <w:lvl w:ilvl="0">
      <w:lvlJc w:val="left"/>
      <w:lvlText w:val="%1."/>
      <w:numFmt w:val="decimal"/>
      <w:start w:val="12"/>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lowerRoman"/>
      <w:start w:val="1"/>
    </w:lvl>
  </w:abstractNum>
  <w:abstractNum w:abstractNumId="59">
    <w:nsid w:val="2F305DEF"/>
    <w:multiLevelType w:val="hybridMultilevel"/>
    <w:lvl w:ilvl="0">
      <w:lvlJc w:val="left"/>
      <w:lvlText w:val="%1."/>
      <w:numFmt w:val="decimal"/>
      <w:start w:val="15"/>
    </w:lvl>
  </w:abstractNum>
  <w:abstractNum w:abstractNumId="60">
    <w:nsid w:val="25A70BF7"/>
    <w:multiLevelType w:val="hybridMultilevel"/>
    <w:lvl w:ilvl="0">
      <w:lvlJc w:val="left"/>
      <w:lvlText w:val="(%1)"/>
      <w:numFmt w:val="lowerRoman"/>
      <w:start w:val="1"/>
    </w:lvl>
  </w:abstractNum>
  <w:abstractNum w:abstractNumId="61">
    <w:nsid w:val="1DBABF00"/>
    <w:multiLevelType w:val="hybridMultilevel"/>
    <w:lvl w:ilvl="0">
      <w:lvlJc w:val="left"/>
      <w:lvlText w:val="%1."/>
      <w:numFmt w:val="decimal"/>
      <w:start w:val="18"/>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3"/>
    </w:lvl>
  </w:abstractNum>
  <w:abstractNum w:abstractNumId="64">
    <w:nsid w:val="1381823A"/>
    <w:multiLevelType w:val="hybridMultilevel"/>
    <w:lvl w:ilvl="0">
      <w:lvlJc w:val="left"/>
      <w:lvlText w:val="%1."/>
      <w:numFmt w:val="decimal"/>
      <w:start w:val="4"/>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69" Type="http://schemas.openxmlformats.org/officeDocument/2006/relationships/image" Target="media/image16.png"/><Relationship Id="rId70" Type="http://schemas.openxmlformats.org/officeDocument/2006/relationships/image" Target="media/image17.png"/><Relationship Id="rId71" Type="http://schemas.openxmlformats.org/officeDocument/2006/relationships/image" Target="media/image18.png"/><Relationship Id="rId72" Type="http://schemas.openxmlformats.org/officeDocument/2006/relationships/image" Target="media/image19.png"/><Relationship Id="rId73" Type="http://schemas.openxmlformats.org/officeDocument/2006/relationships/image" Target="media/image20.png"/><Relationship Id="rId74" Type="http://schemas.openxmlformats.org/officeDocument/2006/relationships/image" Target="media/image21.png"/><Relationship Id="rId75" Type="http://schemas.openxmlformats.org/officeDocument/2006/relationships/image" Target="media/image22.png"/><Relationship Id="rId76" Type="http://schemas.openxmlformats.org/officeDocument/2006/relationships/image" Target="media/image23.png"/><Relationship Id="rId77" Type="http://schemas.openxmlformats.org/officeDocument/2006/relationships/image" Target="media/image24.png"/><Relationship Id="rId78" Type="http://schemas.openxmlformats.org/officeDocument/2006/relationships/image" Target="media/image25.png"/><Relationship Id="rId79" Type="http://schemas.openxmlformats.org/officeDocument/2006/relationships/image" Target="media/image26.png"/><Relationship Id="rId80" Type="http://schemas.openxmlformats.org/officeDocument/2006/relationships/image" Target="media/image27.png"/><Relationship Id="rId81" Type="http://schemas.openxmlformats.org/officeDocument/2006/relationships/image" Target="media/image28.png"/><Relationship Id="rId82" Type="http://schemas.openxmlformats.org/officeDocument/2006/relationships/image" Target="media/image29.png"/><Relationship Id="rId83" Type="http://schemas.openxmlformats.org/officeDocument/2006/relationships/image" Target="media/image30.png"/><Relationship Id="rId84" Type="http://schemas.openxmlformats.org/officeDocument/2006/relationships/image" Target="media/image31.png"/><Relationship Id="rId85" Type="http://schemas.openxmlformats.org/officeDocument/2006/relationships/image" Target="media/image32.png"/><Relationship Id="rId86" Type="http://schemas.openxmlformats.org/officeDocument/2006/relationships/image" Target="media/image33.png"/><Relationship Id="rId87" Type="http://schemas.openxmlformats.org/officeDocument/2006/relationships/image" Target="media/image34.png"/><Relationship Id="rId23" Type="http://schemas.openxmlformats.org/officeDocument/2006/relationships/hyperlink" Target="http://www.sec.gov/Archives/edgar/data/1453687/000110465916129891/a16-14002_1ex3d1.htm" TargetMode="External"/><Relationship Id="rId24" Type="http://schemas.openxmlformats.org/officeDocument/2006/relationships/hyperlink" Target="http://www.sec.gov/Archives/edgar/data/1453687/000110465916129891/a16-14002_1ex3d2.htm" TargetMode="External"/><Relationship Id="rId25" Type="http://schemas.openxmlformats.org/officeDocument/2006/relationships/hyperlink" Target="http://www.sec.gov/Archives/edgar/data/1453687/000104746916013718/a2228810zex-4_1.htm" TargetMode="External"/><Relationship Id="rId26" Type="http://schemas.openxmlformats.org/officeDocument/2006/relationships/hyperlink" Target="http://www.sec.gov/Archives/edgar/data/1453687/000104746916013398/a2228672zex-4_2.htm" TargetMode="External"/><Relationship Id="rId27" Type="http://schemas.openxmlformats.org/officeDocument/2006/relationships/hyperlink" Target="http://www.sec.gov/Archives/edgar/data/1453687/000104746916013398/a2228672zex-4_5.htm" TargetMode="External"/><Relationship Id="rId28" Type="http://schemas.openxmlformats.org/officeDocument/2006/relationships/hyperlink" Target="http://www.sec.gov/Archives/edgar/data/1453687/000104746916013398/a2228672zex-4_6.htm" TargetMode="External"/><Relationship Id="rId29" Type="http://schemas.openxmlformats.org/officeDocument/2006/relationships/hyperlink" Target="http://www.sec.gov/Archives/edgar/data/1453687/000145368717000048/exhibit41_selectabioscienc.htm" TargetMode="External"/><Relationship Id="rId30" Type="http://schemas.openxmlformats.org/officeDocument/2006/relationships/hyperlink" Target="http://www.sec.gov/Archives/edgar/data/1453687/000145368717000048/exhibit103_selectabioscien.htm" TargetMode="External"/><Relationship Id="rId31" Type="http://schemas.openxmlformats.org/officeDocument/2006/relationships/hyperlink" Target="http://www.sec.gov/Archives/edgar/data/1453687/000104746916013718/a2228810zex-10_2.htm" TargetMode="External"/><Relationship Id="rId32" Type="http://schemas.openxmlformats.org/officeDocument/2006/relationships/hyperlink" Target="http://www.sec.gov/Archives/edgar/data/1453687/000104746916013718/a2228810zex-10_3.htm" TargetMode="External"/><Relationship Id="rId33" Type="http://schemas.openxmlformats.org/officeDocument/2006/relationships/hyperlink" Target="http://www.sec.gov/Archives/edgar/data/1453687/000145368718000061/exhibit101_2018employmenti.htm" TargetMode="External"/><Relationship Id="rId34" Type="http://schemas.openxmlformats.org/officeDocument/2006/relationships/hyperlink" Target="http://www.sec.gov/Archives/edgar/data/1453687/000104746916013886/a2228960zex-10_1.htm" TargetMode="External"/><Relationship Id="rId35" Type="http://schemas.openxmlformats.org/officeDocument/2006/relationships/hyperlink" Target="http://www.sec.gov/Archives/edgar/data/1453687/000104746916013718/a2228810zex-10_4.htm" TargetMode="External"/><Relationship Id="rId36" Type="http://schemas.openxmlformats.org/officeDocument/2006/relationships/hyperlink" Target="http://www.sec.gov/Archives/edgar/data/1453687/000104746916013398/a2228672zex-10_5.htm" TargetMode="External"/><Relationship Id="rId37" Type="http://schemas.openxmlformats.org/officeDocument/2006/relationships/hyperlink" Target="http://www.sec.gov/Archives/edgar/data/1453687/000104746916013398/a2228672zex-10_7a.htm" TargetMode="External"/><Relationship Id="rId38" Type="http://schemas.openxmlformats.org/officeDocument/2006/relationships/hyperlink" Target="http://www.sec.gov/Archives/edgar/data/1453687/000104746916013398/a2228672zex-10_7b.htm" TargetMode="External"/><Relationship Id="rId39" Type="http://schemas.openxmlformats.org/officeDocument/2006/relationships/hyperlink" Target="http://www.sec.gov/Archives/edgar/data/1453687/000104746916013398/a2228672zex-10_7c.htm" TargetMode="External"/><Relationship Id="rId40" Type="http://schemas.openxmlformats.org/officeDocument/2006/relationships/hyperlink" Target="http://www.sec.gov/Archives/edgar/data/1453687/000104746916013398/a2228672zex-10_7d.htm" TargetMode="External"/><Relationship Id="rId41" Type="http://schemas.openxmlformats.org/officeDocument/2006/relationships/hyperlink" Target="http://www.sec.gov/Archives/edgar/data/1453687/000104746916013398/a2228672zex-10_7e.htm" TargetMode="External"/><Relationship Id="rId42" Type="http://schemas.openxmlformats.org/officeDocument/2006/relationships/hyperlink" Target="http://www.sec.gov/Archives/edgar/data/1453687/000145368716000020/exhibit103a-3rdamendmentto.htm" TargetMode="External"/><Relationship Id="rId43" Type="http://schemas.openxmlformats.org/officeDocument/2006/relationships/hyperlink" Target="http://www.sec.gov/Archives/edgar/data/1453687/000145368716000020/exhibit103b-selectamit2xwa.htm" TargetMode="External"/><Relationship Id="rId44" Type="http://schemas.openxmlformats.org/officeDocument/2006/relationships/hyperlink" Target="http://www.sec.gov/Archives/edgar/data/1453687/000145368716000020/exhibit103c-sparkxselectam.htm" TargetMode="External"/><Relationship Id="rId45" Type="http://schemas.openxmlformats.org/officeDocument/2006/relationships/hyperlink" Target="http://www.sec.gov/Archives/edgar/data/1453687/000145368717000053/exhibit106_63017.htm" TargetMode="External"/><Relationship Id="rId46" Type="http://schemas.openxmlformats.org/officeDocument/2006/relationships/hyperlink" Target="http://www.sec.gov/Archives/edgar/data/1453687/000104746916013398/a2228672zex-10_10.htm" TargetMode="External"/><Relationship Id="rId47" Type="http://schemas.openxmlformats.org/officeDocument/2006/relationships/hyperlink" Target="http://www.sec.gov/Archives/edgar/data/1453687/000104746916013398/a2228672zex-10_12.htm" TargetMode="External"/><Relationship Id="rId48" Type="http://schemas.openxmlformats.org/officeDocument/2006/relationships/hyperlink" Target="http://www.sec.gov/Archives/edgar/data/1453687/000104746916013398/a2228672zex-10_13.htm" TargetMode="External"/><Relationship Id="rId49" Type="http://schemas.openxmlformats.org/officeDocument/2006/relationships/hyperlink" Target="http://www.sec.gov/Archives/edgar/data/1453687/000110465916144668/a16-18458_1ex10d1.htm" TargetMode="External"/><Relationship Id="rId50" Type="http://schemas.openxmlformats.org/officeDocument/2006/relationships/hyperlink" Target="http://www.sec.gov/Archives/edgar/data/1453687/000145368718000052/exhibit102_omidxfconsulting.htm" TargetMode="External"/><Relationship Id="rId51" Type="http://schemas.openxmlformats.org/officeDocument/2006/relationships/hyperlink" Target="http://www.sec.gov/Archives/edgar/data/1453687/000104746916013718/a2228810zex-10_16.htm" TargetMode="External"/><Relationship Id="rId52" Type="http://schemas.openxmlformats.org/officeDocument/2006/relationships/hyperlink" Target="http://www.sec.gov/Archives/edgar/data/1453687/000104746916013718/a2228810zex-10_17.htm" TargetMode="External"/><Relationship Id="rId53" Type="http://schemas.openxmlformats.org/officeDocument/2006/relationships/hyperlink" Target="http://www.sec.gov/Archives/edgar/data/1453687/000145368718000084/exhibit101cautreelsseparat.htm" TargetMode="External"/><Relationship Id="rId54" Type="http://schemas.openxmlformats.org/officeDocument/2006/relationships/hyperlink" Target="http://www.sec.gov/Archives/edgar/data/1453687/000145368718000084/exhibit102cautreelsconsult.htm" TargetMode="External"/><Relationship Id="rId55" Type="http://schemas.openxmlformats.org/officeDocument/2006/relationships/hyperlink" Target="http://www.sec.gov/Archives/edgar/data/1453687/000145368718000061/exhibit102_brunnemployment.htm" TargetMode="External"/><Relationship Id="rId56" Type="http://schemas.openxmlformats.org/officeDocument/2006/relationships/hyperlink" Target="http://www.sec.gov/Archives/edgar/data/1453687/000104746916013718/a2228810zex-10_18.htm" TargetMode="External"/><Relationship Id="rId57" Type="http://schemas.openxmlformats.org/officeDocument/2006/relationships/hyperlink" Target="http://www.sec.gov/Archives/edgar/data/1453687/000104746916013718/a2228810zex-10_21.htm" TargetMode="External"/><Relationship Id="rId58" Type="http://schemas.openxmlformats.org/officeDocument/2006/relationships/hyperlink" Target="http://www.sec.gov/Archives/edgar/data/1453687/000145368717000058/exhibit101_cfoemploymentag.htm" TargetMode="External"/><Relationship Id="rId59" Type="http://schemas.openxmlformats.org/officeDocument/2006/relationships/hyperlink" Target="http://www.sec.gov/Archives/edgar/data/1453687/000145368719000024/exhibit101transitionagreem.htm" TargetMode="External"/><Relationship Id="rId60" Type="http://schemas.openxmlformats.org/officeDocument/2006/relationships/hyperlink" Target="http://www.sec.gov/Archives/edgar/data/1453687/000145368717000065/exhibit103_ccoemploymentag.htm" TargetMode="External"/><Relationship Id="rId61" Type="http://schemas.openxmlformats.org/officeDocument/2006/relationships/hyperlink" Target="http://www.sec.gov/Archives/edgar/data/1453687/000145368717000005/exhibit101-sparklicenseagr.htm" TargetMode="External"/><Relationship Id="rId62" Type="http://schemas.openxmlformats.org/officeDocument/2006/relationships/hyperlink" Target="http://www.sec.gov/Archives/edgar/data/1453687/000145368716000020/exhibit102-sparkspaedgarre.htm" TargetMode="External"/><Relationship Id="rId63" Type="http://schemas.openxmlformats.org/officeDocument/2006/relationships/hyperlink" Target="http://www.sec.gov/Archives/edgar/data/1453687/000145368717000053/exhibit107_63017.htm" TargetMode="External"/><Relationship Id="rId64" Type="http://schemas.openxmlformats.org/officeDocument/2006/relationships/hyperlink" Target="http://www.sec.gov/Archives/edgar/data/1453687/000145368717000032/exhibit101_patentlicenseag.htm" TargetMode="External"/><Relationship Id="rId65" Type="http://schemas.openxmlformats.org/officeDocument/2006/relationships/hyperlink" Target="http://www.sec.gov/Archives/edgar/data/1453687/000145368717000048/exhibit101_selectabioscien.htm" TargetMode="External"/><Relationship Id="rId66" Type="http://schemas.openxmlformats.org/officeDocument/2006/relationships/hyperlink" Target="http://www.sec.gov/Archives/edgar/data/1453687/000145368717000048/exhibit102_selectabioscien.htm" TargetMode="External"/><Relationship Id="rId67" Type="http://schemas.openxmlformats.org/officeDocument/2006/relationships/hyperlink" Target="http://www.sec.gov/Archives/edgar/data/1453687/000145368717000056/exhibit101_loansecurityagr.htm" TargetMode="External"/><Relationship Id="rId68" Type="http://schemas.openxmlformats.org/officeDocument/2006/relationships/hyperlink" Target="http://www.sec.gov/Archives/edgar/data/1453687/000104746916013398/a222867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2019-12-28T14:47:42Z</dcterms:created>
  <dcterms:modified xsi:type="dcterms:W3CDTF">2019-12-28T14:47:42Z</dcterms:modified>
</cp:coreProperties>
</file>