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6103dsc13ga.htm"/>
      <w:bookmarkStart w:id="1" w:name="ksd766103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Cartesian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816212104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Invus Public Equities, L.P.</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Bermuda</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Invus Public Equities Advisors, LLC</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International S.C.A.</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International Management S.A.</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Artal Group S.A.</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Westend S.A.</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Luxembourg</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1"/>
        <w:gridCol w:w="131"/>
        <w:gridCol w:w="783"/>
        <w:gridCol w:w="364"/>
        <w:gridCol w:w="352"/>
        <w:gridCol w:w="364"/>
        <w:gridCol w:w="7567"/>
      </w:tblGrid>
      <w:tr>
        <w:trPr/>
        <w:tc>
          <w:tcPr>
            <w:tcW w:w="54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7567"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Stichting Administratiekantoor Westend</w:t>
            </w:r>
          </w:p>
        </w:tc>
      </w:tr>
      <w:tr>
        <w:trPr/>
        <w:tc>
          <w:tcPr>
            <w:tcW w:w="54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4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The Netherlands</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 No. 816212104</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13G</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Mr. Amaury Wittouck</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Belgium</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10,455,849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1(a).</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Cartesian Therapeutics, Inc., formerly known as Selecta Biosciences, Inc.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1(b).</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704 Quince Orchard Road, Gaithersburg, Maryland 20878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2(a).</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2(b).</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b/>
              </w:rPr>
            </w:pPr>
            <w:r>
              <w:rPr>
                <w:b/>
              </w:rPr>
              <w:t>Item 2(c).</w:t>
            </w:r>
          </w:p>
        </w:tc>
        <w:tc>
          <w:tcPr>
            <w:tcW w:w="91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Invus Public Equities, L.P. (Invus Public Equities) </w:t>
      </w:r>
    </w:p>
    <w:p>
      <w:pPr>
        <w:pStyle w:val="TextBody"/>
        <w:bidi w:val="0"/>
        <w:spacing w:before="0" w:after="0"/>
        <w:jc w:val="left"/>
        <w:rPr>
          <w:rFonts w:ascii="Times New Roman" w:hAnsi="Times New Roman"/>
          <w:sz w:val="20"/>
        </w:rPr>
      </w:pPr>
      <w:r>
        <w:rPr>
          <w:rFonts w:ascii="Times New Roman" w:hAnsi="Times New Roman"/>
          <w:sz w:val="20"/>
        </w:rPr>
        <w:t xml:space="preserve">750 Lexington Avenue, 30th Floor, 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Citizenship: Bermuda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(ii) Invus Public Equities Advisors, LLC (Invus PE Advisors) </w:t>
      </w:r>
    </w:p>
    <w:p>
      <w:pPr>
        <w:pStyle w:val="TextBody"/>
        <w:bidi w:val="0"/>
        <w:spacing w:before="0" w:after="0"/>
        <w:jc w:val="left"/>
        <w:rPr>
          <w:rFonts w:ascii="Times New Roman" w:hAnsi="Times New Roman"/>
          <w:sz w:val="20"/>
        </w:rPr>
      </w:pPr>
      <w:r>
        <w:rPr>
          <w:rFonts w:ascii="Times New Roman" w:hAnsi="Times New Roman"/>
          <w:sz w:val="20"/>
        </w:rPr>
        <w:t xml:space="preserve">750 Lexington Avenue, 30th Floor, 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Citizenship: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(iii) Artal International S.C.A. (Artal International)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(iv) Artal International Management S.A. (Artal International Management)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240" w:after="0"/>
        <w:jc w:val="left"/>
        <w:rPr>
          <w:rFonts w:ascii="Times New Roman" w:hAnsi="Times New Roman"/>
          <w:sz w:val="20"/>
        </w:rPr>
      </w:pPr>
      <w:r>
        <w:rPr>
          <w:rFonts w:ascii="Times New Roman" w:hAnsi="Times New Roman"/>
          <w:sz w:val="20"/>
        </w:rPr>
        <w:t xml:space="preserve">(v) Artal Group S.A. (Artal Group)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240" w:after="0"/>
        <w:jc w:val="left"/>
        <w:rPr>
          <w:rFonts w:ascii="Times New Roman" w:hAnsi="Times New Roman"/>
          <w:sz w:val="20"/>
        </w:rPr>
      </w:pPr>
      <w:r>
        <w:rPr>
          <w:rFonts w:ascii="Times New Roman" w:hAnsi="Times New Roman"/>
          <w:sz w:val="20"/>
        </w:rPr>
        <w:t xml:space="preserve">(vi) Westend S.A. (Westend)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Luxembourg société anonyme </w:t>
      </w:r>
    </w:p>
    <w:p>
      <w:pPr>
        <w:pStyle w:val="TextBody"/>
        <w:bidi w:val="0"/>
        <w:spacing w:before="240" w:after="0"/>
        <w:jc w:val="left"/>
        <w:rPr>
          <w:rFonts w:ascii="Times New Roman" w:hAnsi="Times New Roman"/>
          <w:sz w:val="20"/>
        </w:rPr>
      </w:pPr>
      <w:r>
        <w:rPr>
          <w:rFonts w:ascii="Times New Roman" w:hAnsi="Times New Roman"/>
          <w:sz w:val="20"/>
        </w:rPr>
        <w:t xml:space="preserve">(vii) Stichting Administratiekantoor Westend (the Stichting) </w:t>
      </w:r>
    </w:p>
    <w:p>
      <w:pPr>
        <w:pStyle w:val="TextBody"/>
        <w:bidi w:val="0"/>
        <w:spacing w:before="0" w:after="0"/>
        <w:jc w:val="left"/>
        <w:rPr>
          <w:rFonts w:ascii="Times New Roman" w:hAnsi="Times New Roman"/>
          <w:sz w:val="20"/>
        </w:rPr>
      </w:pPr>
      <w:r>
        <w:rPr>
          <w:rFonts w:ascii="Times New Roman" w:hAnsi="Times New Roman"/>
          <w:sz w:val="20"/>
        </w:rPr>
        <w:t xml:space="preserve">Claude Debussylaan, 46, 1082 MD Amsterdam, The Netherlands </w:t>
      </w:r>
    </w:p>
    <w:p>
      <w:pPr>
        <w:pStyle w:val="TextBody"/>
        <w:bidi w:val="0"/>
        <w:spacing w:before="0" w:after="0"/>
        <w:jc w:val="left"/>
        <w:rPr>
          <w:rFonts w:ascii="Times New Roman" w:hAnsi="Times New Roman"/>
          <w:sz w:val="20"/>
        </w:rPr>
      </w:pPr>
      <w:r>
        <w:rPr>
          <w:rFonts w:ascii="Times New Roman" w:hAnsi="Times New Roman"/>
          <w:sz w:val="20"/>
        </w:rPr>
        <w:t xml:space="preserve">Citizenship: Netherlands foundation </w:t>
      </w:r>
    </w:p>
    <w:p>
      <w:pPr>
        <w:pStyle w:val="TextBody"/>
        <w:bidi w:val="0"/>
        <w:spacing w:before="240" w:after="0"/>
        <w:jc w:val="left"/>
        <w:rPr>
          <w:rFonts w:ascii="Times New Roman" w:hAnsi="Times New Roman"/>
          <w:sz w:val="20"/>
        </w:rPr>
      </w:pPr>
      <w:r>
        <w:rPr>
          <w:rFonts w:ascii="Times New Roman" w:hAnsi="Times New Roman"/>
          <w:sz w:val="20"/>
        </w:rPr>
        <w:t xml:space="preserve">(viii) Mr. Amaury Wittouck </w:t>
      </w:r>
    </w:p>
    <w:p>
      <w:pPr>
        <w:pStyle w:val="TextBody"/>
        <w:bidi w:val="0"/>
        <w:spacing w:before="0" w:after="0"/>
        <w:jc w:val="left"/>
        <w:rPr>
          <w:rFonts w:ascii="Times New Roman" w:hAnsi="Times New Roman"/>
          <w:sz w:val="20"/>
        </w:rPr>
      </w:pPr>
      <w:r>
        <w:rPr>
          <w:rFonts w:ascii="Times New Roman" w:hAnsi="Times New Roman"/>
          <w:sz w:val="20"/>
        </w:rPr>
        <w:t xml:space="preserve">Valley Park, 44, Rue de la Vallée, L-2661, Luxembourg </w:t>
      </w:r>
    </w:p>
    <w:p>
      <w:pPr>
        <w:pStyle w:val="TextBody"/>
        <w:bidi w:val="0"/>
        <w:spacing w:before="0" w:after="0"/>
        <w:jc w:val="left"/>
        <w:rPr>
          <w:rFonts w:ascii="Times New Roman" w:hAnsi="Times New Roman"/>
          <w:sz w:val="20"/>
        </w:rPr>
      </w:pPr>
      <w:r>
        <w:rPr>
          <w:rFonts w:ascii="Times New Roman" w:hAnsi="Times New Roman"/>
          <w:sz w:val="20"/>
        </w:rPr>
        <w:t xml:space="preserve">Citizenship: Belgium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persons are hereinafter sometimes collectively referred to as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2(d).</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$0.0001 par value per share (the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2(e).</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816212104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Sections 240.13d-1(b) or 240.13d-2(b) or (c), Check Whether the Person Filing Is 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3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4.</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Amount beneficially owned: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Invus Public Equities directly held (i) 9,136,635 Shares, (ii) warrants to purchase up to 656,814 Shares, with an exercise price of $1.46 per Share and expiration date of December 23, 2024 (the December Warrants), and (iii) warrants to purchase up to 662,400 Shares, with an exercise price of $1.55 per Share and expiration date of April 11, 2027 (together with the December Warrants, the Warrants). Invus PE Advisors, as the general partner of Invus Public Equities, controls Invus Public Equities and, accordingly, may be deemed to beneficially own the Shares held by Invus Public Equities. The Geneva branch of Artal International, as the managing member of Invus PE Advisors, controls Invus PE Advisors and, accordingly, may be deemed to beneficially own the Shares that Invus PE Advisors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sole stockholder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w:t>
      </w:r>
    </w:p>
    <w:p>
      <w:pPr>
        <w:pStyle w:val="TextBody"/>
        <w:bidi w:val="0"/>
        <w:spacing w:before="240" w:after="0"/>
        <w:jc w:val="left"/>
        <w:rPr>
          <w:rFonts w:ascii="Times New Roman" w:hAnsi="Times New Roman"/>
          <w:sz w:val="20"/>
        </w:rPr>
      </w:pPr>
      <w:r>
        <w:rPr>
          <w:rFonts w:ascii="Times New Roman" w:hAnsi="Times New Roman"/>
          <w:sz w:val="20"/>
        </w:rPr>
        <w:t xml:space="preserve">(b) Percent of class: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each of the Reporting Persons may be deemed to be the beneficial owner of the percentage of Shares listed on such Reporting Persons cover page. Calculations of the percentage of Shares beneficially owned are based on (i) 155,204,182 Shares issued and outstanding as of November 10, 2023, as reported on the Issuers Quarterly Report on Form 10-Q, filed by the Issuer with the Securities and Exchange Commission on November 13, 2023, plus (ii) 6,723,662 Shares issued pursuant to the terms of that certain Agreement and Plan of Merger, dated November 13, 2023, as set forth in the Issuers Current Report on Form 8-K filed with the Securities and Exchange Commission on November 13, 2023, plus (iii) 1,319,214 Shares issuable upon exercise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(c) Number of shares as to which Invus Public Equities, Invus PE Advisors, Artal International, Artal International Management, Artal Group, Westend, the Stichting and Mr. Wittouck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10,455,849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10,455,849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6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Item 7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8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b/>
              </w:rPr>
            </w:pPr>
            <w:r>
              <w:rPr>
                <w:b/>
              </w:rPr>
              <w:t>Item 9.</w:t>
            </w:r>
          </w:p>
        </w:tc>
        <w:tc>
          <w:tcPr>
            <w:tcW w:w="91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Item 9 is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Reporting Persons hereby makes the following certification: </w:t>
      </w:r>
    </w:p>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9,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INVUS PUBLIC EQUITIES, L.P.</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INVUS PUBLIC EQUITIES ADVISORS, LLC, its 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Raymond Debbane</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Raymond Debbane</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INVUS PUBLIC EQUITIES ADVISORS, LLC</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Raymond Debbane</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Raymond Debbane</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ARTAL INTERNATIONAL S.C.A.</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ARTAL INTERNATIONAL MANAGEMENT S.A., its managing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ARTAL INTERNATIONAL MANAGEMENT S.A.</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ARTAL GROUP S.A.</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WESTEND S.A.</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Anne Goffard</w:t>
            </w:r>
          </w:p>
        </w:tc>
      </w:tr>
      <w:tr>
        <w:trPr/>
        <w:tc>
          <w:tcPr>
            <w:tcW w:w="61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09"/>
        <w:gridCol w:w="60"/>
        <w:gridCol w:w="3413"/>
      </w:tblGrid>
      <w:tr>
        <w:trPr/>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STICHTING ADMINISTRATIEKANTOOR WESTEND</w:t>
            </w:r>
          </w:p>
        </w:tc>
      </w:tr>
      <w:tr>
        <w:trPr>
          <w:trHeight w:val="240" w:hRule="atLeast"/>
        </w:trPr>
        <w:tc>
          <w:tcPr>
            <w:tcW w:w="609" w:type="dxa"/>
            <w:tcBorders/>
            <w:vAlign w:val="center"/>
          </w:tcPr>
          <w:p>
            <w:pPr>
              <w:pStyle w:val="TableContents"/>
              <w:bidi w:val="0"/>
              <w:spacing w:before="0" w:after="283"/>
              <w:jc w:val="left"/>
              <w:rPr>
                <w:sz w:val="4"/>
                <w:szCs w:val="4"/>
              </w:rPr>
            </w:pPr>
            <w:r>
              <w:rPr>
                <w:sz w:val="4"/>
                <w:szCs w:val="4"/>
              </w:rPr>
            </w:r>
          </w:p>
        </w:tc>
        <w:tc>
          <w:tcPr>
            <w:tcW w:w="3473" w:type="dxa"/>
            <w:gridSpan w:val="2"/>
            <w:tcBorders/>
            <w:vAlign w:val="center"/>
          </w:tcPr>
          <w:p>
            <w:pPr>
              <w:pStyle w:val="TableContents"/>
              <w:bidi w:val="0"/>
              <w:spacing w:before="0" w:after="283"/>
              <w:jc w:val="left"/>
              <w:rPr>
                <w:sz w:val="4"/>
                <w:szCs w:val="4"/>
              </w:rPr>
            </w:pPr>
            <w:r>
              <w:rPr>
                <w:sz w:val="4"/>
                <w:szCs w:val="4"/>
              </w:rPr>
            </w:r>
          </w:p>
        </w:tc>
      </w:tr>
      <w:tr>
        <w:trPr/>
        <w:tc>
          <w:tcPr>
            <w:tcW w:w="60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3" w:type="dxa"/>
            <w:tcBorders>
              <w:bottom w:val="single" w:sz="2" w:space="0" w:color="000000"/>
            </w:tcBorders>
            <w:tcMar>
              <w:bottom w:w="28" w:type="dxa"/>
            </w:tcMar>
          </w:tcPr>
          <w:p>
            <w:pPr>
              <w:pStyle w:val="TableContents"/>
              <w:bidi w:val="0"/>
              <w:spacing w:before="0" w:after="283"/>
              <w:jc w:val="left"/>
              <w:rPr/>
            </w:pPr>
            <w:r>
              <w:rPr/>
              <w:t>/s/ Amaury Wittouck</w:t>
            </w:r>
          </w:p>
        </w:tc>
      </w:tr>
      <w:tr>
        <w:trPr/>
        <w:tc>
          <w:tcPr>
            <w:tcW w:w="60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Amaury Wittouck</w:t>
            </w:r>
          </w:p>
        </w:tc>
      </w:tr>
      <w:tr>
        <w:trPr/>
        <w:tc>
          <w:tcPr>
            <w:tcW w:w="60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left"/>
              <w:rPr>
                <w:rFonts w:ascii="Times New Roman" w:hAnsi="Times New Roman"/>
                <w:sz w:val="20"/>
              </w:rPr>
            </w:pPr>
            <w:r>
              <w:rPr>
                <w:rFonts w:ascii="Times New Roman" w:hAnsi="Times New Roman"/>
                <w:sz w:val="20"/>
              </w:rPr>
              <w:t>Sole Member of the Board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MR. AMAURY WITTOUCK</w:t>
            </w:r>
          </w:p>
        </w:tc>
      </w:tr>
      <w:tr>
        <w:trPr>
          <w:trHeight w:val="240" w:hRule="atLeast"/>
        </w:trPr>
        <w:tc>
          <w:tcPr>
            <w:tcW w:w="609" w:type="dxa"/>
            <w:tcBorders/>
            <w:vAlign w:val="center"/>
          </w:tcPr>
          <w:p>
            <w:pPr>
              <w:pStyle w:val="TableContents"/>
              <w:bidi w:val="0"/>
              <w:spacing w:before="0" w:after="283"/>
              <w:jc w:val="left"/>
              <w:rPr>
                <w:sz w:val="4"/>
                <w:szCs w:val="4"/>
              </w:rPr>
            </w:pPr>
            <w:r>
              <w:rPr>
                <w:sz w:val="4"/>
                <w:szCs w:val="4"/>
              </w:rPr>
            </w:r>
          </w:p>
        </w:tc>
        <w:tc>
          <w:tcPr>
            <w:tcW w:w="3473" w:type="dxa"/>
            <w:gridSpan w:val="2"/>
            <w:tcBorders/>
            <w:vAlign w:val="center"/>
          </w:tcPr>
          <w:p>
            <w:pPr>
              <w:pStyle w:val="TableContents"/>
              <w:bidi w:val="0"/>
              <w:spacing w:before="0" w:after="283"/>
              <w:jc w:val="left"/>
              <w:rPr>
                <w:sz w:val="4"/>
                <w:szCs w:val="4"/>
              </w:rPr>
            </w:pPr>
            <w:r>
              <w:rPr>
                <w:sz w:val="4"/>
                <w:szCs w:val="4"/>
              </w:rPr>
            </w:r>
          </w:p>
        </w:tc>
      </w:tr>
      <w:tr>
        <w:trPr/>
        <w:tc>
          <w:tcPr>
            <w:tcW w:w="60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3" w:type="dxa"/>
            <w:tcBorders>
              <w:bottom w:val="single" w:sz="2" w:space="0" w:color="000000"/>
            </w:tcBorders>
            <w:tcMar>
              <w:bottom w:w="28" w:type="dxa"/>
            </w:tcMar>
          </w:tcPr>
          <w:p>
            <w:pPr>
              <w:pStyle w:val="TableContents"/>
              <w:bidi w:val="0"/>
              <w:spacing w:before="0" w:after="283"/>
              <w:jc w:val="left"/>
              <w:rPr/>
            </w:pPr>
            <w:r>
              <w:rPr/>
              <w:t>/s/ Amaury Wittouck</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2282</Words>
  <Characters>11527</Characters>
  <CharactersWithSpaces>13944</CharactersWithSpaces>
  <Paragraphs>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