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May 8, 2025</w:t>
      </w:r>
    </w:p>
    <w:p>
      <w:pPr>
        <w:spacing w:after="0" w:line="25" w:lineRule="exact"/>
        <w:rPr>
          <w:sz w:val="24"/>
          <w:szCs w:val="24"/>
          <w:color w:val="auto"/>
        </w:rPr>
      </w:pPr>
    </w:p>
    <w:p>
      <w:pPr>
        <w:ind w:left="9360"/>
        <w:spacing w:after="0"/>
        <w:rPr>
          <w:sz w:val="20"/>
          <w:szCs w:val="20"/>
          <w:color w:val="auto"/>
        </w:rPr>
      </w:pPr>
      <w:r>
        <w:rPr>
          <w:rFonts w:ascii="Times New Roman" w:cs="Times New Roman" w:eastAsia="Times New Roman" w:hAnsi="Times New Roman"/>
          <w:sz w:val="16"/>
          <w:szCs w:val="16"/>
          <w:b w:val="1"/>
          <w:bCs w:val="1"/>
          <w:color w:val="auto"/>
        </w:rPr>
        <w:t>Registration No. 333-_____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111760</wp:posOffset>
            </wp:positionV>
            <wp:extent cx="7098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77470</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CARTESIAN THERAPEUTICS,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79"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4420" w:type="dxa"/>
            <w:vAlign w:val="bottom"/>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26-1622110</w:t>
            </w:r>
          </w:p>
        </w:tc>
      </w:tr>
      <w:tr>
        <w:trPr>
          <w:trHeight w:val="168"/>
        </w:trPr>
        <w:tc>
          <w:tcPr>
            <w:tcW w:w="4420" w:type="dxa"/>
            <w:vAlign w:val="bottom"/>
          </w:tcPr>
          <w:p>
            <w:pPr>
              <w:jc w:val="center"/>
              <w:ind w:right="1799"/>
              <w:spacing w:after="0" w:line="168" w:lineRule="exact"/>
              <w:rPr>
                <w:sz w:val="20"/>
                <w:szCs w:val="20"/>
                <w:color w:val="auto"/>
              </w:rPr>
            </w:pPr>
            <w:r>
              <w:rPr>
                <w:rFonts w:ascii="Times New Roman" w:cs="Times New Roman" w:eastAsia="Times New Roman" w:hAnsi="Times New Roman"/>
                <w:sz w:val="16"/>
                <w:szCs w:val="16"/>
                <w:color w:val="auto"/>
              </w:rPr>
              <w:t>(State or other jurisdiction</w:t>
            </w:r>
          </w:p>
        </w:tc>
        <w:tc>
          <w:tcPr>
            <w:tcW w:w="3080" w:type="dxa"/>
            <w:vAlign w:val="bottom"/>
          </w:tcPr>
          <w:p>
            <w:pPr>
              <w:jc w:val="center"/>
              <w:ind w:left="177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420" w:type="dxa"/>
            <w:vAlign w:val="bottom"/>
          </w:tcPr>
          <w:p>
            <w:pPr>
              <w:jc w:val="center"/>
              <w:ind w:right="1779"/>
              <w:spacing w:after="0"/>
              <w:rPr>
                <w:sz w:val="20"/>
                <w:szCs w:val="20"/>
                <w:color w:val="auto"/>
              </w:rPr>
            </w:pPr>
            <w:r>
              <w:rPr>
                <w:rFonts w:ascii="Times New Roman" w:cs="Times New Roman" w:eastAsia="Times New Roman" w:hAnsi="Times New Roman"/>
                <w:sz w:val="16"/>
                <w:szCs w:val="16"/>
                <w:color w:val="auto"/>
              </w:rPr>
              <w:t>of incorporation or organization)</w:t>
            </w:r>
          </w:p>
        </w:tc>
        <w:tc>
          <w:tcPr>
            <w:tcW w:w="3080" w:type="dxa"/>
            <w:vAlign w:val="bottom"/>
          </w:tcPr>
          <w:p>
            <w:pPr>
              <w:jc w:val="center"/>
              <w:ind w:left="177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70"/>
        </w:trPr>
        <w:tc>
          <w:tcPr>
            <w:tcW w:w="4420" w:type="dxa"/>
            <w:vAlign w:val="bottom"/>
          </w:tcPr>
          <w:p>
            <w:pPr>
              <w:jc w:val="center"/>
              <w:ind w:right="1779"/>
              <w:spacing w:after="0"/>
              <w:rPr>
                <w:sz w:val="20"/>
                <w:szCs w:val="20"/>
                <w:color w:val="auto"/>
              </w:rPr>
            </w:pPr>
            <w:r>
              <w:rPr>
                <w:rFonts w:ascii="Times New Roman" w:cs="Times New Roman" w:eastAsia="Times New Roman" w:hAnsi="Times New Roman"/>
                <w:sz w:val="16"/>
                <w:szCs w:val="16"/>
                <w:b w:val="1"/>
                <w:bCs w:val="1"/>
                <w:color w:val="auto"/>
              </w:rPr>
              <w:t>7495 New Horizon Way</w:t>
            </w:r>
          </w:p>
        </w:tc>
        <w:tc>
          <w:tcPr>
            <w:tcW w:w="30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21703</w:t>
            </w:r>
          </w:p>
        </w:tc>
      </w:tr>
      <w:tr>
        <w:trPr>
          <w:trHeight w:val="212"/>
        </w:trPr>
        <w:tc>
          <w:tcPr>
            <w:tcW w:w="4420" w:type="dxa"/>
            <w:vAlign w:val="bottom"/>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rPr>
              <w:t>Frederick, Maryland</w:t>
            </w:r>
          </w:p>
        </w:tc>
        <w:tc>
          <w:tcPr>
            <w:tcW w:w="3080" w:type="dxa"/>
            <w:vAlign w:val="bottom"/>
          </w:tcPr>
          <w:p>
            <w:pPr>
              <w:spacing w:after="0"/>
              <w:rPr>
                <w:sz w:val="18"/>
                <w:szCs w:val="18"/>
                <w:color w:val="auto"/>
              </w:rPr>
            </w:pPr>
          </w:p>
        </w:tc>
      </w:tr>
      <w:tr>
        <w:trPr>
          <w:trHeight w:val="214"/>
        </w:trPr>
        <w:tc>
          <w:tcPr>
            <w:tcW w:w="4420" w:type="dxa"/>
            <w:vAlign w:val="bottom"/>
          </w:tcPr>
          <w:p>
            <w:pPr>
              <w:jc w:val="center"/>
              <w:ind w:right="177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080" w:type="dxa"/>
            <w:vAlign w:val="bottom"/>
          </w:tcPr>
          <w:p>
            <w:pPr>
              <w:jc w:val="center"/>
              <w:ind w:left="179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(301) 348-8698</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(Telephone number, including area code, of registrant's principal executive offices)</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Cartesian Therapeutics, Inc. Amended and Restated 2016 Incentive Award Plan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Cartesian Therapeutics, Inc. Amended and Restated 2018 Employment Inducement Incentive Award Plan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(Full title of the plan)</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Carsten Brunn, Ph.D.</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7495 New Horizon Way</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Frederick, Maryland 21703</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address, including zip code, and telephone number, including area code, of agent for service)</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Copy to:</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Brian K. Rosenzweig</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Sarah C. Griffiths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Covington &amp; Burling LLP</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One International Place, Suite 1020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Boston, Massachusetts 02110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(617) 603-8805</w:t>
      </w:r>
    </w:p>
    <w:p>
      <w:pPr>
        <w:spacing w:after="0" w:line="213" w:lineRule="exact"/>
        <w:rPr>
          <w:sz w:val="24"/>
          <w:szCs w:val="24"/>
          <w:color w:val="auto"/>
        </w:rPr>
      </w:pPr>
    </w:p>
    <w:p>
      <w:pPr>
        <w:ind w:right="80" w:firstLine="324"/>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Exchange Act.</w:t>
      </w:r>
    </w:p>
    <w:p>
      <w:pPr>
        <w:sectPr>
          <w:pgSz w:w="11900" w:h="16838" w:orient="portrait"/>
          <w:cols w:equalWidth="0" w:num="1">
            <w:col w:w="11240"/>
          </w:cols>
          <w:pgMar w:left="320" w:top="880" w:right="339" w:bottom="1440" w:gutter="0" w:footer="0" w:header="0"/>
        </w:sectPr>
      </w:pPr>
    </w:p>
    <w:p>
      <w:pPr>
        <w:spacing w:after="0" w:line="90"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1" w:lineRule="exact"/>
        <w:rPr>
          <w:sz w:val="24"/>
          <w:szCs w:val="24"/>
          <w:color w:val="auto"/>
        </w:rPr>
      </w:pPr>
    </w:p>
    <w:p>
      <w:pPr>
        <w:sectPr>
          <w:pgSz w:w="11900" w:h="16838" w:orient="portrait"/>
          <w:cols w:equalWidth="0" w:num="4">
            <w:col w:w="3280" w:space="80"/>
            <w:col w:w="3000" w:space="720"/>
            <w:col w:w="1080" w:space="80"/>
            <w:col w:w="3000"/>
          </w:cols>
          <w:pgMar w:left="320" w:top="880" w:right="33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R</w:t>
      </w:r>
    </w:p>
    <w:p>
      <w:pPr>
        <w:spacing w:after="0" w:line="51" w:lineRule="exact"/>
        <w:rPr>
          <w:sz w:val="24"/>
          <w:szCs w:val="24"/>
          <w:color w:val="auto"/>
        </w:rPr>
      </w:pPr>
    </w:p>
    <w:p>
      <w:pPr>
        <w:sectPr>
          <w:pgSz w:w="11900" w:h="16838" w:orient="portrait"/>
          <w:cols w:equalWidth="0" w:num="4">
            <w:col w:w="3280" w:space="100"/>
            <w:col w:w="2280" w:space="720"/>
            <w:col w:w="1780" w:space="80"/>
            <w:col w:w="3000"/>
          </w:cols>
          <w:pgMar w:left="320" w:top="880" w:right="339" w:bottom="1440" w:gutter="0" w:footer="0" w:header="0"/>
          <w:type w:val="continuous"/>
        </w:sectPr>
      </w:pPr>
    </w:p>
    <w:p>
      <w:pPr>
        <w:spacing w:after="0" w:line="6" w:lineRule="exact"/>
        <w:rPr>
          <w:sz w:val="24"/>
          <w:szCs w:val="24"/>
          <w:color w:val="auto"/>
        </w:rPr>
      </w:pPr>
    </w:p>
    <w:p>
      <w:pPr>
        <w:ind w:left="638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62" w:lineRule="exact"/>
        <w:rPr>
          <w:sz w:val="24"/>
          <w:szCs w:val="24"/>
          <w:color w:val="auto"/>
        </w:rPr>
      </w:pPr>
    </w:p>
    <w:p>
      <w:pPr>
        <w:sectPr>
          <w:pgSz w:w="11900" w:h="16838" w:orient="portrait"/>
          <w:cols w:equalWidth="0" w:num="2">
            <w:col w:w="8160" w:space="80"/>
            <w:col w:w="3000"/>
          </w:cols>
          <w:pgMar w:left="320" w:top="880" w:right="339" w:bottom="1440" w:gutter="0" w:footer="0" w:header="0"/>
          <w:type w:val="continuous"/>
        </w:sectPr>
      </w:pPr>
    </w:p>
    <w:p>
      <w:pPr>
        <w:ind w:right="260" w:firstLine="324"/>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type w:val="continuous"/>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08"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18"/>
          <w:szCs w:val="18"/>
          <w:color w:val="auto"/>
        </w:rPr>
        <w:t>This registration statement on Form S-8 (the “Registration Statement”) is being filed for the purpose of registering an additional 1,030,694 shares of common stock, par value $0.0001 per share (the “Common Stock”), of Cartesian Therapeutics, Inc. (the “Registrant”) to be issued pursuant to the Registrant’s Amended and Restated 2016 Incentive Award Plan (the “Incentive Plan”) and an additional 450,000 shares of the Registrant’s Common Stock to be issued pursuant to the Registrant’s Amended and Restated 2018 Employment Inducement Incentive Award Plan (the “Inducement Plan”).</w:t>
      </w:r>
    </w:p>
    <w:p>
      <w:pPr>
        <w:spacing w:after="0" w:line="200" w:lineRule="exact"/>
        <w:rPr>
          <w:sz w:val="20"/>
          <w:szCs w:val="20"/>
          <w:color w:val="auto"/>
        </w:rPr>
      </w:pPr>
    </w:p>
    <w:p>
      <w:pPr>
        <w:spacing w:after="0" w:line="3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873" w:right="4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0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documents filed with the Securities and Exchange Commission (the “Commission”) pursuant to the Securities Exchange Act of 1934, as amended (the “Exchange Act”), are hereby incorporated by reference into this registration statement:</w:t>
      </w:r>
    </w:p>
    <w:p>
      <w:pPr>
        <w:spacing w:after="0" w:line="176" w:lineRule="exact"/>
        <w:rPr>
          <w:sz w:val="20"/>
          <w:szCs w:val="20"/>
          <w:color w:val="auto"/>
        </w:rPr>
      </w:pPr>
    </w:p>
    <w:p>
      <w:pPr>
        <w:ind w:left="660" w:right="20" w:hanging="328"/>
        <w:spacing w:after="0" w:line="282" w:lineRule="auto"/>
        <w:tabs>
          <w:tab w:leader="none" w:pos="655" w:val="left"/>
        </w:tabs>
        <w:numPr>
          <w:ilvl w:val="0"/>
          <w:numId w:val="1"/>
        </w:numPr>
        <w:rPr>
          <w:rFonts w:ascii="Times New Roman" w:cs="Times New Roman" w:eastAsia="Times New Roman" w:hAnsi="Times New Roman"/>
          <w:sz w:val="18"/>
          <w:szCs w:val="18"/>
          <w:color w:val="0000FF"/>
        </w:rPr>
      </w:pPr>
      <w:hyperlink r:id="rId12">
        <w:r>
          <w:rPr>
            <w:rFonts w:ascii="Times New Roman" w:cs="Times New Roman" w:eastAsia="Times New Roman" w:hAnsi="Times New Roman"/>
            <w:sz w:val="18"/>
            <w:szCs w:val="18"/>
            <w:color w:val="auto"/>
          </w:rPr>
          <w:t xml:space="preserve">The Registrant’s definitive proxy statement on Schedule 14A for the 2025 annual meeting of stockholders, filed with the Commission on </w:t>
        </w:r>
        <w:r>
          <w:rPr>
            <w:rFonts w:ascii="Times New Roman" w:cs="Times New Roman" w:eastAsia="Times New Roman" w:hAnsi="Times New Roman"/>
            <w:sz w:val="18"/>
            <w:szCs w:val="18"/>
            <w:u w:val="single" w:color="auto"/>
            <w:color w:val="0000FF"/>
          </w:rPr>
          <w:t>April 28,</w:t>
        </w:r>
      </w:hyperlink>
      <w:r>
        <w:rPr>
          <w:rFonts w:ascii="Times New Roman" w:cs="Times New Roman" w:eastAsia="Times New Roman" w:hAnsi="Times New Roman"/>
          <w:sz w:val="18"/>
          <w:szCs w:val="18"/>
          <w:color w:val="auto"/>
        </w:rPr>
        <w:t xml:space="preserve"> </w:t>
      </w:r>
      <w:hyperlink r:id="rId12">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FF"/>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year ended December 31, 2024, filed with the Commission on </w:t>
      </w:r>
      <w:hyperlink r:id="rId13">
        <w:r>
          <w:rPr>
            <w:rFonts w:ascii="Times New Roman" w:cs="Times New Roman" w:eastAsia="Times New Roman" w:hAnsi="Times New Roman"/>
            <w:sz w:val="18"/>
            <w:szCs w:val="18"/>
            <w:u w:val="single" w:color="auto"/>
            <w:color w:val="0000FF"/>
          </w:rPr>
          <w:t>March 13, 2025</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Form 10-Q for the quarter ended March 31, 2025, filed with the Commission on </w:t>
      </w:r>
      <w:hyperlink r:id="rId14">
        <w:r>
          <w:rPr>
            <w:rFonts w:ascii="Times New Roman" w:cs="Times New Roman" w:eastAsia="Times New Roman" w:hAnsi="Times New Roman"/>
            <w:sz w:val="18"/>
            <w:szCs w:val="18"/>
            <w:u w:val="single" w:color="auto"/>
            <w:color w:val="0000FF"/>
          </w:rPr>
          <w:t>May 8, 2025</w:t>
        </w:r>
      </w:hyperlink>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Commission on </w:t>
      </w:r>
      <w:hyperlink r:id="rId15">
        <w:r>
          <w:rPr>
            <w:rFonts w:ascii="Times New Roman" w:cs="Times New Roman" w:eastAsia="Times New Roman" w:hAnsi="Times New Roman"/>
            <w:sz w:val="18"/>
            <w:szCs w:val="18"/>
            <w:u w:val="single" w:color="auto"/>
            <w:color w:val="0000FF"/>
          </w:rPr>
          <w:t>January 27, 2025</w:t>
        </w:r>
      </w:hyperlink>
      <w:r>
        <w:rPr>
          <w:rFonts w:ascii="Times New Roman" w:cs="Times New Roman" w:eastAsia="Times New Roman" w:hAnsi="Times New Roman"/>
          <w:sz w:val="18"/>
          <w:szCs w:val="18"/>
          <w:color w:val="auto"/>
        </w:rPr>
        <w:t xml:space="preserve">, </w:t>
      </w:r>
      <w:hyperlink r:id="rId16">
        <w:r>
          <w:rPr>
            <w:rFonts w:ascii="Times New Roman" w:cs="Times New Roman" w:eastAsia="Times New Roman" w:hAnsi="Times New Roman"/>
            <w:sz w:val="18"/>
            <w:szCs w:val="18"/>
            <w:u w:val="single" w:color="auto"/>
            <w:color w:val="0000FF"/>
          </w:rPr>
          <w:t>April 8,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7">
        <w:r>
          <w:rPr>
            <w:rFonts w:ascii="Times New Roman" w:cs="Times New Roman" w:eastAsia="Times New Roman" w:hAnsi="Times New Roman"/>
            <w:sz w:val="18"/>
            <w:szCs w:val="18"/>
            <w:u w:val="single" w:color="auto"/>
            <w:color w:val="0000FF"/>
          </w:rPr>
          <w:t>April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u w:val="single" w:color="auto"/>
            <w:color w:val="0000FF"/>
            <w:highlight w:val="white"/>
          </w:rPr>
          <w:t>29, 2025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(except for Item 7.01 and Exhibits 99.1 and 99.2 thereto); and</w:t>
      </w:r>
    </w:p>
    <w:p>
      <w:pPr>
        <w:spacing w:after="0" w:line="175" w:lineRule="exact"/>
        <w:rPr>
          <w:rFonts w:ascii="Times New Roman" w:cs="Times New Roman" w:eastAsia="Times New Roman" w:hAnsi="Times New Roman"/>
          <w:sz w:val="18"/>
          <w:szCs w:val="18"/>
          <w:color w:val="auto"/>
        </w:rPr>
      </w:pPr>
    </w:p>
    <w:p>
      <w:pPr>
        <w:jc w:val="both"/>
        <w:ind w:left="660" w:right="460" w:hanging="328"/>
        <w:spacing w:after="0" w:line="312" w:lineRule="auto"/>
        <w:tabs>
          <w:tab w:leader="none" w:pos="65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the Registrant’s Common Stock contained in Exhibit 4.12 to the Registrant’s Annual Report on Form 10-K, filed with the Commission on </w:t>
      </w:r>
      <w:hyperlink r:id="rId18">
        <w:r>
          <w:rPr>
            <w:rFonts w:ascii="Times New Roman" w:cs="Times New Roman" w:eastAsia="Times New Roman" w:hAnsi="Times New Roman"/>
            <w:sz w:val="17"/>
            <w:szCs w:val="17"/>
            <w:u w:val="single" w:color="auto"/>
            <w:color w:val="0000FF"/>
          </w:rPr>
          <w:t>March 13, 2025</w:t>
        </w:r>
      </w:hyperlink>
      <w:r>
        <w:rPr>
          <w:rFonts w:ascii="Times New Roman" w:cs="Times New Roman" w:eastAsia="Times New Roman" w:hAnsi="Times New Roman"/>
          <w:sz w:val="17"/>
          <w:szCs w:val="17"/>
          <w:color w:val="auto"/>
        </w:rPr>
        <w:t>, and any amendment or report filed with the Commission for the purpose of updating such description; and</w:t>
      </w:r>
    </w:p>
    <w:p>
      <w:pPr>
        <w:spacing w:after="0" w:line="139" w:lineRule="exact"/>
        <w:rPr>
          <w:rFonts w:ascii="Times New Roman" w:cs="Times New Roman" w:eastAsia="Times New Roman" w:hAnsi="Times New Roman"/>
          <w:sz w:val="17"/>
          <w:szCs w:val="17"/>
          <w:color w:val="auto"/>
        </w:rPr>
      </w:pPr>
    </w:p>
    <w:p>
      <w:pPr>
        <w:jc w:val="both"/>
        <w:ind w:left="660" w:right="140" w:hanging="328"/>
        <w:spacing w:after="0" w:line="266" w:lineRule="auto"/>
        <w:tabs>
          <w:tab w:leader="none" w:pos="655" w:val="left"/>
        </w:tabs>
        <w:numPr>
          <w:ilvl w:val="0"/>
          <w:numId w:val="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Registrant’s Registration Statements on Form S-8 (File Nos. </w:t>
      </w:r>
      <w:hyperlink r:id="rId19">
        <w:r>
          <w:rPr>
            <w:rFonts w:ascii="Times New Roman" w:cs="Times New Roman" w:eastAsia="Times New Roman" w:hAnsi="Times New Roman"/>
            <w:sz w:val="18"/>
            <w:szCs w:val="18"/>
            <w:u w:val="single" w:color="auto"/>
            <w:color w:val="0000FF"/>
          </w:rPr>
          <w:t>333-212215</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FF"/>
          </w:rPr>
          <w:t>333-224109</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FF"/>
          </w:rPr>
          <w:t>333-228264</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FF"/>
          </w:rPr>
          <w:t>333-230501</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FF"/>
          </w:rPr>
          <w:t>333-239075</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FF"/>
          </w:rPr>
          <w:t>333-256061</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FF"/>
          </w:rPr>
          <w:t>333-264691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26">
        <w:r>
          <w:rPr>
            <w:rFonts w:ascii="Times New Roman" w:cs="Times New Roman" w:eastAsia="Times New Roman" w:hAnsi="Times New Roman"/>
            <w:sz w:val="18"/>
            <w:szCs w:val="18"/>
            <w:u w:val="single" w:color="auto"/>
            <w:color w:val="0000FF"/>
          </w:rPr>
          <w:t>333-274036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27">
        <w:r>
          <w:rPr>
            <w:rFonts w:ascii="Times New Roman" w:cs="Times New Roman" w:eastAsia="Times New Roman" w:hAnsi="Times New Roman"/>
            <w:sz w:val="18"/>
            <w:szCs w:val="18"/>
            <w:u w:val="single" w:color="auto"/>
            <w:color w:val="0000FF"/>
          </w:rPr>
          <w:t>333-276486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r:id="rId28">
        <w:r>
          <w:rPr>
            <w:rFonts w:ascii="Times New Roman" w:cs="Times New Roman" w:eastAsia="Times New Roman" w:hAnsi="Times New Roman"/>
            <w:sz w:val="18"/>
            <w:szCs w:val="18"/>
            <w:u w:val="single" w:color="auto"/>
            <w:color w:val="0000FF"/>
          </w:rPr>
          <w:t>333-283049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with the Securities and Exchange Commission, relating to the Incentive Plan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Inducement Plan.</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5912485</wp:posOffset>
            </wp:positionH>
            <wp:positionV relativeFrom="paragraph">
              <wp:posOffset>-1127760</wp:posOffset>
            </wp:positionV>
            <wp:extent cx="110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extLst>
                    </a:blip>
                    <a:srcRect/>
                    <a:stretch>
                      <a:fillRect/>
                    </a:stretch>
                  </pic:blipFill>
                  <pic:spPr bwMode="auto">
                    <a:xfrm>
                      <a:off x="0" y="0"/>
                      <a:ext cx="110490" cy="889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color w:val="0000FF"/>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incorporated herein by reference shall be deemed to be modified or superseded for the purpose of this Registration Statement to the extent that a statement contained herein or in any subsequently filed document which also is, or is deemed to be, incorporated herein by reference modifies or supersedes such statement. Any such statement so modified or superseded shall not be deemed, except as so modified or superseded, to constitute a part of this Registration Statement.</w:t>
      </w:r>
    </w:p>
    <w:p>
      <w:pPr>
        <w:spacing w:after="0" w:line="200" w:lineRule="exact"/>
        <w:rPr>
          <w:rFonts w:ascii="Times New Roman" w:cs="Times New Roman" w:eastAsia="Times New Roman" w:hAnsi="Times New Roman"/>
          <w:sz w:val="18"/>
          <w:szCs w:val="18"/>
          <w:color w:val="0000FF"/>
        </w:rPr>
      </w:pPr>
    </w:p>
    <w:p>
      <w:pPr>
        <w:spacing w:after="0" w:line="204"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981" w:right="359"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3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8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3"/>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77"/>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30">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Restated Certificate of Incorporation of the Registrant (incorporated herein by reference to Exhibit 3.1 of the Registrant’s</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Current Report on Form 8-K (File No. 001-37798) filed on June 29, 2016).</w:t>
            </w:r>
          </w:p>
        </w:tc>
      </w:tr>
      <w:tr>
        <w:trPr>
          <w:trHeight w:val="194"/>
        </w:trPr>
        <w:tc>
          <w:tcPr>
            <w:tcW w:w="260" w:type="dxa"/>
            <w:vAlign w:val="bottom"/>
            <w:gridSpan w:val="2"/>
          </w:tcPr>
          <w:p>
            <w:pPr>
              <w:ind w:left="20"/>
              <w:spacing w:after="0" w:line="194" w:lineRule="exact"/>
              <w:rPr>
                <w:rFonts w:ascii="Times New Roman" w:cs="Times New Roman" w:eastAsia="Times New Roman" w:hAnsi="Times New Roman"/>
                <w:sz w:val="18"/>
                <w:szCs w:val="18"/>
                <w:color w:val="0000FF"/>
                <w:w w:val="97"/>
              </w:rPr>
            </w:pPr>
            <w:hyperlink r:id="rId31">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Certificate of Amendment to the Restated Certificate of Incorporation (incorporated herein by reference to Exhibit 3.1 of</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the Registrant’s Current Report on Form 8-K (File No. 001-37798) filed on June 21, 2022).</w:t>
            </w:r>
          </w:p>
        </w:tc>
      </w:tr>
      <w:tr>
        <w:trPr>
          <w:trHeight w:val="194"/>
        </w:trPr>
        <w:tc>
          <w:tcPr>
            <w:tcW w:w="260" w:type="dxa"/>
            <w:vAlign w:val="bottom"/>
            <w:gridSpan w:val="2"/>
          </w:tcPr>
          <w:p>
            <w:pPr>
              <w:ind w:left="20"/>
              <w:spacing w:after="0" w:line="194" w:lineRule="exact"/>
              <w:rPr>
                <w:rFonts w:ascii="Times New Roman" w:cs="Times New Roman" w:eastAsia="Times New Roman" w:hAnsi="Times New Roman"/>
                <w:sz w:val="18"/>
                <w:szCs w:val="18"/>
                <w:color w:val="0000FF"/>
                <w:w w:val="97"/>
              </w:rPr>
            </w:pPr>
            <w:hyperlink r:id="rId32">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3</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Certificate of Amendment to the Restated Certificate of Incorporation (incorporated herein by reference to Exhibit 3.3 of</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the Registrant’s Current Report on Form 8-K (File No. 001-37798) filed on November 13, 2023).</w:t>
            </w:r>
          </w:p>
        </w:tc>
      </w:tr>
      <w:tr>
        <w:trPr>
          <w:trHeight w:val="194"/>
        </w:trPr>
        <w:tc>
          <w:tcPr>
            <w:tcW w:w="260" w:type="dxa"/>
            <w:vAlign w:val="bottom"/>
            <w:gridSpan w:val="2"/>
          </w:tcPr>
          <w:p>
            <w:pPr>
              <w:ind w:left="20"/>
              <w:spacing w:after="0" w:line="194" w:lineRule="exact"/>
              <w:rPr>
                <w:rFonts w:ascii="Times New Roman" w:cs="Times New Roman" w:eastAsia="Times New Roman" w:hAnsi="Times New Roman"/>
                <w:sz w:val="18"/>
                <w:szCs w:val="18"/>
                <w:color w:val="0000FF"/>
                <w:w w:val="97"/>
              </w:rPr>
            </w:pPr>
            <w:hyperlink r:id="rId33">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4</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Certificate of Amendment to the Restated Certificate of Incorporation (incorporated herein by reference to Exhibit 3.2 of</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the Registrant’s Current Report on Form 8-K (File No. 001-37798) filed on March 28, 2024).</w:t>
            </w:r>
          </w:p>
        </w:tc>
      </w:tr>
      <w:tr>
        <w:trPr>
          <w:trHeight w:val="194"/>
        </w:trPr>
        <w:tc>
          <w:tcPr>
            <w:tcW w:w="260" w:type="dxa"/>
            <w:vAlign w:val="bottom"/>
            <w:gridSpan w:val="2"/>
          </w:tcPr>
          <w:p>
            <w:pPr>
              <w:ind w:left="20"/>
              <w:spacing w:after="0" w:line="194" w:lineRule="exact"/>
              <w:rPr>
                <w:rFonts w:ascii="Times New Roman" w:cs="Times New Roman" w:eastAsia="Times New Roman" w:hAnsi="Times New Roman"/>
                <w:sz w:val="18"/>
                <w:szCs w:val="18"/>
                <w:color w:val="0000FF"/>
                <w:w w:val="97"/>
              </w:rPr>
            </w:pPr>
            <w:hyperlink r:id="rId34">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5</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Amended and Restated By-laws of the Registrant (incorporated herein by reference to Exhibit 3.2 of the Registrant’s</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Quarterly Report on Form 10-Q (File No. 001-37798) filed on November 13, 2023).</w:t>
            </w:r>
          </w:p>
        </w:tc>
      </w:tr>
      <w:tr>
        <w:trPr>
          <w:trHeight w:val="194"/>
        </w:trPr>
        <w:tc>
          <w:tcPr>
            <w:tcW w:w="260" w:type="dxa"/>
            <w:vAlign w:val="bottom"/>
            <w:gridSpan w:val="2"/>
          </w:tcPr>
          <w:p>
            <w:pPr>
              <w:ind w:left="20"/>
              <w:spacing w:after="0" w:line="194" w:lineRule="exact"/>
              <w:rPr>
                <w:rFonts w:ascii="Times New Roman" w:cs="Times New Roman" w:eastAsia="Times New Roman" w:hAnsi="Times New Roman"/>
                <w:sz w:val="18"/>
                <w:szCs w:val="18"/>
                <w:color w:val="0000FF"/>
                <w:w w:val="97"/>
              </w:rPr>
            </w:pPr>
            <w:hyperlink r:id="rId35">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Specimen Stock Certificate evidencing the shares of common stock (incorporated herein by reference to Exhibit 4.1 to the</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Registrant’s Annual Report on Form 10-K (File No. 001-37798) filed on March 13, 2025.</w:t>
            </w:r>
          </w:p>
        </w:tc>
      </w:tr>
      <w:tr>
        <w:trPr>
          <w:trHeight w:val="194"/>
        </w:trPr>
        <w:tc>
          <w:tcPr>
            <w:tcW w:w="20" w:type="dxa"/>
            <w:vAlign w:val="bottom"/>
          </w:tcPr>
          <w:p>
            <w:pPr>
              <w:spacing w:after="0"/>
              <w:rPr>
                <w:sz w:val="16"/>
                <w:szCs w:val="16"/>
                <w:color w:val="auto"/>
              </w:rPr>
            </w:pPr>
          </w:p>
        </w:tc>
        <w:tc>
          <w:tcPr>
            <w:tcW w:w="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5"/>
              </w:rPr>
              <w:t>5.</w:t>
            </w:r>
            <w:r>
              <w:rPr>
                <w:rFonts w:ascii="Times New Roman" w:cs="Times New Roman" w:eastAsia="Times New Roman" w:hAnsi="Times New Roman"/>
                <w:sz w:val="18"/>
                <w:szCs w:val="18"/>
                <w:u w:val="single" w:color="auto"/>
                <w:color w:val="0000FF"/>
                <w:w w:val="95"/>
              </w:rPr>
              <w:t>1</w:t>
            </w:r>
            <w:r>
              <w:rPr>
                <w:rFonts w:ascii="Times New Roman" w:cs="Times New Roman" w:eastAsia="Times New Roman" w:hAnsi="Times New Roman"/>
                <w:sz w:val="18"/>
                <w:szCs w:val="18"/>
                <w:color w:val="000000"/>
                <w:w w:val="95"/>
              </w:rPr>
              <w:t>*</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Opinion of Covington &amp; Burling LLP.</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1</w:t>
            </w:r>
            <w:r>
              <w:rPr>
                <w:rFonts w:ascii="Times New Roman" w:cs="Times New Roman" w:eastAsia="Times New Roman" w:hAnsi="Times New Roman"/>
                <w:sz w:val="18"/>
                <w:szCs w:val="18"/>
                <w:color w:val="000000"/>
                <w:w w:val="98"/>
              </w:rPr>
              <w:t>*</w:t>
            </w:r>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Consent of Ernst &amp; Young LLP, the Registrant's independent registered public accounting firm.</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2</w:t>
            </w:r>
            <w:r>
              <w:rPr>
                <w:rFonts w:ascii="Times New Roman" w:cs="Times New Roman" w:eastAsia="Times New Roman" w:hAnsi="Times New Roman"/>
                <w:sz w:val="18"/>
                <w:szCs w:val="18"/>
                <w:color w:val="000000"/>
                <w:w w:val="98"/>
              </w:rPr>
              <w:t>*</w:t>
            </w:r>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Consent of Covington &amp; Burling LLP (included in Exhibit 5.1).</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24.1*</w:t>
            </w:r>
          </w:p>
        </w:tc>
        <w:tc>
          <w:tcPr>
            <w:tcW w:w="1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Power of Attorney (included on the signature pages of this Registration Statement).</w:t>
            </w:r>
          </w:p>
        </w:tc>
      </w:tr>
      <w:tr>
        <w:trPr>
          <w:trHeight w:val="194"/>
        </w:trPr>
        <w:tc>
          <w:tcPr>
            <w:tcW w:w="340" w:type="dxa"/>
            <w:vAlign w:val="bottom"/>
            <w:gridSpan w:val="3"/>
          </w:tcPr>
          <w:p>
            <w:pPr>
              <w:ind w:left="20"/>
              <w:spacing w:after="0" w:line="194" w:lineRule="exact"/>
              <w:rPr>
                <w:rFonts w:ascii="Times New Roman" w:cs="Times New Roman" w:eastAsia="Times New Roman" w:hAnsi="Times New Roman"/>
                <w:sz w:val="18"/>
                <w:szCs w:val="18"/>
                <w:color w:val="0000FF"/>
                <w:w w:val="95"/>
              </w:rPr>
            </w:pPr>
            <w:hyperlink r:id="rId36">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hyperlink>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Cartesian Therapeutics, Inc. Amended and Restated 2016 Incentive Award Plan, and forms of award agreements</w:t>
            </w:r>
          </w:p>
        </w:tc>
      </w:tr>
      <w:tr>
        <w:trPr>
          <w:trHeight w:val="151"/>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60" w:type="dxa"/>
            <w:vAlign w:val="bottom"/>
          </w:tcPr>
          <w:p>
            <w:pPr>
              <w:spacing w:after="0" w:line="150" w:lineRule="exact"/>
              <w:rPr>
                <w:sz w:val="20"/>
                <w:szCs w:val="20"/>
                <w:color w:val="auto"/>
              </w:rPr>
            </w:pPr>
            <w:r>
              <w:rPr>
                <w:rFonts w:ascii="Times New Roman" w:cs="Times New Roman" w:eastAsia="Times New Roman" w:hAnsi="Times New Roman"/>
                <w:sz w:val="17"/>
                <w:szCs w:val="17"/>
                <w:color w:val="auto"/>
              </w:rPr>
              <w:t>thereunder (incorporated herein by reference to Exhibit 10.1 of the Registrant’s Registration Statement on Form S-1 (File</w:t>
            </w: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No. 333-281204) filed on August 2, 2024).</w:t>
            </w:r>
          </w:p>
        </w:tc>
      </w:tr>
      <w:tr>
        <w:trPr>
          <w:trHeight w:val="194"/>
        </w:trPr>
        <w:tc>
          <w:tcPr>
            <w:tcW w:w="340" w:type="dxa"/>
            <w:vAlign w:val="bottom"/>
            <w:gridSpan w:val="3"/>
          </w:tcPr>
          <w:p>
            <w:pPr>
              <w:ind w:left="20"/>
              <w:spacing w:after="0" w:line="194" w:lineRule="exact"/>
              <w:rPr>
                <w:rFonts w:ascii="Times New Roman" w:cs="Times New Roman" w:eastAsia="Times New Roman" w:hAnsi="Times New Roman"/>
                <w:sz w:val="18"/>
                <w:szCs w:val="18"/>
                <w:color w:val="0000FF"/>
                <w:w w:val="95"/>
              </w:rPr>
            </w:pPr>
            <w:hyperlink r:id="rId37">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2</w:t>
              </w:r>
            </w:hyperlink>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Cartesian Therapeutics, Inc. Amended and Restated 2018 Employment Inducement Incentive Award Plan, and forms of</w:t>
            </w:r>
          </w:p>
        </w:tc>
      </w:tr>
      <w:tr>
        <w:trPr>
          <w:trHeight w:val="151"/>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60" w:type="dxa"/>
            <w:vAlign w:val="bottom"/>
          </w:tcPr>
          <w:p>
            <w:pPr>
              <w:spacing w:after="0" w:line="150" w:lineRule="exact"/>
              <w:rPr>
                <w:sz w:val="20"/>
                <w:szCs w:val="20"/>
                <w:color w:val="auto"/>
              </w:rPr>
            </w:pPr>
            <w:r>
              <w:rPr>
                <w:rFonts w:ascii="Times New Roman" w:cs="Times New Roman" w:eastAsia="Times New Roman" w:hAnsi="Times New Roman"/>
                <w:sz w:val="17"/>
                <w:szCs w:val="17"/>
                <w:color w:val="auto"/>
              </w:rPr>
              <w:t>award agreements thereunder (incorporated herein by reference to Exhibit 10.3 to the Registrant’s Annual Report on Form</w:t>
            </w: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10-K (File No. 001-37798) filed on March 13, 2025).</w:t>
            </w:r>
          </w:p>
        </w:tc>
      </w:tr>
      <w:tr>
        <w:trPr>
          <w:trHeight w:val="194"/>
        </w:trPr>
        <w:tc>
          <w:tcPr>
            <w:tcW w:w="20" w:type="dxa"/>
            <w:vAlign w:val="bottom"/>
          </w:tcPr>
          <w:p>
            <w:pPr>
              <w:spacing w:after="0"/>
              <w:rPr>
                <w:sz w:val="16"/>
                <w:szCs w:val="16"/>
                <w:color w:val="auto"/>
              </w:rPr>
            </w:pPr>
          </w:p>
        </w:tc>
        <w:tc>
          <w:tcPr>
            <w:tcW w:w="18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FF"/>
              </w:rPr>
              <w:t>107.</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540" w:type="dxa"/>
            <w:vAlign w:val="bottom"/>
          </w:tcPr>
          <w:p>
            <w:pPr>
              <w:spacing w:after="0"/>
              <w:rPr>
                <w:sz w:val="16"/>
                <w:szCs w:val="16"/>
                <w:color w:val="auto"/>
              </w:rPr>
            </w:pPr>
          </w:p>
        </w:tc>
        <w:tc>
          <w:tcPr>
            <w:tcW w:w="8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Filing fee table.</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06"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the requirements for filing on Form S-8 and has duly caused this registration statement to be signed on its behalf by the undersigned, thereunto duly authorized, in the City of Frederick, State of Maryland, as of May 8, 2025.</w:t>
      </w:r>
    </w:p>
    <w:p>
      <w:pPr>
        <w:spacing w:after="0" w:line="26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297" w:lineRule="exact"/>
        <w:rPr>
          <w:sz w:val="20"/>
          <w:szCs w:val="20"/>
          <w:color w:val="auto"/>
        </w:rPr>
      </w:pPr>
    </w:p>
    <w:p>
      <w:pPr>
        <w:ind w:left="6460"/>
        <w:spacing w:after="0"/>
        <w:tabs>
          <w:tab w:leader="none" w:pos="6940" w:val="left"/>
        </w:tabs>
        <w:rPr>
          <w:sz w:val="20"/>
          <w:szCs w:val="20"/>
          <w:color w:val="auto"/>
        </w:rPr>
      </w:pPr>
      <w:r>
        <w:rPr>
          <w:rFonts w:ascii="Times New Roman" w:cs="Times New Roman" w:eastAsia="Times New Roman" w:hAnsi="Times New Roman"/>
          <w:sz w:val="18"/>
          <w:szCs w:val="18"/>
          <w:color w:val="auto"/>
        </w:rPr>
        <w:t>By:</w:t>
        <w:tab/>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17145</wp:posOffset>
            </wp:positionV>
            <wp:extent cx="2726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765"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Each of the undersigned officers and directors of the registrant hereby severally constitutes and appoints Carsten Brunn, Ph.D. and Blaine Davis, and each of them singly (with full power to each of them to act alone), as his or her true and lawful attorneys-in-fact and agents, with full power of substitution and resubstitution in each of them, for him or her and in his or her name, place and stead, and in any and all capacities, to file and sign any and all amendments, including post-effective amendments, to this registration statement and any other registration statement for the same offering that is to be effective under Rule 462(b) of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329" w:lineRule="exact"/>
        <w:rPr>
          <w:sz w:val="20"/>
          <w:szCs w:val="20"/>
          <w:color w:val="auto"/>
        </w:rPr>
      </w:pPr>
    </w:p>
    <w:p>
      <w:pPr>
        <w:jc w:val="both"/>
        <w:ind w:firstLine="83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620" w:type="dxa"/>
            <w:vAlign w:val="bottom"/>
          </w:tcPr>
          <w:p>
            <w:pPr>
              <w:spacing w:after="0"/>
              <w:rPr>
                <w:sz w:val="17"/>
                <w:szCs w:val="17"/>
                <w:color w:val="auto"/>
              </w:rPr>
            </w:pPr>
          </w:p>
        </w:tc>
        <w:tc>
          <w:tcPr>
            <w:tcW w:w="52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720" w:type="dxa"/>
            <w:vAlign w:val="bottom"/>
          </w:tcPr>
          <w:p>
            <w:pPr>
              <w:spacing w:after="0"/>
              <w:rPr>
                <w:sz w:val="17"/>
                <w:szCs w:val="17"/>
                <w:color w:val="auto"/>
              </w:rPr>
            </w:pP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6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520"/>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Carsten Brunn, Ph.D.</w:t>
            </w:r>
          </w:p>
        </w:tc>
        <w:tc>
          <w:tcPr>
            <w:tcW w:w="52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President and Chief Executive Officer, and Director</w:t>
            </w:r>
          </w:p>
        </w:tc>
        <w:tc>
          <w:tcPr>
            <w:tcW w:w="13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May 8, 2025</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Carsten Brunn, Ph.D.</w:t>
            </w:r>
          </w:p>
        </w:tc>
        <w:tc>
          <w:tcPr>
            <w:tcW w:w="52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Blaine Davis</w:t>
            </w:r>
          </w:p>
        </w:tc>
        <w:tc>
          <w:tcPr>
            <w:tcW w:w="52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3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May 8, 2025</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Blaine Davis</w:t>
            </w:r>
          </w:p>
        </w:tc>
        <w:tc>
          <w:tcPr>
            <w:tcW w:w="52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Carrie S. Cox</w:t>
            </w:r>
          </w:p>
        </w:tc>
        <w:tc>
          <w:tcPr>
            <w:tcW w:w="52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Chairman of the Board</w:t>
            </w:r>
          </w:p>
        </w:tc>
        <w:tc>
          <w:tcPr>
            <w:tcW w:w="13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May 8, 2025</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Carrie S. Cox</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Timothy C. Barabe</w:t>
            </w:r>
          </w:p>
        </w:tc>
        <w:tc>
          <w:tcPr>
            <w:tcW w:w="5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May 8, 2025</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Timothy C. Barabe</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Nishan de Silva, M.D.</w:t>
            </w:r>
          </w:p>
        </w:tc>
        <w:tc>
          <w:tcPr>
            <w:tcW w:w="5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May 8, 2025</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Nishan de Silva, M.D.</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Murat Kalayoglu, M.D. Ph.D.</w:t>
            </w:r>
          </w:p>
        </w:tc>
        <w:tc>
          <w:tcPr>
            <w:tcW w:w="5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May 8, 2025</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Murat Kalayoglu, M.D. Ph.D.</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Kemal Malik, MBBS</w:t>
            </w:r>
          </w:p>
        </w:tc>
        <w:tc>
          <w:tcPr>
            <w:tcW w:w="5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May 8, 2025</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Kemal Malik, MBBS</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Michael Singer, M.D. Ph.D.</w:t>
            </w:r>
          </w:p>
        </w:tc>
        <w:tc>
          <w:tcPr>
            <w:tcW w:w="5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May 8, 2025</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Michael Singer, M.D. Ph.D.</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Timothy Springer, Ph.D.</w:t>
            </w:r>
          </w:p>
        </w:tc>
        <w:tc>
          <w:tcPr>
            <w:tcW w:w="5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May 8, 2025</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Timothy Springer, Ph.D.</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Patrick Zenner</w:t>
            </w:r>
          </w:p>
        </w:tc>
        <w:tc>
          <w:tcPr>
            <w:tcW w:w="5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May 8, 2025</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Patrick Zenner</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765" w:right="339" w:bottom="1440" w:gutter="0" w:footer="0" w:header="0"/>
        </w:sectPr>
      </w:pPr>
    </w:p>
    <w:bookmarkStart w:id="6" w:name="page7"/>
    <w:bookmarkEnd w:id="6"/>
    <w:p>
      <w:pPr>
        <w:ind w:left="10220"/>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1 - Newly Registered Securities</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260" w:type="dxa"/>
            <w:vAlign w:val="bottom"/>
            <w:tcBorders>
              <w:top w:val="single" w:sz="8" w:color="auto"/>
              <w:left w:val="single" w:sz="8" w:color="auto"/>
              <w:right w:val="single" w:sz="8" w:color="auto"/>
            </w:tcBorders>
          </w:tcPr>
          <w:p>
            <w:pPr>
              <w:spacing w:after="0"/>
              <w:rPr>
                <w:sz w:val="16"/>
                <w:szCs w:val="16"/>
                <w:color w:val="auto"/>
              </w:rPr>
            </w:pPr>
          </w:p>
        </w:tc>
        <w:tc>
          <w:tcPr>
            <w:tcW w:w="2060" w:type="dxa"/>
            <w:vAlign w:val="bottom"/>
            <w:tcBorders>
              <w:top w:val="single" w:sz="8" w:color="auto"/>
              <w:right w:val="single" w:sz="8" w:color="auto"/>
            </w:tcBorders>
          </w:tcPr>
          <w:p>
            <w:pPr>
              <w:spacing w:after="0"/>
              <w:rPr>
                <w:sz w:val="16"/>
                <w:szCs w:val="16"/>
                <w:color w:val="auto"/>
              </w:rPr>
            </w:pPr>
          </w:p>
        </w:tc>
        <w:tc>
          <w:tcPr>
            <w:tcW w:w="1260" w:type="dxa"/>
            <w:vAlign w:val="bottom"/>
            <w:tcBorders>
              <w:top w:val="single" w:sz="8" w:color="auto"/>
              <w:right w:val="single" w:sz="8" w:color="auto"/>
            </w:tcBorders>
          </w:tcPr>
          <w:p>
            <w:pPr>
              <w:spacing w:after="0"/>
              <w:rPr>
                <w:sz w:val="16"/>
                <w:szCs w:val="16"/>
                <w:color w:val="auto"/>
              </w:rPr>
            </w:pPr>
          </w:p>
        </w:tc>
        <w:tc>
          <w:tcPr>
            <w:tcW w:w="13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4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Proposed</w:t>
            </w:r>
          </w:p>
        </w:tc>
        <w:tc>
          <w:tcPr>
            <w:tcW w:w="148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Proposed</w:t>
            </w:r>
          </w:p>
        </w:tc>
        <w:tc>
          <w:tcPr>
            <w:tcW w:w="1260" w:type="dxa"/>
            <w:vAlign w:val="bottom"/>
            <w:tcBorders>
              <w:top w:val="single" w:sz="8" w:color="auto"/>
              <w:right w:val="single" w:sz="8" w:color="auto"/>
            </w:tcBorders>
          </w:tcPr>
          <w:p>
            <w:pPr>
              <w:spacing w:after="0"/>
              <w:rPr>
                <w:sz w:val="16"/>
                <w:szCs w:val="16"/>
                <w:color w:val="auto"/>
              </w:rPr>
            </w:pPr>
          </w:p>
        </w:tc>
        <w:tc>
          <w:tcPr>
            <w:tcW w:w="14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81"/>
        </w:trPr>
        <w:tc>
          <w:tcPr>
            <w:tcW w:w="1260" w:type="dxa"/>
            <w:vAlign w:val="bottom"/>
            <w:tcBorders>
              <w:left w:val="single" w:sz="8" w:color="auto"/>
              <w:right w:val="single" w:sz="8" w:color="auto"/>
            </w:tcBorders>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Fee Calculation</w:t>
            </w:r>
          </w:p>
        </w:tc>
        <w:tc>
          <w:tcPr>
            <w:tcW w:w="130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48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26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260" w:type="dxa"/>
            <w:vAlign w:val="bottom"/>
            <w:tcBorders>
              <w:left w:val="single" w:sz="8" w:color="auto"/>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Security Type</w:t>
            </w:r>
          </w:p>
        </w:tc>
        <w:tc>
          <w:tcPr>
            <w:tcW w:w="206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Security Class Title</w:t>
            </w:r>
          </w:p>
        </w:tc>
        <w:tc>
          <w:tcPr>
            <w:tcW w:w="1260" w:type="dxa"/>
            <w:vAlign w:val="bottom"/>
            <w:tcBorders>
              <w:right w:val="single" w:sz="8" w:color="auto"/>
            </w:tcBorders>
            <w:vMerge w:val="continue"/>
          </w:tcPr>
          <w:p>
            <w:pPr>
              <w:spacing w:after="0"/>
              <w:rPr>
                <w:sz w:val="8"/>
                <w:szCs w:val="8"/>
                <w:color w:val="auto"/>
              </w:rPr>
            </w:pPr>
          </w:p>
        </w:tc>
        <w:tc>
          <w:tcPr>
            <w:tcW w:w="130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to be</w:t>
            </w:r>
          </w:p>
        </w:tc>
        <w:tc>
          <w:tcPr>
            <w:tcW w:w="124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Fee Rate</w:t>
            </w:r>
          </w:p>
        </w:tc>
        <w:tc>
          <w:tcPr>
            <w:tcW w:w="140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Registration</w:t>
            </w:r>
          </w:p>
        </w:tc>
        <w:tc>
          <w:tcPr>
            <w:tcW w:w="0" w:type="dxa"/>
            <w:vAlign w:val="bottom"/>
          </w:tcPr>
          <w:p>
            <w:pPr>
              <w:spacing w:after="0"/>
              <w:rPr>
                <w:sz w:val="1"/>
                <w:szCs w:val="1"/>
                <w:color w:val="auto"/>
              </w:rPr>
            </w:pPr>
          </w:p>
        </w:tc>
      </w:tr>
      <w:tr>
        <w:trPr>
          <w:trHeight w:val="94"/>
        </w:trPr>
        <w:tc>
          <w:tcPr>
            <w:tcW w:w="1260" w:type="dxa"/>
            <w:vAlign w:val="bottom"/>
            <w:tcBorders>
              <w:left w:val="single" w:sz="8" w:color="auto"/>
              <w:right w:val="single" w:sz="8" w:color="auto"/>
            </w:tcBorders>
            <w:vMerge w:val="continue"/>
          </w:tcPr>
          <w:p>
            <w:pPr>
              <w:spacing w:after="0"/>
              <w:rPr>
                <w:sz w:val="8"/>
                <w:szCs w:val="8"/>
                <w:color w:val="auto"/>
              </w:rPr>
            </w:pPr>
          </w:p>
        </w:tc>
        <w:tc>
          <w:tcPr>
            <w:tcW w:w="206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30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260" w:type="dxa"/>
            <w:vAlign w:val="bottom"/>
            <w:tcBorders>
              <w:right w:val="single" w:sz="8" w:color="auto"/>
            </w:tcBorders>
            <w:vMerge w:val="continue"/>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13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Registered </w:t>
            </w:r>
            <w:r>
              <w:rPr>
                <w:rFonts w:ascii="Times New Roman" w:cs="Times New Roman" w:eastAsia="Times New Roman" w:hAnsi="Times New Roman"/>
                <w:sz w:val="18"/>
                <w:szCs w:val="18"/>
                <w:b w:val="1"/>
                <w:bCs w:val="1"/>
                <w:color w:val="auto"/>
                <w:vertAlign w:val="superscript"/>
              </w:rPr>
              <w:t>(1)</w:t>
            </w:r>
          </w:p>
        </w:tc>
        <w:tc>
          <w:tcPr>
            <w:tcW w:w="1240" w:type="dxa"/>
            <w:vAlign w:val="bottom"/>
            <w:tcBorders>
              <w:right w:val="single" w:sz="8" w:color="auto"/>
            </w:tcBorders>
            <w:vMerge w:val="continue"/>
          </w:tcPr>
          <w:p>
            <w:pPr>
              <w:spacing w:after="0"/>
              <w:rPr>
                <w:sz w:val="14"/>
                <w:szCs w:val="14"/>
                <w:color w:val="auto"/>
              </w:rPr>
            </w:pPr>
          </w:p>
        </w:tc>
        <w:tc>
          <w:tcPr>
            <w:tcW w:w="148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w w:val="96"/>
              </w:rPr>
              <w:t>Fee</w:t>
            </w: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w w:val="99"/>
              </w:rPr>
              <w:t>Per Share</w:t>
            </w:r>
          </w:p>
        </w:tc>
        <w:tc>
          <w:tcPr>
            <w:tcW w:w="1480" w:type="dxa"/>
            <w:vAlign w:val="bottom"/>
            <w:tcBorders>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26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Equity</w:t>
            </w:r>
          </w:p>
        </w:tc>
        <w:tc>
          <w:tcPr>
            <w:tcW w:w="20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w:t>
            </w:r>
          </w:p>
        </w:tc>
        <w:tc>
          <w:tcPr>
            <w:tcW w:w="12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Rules 457(c)</w:t>
            </w:r>
          </w:p>
        </w:tc>
        <w:tc>
          <w:tcPr>
            <w:tcW w:w="1300" w:type="dxa"/>
            <w:vAlign w:val="bottom"/>
            <w:tcBorders>
              <w:right w:val="single" w:sz="8" w:color="auto"/>
            </w:tcBorders>
          </w:tcPr>
          <w:p>
            <w:pPr>
              <w:jc w:val="center"/>
              <w:ind w:right="117"/>
              <w:spacing w:after="0" w:line="191" w:lineRule="exact"/>
              <w:rPr>
                <w:sz w:val="20"/>
                <w:szCs w:val="20"/>
                <w:color w:val="auto"/>
              </w:rPr>
            </w:pPr>
            <w:r>
              <w:rPr>
                <w:rFonts w:ascii="Times New Roman" w:cs="Times New Roman" w:eastAsia="Times New Roman" w:hAnsi="Times New Roman"/>
                <w:sz w:val="17"/>
                <w:szCs w:val="17"/>
                <w:color w:val="auto"/>
              </w:rPr>
              <w:t xml:space="preserve">1,030,694 </w:t>
            </w:r>
            <w:r>
              <w:rPr>
                <w:rFonts w:ascii="Times New Roman" w:cs="Times New Roman" w:eastAsia="Times New Roman" w:hAnsi="Times New Roman"/>
                <w:sz w:val="22"/>
                <w:szCs w:val="22"/>
                <w:color w:val="auto"/>
                <w:vertAlign w:val="superscript"/>
              </w:rPr>
              <w:t>(2)</w:t>
            </w:r>
          </w:p>
        </w:tc>
        <w:tc>
          <w:tcPr>
            <w:tcW w:w="12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w w:val="96"/>
              </w:rPr>
              <w:t xml:space="preserve">$12.48 </w:t>
            </w:r>
            <w:r>
              <w:rPr>
                <w:rFonts w:ascii="Times New Roman" w:cs="Times New Roman" w:eastAsia="Times New Roman" w:hAnsi="Times New Roman"/>
                <w:sz w:val="22"/>
                <w:szCs w:val="22"/>
                <w:color w:val="auto"/>
                <w:w w:val="96"/>
                <w:vertAlign w:val="superscript"/>
              </w:rPr>
              <w:t>(3)</w:t>
            </w:r>
          </w:p>
        </w:tc>
        <w:tc>
          <w:tcPr>
            <w:tcW w:w="14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$12,863,061.12</w:t>
            </w:r>
          </w:p>
        </w:tc>
        <w:tc>
          <w:tcPr>
            <w:tcW w:w="12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$153.10 per</w:t>
            </w:r>
          </w:p>
        </w:tc>
        <w:tc>
          <w:tcPr>
            <w:tcW w:w="14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$1,969.33</w:t>
            </w: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right w:val="single" w:sz="8" w:color="auto"/>
            </w:tcBorders>
          </w:tcPr>
          <w:p>
            <w:pPr>
              <w:spacing w:after="0"/>
              <w:rPr>
                <w:sz w:val="17"/>
                <w:szCs w:val="17"/>
                <w:color w:val="auto"/>
              </w:rPr>
            </w:pPr>
          </w:p>
        </w:tc>
        <w:tc>
          <w:tcPr>
            <w:tcW w:w="20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$0.0001 per share, to be</w:t>
            </w:r>
          </w:p>
        </w:tc>
        <w:tc>
          <w:tcPr>
            <w:tcW w:w="12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and 457(h)</w:t>
            </w:r>
          </w:p>
        </w:tc>
        <w:tc>
          <w:tcPr>
            <w:tcW w:w="13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$1,000,000</w:t>
            </w: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right w:val="single" w:sz="8" w:color="auto"/>
            </w:tcBorders>
          </w:tcPr>
          <w:p>
            <w:pPr>
              <w:spacing w:after="0"/>
              <w:rPr>
                <w:sz w:val="16"/>
                <w:szCs w:val="16"/>
                <w:color w:val="auto"/>
              </w:rPr>
            </w:pPr>
          </w:p>
        </w:tc>
        <w:tc>
          <w:tcPr>
            <w:tcW w:w="20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issued under the</w:t>
            </w:r>
          </w:p>
        </w:tc>
        <w:tc>
          <w:tcPr>
            <w:tcW w:w="126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right w:val="single" w:sz="8" w:color="auto"/>
            </w:tcBorders>
          </w:tcPr>
          <w:p>
            <w:pPr>
              <w:spacing w:after="0"/>
              <w:rPr>
                <w:sz w:val="17"/>
                <w:szCs w:val="17"/>
                <w:color w:val="auto"/>
              </w:rPr>
            </w:pPr>
          </w:p>
        </w:tc>
        <w:tc>
          <w:tcPr>
            <w:tcW w:w="20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Registrant’s Amended and</w:t>
            </w:r>
          </w:p>
        </w:tc>
        <w:tc>
          <w:tcPr>
            <w:tcW w:w="126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right w:val="single" w:sz="8" w:color="auto"/>
            </w:tcBorders>
          </w:tcPr>
          <w:p>
            <w:pPr>
              <w:spacing w:after="0"/>
              <w:rPr>
                <w:sz w:val="17"/>
                <w:szCs w:val="17"/>
                <w:color w:val="auto"/>
              </w:rPr>
            </w:pPr>
          </w:p>
        </w:tc>
        <w:tc>
          <w:tcPr>
            <w:tcW w:w="20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Restated 2016 Incentive</w:t>
            </w:r>
          </w:p>
        </w:tc>
        <w:tc>
          <w:tcPr>
            <w:tcW w:w="126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60" w:type="dxa"/>
            <w:vAlign w:val="bottom"/>
            <w:tcBorders>
              <w:left w:val="single" w:sz="8" w:color="auto"/>
              <w:right w:val="single" w:sz="8" w:color="auto"/>
            </w:tcBorders>
          </w:tcPr>
          <w:p>
            <w:pPr>
              <w:spacing w:after="0"/>
              <w:rPr>
                <w:sz w:val="20"/>
                <w:szCs w:val="20"/>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Award Plan</w:t>
            </w:r>
          </w:p>
        </w:tc>
        <w:tc>
          <w:tcPr>
            <w:tcW w:w="126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Equity</w:t>
            </w:r>
          </w:p>
        </w:tc>
        <w:tc>
          <w:tcPr>
            <w:tcW w:w="20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Common Stock, par value</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Rules 457(c)</w:t>
            </w:r>
          </w:p>
        </w:tc>
        <w:tc>
          <w:tcPr>
            <w:tcW w:w="1300" w:type="dxa"/>
            <w:vAlign w:val="bottom"/>
            <w:tcBorders>
              <w:right w:val="single" w:sz="8" w:color="auto"/>
            </w:tcBorders>
          </w:tcPr>
          <w:p>
            <w:pPr>
              <w:jc w:val="center"/>
              <w:ind w:right="177"/>
              <w:spacing w:after="0" w:line="169" w:lineRule="exact"/>
              <w:rPr>
                <w:sz w:val="20"/>
                <w:szCs w:val="20"/>
                <w:color w:val="auto"/>
              </w:rPr>
            </w:pPr>
            <w:r>
              <w:rPr>
                <w:rFonts w:ascii="Times New Roman" w:cs="Times New Roman" w:eastAsia="Times New Roman" w:hAnsi="Times New Roman"/>
                <w:sz w:val="15"/>
                <w:szCs w:val="15"/>
                <w:color w:val="auto"/>
              </w:rPr>
              <w:t xml:space="preserve">450,000 </w:t>
            </w:r>
            <w:r>
              <w:rPr>
                <w:rFonts w:ascii="Times New Roman" w:cs="Times New Roman" w:eastAsia="Times New Roman" w:hAnsi="Times New Roman"/>
                <w:sz w:val="19"/>
                <w:szCs w:val="19"/>
                <w:color w:val="auto"/>
                <w:vertAlign w:val="superscript"/>
              </w:rPr>
              <w:t>(4)</w:t>
            </w:r>
          </w:p>
        </w:tc>
        <w:tc>
          <w:tcPr>
            <w:tcW w:w="12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5"/>
                <w:szCs w:val="15"/>
                <w:color w:val="auto"/>
              </w:rPr>
              <w:t xml:space="preserve">$12.48 </w:t>
            </w:r>
            <w:r>
              <w:rPr>
                <w:rFonts w:ascii="Times New Roman" w:cs="Times New Roman" w:eastAsia="Times New Roman" w:hAnsi="Times New Roman"/>
                <w:sz w:val="19"/>
                <w:szCs w:val="19"/>
                <w:color w:val="auto"/>
                <w:vertAlign w:val="superscript"/>
              </w:rPr>
              <w:t>(3)</w:t>
            </w:r>
          </w:p>
        </w:tc>
        <w:tc>
          <w:tcPr>
            <w:tcW w:w="14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$5,616,000.00</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$153.10 per</w:t>
            </w:r>
          </w:p>
        </w:tc>
        <w:tc>
          <w:tcPr>
            <w:tcW w:w="14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$859.81</w:t>
            </w:r>
          </w:p>
        </w:tc>
        <w:tc>
          <w:tcPr>
            <w:tcW w:w="0" w:type="dxa"/>
            <w:vAlign w:val="bottom"/>
          </w:tcPr>
          <w:p>
            <w:pPr>
              <w:spacing w:after="0"/>
              <w:rPr>
                <w:sz w:val="1"/>
                <w:szCs w:val="1"/>
                <w:color w:val="auto"/>
              </w:rPr>
            </w:pPr>
          </w:p>
        </w:tc>
      </w:tr>
      <w:tr>
        <w:trPr>
          <w:trHeight w:val="225"/>
        </w:trPr>
        <w:tc>
          <w:tcPr>
            <w:tcW w:w="1260" w:type="dxa"/>
            <w:vAlign w:val="bottom"/>
            <w:tcBorders>
              <w:left w:val="single" w:sz="8" w:color="auto"/>
              <w:right w:val="single" w:sz="8" w:color="auto"/>
            </w:tcBorders>
          </w:tcPr>
          <w:p>
            <w:pPr>
              <w:spacing w:after="0"/>
              <w:rPr>
                <w:sz w:val="19"/>
                <w:szCs w:val="19"/>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 per share, to be</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457(h)</w:t>
            </w:r>
          </w:p>
        </w:tc>
        <w:tc>
          <w:tcPr>
            <w:tcW w:w="130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right w:val="single" w:sz="8" w:color="auto"/>
            </w:tcBorders>
          </w:tcPr>
          <w:p>
            <w:pPr>
              <w:spacing w:after="0"/>
              <w:rPr>
                <w:sz w:val="16"/>
                <w:szCs w:val="16"/>
                <w:color w:val="auto"/>
              </w:rPr>
            </w:pPr>
          </w:p>
        </w:tc>
        <w:tc>
          <w:tcPr>
            <w:tcW w:w="20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issued under the</w:t>
            </w:r>
          </w:p>
        </w:tc>
        <w:tc>
          <w:tcPr>
            <w:tcW w:w="126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right w:val="single" w:sz="8" w:color="auto"/>
            </w:tcBorders>
          </w:tcPr>
          <w:p>
            <w:pPr>
              <w:spacing w:after="0"/>
              <w:rPr>
                <w:sz w:val="17"/>
                <w:szCs w:val="17"/>
                <w:color w:val="auto"/>
              </w:rPr>
            </w:pPr>
          </w:p>
        </w:tc>
        <w:tc>
          <w:tcPr>
            <w:tcW w:w="20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Registrant’s Amended and</w:t>
            </w:r>
          </w:p>
        </w:tc>
        <w:tc>
          <w:tcPr>
            <w:tcW w:w="126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right w:val="single" w:sz="8" w:color="auto"/>
            </w:tcBorders>
          </w:tcPr>
          <w:p>
            <w:pPr>
              <w:spacing w:after="0"/>
              <w:rPr>
                <w:sz w:val="17"/>
                <w:szCs w:val="17"/>
                <w:color w:val="auto"/>
              </w:rPr>
            </w:pPr>
          </w:p>
        </w:tc>
        <w:tc>
          <w:tcPr>
            <w:tcW w:w="20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Restated 2018 Employment</w:t>
            </w:r>
          </w:p>
        </w:tc>
        <w:tc>
          <w:tcPr>
            <w:tcW w:w="126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60" w:type="dxa"/>
            <w:vAlign w:val="bottom"/>
            <w:tcBorders>
              <w:left w:val="single" w:sz="8" w:color="auto"/>
              <w:right w:val="single" w:sz="8" w:color="auto"/>
            </w:tcBorders>
          </w:tcPr>
          <w:p>
            <w:pPr>
              <w:spacing w:after="0"/>
              <w:rPr>
                <w:sz w:val="20"/>
                <w:szCs w:val="20"/>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Inducement Award Plan</w:t>
            </w:r>
          </w:p>
        </w:tc>
        <w:tc>
          <w:tcPr>
            <w:tcW w:w="126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tcPr>
          <w:p>
            <w:pPr>
              <w:spacing w:after="0"/>
              <w:rPr>
                <w:sz w:val="19"/>
                <w:szCs w:val="19"/>
                <w:color w:val="auto"/>
              </w:rPr>
            </w:pPr>
          </w:p>
        </w:tc>
        <w:tc>
          <w:tcPr>
            <w:tcW w:w="3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130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$18,479,061.12</w:t>
            </w:r>
          </w:p>
        </w:tc>
        <w:tc>
          <w:tcPr>
            <w:tcW w:w="12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$2,829.14</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tcPr>
          <w:p>
            <w:pPr>
              <w:spacing w:after="0"/>
              <w:rPr>
                <w:sz w:val="19"/>
                <w:szCs w:val="19"/>
                <w:color w:val="auto"/>
              </w:rPr>
            </w:pPr>
          </w:p>
        </w:tc>
        <w:tc>
          <w:tcPr>
            <w:tcW w:w="3320" w:type="dxa"/>
            <w:vAlign w:val="bottom"/>
            <w:tcBorders>
              <w:bottom w:val="single" w:sz="8" w:color="auto"/>
            </w:tcBorders>
            <w:gridSpan w:val="2"/>
          </w:tcPr>
          <w:p>
            <w:pPr>
              <w:jc w:val="center"/>
              <w:spacing w:after="0" w:line="223" w:lineRule="exact"/>
              <w:rPr>
                <w:sz w:val="20"/>
                <w:szCs w:val="20"/>
                <w:color w:val="auto"/>
              </w:rPr>
            </w:pPr>
            <w:r>
              <w:rPr>
                <w:rFonts w:ascii="Times New Roman" w:cs="Times New Roman" w:eastAsia="Times New Roman" w:hAnsi="Times New Roman"/>
                <w:sz w:val="18"/>
                <w:szCs w:val="18"/>
                <w:color w:val="auto"/>
                <w:w w:val="94"/>
              </w:rPr>
              <w:t xml:space="preserve">Total Fee Offsets </w:t>
            </w:r>
            <w:r>
              <w:rPr>
                <w:rFonts w:ascii="Times New Roman" w:cs="Times New Roman" w:eastAsia="Times New Roman" w:hAnsi="Times New Roman"/>
                <w:sz w:val="23"/>
                <w:szCs w:val="23"/>
                <w:color w:val="auto"/>
                <w:w w:val="94"/>
                <w:vertAlign w:val="superscript"/>
              </w:rPr>
              <w:t>(5)</w:t>
            </w:r>
          </w:p>
        </w:tc>
        <w:tc>
          <w:tcPr>
            <w:tcW w:w="130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tcPr>
          <w:p>
            <w:pPr>
              <w:spacing w:after="0"/>
              <w:rPr>
                <w:sz w:val="19"/>
                <w:szCs w:val="19"/>
                <w:color w:val="auto"/>
              </w:rPr>
            </w:pPr>
          </w:p>
        </w:tc>
        <w:tc>
          <w:tcPr>
            <w:tcW w:w="3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Net Fee Due</w:t>
            </w:r>
          </w:p>
        </w:tc>
        <w:tc>
          <w:tcPr>
            <w:tcW w:w="130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$2,829.14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660" w:right="140" w:hanging="328"/>
        <w:spacing w:after="0" w:line="242"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416 under the Securities Act of 1933, as amended (the “Securities Act”), this registration statement (this “Registration Statement”) shall be deemed to cover any additional securities that may from time to time be offered or issued under the Cartesian Therapeutics, Inc. Amended and Restated 2016 Incentive Award Plan (the “Incentive Plan”) and the Cartesian Therapeutics, Inc. Amended and Restated 2018 Employment Inducement Incentive Award Plan (the “Inducement Plan”) to prevent dilution resulting from stock splits, stock dividends or similar transactions.</w:t>
      </w:r>
    </w:p>
    <w:p>
      <w:pPr>
        <w:spacing w:after="0" w:line="90"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1,030,694 shares of the Registrant’s common stock, par value $0.0001 per share (the “Common Stock”) that may become issuable under the Incentive Plan pursuant to its terms.</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Rules 457(c) and 457(h) of the Securities Act and based upon the average of the high and low prices of the Registrant’s Common Stock as reported on the Nasdaq Global Market on May 2, 2025.</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450,000 shares of Common Stock that may become issuable under the Inducement Plan pursuant to its terms.</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p>
      <w:pPr>
        <w:sectPr>
          <w:pgSz w:w="11900" w:h="16838" w:orient="portrait"/>
          <w:cols w:equalWidth="0" w:num="1">
            <w:col w:w="11260"/>
          </w:cols>
          <w:pgMar w:left="320" w:top="765" w:right="3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8312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extLst>
                    </a:blip>
                    <a:srcRect/>
                    <a:stretch>
                      <a:fillRect/>
                    </a:stretch>
                  </pic:blipFill>
                  <pic:spPr bwMode="auto">
                    <a:xfrm>
                      <a:off x="0" y="0"/>
                      <a:ext cx="519493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May 8, 2025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Cartesian Therapeutics, Inc.</w:t>
      </w:r>
    </w:p>
    <w:p>
      <w:pPr>
        <w:spacing w:after="0" w:line="225" w:lineRule="auto"/>
        <w:rPr>
          <w:sz w:val="20"/>
          <w:szCs w:val="20"/>
          <w:color w:val="auto"/>
        </w:rPr>
      </w:pPr>
      <w:r>
        <w:rPr>
          <w:rFonts w:ascii="Times New Roman" w:cs="Times New Roman" w:eastAsia="Times New Roman" w:hAnsi="Times New Roman"/>
          <w:sz w:val="20"/>
          <w:szCs w:val="20"/>
          <w:color w:val="auto"/>
        </w:rPr>
        <w:t>7495 New Horizon Way</w:t>
      </w:r>
    </w:p>
    <w:p>
      <w:pPr>
        <w:spacing w:after="0"/>
        <w:rPr>
          <w:sz w:val="20"/>
          <w:szCs w:val="20"/>
          <w:color w:val="auto"/>
        </w:rPr>
      </w:pPr>
      <w:r>
        <w:rPr>
          <w:rFonts w:ascii="Times New Roman" w:cs="Times New Roman" w:eastAsia="Times New Roman" w:hAnsi="Times New Roman"/>
          <w:sz w:val="20"/>
          <w:szCs w:val="20"/>
          <w:color w:val="auto"/>
        </w:rPr>
        <w:t>Frederick, MD 21703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4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We have acted as counsel to Cartesian Therapeutics, Inc., a Delaware corporation (the “Company”), in connection with the registration by the Company under the Securities Act of 1933, as amended (the “Act”), of 1,484,694 shares of the Company’s common stock, par value $0.0001 per share (the “Shares”), issuable under the Company’s Amended and Restated 2016 Incentive Award Plan (the “Incentive Plan”) and under the Company’s Amended and Restated 2018 Employment Inducement Incentive Award Plan (the “Inducement Plan”), pursuant to the registration statement on Form S-8 being filed with the Securities and Exchange Commission on the date hereof (such registration statement is referred to herein as the “Registration Statement”).</w:t>
      </w:r>
    </w:p>
    <w:p>
      <w:pPr>
        <w:spacing w:after="0" w:line="21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We have reviewed such corporate records, certificates and other documents, and such questions of law, as we have considered necessary or appropriate for the purposes of this opinion. We have assumed that all signatures are genuine, that all documents submitted to us as originals are authentic and that all copies of documents submitted to us conform to the originals.</w:t>
      </w:r>
    </w:p>
    <w:p>
      <w:pPr>
        <w:spacing w:after="0" w:line="195" w:lineRule="exact"/>
        <w:rPr>
          <w:sz w:val="20"/>
          <w:szCs w:val="20"/>
          <w:color w:val="auto"/>
        </w:rPr>
      </w:pPr>
    </w:p>
    <w:p>
      <w:pPr>
        <w:ind w:right="680" w:firstLine="648"/>
        <w:spacing w:after="0" w:line="283" w:lineRule="auto"/>
        <w:rPr>
          <w:sz w:val="20"/>
          <w:szCs w:val="20"/>
          <w:color w:val="auto"/>
        </w:rPr>
      </w:pPr>
      <w:r>
        <w:rPr>
          <w:rFonts w:ascii="Times New Roman" w:cs="Times New Roman" w:eastAsia="Times New Roman" w:hAnsi="Times New Roman"/>
          <w:sz w:val="20"/>
          <w:szCs w:val="20"/>
          <w:color w:val="auto"/>
        </w:rPr>
        <w:t>We have relied as to certain matters on information obtained from public officials, officers of the Company and other sources believed by us to be responsible.</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Based upon the foregoing, we are of the opinion that the Shares have been duly authorized and, when issued and paid for in accordance with the terms of the Company’s Restated Certificate of Incorporation, as amended, the Incentive Plan or the Inducement Plan, as the case may be, and any individual agreements relating to such Shares, will be validly issued, fully paid and nonassessable.</w:t>
      </w:r>
    </w:p>
    <w:p>
      <w:pPr>
        <w:spacing w:after="0" w:line="195" w:lineRule="exact"/>
        <w:rPr>
          <w:sz w:val="20"/>
          <w:szCs w:val="20"/>
          <w:color w:val="auto"/>
        </w:rPr>
      </w:pPr>
    </w:p>
    <w:p>
      <w:pPr>
        <w:ind w:right="540" w:firstLine="648"/>
        <w:spacing w:after="0" w:line="283" w:lineRule="auto"/>
        <w:rPr>
          <w:sz w:val="20"/>
          <w:szCs w:val="20"/>
          <w:color w:val="auto"/>
        </w:rPr>
      </w:pPr>
      <w:r>
        <w:rPr>
          <w:rFonts w:ascii="Times New Roman" w:cs="Times New Roman" w:eastAsia="Times New Roman" w:hAnsi="Times New Roman"/>
          <w:sz w:val="20"/>
          <w:szCs w:val="20"/>
          <w:color w:val="auto"/>
        </w:rPr>
        <w:t>We are members of the bar of the State of New York. We do not express any opinion herein on any laws other than the General Corporation Law of the State of Delaware and reported judicial decisions interpreting such law.</w:t>
      </w:r>
    </w:p>
    <w:p>
      <w:pPr>
        <w:spacing w:after="0" w:line="18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We hereby consent to the filing of this opinion as Exhibit 5.1 to the Registration Statement. In giving such consent, we do not thereby admit that we are in the category of persons whose consent is required under Section 7 of the Act.</w:t>
      </w:r>
    </w:p>
    <w:p>
      <w:pPr>
        <w:spacing w:after="0" w:line="34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8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/s/ Covington &amp; Burling LLP</w:t>
      </w:r>
    </w:p>
    <w:p>
      <w:pPr>
        <w:sectPr>
          <w:pgSz w:w="11900" w:h="16838" w:orient="portrait"/>
          <w:cols w:equalWidth="0" w:num="1">
            <w:col w:w="11240"/>
          </w:cols>
          <w:pgMar w:left="320" w:top="765"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9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Cartesian Therapeutics, Inc. Amended and Restated 2016 Incentive Award Plan and Cartesian Therapeutics, Inc. Amended and Restated 2018 Employment Inducement Incentive Award Plan of our report dated March 13, 2025, with respect to the consolidated financial statements of Cartesian Therapeutics, Inc., included in its Annual Report (Form 10-K) for the year ended December 31, 2024, filed with the Securities and Exchange Commission.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2025</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29" Type="http://schemas.openxmlformats.org/officeDocument/2006/relationships/image" Target="media/image5.png"/><Relationship Id="rId38" Type="http://schemas.openxmlformats.org/officeDocument/2006/relationships/image" Target="media/image6.png"/><Relationship Id="rId39" Type="http://schemas.openxmlformats.org/officeDocument/2006/relationships/image" Target="media/image7.jpeg"/><Relationship Id="rId12" Type="http://schemas.openxmlformats.org/officeDocument/2006/relationships/hyperlink" Target="https://www.sec.gov/Archives/edgar/data/1453687/000145368725000075/rnac-20250428.htm" TargetMode="External"/><Relationship Id="rId13" Type="http://schemas.openxmlformats.org/officeDocument/2006/relationships/hyperlink" Target="https://www.sec.gov/ix?doc=/Archives/edgar/data/0001453687/000145368725000060/rnac-20241231.htm" TargetMode="External"/><Relationship Id="rId14" Type="http://schemas.openxmlformats.org/officeDocument/2006/relationships/hyperlink" Target="https://www.sec.gov/Archives/edgar/data/1453687/000145368725000085/rnac-20250331.htm" TargetMode="External"/><Relationship Id="rId15" Type="http://schemas.openxmlformats.org/officeDocument/2006/relationships/hyperlink" Target="https://www.sec.gov/ix?doc=/Archives/edgar/data/1453687/000145368725000050/rnac-20250127.htm" TargetMode="External"/><Relationship Id="rId16" Type="http://schemas.openxmlformats.org/officeDocument/2006/relationships/hyperlink" Target="https://www.sec.gov/ix?doc=/Archives/edgar/data/1453687/000145368725000064/rnac-20250408.htm" TargetMode="External"/><Relationship Id="rId17" Type="http://schemas.openxmlformats.org/officeDocument/2006/relationships/hyperlink" Target="https://www.sec.gov/ix?doc=/Archives/edgar/data/1453687/000145368725000077/rnac-20250429.htm" TargetMode="External"/><Relationship Id="rId18" Type="http://schemas.openxmlformats.org/officeDocument/2006/relationships/hyperlink" Target="https://www.sec.gov/Archives/edgar/data/0001453687/000145368725000060/exhibit412descriptionofsec.htm" TargetMode="External"/><Relationship Id="rId19" Type="http://schemas.openxmlformats.org/officeDocument/2006/relationships/hyperlink" Target="https://www.sec.gov/Archives/edgar/data/1453687/000110465916129190/a15-22910_14s8.htm" TargetMode="External"/><Relationship Id="rId20" Type="http://schemas.openxmlformats.org/officeDocument/2006/relationships/hyperlink" Target="https://www.sec.gov/Archives/edgar/data/1453687/000145368718000018/selectabiosciencess-8_apri.htm" TargetMode="External"/><Relationship Id="rId21" Type="http://schemas.openxmlformats.org/officeDocument/2006/relationships/hyperlink" Target="https://www.sec.gov/Archives/edgar/data/1453687/000145368718000081/selectabiosciencess-8_nove.htm" TargetMode="External"/><Relationship Id="rId22" Type="http://schemas.openxmlformats.org/officeDocument/2006/relationships/hyperlink" Target="https://www.sec.gov/Archives/edgar/data/1453687/000145368719000036/selectabiosciencess-8_marc.htm" TargetMode="External"/><Relationship Id="rId23" Type="http://schemas.openxmlformats.org/officeDocument/2006/relationships/hyperlink" Target="https://www.sec.gov/Archives/edgar/data/1453687/000145368720000058/selectabiosciencess-8_june.htm" TargetMode="External"/><Relationship Id="rId24" Type="http://schemas.openxmlformats.org/officeDocument/2006/relationships/hyperlink" Target="https://www.sec.gov/Archives/edgar/data/1453687/000145368721000070/selectabiosciences_s8-2021.htm" TargetMode="External"/><Relationship Id="rId25" Type="http://schemas.openxmlformats.org/officeDocument/2006/relationships/hyperlink" Target="https://www.sec.gov/Archives/edgar/data/1453687/000145368722000088/selectabiosciences_s8-2022.htm" TargetMode="External"/><Relationship Id="rId26" Type="http://schemas.openxmlformats.org/officeDocument/2006/relationships/hyperlink" Target="https://www.sec.gov/Archives/edgar/data/1453687/000119312523214712/d642337ds8.htm" TargetMode="External"/><Relationship Id="rId27" Type="http://schemas.openxmlformats.org/officeDocument/2006/relationships/hyperlink" Target="https://www.sec.gov/Archives/edgar/data/1453687/000114036124002120/ny20014884x3_s8.htm" TargetMode="External"/><Relationship Id="rId28" Type="http://schemas.openxmlformats.org/officeDocument/2006/relationships/hyperlink" Target="https://www.sec.gov/Archives/edgar/data/0001453687/000145368724000126/rnacs-8november72024.htm" TargetMode="External"/><Relationship Id="rId30" Type="http://schemas.openxmlformats.org/officeDocument/2006/relationships/hyperlink" Target="https://www.sec.gov/Archives/edgar/data/1453687/000110465916129891/a16-14002_1ex3d1.htm" TargetMode="External"/><Relationship Id="rId31" Type="http://schemas.openxmlformats.org/officeDocument/2006/relationships/hyperlink" Target="https://www.sec.gov/Archives/edgar/data/0001453687/000145368722000109/exhibit31_charteramendment.htm" TargetMode="External"/><Relationship Id="rId32" Type="http://schemas.openxmlformats.org/officeDocument/2006/relationships/hyperlink" Target="https://www.sec.gov/Archives/edgar/data/1453687/000119312523275461/d869185dex33.htm" TargetMode="External"/><Relationship Id="rId33" Type="http://schemas.openxmlformats.org/officeDocument/2006/relationships/hyperlink" Target="https://www.sec.gov/Archives/edgar/data/0001453687/000145368724000048/exhibit32certificateofamen.htm" TargetMode="External"/><Relationship Id="rId34" Type="http://schemas.openxmlformats.org/officeDocument/2006/relationships/hyperlink" Target="https://www.sec.gov/Archives/edgar/data/1453687/000119312523276086/d549858dex32.htm" TargetMode="External"/><Relationship Id="rId35" Type="http://schemas.openxmlformats.org/officeDocument/2006/relationships/hyperlink" Target="https://www.sec.gov/Archives/edgar/data/0001453687/000145368725000060/exhibit41rnacspecimensto.htm" TargetMode="External"/><Relationship Id="rId36" Type="http://schemas.openxmlformats.org/officeDocument/2006/relationships/hyperlink" Target="https://www.sec.gov/Archives/edgar/data/0001453687/000114036124035433/ny20033174x1_ex10-1.htm" TargetMode="External"/><Relationship Id="rId37" Type="http://schemas.openxmlformats.org/officeDocument/2006/relationships/hyperlink" Target="https://www.sec.gov/Archives/edgar/data/0001453687/000145368725000060/exhibit103_employmentindu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2025-05-08T06:26:08Z</dcterms:created>
  <dcterms:modified xsi:type="dcterms:W3CDTF">2025-05-08T06:26:08Z</dcterms:modified>
</cp:coreProperties>
</file>