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40" w:right="60"/>
        <w:spacing w:after="0" w:line="25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-225425</wp:posOffset>
            </wp:positionV>
            <wp:extent cx="120015" cy="1200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-645160</wp:posOffset>
            </wp:positionV>
            <wp:extent cx="120015" cy="1200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5"/>
        </w:trPr>
        <w:tc>
          <w:tcPr>
            <w:tcW w:w="622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38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5219065</wp:posOffset>
            </wp:positionH>
            <wp:positionV relativeFrom="paragraph">
              <wp:posOffset>-611505</wp:posOffset>
            </wp:positionV>
            <wp:extent cx="57150" cy="6248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3939540</wp:posOffset>
            </wp:positionH>
            <wp:positionV relativeFrom="paragraph">
              <wp:posOffset>-611505</wp:posOffset>
            </wp:positionV>
            <wp:extent cx="57150" cy="6248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-1687830</wp:posOffset>
            </wp:positionH>
            <wp:positionV relativeFrom="paragraph">
              <wp:posOffset>723900</wp:posOffset>
            </wp:positionV>
            <wp:extent cx="7047865" cy="51257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80"/>
            <w:col w:w="8440"/>
          </w:cols>
          <w:pgMar w:left="460" w:top="21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Brunn Carsten</w:t>
        </w:r>
      </w:hyperlink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CARTESIAN THERAPEUTICS, INC.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7495 NEW HORIZON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jc w:val="center"/>
        <w:ind w:right="111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Cartesian Therapeutics,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RNAC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 w:right="700" w:hanging="9"/>
        <w:spacing w:after="0" w:line="248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29"/>
        <w:spacing w:after="0"/>
        <w:tabs>
          <w:tab w:leader="none" w:pos="208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9"/>
        <w:spacing w:after="0"/>
        <w:tabs>
          <w:tab w:leader="none" w:pos="208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96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President and CEO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1" w:space="720"/>
            <w:col w:w="3349"/>
          </w:cols>
          <w:pgMar w:left="460" w:top="215" w:right="359" w:bottom="1440" w:gutter="0" w:footer="0" w:header="0"/>
          <w:type w:val="continuous"/>
        </w:sectPr>
      </w:pPr>
    </w:p>
    <w:p>
      <w:pPr>
        <w:spacing w:after="0" w:line="20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FREDERICK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MD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21703</w:t>
            </w: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01/02/2025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57,500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 w:line="3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8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221,367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169,100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16.93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2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169,100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01/01/2035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right"/>
              <w:ind w:right="183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169,100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199,033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199,033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19.656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01/01/2034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 w:right="200" w:hanging="2"/>
        <w:spacing w:after="0" w:line="245" w:lineRule="auto"/>
        <w:tabs>
          <w:tab w:leader="none" w:pos="166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common stock, which will vest as to 25% on January 2, 2026. The remainder of the underlying shares will vest in three equal annual installments thereafter so that the underlying shares will be fully vested on January 2, 2029.</w:t>
      </w:r>
    </w:p>
    <w:p>
      <w:pPr>
        <w:spacing w:after="0" w:line="2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hanging="2"/>
        <w:spacing w:after="0" w:line="245" w:lineRule="auto"/>
        <w:tabs>
          <w:tab w:leader="none" w:pos="166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April 4, 2024, the issuer effected a 1-for-30 reverse stock split of its common stock (the "Reverse Stock Split"). The amount of securities reported on this Form 4 have been adjusted to reflect the Reverse Stock Split.</w:t>
      </w:r>
    </w:p>
    <w:p>
      <w:pPr>
        <w:spacing w:after="0" w:line="2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This option vests as to 25% on January 2, 2026. The remainder of the underlying shares will vest in three equal annual installments thereafter so that the underlying shares will be fully vested on January 2, 2029.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vested as to 25% on January 2, 2025. The remainder of the underlying shares will vest in three equal annual installments thereafter.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Matthew Bartholomae,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-4445</wp:posOffset>
            </wp:positionV>
            <wp:extent cx="10820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Attorney-in-Fact for Carsten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-12065</wp:posOffset>
            </wp:positionV>
            <wp:extent cx="18726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2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Brunn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-12065</wp:posOffset>
            </wp:positionV>
            <wp:extent cx="2597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7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both"/>
        <w:ind w:left="40" w:right="3780" w:hanging="2"/>
        <w:spacing w:after="0" w:line="328" w:lineRule="auto"/>
        <w:tabs>
          <w:tab w:leader="none" w:pos="17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60229" TargetMode="External"/><Relationship Id="rId14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2025-01-06T15:33:21Z</dcterms:created>
  <dcterms:modified xsi:type="dcterms:W3CDTF">2025-01-06T15:33:21Z</dcterms:modified>
</cp:coreProperties>
</file>