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91" w:lineRule="exact"/>
        <w:rPr>
          <w:sz w:val="24"/>
          <w:szCs w:val="24"/>
          <w:color w:val="auto"/>
        </w:rPr>
      </w:pPr>
    </w:p>
    <w:p>
      <w:pPr>
        <w:ind w:left="3900" w:right="1540" w:hanging="3635"/>
        <w:spacing w:after="0" w:line="372" w:lineRule="auto"/>
        <w:tabs>
          <w:tab w:leader="none" w:pos="723"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49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20" w:type="dxa"/>
            <w:vAlign w:val="bottom"/>
          </w:tcPr>
          <w:p>
            <w:pPr>
              <w:jc w:val="center"/>
              <w:ind w:left="22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480 Arsenal Way</w:t>
            </w:r>
          </w:p>
        </w:tc>
        <w:tc>
          <w:tcPr>
            <w:tcW w:w="4920" w:type="dxa"/>
            <w:vAlign w:val="bottom"/>
          </w:tcPr>
          <w:p>
            <w:pPr>
              <w:spacing w:after="0"/>
              <w:rPr>
                <w:sz w:val="24"/>
                <w:szCs w:val="24"/>
                <w:color w:val="auto"/>
              </w:rPr>
            </w:pP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Watertown, MA</w:t>
            </w:r>
          </w:p>
        </w:tc>
        <w:tc>
          <w:tcPr>
            <w:tcW w:w="492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(Address Of Principal Executive Offices)</w:t>
            </w:r>
          </w:p>
        </w:tc>
        <w:tc>
          <w:tcPr>
            <w:tcW w:w="492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65"/>
        </w:trPr>
        <w:tc>
          <w:tcPr>
            <w:tcW w:w="4540" w:type="dxa"/>
            <w:vAlign w:val="bottom"/>
          </w:tcPr>
          <w:p>
            <w:pPr>
              <w:spacing w:after="0"/>
              <w:rPr>
                <w:sz w:val="24"/>
                <w:szCs w:val="24"/>
                <w:color w:val="auto"/>
              </w:rPr>
            </w:pPr>
          </w:p>
        </w:tc>
        <w:tc>
          <w:tcPr>
            <w:tcW w:w="4920" w:type="dxa"/>
            <w:vAlign w:val="bottom"/>
          </w:tcPr>
          <w:p>
            <w:pPr>
              <w:jc w:val="right"/>
              <w:ind w:right="3690"/>
              <w:spacing w:after="0"/>
              <w:rPr>
                <w:sz w:val="20"/>
                <w:szCs w:val="20"/>
                <w:color w:val="auto"/>
              </w:rPr>
            </w:pPr>
            <w:r>
              <w:rPr>
                <w:rFonts w:ascii="Arial" w:cs="Arial" w:eastAsia="Arial" w:hAnsi="Arial"/>
                <w:sz w:val="18"/>
                <w:szCs w:val="18"/>
                <w:b w:val="1"/>
                <w:bCs w:val="1"/>
                <w:color w:val="auto"/>
                <w:w w:val="99"/>
              </w:rPr>
              <w:t>617-923-1400</w:t>
            </w:r>
          </w:p>
        </w:tc>
      </w:tr>
    </w:tbl>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920" w:type="dxa"/>
        <w:tblCellMar>
          <w:top w:w="0" w:type="dxa"/>
          <w:left w:w="0" w:type="dxa"/>
          <w:bottom w:w="0" w:type="dxa"/>
          <w:right w:w="0" w:type="dxa"/>
        </w:tblCellMar>
      </w:tblPr>
      <w:tr>
        <w:trPr>
          <w:trHeight w:val="268"/>
        </w:trPr>
        <w:tc>
          <w:tcPr>
            <w:tcW w:w="3720" w:type="dxa"/>
            <w:vAlign w:val="bottom"/>
          </w:tcPr>
          <w:p>
            <w:pPr>
              <w:jc w:val="center"/>
              <w:ind w:right="199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4"/>
              </w:rPr>
              <w:t xml:space="preserve">Accelerated filer </w:t>
            </w:r>
            <w:r>
              <w:rPr>
                <w:rFonts w:ascii="MS PGothic" w:cs="MS PGothic" w:eastAsia="MS PGothic" w:hAnsi="MS PGothic"/>
                <w:sz w:val="16"/>
                <w:szCs w:val="16"/>
                <w:color w:val="auto"/>
                <w:w w:val="94"/>
              </w:rPr>
              <w:t>☒</w:t>
            </w:r>
          </w:p>
        </w:tc>
      </w:tr>
      <w:tr>
        <w:trPr>
          <w:trHeight w:val="270"/>
        </w:trPr>
        <w:tc>
          <w:tcPr>
            <w:tcW w:w="3720" w:type="dxa"/>
            <w:vAlign w:val="bottom"/>
          </w:tcPr>
          <w:p>
            <w:pPr>
              <w:jc w:val="center"/>
              <w:ind w:right="1999"/>
              <w:spacing w:after="0" w:line="184" w:lineRule="exact"/>
              <w:rPr>
                <w:sz w:val="20"/>
                <w:szCs w:val="20"/>
                <w:color w:val="auto"/>
              </w:rPr>
            </w:pPr>
            <w:r>
              <w:rPr>
                <w:rFonts w:ascii="Arial" w:cs="Arial" w:eastAsia="Arial" w:hAnsi="Arial"/>
                <w:sz w:val="16"/>
                <w:szCs w:val="16"/>
                <w:color w:val="auto"/>
                <w:w w:val="92"/>
              </w:rPr>
              <w:t xml:space="preserve">Non-accelerated filer </w:t>
            </w:r>
            <w:r>
              <w:rPr>
                <w:rFonts w:ascii="MS PGothic" w:cs="MS PGothic" w:eastAsia="MS PGothic" w:hAnsi="MS PGothic"/>
                <w:sz w:val="16"/>
                <w:szCs w:val="16"/>
                <w:color w:val="auto"/>
                <w:w w:val="92"/>
              </w:rPr>
              <w:t>☐</w:t>
            </w: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2"/>
              </w:rPr>
              <w:t xml:space="preserve">Smaller reporting company </w:t>
            </w:r>
            <w:r>
              <w:rPr>
                <w:rFonts w:ascii="MS PGothic" w:cs="MS PGothic" w:eastAsia="MS PGothic" w:hAnsi="MS PGothic"/>
                <w:sz w:val="16"/>
                <w:szCs w:val="16"/>
                <w:color w:val="auto"/>
                <w:w w:val="92"/>
              </w:rPr>
              <w:t>☐</w:t>
            </w:r>
          </w:p>
        </w:tc>
      </w:tr>
      <w:tr>
        <w:trPr>
          <w:trHeight w:val="257"/>
        </w:trPr>
        <w:tc>
          <w:tcPr>
            <w:tcW w:w="3720" w:type="dxa"/>
            <w:vAlign w:val="bottom"/>
          </w:tcPr>
          <w:p>
            <w:pPr>
              <w:spacing w:after="0"/>
              <w:rPr>
                <w:sz w:val="22"/>
                <w:szCs w:val="22"/>
                <w:color w:val="auto"/>
              </w:rPr>
            </w:pP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r>
    </w:tbl>
    <w:p>
      <w:pPr>
        <w:spacing w:after="0" w:line="1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2018 the registrant had 22,349,840 shares of common stock, par value $0.0001 per share, outstanding.</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80" w:type="dxa"/>
            <w:vAlign w:val="bottom"/>
            <w:gridSpan w:val="6"/>
          </w:tcPr>
          <w:p>
            <w:pPr>
              <w:jc w:val="center"/>
              <w:ind w:right="4140"/>
              <w:spacing w:after="0"/>
              <w:rPr>
                <w:sz w:val="20"/>
                <w:szCs w:val="20"/>
                <w:color w:val="auto"/>
              </w:rPr>
            </w:pPr>
            <w:r>
              <w:rPr>
                <w:rFonts w:ascii="Arial" w:cs="Arial" w:eastAsia="Arial" w:hAnsi="Arial"/>
                <w:sz w:val="18"/>
                <w:szCs w:val="18"/>
                <w:color w:val="auto"/>
                <w:w w:val="98"/>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288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Balance Sheets as of March 31,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w w:val="99"/>
              </w:rPr>
              <w:t>Consolidated Statements of Operations and Comprehensive Loss for the Three Months ended March 31, 2018 and 2017</w:t>
            </w: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Statements of Cash Flows for the Three Months ended March 31, 2018 and 2017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Arial" w:cs="Arial" w:eastAsia="Arial" w:hAnsi="Arial"/>
                <w:sz w:val="18"/>
                <w:szCs w:val="18"/>
                <w:color w:val="auto"/>
                <w:w w:val="95"/>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3040" w:type="dxa"/>
            <w:vAlign w:val="bottom"/>
            <w:gridSpan w:val="2"/>
          </w:tcPr>
          <w:p>
            <w:pPr>
              <w:ind w:left="180"/>
              <w:spacing w:after="0"/>
              <w:rPr>
                <w:sz w:val="20"/>
                <w:szCs w:val="20"/>
                <w:color w:val="auto"/>
              </w:rPr>
            </w:pPr>
            <w:r>
              <w:rPr>
                <w:rFonts w:ascii="Arial" w:cs="Arial" w:eastAsia="Arial" w:hAnsi="Arial"/>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74</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SIGNATURES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67"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58,304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70,698</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98,680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8,580</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Deferred revenue, current portion</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Loans payable, net of current portion</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21,127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21,042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15,919</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48,355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49,286</w:t>
            </w:r>
          </w:p>
        </w:tc>
        <w:tc>
          <w:tcPr>
            <w:tcW w:w="0" w:type="dxa"/>
            <w:vAlign w:val="bottom"/>
          </w:tcPr>
          <w:p>
            <w:pPr>
              <w:spacing w:after="0"/>
              <w:rPr>
                <w:sz w:val="1"/>
                <w:szCs w:val="1"/>
                <w:color w:val="auto"/>
              </w:rPr>
            </w:pPr>
          </w:p>
        </w:tc>
      </w:tr>
      <w:tr>
        <w:trPr>
          <w:trHeight w:val="244"/>
        </w:trPr>
        <w:tc>
          <w:tcPr>
            <w:tcW w:w="8800" w:type="dxa"/>
            <w:vAlign w:val="bottom"/>
          </w:tcPr>
          <w:p>
            <w:pPr>
              <w:ind w:left="40"/>
              <w:spacing w:after="0"/>
              <w:rPr>
                <w:sz w:val="20"/>
                <w:szCs w:val="20"/>
                <w:color w:val="auto"/>
              </w:rPr>
            </w:pPr>
            <w:r>
              <w:rPr>
                <w:rFonts w:ascii="Arial" w:cs="Arial" w:eastAsia="Arial" w:hAnsi="Arial"/>
                <w:sz w:val="14"/>
                <w:szCs w:val="14"/>
                <w:color w:val="auto"/>
              </w:rPr>
              <w:t>Commitments and contingencies (Notes 8 and 12)</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7"/>
              </w:rPr>
              <w:t>Preferred stock, $0.0001 par value; 10,000,000 shares authorized; no shares issued and outstanding at March 31, 2018 and December 31, 2017,</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respectively</w:t>
            </w: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Common stock, $0.0001 par value; 200,000,000 shares authorized; 22,349,840 and 22,343,254 shares issued and outstanding as of March 31, 2018 and</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2017, respectively</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274,334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273,128</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(216,897)</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41,582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51,814</w:t>
            </w:r>
          </w:p>
        </w:tc>
        <w:tc>
          <w:tcPr>
            <w:tcW w:w="0" w:type="dxa"/>
            <w:vAlign w:val="bottom"/>
          </w:tcPr>
          <w:p>
            <w:pPr>
              <w:spacing w:after="0"/>
              <w:rPr>
                <w:sz w:val="1"/>
                <w:szCs w:val="1"/>
                <w:color w:val="auto"/>
              </w:rPr>
            </w:pPr>
          </w:p>
        </w:tc>
      </w:tr>
      <w:tr>
        <w:trPr>
          <w:trHeight w:val="216"/>
        </w:trPr>
        <w:tc>
          <w:tcPr>
            <w:tcW w:w="880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89,937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11,139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11,044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15,813</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14,919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(15,813)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(15,888)</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(15,134)</w:t>
            </w: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Unrealized gain on securities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(15,888)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340" w:type="dxa"/>
            <w:vAlign w:val="bottom"/>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22,345,523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18,474,227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07"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264"/>
        </w:trPr>
        <w:tc>
          <w:tcPr>
            <w:tcW w:w="8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(15,888)</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(15,134)</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64"/>
        </w:trPr>
        <w:tc>
          <w:tcPr>
            <w:tcW w:w="8500" w:type="dxa"/>
            <w:vAlign w:val="bottom"/>
          </w:tcPr>
          <w:p>
            <w:pPr>
              <w:ind w:left="2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4"/>
        </w:trPr>
        <w:tc>
          <w:tcPr>
            <w:tcW w:w="850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64"/>
        </w:trPr>
        <w:tc>
          <w:tcPr>
            <w:tcW w:w="850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w:t>
            </w:r>
          </w:p>
        </w:tc>
        <w:tc>
          <w:tcPr>
            <w:tcW w:w="0" w:type="dxa"/>
            <w:vAlign w:val="bottom"/>
          </w:tcPr>
          <w:p>
            <w:pPr>
              <w:spacing w:after="0"/>
              <w:rPr>
                <w:sz w:val="1"/>
                <w:szCs w:val="1"/>
                <w:color w:val="auto"/>
              </w:rPr>
            </w:pPr>
          </w:p>
        </w:tc>
      </w:tr>
      <w:tr>
        <w:trPr>
          <w:trHeight w:val="264"/>
        </w:trPr>
        <w:tc>
          <w:tcPr>
            <w:tcW w:w="850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0"/>
        </w:trPr>
        <w:tc>
          <w:tcPr>
            <w:tcW w:w="8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250"/>
        </w:trPr>
        <w:tc>
          <w:tcPr>
            <w:tcW w:w="8500" w:type="dxa"/>
            <w:vAlign w:val="bottom"/>
          </w:tcPr>
          <w:p>
            <w:pPr>
              <w:ind w:left="740"/>
              <w:spacing w:after="0"/>
              <w:rPr>
                <w:sz w:val="20"/>
                <w:szCs w:val="20"/>
                <w:color w:val="auto"/>
              </w:rPr>
            </w:pPr>
            <w:r>
              <w:rPr>
                <w:rFonts w:ascii="Arial" w:cs="Arial" w:eastAsia="Arial" w:hAnsi="Arial"/>
                <w:sz w:val="14"/>
                <w:szCs w:val="14"/>
                <w:color w:val="auto"/>
              </w:rPr>
              <w:t>Net cash used in operating activities</w:t>
            </w:r>
          </w:p>
        </w:tc>
        <w:tc>
          <w:tcPr>
            <w:tcW w:w="20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(15,316)</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Receipts from the maturity of investments</w:t>
            </w: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15,045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Purchase of short-term investments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(16,474)</w:t>
            </w:r>
          </w:p>
        </w:tc>
        <w:tc>
          <w:tcPr>
            <w:tcW w:w="0" w:type="dxa"/>
            <w:vAlign w:val="bottom"/>
          </w:tcPr>
          <w:p>
            <w:pPr>
              <w:spacing w:after="0"/>
              <w:rPr>
                <w:sz w:val="1"/>
                <w:szCs w:val="1"/>
                <w:color w:val="auto"/>
              </w:rPr>
            </w:pPr>
          </w:p>
        </w:tc>
      </w:tr>
      <w:tr>
        <w:trPr>
          <w:trHeight w:val="95"/>
        </w:trPr>
        <w:tc>
          <w:tcPr>
            <w:tcW w:w="8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6"/>
        </w:trPr>
        <w:tc>
          <w:tcPr>
            <w:tcW w:w="85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(16,532)</w:t>
            </w: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Repayments of long-term debt</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7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Proceeds from issuance of common stock under Employee Stock Purchase Plan</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Effect of exchange rate changes on cash</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44"/>
        </w:trPr>
        <w:tc>
          <w:tcPr>
            <w:tcW w:w="850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(12,394)</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(32,016)</w:t>
            </w:r>
          </w:p>
        </w:tc>
        <w:tc>
          <w:tcPr>
            <w:tcW w:w="0" w:type="dxa"/>
            <w:vAlign w:val="bottom"/>
          </w:tcPr>
          <w:p>
            <w:pPr>
              <w:spacing w:after="0"/>
              <w:rPr>
                <w:sz w:val="1"/>
                <w:szCs w:val="1"/>
                <w:color w:val="auto"/>
              </w:rPr>
            </w:pPr>
          </w:p>
        </w:tc>
      </w:tr>
      <w:tr>
        <w:trPr>
          <w:trHeight w:val="27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Cash, cash equivalents, and restricted cash at beginning of period</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71,027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59,050</w:t>
            </w: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58,633</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27,034</w:t>
            </w:r>
          </w:p>
        </w:tc>
        <w:tc>
          <w:tcPr>
            <w:tcW w:w="0" w:type="dxa"/>
            <w:vAlign w:val="bottom"/>
          </w:tcPr>
          <w:p>
            <w:pPr>
              <w:spacing w:after="0"/>
              <w:rPr>
                <w:sz w:val="1"/>
                <w:szCs w:val="1"/>
                <w:color w:val="auto"/>
              </w:rPr>
            </w:pPr>
          </w:p>
        </w:tc>
      </w:tr>
      <w:tr>
        <w:trPr>
          <w:trHeight w:val="270"/>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 cash flow information</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500" w:type="dxa"/>
            <w:vAlign w:val="bottom"/>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74"/>
        </w:trPr>
        <w:tc>
          <w:tcPr>
            <w:tcW w:w="85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Unrealized gain on marketable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
        </w:trPr>
        <w:tc>
          <w:tcPr>
            <w:tcW w:w="8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b w:val="1"/>
          <w:bCs w:val="1"/>
          <w:color w:val="auto"/>
        </w:rPr>
        <w:t>.</w:t>
      </w: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125"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consolidated financial statements for the three months ended March 31, 2018 and 2017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2017 included in the Company’s Annual Report on Form 10-K that was filed with the SEC on March 15, 2018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which are necessary for a fair statement of the Company’s financial position as of March 31, 2018 and consolidated results of operations and cash flows for the three months ended March 31, 2018. Such adjustments are of a normal and recurring nature. The results of operations for the three months ended March 31, 2018 are not necessarily indicative of the results of operations that may be expected for the year ending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incurred losses since inception and negative cash flows from operating activities. As of March 31, 2018 and December 31, 2017, the Company had an accumulated deficit of $228.4 million and $216.9 million, respectively. The Company’s cash and cash equivalents as of March 31, 2018 and December 31, 2017, includes $1.0 million and $1.2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the current operating plan, the Company expects that its cash, cash equivalents, short-term investments and short-term restricted cash as of March 31, 2018, will fund its operating expenses and capital expenditure requirements into mid-2019. The Company has based this estimate on assumptions that may prove to be wrong, and the Company could use its capital resources sooner than it currently expects. Additionally, the process of testing product candidates in clinical trials is costly, and the timing of progress in these trials is uncertain. Because the Company’s product candidates are in various stages of clinical and preclinical development and the outcome of these efforts is uncertain, the Company cannot estimate the actual amounts necessary to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successfully complete the development and commercialization of its product candidates or whether, or when, it may achieve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March 31, 2018,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7" w:lineRule="exact"/>
        <w:rPr>
          <w:sz w:val="20"/>
          <w:szCs w:val="20"/>
          <w:color w:val="auto"/>
        </w:rPr>
      </w:pPr>
    </w:p>
    <w:p>
      <w:pPr>
        <w:ind w:right="78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and estimating accrued research and development expenses. The Company assesses the above estimates on an ongoing basis; however, actual results could materially differ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equivalents include all highly liquid investments maturing within 90 days from the date of purchase. Investments consist of securities with remaining maturities greater than 90 days when purchased. The Company records its investments at fair value in the accompanying consolidated balance sheets. Changes in fair value are recognized through net income. Premiums or discounts from par value are amortized to investment income over the life of the underlying investment.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restricted cash balances relating to (i) a secured letter of credit in connection with its Headquarters Lease (as defined below), and (ii) funds held for reimbursement to a grant donor. The following table provides a reconciliation of cash, cash equivalents, and restricted cash reported within the consolidated balance sheet that sum to the total of the same such amounts shown in the consolidated statement of cash flows:</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March 31, 2017</w:t>
            </w:r>
          </w:p>
        </w:tc>
      </w:tr>
      <w:tr>
        <w:trPr>
          <w:trHeight w:val="256"/>
        </w:trPr>
        <w:tc>
          <w:tcPr>
            <w:tcW w:w="8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26,637</w:t>
            </w:r>
          </w:p>
        </w:tc>
      </w:tr>
      <w:tr>
        <w:trPr>
          <w:trHeight w:val="264"/>
        </w:trPr>
        <w:tc>
          <w:tcPr>
            <w:tcW w:w="88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w:t>
            </w:r>
          </w:p>
        </w:tc>
      </w:tr>
      <w:tr>
        <w:trPr>
          <w:trHeight w:val="270"/>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included in other assets</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r>
      <w:tr>
        <w:trPr>
          <w:trHeight w:val="243"/>
        </w:trPr>
        <w:tc>
          <w:tcPr>
            <w:tcW w:w="8820" w:type="dxa"/>
            <w:vAlign w:val="bottom"/>
          </w:tcPr>
          <w:p>
            <w:pPr>
              <w:ind w:left="4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58,633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27,034</w:t>
            </w: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March 31, 2018, the Company maintained approximately $1.1 million in Russian bank accounts, of which $1.0 million was held in U.S. dollars.</w:t>
      </w:r>
    </w:p>
    <w:p>
      <w:pPr>
        <w:spacing w:after="0" w:line="165"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8"/>
          <w:szCs w:val="18"/>
          <w:color w:val="auto"/>
        </w:rPr>
        <w:t>‑</w:t>
      </w:r>
      <w:r>
        <w:rPr>
          <w:rFonts w:ascii="Arial" w:cs="Arial" w:eastAsia="Arial" w:hAnsi="Arial"/>
          <w:sz w:val="18"/>
          <w:szCs w:val="18"/>
          <w:color w:val="auto"/>
        </w:rPr>
        <w:t>known and supported non</w:t>
      </w:r>
      <w:r>
        <w:rPr>
          <w:rFonts w:ascii="MS PGothic" w:cs="MS PGothic" w:eastAsia="MS PGothic" w:hAnsi="MS PGothic"/>
          <w:sz w:val="18"/>
          <w:szCs w:val="18"/>
          <w:color w:val="auto"/>
        </w:rPr>
        <w:t>‑</w:t>
      </w:r>
      <w:r>
        <w:rPr>
          <w:rFonts w:ascii="Arial" w:cs="Arial" w:eastAsia="Arial" w:hAnsi="Arial"/>
          <w:sz w:val="18"/>
          <w:szCs w:val="18"/>
          <w:color w:val="auto"/>
        </w:rPr>
        <w:t>profit organizations. The Company did not have any off balance sheet arrangements as of March 31, 2018 and December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restricted cash, accounts receivable, accounts payable, loans payable, and common stock warrants. The carrying amounts of cash equivalents, short-term investments, restricted cash, accounts receivable, and accounts payable approximate their estimated fair value due to their short-term maturities. At March 31, 2018, the carrying amount of the Company's loan payable approximates its estimated fair value due to the consistency between the prevailing market rates in effect for similar loans and the effective interest rate of 6.77% for the Company's loan outstanding.</w:t>
      </w:r>
    </w:p>
    <w:p>
      <w:pPr>
        <w:spacing w:after="0" w:line="206" w:lineRule="exact"/>
        <w:rPr>
          <w:sz w:val="20"/>
          <w:szCs w:val="20"/>
          <w:color w:val="auto"/>
        </w:rPr>
      </w:pPr>
    </w:p>
    <w:p>
      <w:pPr>
        <w:jc w:val="both"/>
        <w:ind w:right="20"/>
        <w:spacing w:after="0" w:line="220" w:lineRule="exact"/>
        <w:rPr>
          <w:sz w:val="20"/>
          <w:szCs w:val="20"/>
          <w:color w:val="auto"/>
        </w:rPr>
      </w:pPr>
      <w:r>
        <w:rPr>
          <w:rFonts w:ascii="Arial" w:cs="Arial" w:eastAsia="Arial" w:hAnsi="Arial"/>
          <w:sz w:val="17"/>
          <w:szCs w:val="17"/>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7"/>
          <w:szCs w:val="17"/>
          <w:color w:val="auto"/>
        </w:rPr>
        <w:t>‑</w:t>
      </w:r>
      <w:r>
        <w:rPr>
          <w:rFonts w:ascii="Arial" w:cs="Arial" w:eastAsia="Arial" w:hAnsi="Arial"/>
          <w:sz w:val="17"/>
          <w:szCs w:val="17"/>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18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three months ended March 31, 2018 or the year ended December 31,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Property and equipment are recorded at cost and depreciated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the respective assets, generally seven years for furniture and fixtures, five years for laboratory equipment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Company periodically evaluates its long</w:t>
      </w:r>
      <w:r>
        <w:rPr>
          <w:rFonts w:ascii="MS PGothic" w:cs="MS PGothic" w:eastAsia="MS PGothic" w:hAnsi="MS PGothic"/>
          <w:sz w:val="16"/>
          <w:szCs w:val="16"/>
          <w:color w:val="auto"/>
        </w:rPr>
        <w:t>‑</w:t>
      </w:r>
      <w:r>
        <w:rPr>
          <w:rFonts w:ascii="Arial" w:cs="Arial" w:eastAsia="Arial" w:hAnsi="Arial"/>
          <w:sz w:val="16"/>
          <w:szCs w:val="16"/>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as of March 31, 2018 and December 31, 2017.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on available-for-sale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Foreign currency translation</w:t>
            </w:r>
          </w:p>
        </w:tc>
        <w:tc>
          <w:tcPr>
            <w:tcW w:w="1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Unrealized gains (losses)</w:t>
            </w:r>
          </w:p>
        </w:tc>
        <w:tc>
          <w:tcPr>
            <w:tcW w:w="240" w:type="dxa"/>
            <w:vAlign w:val="bottom"/>
          </w:tcPr>
          <w:p>
            <w:pPr>
              <w:spacing w:after="0"/>
              <w:rPr>
                <w:sz w:val="14"/>
                <w:szCs w:val="14"/>
                <w:color w:val="auto"/>
              </w:rPr>
            </w:pPr>
          </w:p>
        </w:tc>
        <w:tc>
          <w:tcPr>
            <w:tcW w:w="1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available-for-sale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securities</w:t>
            </w:r>
          </w:p>
        </w:tc>
        <w:tc>
          <w:tcPr>
            <w:tcW w:w="19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during the period</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March 31, 2018</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 xml:space="preserve">The Company currently generates its revenue through grants, collaboration and license agreements with strategic collaborators for the development and commercialization of product candidates. Prior to January 1, 2018, the Company recognized revenue in accordance with ASC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("ASC 605"). Under ASC 605, the Company recognized revenue when all of the following criteria were met:</w:t>
      </w:r>
    </w:p>
    <w:p>
      <w:pPr>
        <w:spacing w:after="0" w:line="166" w:lineRule="exact"/>
        <w:rPr>
          <w:sz w:val="20"/>
          <w:szCs w:val="20"/>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the Company’s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The Company adopted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on January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1, 2018, using the modified retrospective method for all contracts not completed as of the date of adoption. The reported results for 2018 reflect the application of ASC 606 guidance while the reported results for 2017 were prepared under the guidance of ASC 605, which is also referred to herein as "legacy GAAP" or the "previous guidance". Refer to Note 12 to our consolidated financial statements included elsewhere in this Quarterly Report on Form 10-Q for the impact of adoption of ASU 2014-09 on the Company’s consolidated financial position, results of operations, equity and cash flows as of the adoption date and for the three months ended March 31, 2018. The adoption of ASC 606 represents a change in accounting principle that will more closely align revenue recognition with the delivery of the Company's services and will provide financial statement readers with enhanced disclosures.</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5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currently generates its revenue through grants, collaboration and license agreements with strategic collaborators for the development and commercialization of product candidates. The grants, collaboration and license agreements are within the scope of ASC 606.</w:t>
      </w:r>
    </w:p>
    <w:p>
      <w:pPr>
        <w:spacing w:after="0" w:line="14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the agreements,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capitalizes the incremental costs of obtaining a contract with a customer if it expects to recover those costs. Such incremental costs would not have been incurred if the contract with a customer had not been obtained.</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47" w:lineRule="exact"/>
        <w:rPr>
          <w:sz w:val="20"/>
          <w:szCs w:val="20"/>
          <w:color w:val="auto"/>
        </w:rPr>
      </w:pPr>
    </w:p>
    <w:p>
      <w:pPr>
        <w:ind w:right="24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operations as a gain or loss. Equity classified warrants are accounted for at fair value on the issuance date with no changes in fair value recognized after the issuance date.</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The Company accounts for all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granted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employees using a fair value method.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net of estimated forfeitures.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non</w:t>
      </w:r>
      <w:r>
        <w:rPr>
          <w:rFonts w:ascii="MS PGothic" w:cs="MS PGothic" w:eastAsia="MS PGothic" w:hAnsi="MS PGothic"/>
          <w:sz w:val="17"/>
          <w:szCs w:val="17"/>
          <w:color w:val="auto"/>
        </w:rPr>
        <w:t>‑</w:t>
      </w:r>
      <w:r>
        <w:rPr>
          <w:rFonts w:ascii="Arial" w:cs="Arial" w:eastAsia="Arial" w:hAnsi="Arial"/>
          <w:sz w:val="17"/>
          <w:szCs w:val="17"/>
          <w:color w:val="auto"/>
        </w:rPr>
        <w:t>employees are subject to revaluation over their vesting terms. The Company reduces recorded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recognized in the consolidated financial statements is based on awards that are ultimately expected to vest.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40"/>
        <w:spacing w:after="0" w:line="219" w:lineRule="exact"/>
        <w:rPr>
          <w:sz w:val="20"/>
          <w:szCs w:val="20"/>
          <w:color w:val="auto"/>
        </w:rPr>
      </w:pPr>
      <w:r>
        <w:rPr>
          <w:rFonts w:ascii="Arial" w:cs="Arial" w:eastAsia="Arial" w:hAnsi="Arial"/>
          <w:sz w:val="16"/>
          <w:szCs w:val="16"/>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6"/>
          <w:szCs w:val="16"/>
          <w:color w:val="auto"/>
        </w:rPr>
        <w:t>‑</w:t>
      </w:r>
      <w:r>
        <w:rPr>
          <w:rFonts w:ascii="Arial" w:cs="Arial" w:eastAsia="Arial" w:hAnsi="Arial"/>
          <w:sz w:val="16"/>
          <w:szCs w:val="16"/>
          <w:color w:val="auto"/>
        </w:rPr>
        <w:t>dilutive and basic and diluted loss per share have been the same.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March 31, 2018 and December 31, 2017,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The new standard requires that deferred tax assets and liabilities be classified as non-current in a classified statement of financial position. The Company adopted this standard on January 1, 2017, and the adoption did not have an impact on its consolidated financial statements due to the full valuation allowance position.</w:t>
      </w:r>
    </w:p>
    <w:p>
      <w:pPr>
        <w:spacing w:after="0" w:line="3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w:t>
      </w:r>
      <w:r>
        <w:rPr>
          <w:rFonts w:ascii="Arial" w:cs="Arial" w:eastAsia="Arial" w:hAnsi="Arial"/>
          <w:sz w:val="17"/>
          <w:szCs w:val="17"/>
          <w:i w:val="1"/>
          <w:iCs w:val="1"/>
          <w:color w:val="auto"/>
        </w:rPr>
        <w:t xml:space="preserve">. </w:t>
      </w:r>
      <w:r>
        <w:rPr>
          <w:rFonts w:ascii="Arial" w:cs="Arial" w:eastAsia="Arial" w:hAnsi="Arial"/>
          <w:sz w:val="17"/>
          <w:szCs w:val="17"/>
          <w:color w:val="auto"/>
        </w:rPr>
        <w:t>ASU 2016-01 supersedes the guidance to classify equity securities with readily determinable fair values into</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categories (that is, trading or available-for-sale) and requires equity securities (including other ownership interests, such as partnerships, unincorporated joint ventures, and limited liability companies) to be measured at fair value with changes in fair value recognized through net income. The amendments allow equity investments that do not have readily determinable fair values to be remeasured at fair value either upon the occurrence of an observable price change or upon identification of an impairment. The amendments also require enhanced disclosures about those investments. ASU 2016-01 is effective for annual reporting beginning after December 15, 2017, including interim periods within the year of adoption, and calls for prospective application, with early application permitted. The Company adopted ASU 2016-01 during the first quarter of 2018. Because the Company held no equity investments upon adoption, there was no impact on the consolidated financial statements.</w:t>
      </w:r>
    </w:p>
    <w:p>
      <w:pPr>
        <w:spacing w:after="0" w:line="18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The Company believes it has less than five lease contracts that will need to be evaluated under ASU 2016-02, and thus does not expect the adoption of ASU 2016-02 to have a material effect on its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Statements of Cash Flows (Topic 230) - Classifications of Certain Cash Receipts and Cash Payments</w:t>
      </w:r>
      <w:r>
        <w:rPr>
          <w:rFonts w:ascii="Arial" w:cs="Arial" w:eastAsia="Arial" w:hAnsi="Arial"/>
          <w:sz w:val="18"/>
          <w:szCs w:val="18"/>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adoption of ASU 2016-15 will have a retrospective impact to its third quarter due to the recognition of debt extinguishment costs during the three and nine months ended September 30, 2017. The Company will classify debt extinguishment costs as cash outflows for financing activities in accordance with ASU 2016-15.</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w:t>
      </w:r>
      <w:r>
        <w:rPr>
          <w:rFonts w:ascii="Arial" w:cs="Arial" w:eastAsia="Arial" w:hAnsi="Arial"/>
          <w:sz w:val="16"/>
          <w:szCs w:val="16"/>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beginning-of-period and end-of-period to total amounts shown on the statement of cash flows. The Company adopted ASU 2016-18 during the first quarter ended March 31, 2018. The adoption of ASU 2016-18 resulted in the Company's cash, cash equivalents and restricted cash being included in the beginning and ending amounts for the periods shown on the statement of cash flows and was applied retroactively and reflected in the balances presented for any prior periods. The Company believes that the adoption of this guidance did not have a significant impact on its condensed consolidated financial statements.</w:t>
      </w:r>
    </w:p>
    <w:p>
      <w:pPr>
        <w:spacing w:after="0" w:line="5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Effective January 1, 2018, the Company adopted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ASU 2017-09 specifies the types of changes to the terms or conditions of a share-based payment award that require an entity to apply modification accounting in accordance with Topic 718. The adoption of ASU 2017-09 did not have a material impact on the Company's consolidated financial statements.</w:t>
      </w:r>
    </w:p>
    <w:p>
      <w:pPr>
        <w:spacing w:after="0" w:line="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which clarifies the definition of a business to assist entities with evaluating whether transactions should be accounted for as acquisitions (or disposals) of assets or businesses. This ASU is effective for public entities for fiscal years beginning after December 15, 2017, with early adoption permitted. The adoption of ASU 2017-01 did not have a material impact on the Company's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2018 and December 31, 2017, the Company’s available-for-sale marketable securities consisted of U.S. government and agency securities, commercial paper and corporate bonds.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summarize the Company’s available-for-sale marketable securities by major type of security as of March 31, 2018 and December 31,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c>
          <w:tcPr>
            <w:tcW w:w="2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3"/>
                <w:szCs w:val="13"/>
                <w:color w:val="auto"/>
              </w:rPr>
            </w:pPr>
          </w:p>
        </w:tc>
        <w:tc>
          <w:tcPr>
            <w:tcW w:w="12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22,841</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Commercial paper</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1,998</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24,852</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24,839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Amortized Cost</w:t>
            </w:r>
          </w:p>
        </w:tc>
        <w:tc>
          <w:tcPr>
            <w:tcW w:w="2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4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3"/>
                <w:szCs w:val="13"/>
                <w:color w:val="auto"/>
              </w:rPr>
            </w:pPr>
          </w:p>
        </w:tc>
        <w:tc>
          <w:tcPr>
            <w:tcW w:w="11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12,798</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13,152</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25,956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available-for-sale marketable securities are classified in the Company’s consolidated balance sheets as short-term deposits and investments.</w:t>
      </w:r>
    </w:p>
    <w:p>
      <w:pPr>
        <w:spacing w:after="0" w:line="23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classifies its marketable debt securities based on their contractual maturity dates. As of March 31, 2018, the Company’s marketable debt securities mature at various dates through August 2018.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24,839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24,852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25,940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25,956</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2018, the Company held a total of 10 U.S. government and agency security positions, all of which were in an unrealized loss position, none of which had been in an unrealized loss position for 12 months or greater. The aggregate fair value of U.S. government and agency security investments in an unrealized loss position is $22.8 million. During the three months ended March 31, 2018, the Company recognized an unrealized loss of less than $0.1 million through net loss relating to changes in the fair value of its investment securities.</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Based on the Company’s review of these securities, the Company believes that the cost basis is recoverable and it had no other-than-temporary impairments on these securities as of March 31, 2018. The Company does not intend to sell these debt securities and the Company believes it is not more-likely-than-not that it will be required to sell these securities before the recovery of their amortized cost basis, which may be at maturity.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The Company has reported a net loss attributable to common stockholders for the three months ended March 31, 2018 and 2017, and for this reason basic and diluted net loss per share attributable to common stockholders are the same for all periods presented.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88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8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800" w:type="dxa"/>
            <w:vAlign w:val="bottom"/>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(15,134)</w:t>
            </w:r>
          </w:p>
        </w:tc>
        <w:tc>
          <w:tcPr>
            <w:tcW w:w="0" w:type="dxa"/>
            <w:vAlign w:val="bottom"/>
          </w:tcPr>
          <w:p>
            <w:pPr>
              <w:spacing w:after="0"/>
              <w:rPr>
                <w:sz w:val="1"/>
                <w:szCs w:val="1"/>
                <w:color w:val="auto"/>
              </w:rPr>
            </w:pPr>
          </w:p>
        </w:tc>
      </w:tr>
      <w:tr>
        <w:trPr>
          <w:trHeight w:val="106"/>
        </w:trPr>
        <w:tc>
          <w:tcPr>
            <w:tcW w:w="88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80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80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2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22,345,523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18,474,227</w:t>
            </w:r>
          </w:p>
        </w:tc>
        <w:tc>
          <w:tcPr>
            <w:tcW w:w="0" w:type="dxa"/>
            <w:vAlign w:val="bottom"/>
          </w:tcPr>
          <w:p>
            <w:pPr>
              <w:spacing w:after="0"/>
              <w:rPr>
                <w:sz w:val="1"/>
                <w:szCs w:val="1"/>
                <w:color w:val="auto"/>
              </w:rPr>
            </w:pPr>
          </w:p>
        </w:tc>
      </w:tr>
      <w:tr>
        <w:trPr>
          <w:trHeight w:val="74"/>
        </w:trPr>
        <w:tc>
          <w:tcPr>
            <w:tcW w:w="88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stockholders—basic and diluted</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60"/>
        </w:trPr>
        <w:tc>
          <w:tcPr>
            <w:tcW w:w="88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90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2,658,035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2,025,664</w:t>
            </w:r>
          </w:p>
        </w:tc>
        <w:tc>
          <w:tcPr>
            <w:tcW w:w="0" w:type="dxa"/>
            <w:vAlign w:val="bottom"/>
          </w:tcPr>
          <w:p>
            <w:pPr>
              <w:spacing w:after="0"/>
              <w:rPr>
                <w:sz w:val="1"/>
                <w:szCs w:val="1"/>
                <w:color w:val="auto"/>
              </w:rPr>
            </w:pPr>
          </w:p>
        </w:tc>
      </w:tr>
      <w:tr>
        <w:trPr>
          <w:trHeight w:val="80"/>
        </w:trPr>
        <w:tc>
          <w:tcPr>
            <w:tcW w:w="9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20" w:type="dxa"/>
            <w:vAlign w:val="bottom"/>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97,302</w:t>
            </w:r>
          </w:p>
        </w:tc>
        <w:tc>
          <w:tcPr>
            <w:tcW w:w="0" w:type="dxa"/>
            <w:vAlign w:val="bottom"/>
          </w:tcPr>
          <w:p>
            <w:pPr>
              <w:spacing w:after="0"/>
              <w:rPr>
                <w:sz w:val="1"/>
                <w:szCs w:val="1"/>
                <w:color w:val="auto"/>
              </w:rPr>
            </w:pPr>
          </w:p>
        </w:tc>
      </w:tr>
      <w:tr>
        <w:trPr>
          <w:trHeight w:val="74"/>
        </w:trPr>
        <w:tc>
          <w:tcPr>
            <w:tcW w:w="902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2,834,467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2,122,966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March 31, 2018 and December 31, 2017, and indicate the level within the fair value hierarchy where each measurement is classified. Below is a summary of assets measured at fair value on a recurring basis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6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22,402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22,402</w:t>
            </w:r>
          </w:p>
        </w:tc>
        <w:tc>
          <w:tcPr>
            <w:tcW w:w="0" w:type="dxa"/>
            <w:vAlign w:val="bottom"/>
          </w:tcPr>
          <w:p>
            <w:pPr>
              <w:spacing w:after="0"/>
              <w:rPr>
                <w:sz w:val="1"/>
                <w:szCs w:val="1"/>
                <w:color w:val="auto"/>
              </w:rPr>
            </w:pPr>
          </w:p>
        </w:tc>
      </w:tr>
      <w:tr>
        <w:trPr>
          <w:trHeight w:val="276"/>
        </w:trPr>
        <w:tc>
          <w:tcPr>
            <w:tcW w:w="6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Corporate bonds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29,896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22,841</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Commercial paper</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short-term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24,839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39,478</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83"/>
        </w:trPr>
        <w:tc>
          <w:tcPr>
            <w:tcW w:w="6900" w:type="dxa"/>
            <w:vAlign w:val="bottom"/>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40,478</w:t>
            </w:r>
          </w:p>
        </w:tc>
      </w:tr>
      <w:tr>
        <w:trPr>
          <w:trHeight w:val="251"/>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Corporate bonds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13,152</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r>
      <w:tr>
        <w:trPr>
          <w:trHeight w:val="243"/>
        </w:trPr>
        <w:tc>
          <w:tcPr>
            <w:tcW w:w="6900" w:type="dxa"/>
            <w:vAlign w:val="bottom"/>
          </w:tcPr>
          <w:p>
            <w:pPr>
              <w:ind w:left="40"/>
              <w:spacing w:after="0"/>
              <w:rPr>
                <w:sz w:val="20"/>
                <w:szCs w:val="20"/>
                <w:color w:val="auto"/>
              </w:rPr>
            </w:pPr>
            <w:r>
              <w:rPr>
                <w:rFonts w:ascii="Arial" w:cs="Arial" w:eastAsia="Arial" w:hAnsi="Arial"/>
                <w:sz w:val="14"/>
                <w:szCs w:val="14"/>
                <w:color w:val="auto"/>
              </w:rPr>
              <w:t>Total short-term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25,940</w:t>
            </w: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At March 31, 2018 and December 31, 2017, cash and cash equivalent investments were held in money market funds, U.S. government and agency securities, corporate bonds and commercial paper maturing within 90 days from the date of purchase.</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average maturity date for U.S. government and agency securities, included in investments at March 31, 2018 and December 31, 2017 was 181 days and 168 days, respectively. Fair value of U.S. government and agency securities approximated amortized value at each reporting date.</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average maturity date for commercial paper, included in investments at March 31, 2018 was 95 days. Fair value of commercial paper approximated amortized value at March 31, 2018.</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average maturity date for corporate bonds, included in investments at December 31, 2017 was 179 days. Fair value of corporate bonds approximated amortized value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480</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6,249</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r>
      <w:tr>
        <w:trPr>
          <w:trHeight w:val="216"/>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$0.2 million and $0.2 million for the three months ended March 31,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and licensing</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268</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r>
      <w:tr>
        <w:trPr>
          <w:trHeight w:val="216"/>
        </w:trPr>
        <w:tc>
          <w:tcPr>
            <w:tcW w:w="85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68"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568"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ind w:right="8680" w:firstLine="8"/>
        <w:spacing w:after="0" w:line="533" w:lineRule="auto"/>
        <w:tabs>
          <w:tab w:leader="none" w:pos="1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right="40"/>
        <w:spacing w:after="0" w:line="220"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Headquarters Lease, the Company secured a letter of credit for $0.3 million which renews automatically each year and is classified in restricted cash and other deposits in the accompanying consolidated balance sheets.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August 2016, the Company signed an amendment to the Headquarters Lease, which extends the term through March 31, 2020. The Headquarters Lease includes a rent escalation clause, and accordingly, rent expense is being recognized on a straight-line basis over the lease term.</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October 2017, the Company entered into a lease for approximately 5,100 square feet of additional office space located in Watertown, Massachusetts. The lease expires on March 31, 2020. The lease includes a rent escalation clause, and accordingly, rent expense is being recognized on a straight-line basis over the lease term.</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both March 31, 2018 and December 31, 2017, deferred rent and lease incentive liability totaled $0.2 million. Included in that amount, the current portion of deferred rent and lease incentive liability is classified as accrued expenses and was less than $0.1 million at both March 31, 2018 and December 31, 2017.</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each of the three months ended March 31, 2018 and 2017 was $0.5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aggregate future minimum lease payments related to these leases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60" w:type="dxa"/>
            <w:vAlign w:val="bottom"/>
          </w:tcPr>
          <w:p>
            <w:pPr>
              <w:ind w:left="40"/>
              <w:spacing w:after="0"/>
              <w:rPr>
                <w:sz w:val="20"/>
                <w:szCs w:val="20"/>
                <w:color w:val="auto"/>
              </w:rPr>
            </w:pPr>
            <w:r>
              <w:rPr>
                <w:rFonts w:ascii="Arial" w:cs="Arial" w:eastAsia="Arial" w:hAnsi="Arial"/>
                <w:sz w:val="14"/>
                <w:szCs w:val="14"/>
                <w:color w:val="auto"/>
              </w:rPr>
              <w:t>Year ended December 31,</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(Remainder)</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1,482</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r>
      <w:tr>
        <w:trPr>
          <w:trHeight w:val="204"/>
        </w:trPr>
        <w:tc>
          <w:tcPr>
            <w:tcW w:w="10060" w:type="dxa"/>
            <w:vAlign w:val="bottom"/>
          </w:tcPr>
          <w:p>
            <w:pPr>
              <w:ind w:left="40"/>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2,942</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Term Loan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9, 2013, the Company entered into a loan and security agreement with Oxford Finance LLC (“Oxford”) and Square 1 Bank (“Square 1”) to borrow up to $7.5 million. The Company initially borrowed $3.0 million in August 2013 and subsequently borrowed an additional $4.5 million in July 2014. In December 2015, the Company refinanced this debt facility to increase the amount of the borrowing to $12.0 million and to extend the repayment term. The amounts borrowed are collectively referred to as the “2015 Term Loan”. The lenders for the refinanced debt facility are Oxford and Pacific Western Bank (“Pacific Western”). Pacific Western had acquired Square 1 since the time of the original loan. Such a change in lender</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does not constitute third party financing on its own, and does not require extinguishment accounting. As a result of the refinancing, the stated interest rate was also adjusted to reflect the current market borrowing rate.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extinguishment of the 2015 Term Loan debt in September 2017 that is discussed in greater detail below, the 2015 Term Loan was collateralized by substantially all of the assets of the Company and bore interest at 8.1% per annum. The monthly payments for the 2015 Term Loan were initially interest only through January 2017. Principal repayments for the 2015 Term Loan were due over 30 monthly installments beginning on February 1,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Term Loan could be prepaid at the Company’s option at any time prior to maturity subject to a prepayment fee of 2% if prepaid after the first anniversary but before the second anniversaries, and 1% if prepaid after the second anniversary. The 2015 Term Loan did not include any financial covenants. The 2015 Term Loan required a final payment fee of 6.0% on the aggregate principal amounts borrowed upon repayment at maturity, on a prepayment date, or upon default. The final payment fee totaling $0.7 million was recorded as a loan discount.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2015 Term Loan,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up to 17,888 shares of the Company’s common stock at an exercise price of $16.77 per share. These warrants are classified as permanent equity in the accompanying consolidated balance sheets and will expire ten years from the date of issuance.</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Additionally, with the refinancing of the 2015 Term Loan at December 31, 2015, the Company granted the lenders 37,978 shares of the Company’s Series E Preferred which also was converted at the IPO to warrants to purchase up to 15,094 shares of Company’s common stock at an exercise price of $11.32 per share. These warrants are classified as permanent equity in the accompanying consolidated balance sheets and will expire ten years from the date of issuance.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initial grant date fair value of the Series D Preferred and Series E Preferred warrants was $0.1 million and $0.1 million for each issuance, respectively and was recorded as a loan discount.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December 2016, a total of 16,493 warrants to purchase common stock were exercised under a cashless exercise, resulting in a net issuance of 4,697 shares of common stock. The warrant exercise price had been established at the time the warrants were converted.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12, 2017, the Company entered into a term loan facility of up to $21.0 million (the “2017 Term Loan”) with Silicon Valley Bank, a California corporation (“SVB”), the proceeds of which were used to repay the 2015 Term Loan and for general corporate and working capital purposes. The Company refers to the 2015 Term Loan and the 2017 Term Loan, collectively, as the “Term Loans.” The 2017 Term Loan is governed by a loan and security agreement, dated September 12, 2017, between the Company and SVB (the “Loan Agreement”). The 2017 Term Loan was funded in full on September 13, 2017 (the “Funding Date”).</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w:t>
      </w:r>
    </w:p>
    <w:p>
      <w:pPr>
        <w:spacing w:after="0" w:line="2" w:lineRule="exact"/>
        <w:rPr>
          <w:sz w:val="20"/>
          <w:szCs w:val="20"/>
          <w:color w:val="auto"/>
        </w:rPr>
      </w:pPr>
    </w:p>
    <w:p>
      <w:pPr>
        <w:jc w:val="both"/>
        <w:ind w:right="480" w:firstLine="8"/>
        <w:spacing w:after="0" w:line="32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pays on the date of such prepayment (A) all outstanding principal plus accrued and unpaid interest, and (B) a prepayment premium of 3% if prepaid before the first anniversary, 2% if prepaid after the first anniversary but before the second anniversaries, and 1% if prepaid after the second anniversary.</w:t>
      </w:r>
    </w:p>
    <w:p>
      <w:pPr>
        <w:spacing w:after="0" w:line="13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December 31, 2017, the outstanding principal balance under the Term Loans was $21.0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on the 2017 Term Loan as of March 31, 2018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(Remainder)</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4,587</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9,128</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8,678</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1,753</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24,988</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w:t>
            </w:r>
          </w:p>
        </w:tc>
      </w:tr>
      <w:tr>
        <w:trPr>
          <w:trHeight w:val="197"/>
        </w:trPr>
        <w:tc>
          <w:tcPr>
            <w:tcW w:w="994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(923)</w:t>
            </w:r>
          </w:p>
        </w:tc>
      </w:tr>
      <w:tr>
        <w:trPr>
          <w:trHeight w:val="222"/>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Current portion of loans payable</w:t>
            </w: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Loans payable, net of current portion</w:t>
            </w:r>
          </w:p>
        </w:tc>
        <w:tc>
          <w:tcPr>
            <w:tcW w:w="5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21,127</w:t>
            </w:r>
          </w:p>
        </w:tc>
      </w:tr>
      <w:tr>
        <w:trPr>
          <w:trHeight w:val="26"/>
        </w:trPr>
        <w:tc>
          <w:tcPr>
            <w:tcW w:w="9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March 31, 2018 and 2017, the Company recognized $0.3 million and $0.3 million, respectively, of interest expense related to the Term Loans.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Shelf Registration Statement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August 10, 2017, the Company filed a universal shelf registration statement on Form S-3 with the SEC to sell up to $200 million of equity and/or debt securities and entered into a sales agreement with Jefferies LLC, as sales agent, pursuant to which the Company may, from time to time, issue and sell common stock with an aggregate value of up to $50 million in an at-the-market, or ATM, offering. The shelf registration statement was declared effective by the SEC on August 28, 2017. As of March 31, 2018, no securities have been issued from this shelf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After deducting for placement agent fees and offering expenses, the aggregate net proceeds from the 2017 PIPE was approximately $47.1 million. The Company expects to use the proceeds from the 2017 PIPE towards working capital requirements and general corporate purposes.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Securities and Exchange Commission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21, 2016, the Company completed its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Company's IPO on June 27, 2016, all outstanding shares of its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March 31, 2018, the Company has 200,000,000 shares of common stock authorized for issuance, $0.0001 par value per share, with 22,349,840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March 31, 2018,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2018</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1,911,551</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923,440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common stock options</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2,658,035</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2,657,187</w:t>
            </w:r>
          </w:p>
        </w:tc>
      </w:tr>
      <w:tr>
        <w:trPr>
          <w:trHeight w:val="216"/>
        </w:trPr>
        <w:tc>
          <w:tcPr>
            <w:tcW w:w="7900" w:type="dxa"/>
            <w:vAlign w:val="bottom"/>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4,746,018</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3,757,059</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ind w:right="9500" w:firstLine="8"/>
        <w:spacing w:after="0" w:line="503" w:lineRule="auto"/>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spacing w:after="0" w:line="1" w:lineRule="exact"/>
        <w:rPr>
          <w:sz w:val="20"/>
          <w:szCs w:val="20"/>
          <w:color w:val="auto"/>
        </w:rPr>
      </w:pPr>
    </w:p>
    <w:p>
      <w:pPr>
        <w:ind w:right="100"/>
        <w:spacing w:after="0" w:line="218" w:lineRule="exact"/>
        <w:rPr>
          <w:sz w:val="20"/>
          <w:szCs w:val="20"/>
          <w:color w:val="auto"/>
        </w:rPr>
      </w:pPr>
      <w:r>
        <w:rPr>
          <w:rFonts w:ascii="Arial" w:cs="Arial" w:eastAsia="Arial" w:hAnsi="Arial"/>
          <w:sz w:val="18"/>
          <w:szCs w:val="18"/>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zero shares remain available for future issuance under the 2008 Plan.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2008 Plan provided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the effective date of the Company's Registration Statement on Form S-1 relating to the initial public offering of its common stock on June 21, 2016, the Company ceased granting awards under the 2008 Plan; however, awards issued under the 2008 Plan remain subject to the terms of the 2008 Plan and the applicable 2008 Plan agreement.</w:t>
      </w:r>
    </w:p>
    <w:p>
      <w:pPr>
        <w:spacing w:after="0" w:line="181"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On June 7, 2016, the Company’s stockholders approved the 2016 Incentive Award Plan (the “2016 Plan”), which became effective June 20, 2016. The 2016 Plan provides for the granting of incentive and non</w:t>
      </w:r>
      <w:r>
        <w:rPr>
          <w:rFonts w:ascii="MS PGothic" w:cs="MS PGothic" w:eastAsia="MS PGothic" w:hAnsi="MS PGothic"/>
          <w:sz w:val="17"/>
          <w:szCs w:val="17"/>
          <w:color w:val="auto"/>
        </w:rPr>
        <w:t>‑</w:t>
      </w:r>
      <w:r>
        <w:rPr>
          <w:rFonts w:ascii="Arial" w:cs="Arial" w:eastAsia="Arial" w:hAnsi="Arial"/>
          <w:sz w:val="17"/>
          <w:szCs w:val="17"/>
          <w:color w:val="auto"/>
        </w:rPr>
        <w:t>qualified stock option, restricted stock and other stock and cash based awards as determined by the Board. At inception of the 2016 Plan, a total of 1,210,256 shares of common stock were authorized for future grant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three months ended March 31, 2018 and 2017, the number of shares of common stock that may be issued under the 2016 Plan was increased by 893,730 shares and 737,550 shares, respectively. As of March 31, 2018, 2,841,536 shares remain available for future issuance under the 2016 Plan.</w:t>
      </w:r>
    </w:p>
    <w:p>
      <w:pPr>
        <w:spacing w:after="0" w:line="2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2016 Plan provides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2016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fair value of each option award was estimated on the grant date using Black</w:t>
      </w:r>
      <w:r>
        <w:rPr>
          <w:rFonts w:ascii="MS PGothic" w:cs="MS PGothic" w:eastAsia="MS PGothic" w:hAnsi="MS PGothic"/>
          <w:sz w:val="17"/>
          <w:szCs w:val="17"/>
          <w:color w:val="auto"/>
        </w:rPr>
        <w:t>‑</w:t>
      </w:r>
      <w:r>
        <w:rPr>
          <w:rFonts w:ascii="Arial" w:cs="Arial" w:eastAsia="Arial" w:hAnsi="Arial"/>
          <w:sz w:val="17"/>
          <w:szCs w:val="17"/>
          <w:color w:val="auto"/>
        </w:rPr>
        <w:t>Scholes.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only on awards that are expected to vest.</w:t>
      </w:r>
    </w:p>
    <w:p>
      <w:pPr>
        <w:spacing w:after="0" w:line="2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2008 Plan and 2016 Plan were calculated using the Black-Scholes option pricing model, based on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7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r>
      <w:tr>
        <w:trPr>
          <w:trHeight w:val="256"/>
        </w:trPr>
        <w:tc>
          <w:tcPr>
            <w:tcW w:w="8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64"/>
        </w:trPr>
        <w:tc>
          <w:tcPr>
            <w:tcW w:w="874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80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5.92</w:t>
            </w:r>
          </w:p>
        </w:tc>
      </w:tr>
      <w:tr>
        <w:trPr>
          <w:trHeight w:val="264"/>
        </w:trPr>
        <w:tc>
          <w:tcPr>
            <w:tcW w:w="874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8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2"/>
              </w:rPr>
              <w:t>84.81%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84.41%</w:t>
            </w:r>
          </w:p>
        </w:tc>
      </w:tr>
      <w:tr>
        <w:trPr>
          <w:trHeight w:val="276"/>
        </w:trPr>
        <w:tc>
          <w:tcPr>
            <w:tcW w:w="8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10.89</w:t>
            </w:r>
          </w:p>
        </w:tc>
      </w:tr>
    </w:tbl>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during the three months ended March 31, 2018 and 2017 was $7.07 and $7.77, respectively. There were no employee stock option exercises during the three months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ended March 31, 2018. The aggregate intrinsic value of stock options exercised during the three months ended March 31, 2017 was $0.6 million.</w:t>
      </w:r>
    </w:p>
    <w:p>
      <w:pPr>
        <w:spacing w:after="0" w:line="23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March 31, 2018 and December 31, 2017, total unrecognized compensation expense related to unvested employee stock options was $8.7 million and $10.2 million, respectively, which is expected to be recognized over a weighted average period of 2.7 years and 2.9 years, respectively.</w:t>
      </w:r>
    </w:p>
    <w:p>
      <w:pPr>
        <w:spacing w:after="0" w:line="14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year ended December 31, 2017, the status of an executive changed from an employee to a consultant (non-employee). Stock-based compensation expense relating to the individual's stock option awards was recognized through the employee's termination date. In accordance with ASC 505-50, the consultant's 55,073 unvested stock option awards were subsequently remeasured using the then-current fair value of the Company's common stock and updated assumption inputs in the Black-Scholes option pricing model. The Company will remeasure the consultant's stock option awards quarterly based on the fair value of the award on the date at which the related service is complete. Stock-based compensation expense will be recognized over the consulting period until services are completed. The 55,073 stock option awards are presented in the employee awards stock option table below.</w:t>
      </w:r>
    </w:p>
    <w:p>
      <w:pPr>
        <w:spacing w:after="0" w:line="1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One of the Company's executive officers resigned effective December 31, 2017, and immediately entered into a consulting arrangement with the Company during the period January 1, 2018 to December 31, 2018. In connection with his resignation, (i) all of his unvested stock option awards (62,546 shares in aggregate) were forfeited and expired as of December 31, 2017; (ii) his right to exercise his vested, exercisable stock option awards (126,457 shares in aggregate) as of December 31, 2017 was extended to March 31, 2019, resulting in a modification; and (iii) during the first quarter of 2018, he was granted a stock option award to purchase 20,000 shares of the Company's common stock. For accounting purposes, this has been treated as a cancellation and replacement award, subject to modification accounting. All granted stock awards are presented in the employee awards stock option table below.</w:t>
      </w:r>
    </w:p>
    <w:p>
      <w:pPr>
        <w:spacing w:after="0" w:line="165" w:lineRule="exact"/>
        <w:rPr>
          <w:sz w:val="20"/>
          <w:szCs w:val="20"/>
          <w:color w:val="auto"/>
        </w:rPr>
      </w:pPr>
    </w:p>
    <w:p>
      <w:pPr>
        <w:ind w:right="680"/>
        <w:spacing w:after="0" w:line="224" w:lineRule="exact"/>
        <w:rPr>
          <w:sz w:val="20"/>
          <w:szCs w:val="20"/>
          <w:color w:val="auto"/>
        </w:rPr>
      </w:pPr>
      <w:r>
        <w:rPr>
          <w:rFonts w:ascii="Arial" w:cs="Arial" w:eastAsia="Arial" w:hAnsi="Arial"/>
          <w:sz w:val="16"/>
          <w:szCs w:val="16"/>
          <w:color w:val="auto"/>
        </w:rPr>
        <w:t>There were no stock option awards granted to non-employees during the three months ended March 31 2018 and 2017. The unvested options held by non</w:t>
      </w:r>
      <w:r>
        <w:rPr>
          <w:rFonts w:ascii="MS PGothic" w:cs="MS PGothic" w:eastAsia="MS PGothic" w:hAnsi="MS PGothic"/>
          <w:sz w:val="16"/>
          <w:szCs w:val="16"/>
          <w:color w:val="auto"/>
        </w:rPr>
        <w:t>‑</w:t>
      </w:r>
      <w:r>
        <w:rPr>
          <w:rFonts w:ascii="Arial" w:cs="Arial" w:eastAsia="Arial" w:hAnsi="Arial"/>
          <w:sz w:val="16"/>
          <w:szCs w:val="16"/>
          <w:color w:val="auto"/>
        </w:rPr>
        <w:t>employees are revalued using the Company’s estimate of fair value on each vesting and reporting date through the remaining vesting period.</w:t>
      </w:r>
    </w:p>
    <w:p>
      <w:pPr>
        <w:spacing w:after="0" w:line="202"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color w:val="auto"/>
        </w:rPr>
        <w:t>As of March 31, 2018 and December 31, 2017,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$0.4 million and $0.6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2008 Plan and the 2016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 price ($)</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2,411,237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4,729</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(51,352)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March 31,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2,412,085</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10.43</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5,193</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March 31, 2018</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1,172,413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4,645</w:t>
            </w: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and expected to vest at March 31,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2,255,453</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10.22</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5,144</w:t>
            </w:r>
          </w:p>
        </w:tc>
      </w:tr>
      <w:tr>
        <w:trPr>
          <w:trHeight w:val="264"/>
        </w:trPr>
        <w:tc>
          <w:tcPr>
            <w:tcW w:w="47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4"/>
        </w:trPr>
        <w:tc>
          <w:tcPr>
            <w:tcW w:w="4700" w:type="dxa"/>
            <w:vAlign w:val="bottom"/>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March 31, 2018</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at March 31,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212,308</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1,338</w:t>
            </w: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March 31, 2018</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20,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ESPP offer period began on March 1, 2017.</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three months ended March 31, 2018 and 2017, the number of shares of common stock that may be issued under the ESPP was increased by 223,432 shares and 184,387 shares, respectively. During the three months ended March 31, 2018, the Company issued 6,586 shares of common stock under the ESPP. As of March 31, 2018, 558,046 shares remain available for future issuance under the ESPP.</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2018 and 2017, the Company recognized less than $0.1 million of stock-based compensation expense under the ESPP.</w:t>
      </w:r>
    </w:p>
    <w:p>
      <w:pPr>
        <w:spacing w:after="0" w:line="24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and the ESPP in the following expense categories of its consolidated statements of operations and comprehensive loss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r>
      <w:tr>
        <w:trPr>
          <w:trHeight w:val="243"/>
        </w:trPr>
        <w:tc>
          <w:tcPr>
            <w:tcW w:w="8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from Contracts with Customers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which is also referred to herein as "legacy GAAP" or the "previous guidance". The adoption of ASC 606 represents a change in accounting principle that will more closely align revenue recognition with the delivery of the Company's services and will provide financial statement readers with enhanced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9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following adjustments were made to the Company's accounts on the condensed consolidated balance sheet as of January 1, 2018:</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Reported at</w:t>
            </w:r>
          </w:p>
        </w:tc>
        <w:tc>
          <w:tcPr>
            <w:tcW w:w="280" w:type="dxa"/>
            <w:vAlign w:val="bottom"/>
          </w:tcPr>
          <w:p>
            <w:pPr>
              <w:spacing w:after="0"/>
              <w:rPr>
                <w:sz w:val="23"/>
                <w:szCs w:val="2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Due to</w:t>
            </w:r>
          </w:p>
        </w:tc>
        <w:tc>
          <w:tcPr>
            <w:tcW w:w="220" w:type="dxa"/>
            <w:vAlign w:val="bottom"/>
          </w:tcPr>
          <w:p>
            <w:pPr>
              <w:spacing w:after="0"/>
              <w:rPr>
                <w:sz w:val="23"/>
                <w:szCs w:val="23"/>
                <w:color w:val="auto"/>
              </w:rPr>
            </w:pP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27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December 31, 2017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ASU 2014-09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January 1, 2018</w:t>
            </w:r>
          </w:p>
        </w:tc>
        <w:tc>
          <w:tcPr>
            <w:tcW w:w="0" w:type="dxa"/>
            <w:vAlign w:val="bottom"/>
          </w:tcPr>
          <w:p>
            <w:pPr>
              <w:spacing w:after="0"/>
              <w:rPr>
                <w:sz w:val="1"/>
                <w:szCs w:val="1"/>
                <w:color w:val="auto"/>
              </w:rPr>
            </w:pP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70,698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70,698</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98,680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98,911</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243"/>
        </w:trPr>
        <w:tc>
          <w:tcPr>
            <w:tcW w:w="6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103,698</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8,580</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revenue, current portion</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Loans payable, net of current portion</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21,042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21,042</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14,089</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56"/>
        </w:trPr>
        <w:tc>
          <w:tcPr>
            <w:tcW w:w="60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49,286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47,456</w:t>
            </w:r>
          </w:p>
        </w:tc>
        <w:tc>
          <w:tcPr>
            <w:tcW w:w="0" w:type="dxa"/>
            <w:vAlign w:val="bottom"/>
          </w:tcPr>
          <w:p>
            <w:pPr>
              <w:spacing w:after="0"/>
              <w:rPr>
                <w:sz w:val="1"/>
                <w:szCs w:val="1"/>
                <w:color w:val="auto"/>
              </w:rPr>
            </w:pPr>
          </w:p>
        </w:tc>
      </w:tr>
      <w:tr>
        <w:trPr>
          <w:trHeight w:val="258"/>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273,128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273,128</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(216,897)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(212,469)</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2"/>
                <w:szCs w:val="22"/>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(4,420)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51,814</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56,242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103,698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 connection with the adoption of ASC 606, the Company identified three collaboration/grant arrangements that required analysis to quantify the impact of adoption to its opening accumulated deficit balance as of January 1, 2018: Spark Therapeutics, Inc., Skolkovo Foundation and National Institutes of Health.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SVP™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7"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SVP technology for up to four additional targets. The Company is eligible to receive a variable fee up to $2.0 million for each additional target option elected, dependent</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the incidence of the applicable indication. As per the agreement, the election period in which Spark can exercise additional targets is a term of three years from the Contract Date, or December 1, 2019.</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Spark Purchase Agreement are subject to customary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Beyond the Initial Closing, the Spark Purchase Agreement contemplated potential future sales of shares by the Company to Spark as follows:</w:t>
      </w:r>
    </w:p>
    <w:p>
      <w:pPr>
        <w:spacing w:after="0" w:line="225" w:lineRule="exact"/>
        <w:rPr>
          <w:sz w:val="20"/>
          <w:szCs w:val="20"/>
          <w:color w:val="auto"/>
        </w:rPr>
      </w:pPr>
    </w:p>
    <w:p>
      <w:pPr>
        <w:ind w:left="660" w:right="4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46" w:lineRule="exact"/>
        <w:rPr>
          <w:rFonts w:ascii="Arial" w:cs="Arial" w:eastAsia="Arial" w:hAnsi="Arial"/>
          <w:sz w:val="17"/>
          <w:szCs w:val="17"/>
          <w:color w:val="auto"/>
        </w:rPr>
      </w:pPr>
    </w:p>
    <w:p>
      <w:pPr>
        <w:ind w:left="660" w:right="160" w:hanging="328"/>
        <w:spacing w:after="0" w:line="27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(Note 14) totaling $2.2 million for the MIT sub-license provided to Spark, and $0.4 million relative to the calculated premium paid by Spark for the equity investments made under the Spark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of Revenue Recognition from ASC Topic 605 to ASC Topic 606</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identified the following promises at the inception of the agreement: (1) certain exclusive, worldwide, royalty bearing licenses to the Company’s intellectual property and a license to conduct certain research activities under the collaboration, or the License Obligation, (2) options to research, develop and commercialize gene therapies utilizing the SVP technology for up to four additional target therapy options, or the Option Obligation, (3) manufactured supply of pre-clinical and clinical SVP, or the Supply Obligation at a discount, and (4) option to purchase manufactured supply of commercial SVP, or the Commercial Supply Obligation at fair value. In consideration for these promises, the Company received an upfront payment of $15.0 million. In addition, the Company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determined that the License Obligation was not capable of being distinct from the Supply Obligation. This is because Spark cannot derive benefit from the license without the simultaneous transfer of the pre-clinical and clinical supply. Therefore, the License Obligation and Supply Obligation are combined as a single performance obligation (the “Combined License and Supply Obligation”). The Company also determined that the Option Obligation, which includes the related Supply Obligation, provides the customer with a material right and is considered a performance obligation in the arrangement since it was priced at an incremental discount. The Company determined that the optional Commercial Supply Obligation does not provide the customer with a material right and is not considered to be a performance obligation because Spark can derive benefit from the Combined License and Supply Obligation without the delivery of the Commercial Supply Obligation and is not at an incremental discount. Therefore, the Company determined that the Spark agreement contains five distinct performance obligations: the Combined License and Supply Obligation, and the four separate Option Obligations.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the adoption date and as of March 31, 2018, all milestones were constrained. The Company will re-evaluate the transaction price in each reporting period, as uncertain events are resolved, or as other changes in circumstances occur.</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Option Obligation ($1.3 million for each option) using the relative standalone selling price method to each obligation. The standalone selling price for the Combined License and Supply Obligation was determined using a discounted cash flow model. The standalone selling price for the Option Obligation was determined based on the fair value of the license minus the strike price of the option (the probability of exercise was included in the valuation) as well as the estimated discount of the Supply Obligation.</w:t>
      </w:r>
    </w:p>
    <w:p>
      <w:pPr>
        <w:spacing w:after="0" w:line="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estimated proceeds to be received from the sale of the Supply Obligation was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is estimated to be approximately four years. The discount associated with the Option Obligation, along with the proceeds to be received upon exercise and estimated sale of the Supply Obligation, will be recognized when each of the options are exercised, over the related expected deliveries of its supply. If the options expire without exercise, the related deferred revenue associated with each option will be recognized upon expiration (December 1, 2019).</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estimated that revenue recognized under ASC 605 is consistent with the revenue recognized in accordance with ASC 606 from contract inception. However, upon adoption of ASC 606, the Company recognized other assets of $2.6 million related to the incremental costs relating to sublicense fees, and a premium, paid to MIT that would not have been incurred if the contract with Spark had not been obtained.</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recognized revenues of zero and less than $0.1 million related to the Spark License Agreement during the three months ended March 31, 2018 and 2017,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2018, there was a contract liability of $14.7 million representing deferred revenue associated with this agreement. A total of $1.0 million is presented as current and $13.7 million is presented as noncurrent in the accompanying consolidated balance sheet. As of December 31, 2017, there was $14.7 million of deferred revenue related to this agreement. A total of $0.8 million was presented as current and $13.9 million was presented as noncurrent in the accompanying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 of $2.5 million.</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Under ASC 606, the Company determined that the Letter Agreement resulted in a modification to the original agreement. The amount received totaling $2.5 million and the reimbursements pursuant to the Letter Agreement totaling $2.5 million were both included in the transaction price, and a contract liability was recorded for the amount expected to be repaid. As repayments are made, the underlying contract liability will be reduced. To the extent that an amount is expected to be applied towards the clinical supply obligation, the analysis of variable consideration will be updated accordingly.</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utilized the practical expedient relating to contract modifications that occurred prior to January 1, 2018. The practical expedient allows the Company to reflect the aggregate effect of all modifications that occurred before January 1, 2018 when identifying the satisfied and unsatisfied performance obligations, determining the transaction price and allocating the transaction price to the satisfied and unsatisfied performance obligations for the modified contract at transition.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receives grant funding from the Russia-based Development Fund of New Technologies Development and Commercialization Center ("Skolkovo"). On November 28, 2014, the Company executed a grant awarded by Skolkovo for the development of a therapeutic vaccine using nanoparticles to treat chronic infection caused by human papillomavirus (HPV) and diseases associated with this infection. The grant covers the period from August 1, 2014 through July 21, 2017. The grant provides for up to $2.7 million that covers 48.5% of the estimated total cost of the research plan with the remaining 51.5% of estimated costs to be contributed by the Company. From grant inception through March 31, 2018, the Company has received $2.0 million from Skolkovo.</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in accordance with ASC 605, the Company determined that the grant funding was not fixed or determinable and the entire amount received through December 31, 2017 was recorded as deferred revenue in the consolidated balance sheet until the completion of the Skolkovo audit or the expiration of the audit term.</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assessed this arrangement in accordance with ASC 606 and concluded that the contract counterparty, Skolkovo, is a customer. Furthermore, the Company determined that the agreement with Skolkovo has commercial substance, and that the grant should be accounted for as revenue. The Company identified the research and development services being provided to Skolkovo as the only performance obligation in the agreement. 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as a cumulative-effect adjustment through accumulated deficit upon adoption of ASC 606. The remainder of $0.2 million has been recorded as a contract liability upon adoption of ASC 606.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May 14, 2014, the National Institute on Drug Abuse (“NIDA”), part of the National Institutes of Health ("NIH"), provided the Company with a Notice of Award (“NoA”), for a grant relating to the preclinical development and clinical proof of concept for a synthetic nanoparticle (the “Project”). The grant will help advance the Company’s development of the nanoparticle from a preclinical through early clinical stage and will provide support for one or more clinical trials. Under the terms of the grant, NIDA agreed to provide up to $8.1 million in funding to be used to offset the qualifying expenses incurred by the Company. The grant was to be funded over the course of three years, according to budget forecasts prepared by the Company.</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accordance with ASC 605, revenue associated with this grant was recognized as the related research and development work was performed, and expenses incurred. Revenue under this grant arrangement was recognized using a proportional performance method. Amounts received prior to satisfying the ASC 605 revenue recognition criteria (if any) was recorded as deferred revenue on the balance sheet. Through December 31, 2017, the Company received and recognized under ASC 605 approximately $7.2 million of grant revenue. The remaining $0.9 million available under the grant requires a change to the overhead rate, which is subject to final reconciliation and approval from NIDA and, therefore, was not recognized under ASC 605.</w:t>
      </w:r>
    </w:p>
    <w:p>
      <w:pPr>
        <w:spacing w:after="0" w:line="15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NIDA, is a customer. Furthermore, the Company determined that the agreement with NIDA has commercial substance, and that the grant should be accounted for as revenue. The Company identified the research and development services being provided to NIDA as the only performance obligation in the agreement.</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Upon adoption of ASC 606, the remaining $0.9 million was not recognized because the change to the overhead rate requires approval from NIDA, and therefore, represents a contract modification. Revenue will be recognized if and when the price change is approved, at which time it will be an enforceable right under contract. The Company expects approval in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Guidance on Financial Statement Line Items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compares the reported condensed consolidated balance sheet and statement of operations, as of and for the three months ended March 31, 2018, to the pro-forma amounts had the previous guidance been in effect:</w:t>
      </w: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4"/>
          </w:tcPr>
          <w:p>
            <w:pPr>
              <w:jc w:val="right"/>
              <w:ind w:right="1508"/>
              <w:spacing w:after="0"/>
              <w:rPr>
                <w:sz w:val="20"/>
                <w:szCs w:val="20"/>
                <w:color w:val="auto"/>
              </w:rPr>
            </w:pPr>
            <w:r>
              <w:rPr>
                <w:rFonts w:ascii="Arial" w:cs="Arial" w:eastAsia="Arial" w:hAnsi="Arial"/>
                <w:sz w:val="14"/>
                <w:szCs w:val="14"/>
                <w:b w:val="1"/>
                <w:bCs w:val="1"/>
                <w:color w:val="auto"/>
              </w:rPr>
              <w:t>As of March 31, 2018</w:t>
            </w:r>
          </w:p>
        </w:tc>
        <w:tc>
          <w:tcPr>
            <w:tcW w:w="0" w:type="dxa"/>
            <w:vAlign w:val="bottom"/>
          </w:tcPr>
          <w:p>
            <w:pPr>
              <w:spacing w:after="0"/>
              <w:rPr>
                <w:sz w:val="1"/>
                <w:szCs w:val="1"/>
                <w:color w:val="auto"/>
              </w:rPr>
            </w:pPr>
          </w:p>
        </w:tc>
      </w:tr>
      <w:tr>
        <w:trPr>
          <w:trHeight w:val="152"/>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As reported</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5"/>
              </w:rPr>
              <w:t>Pro forma as if the previous</w:t>
            </w:r>
          </w:p>
        </w:tc>
        <w:tc>
          <w:tcPr>
            <w:tcW w:w="0" w:type="dxa"/>
            <w:vAlign w:val="bottom"/>
          </w:tcPr>
          <w:p>
            <w:pPr>
              <w:spacing w:after="0"/>
              <w:rPr>
                <w:sz w:val="1"/>
                <w:szCs w:val="1"/>
                <w:color w:val="auto"/>
              </w:rPr>
            </w:pPr>
          </w:p>
        </w:tc>
      </w:tr>
      <w:tr>
        <w:trPr>
          <w:trHeight w:val="192"/>
        </w:trPr>
        <w:tc>
          <w:tcPr>
            <w:tcW w:w="6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accounting was in effect</w:t>
            </w:r>
          </w:p>
        </w:tc>
        <w:tc>
          <w:tcPr>
            <w:tcW w:w="0" w:type="dxa"/>
            <w:vAlign w:val="bottom"/>
          </w:tcPr>
          <w:p>
            <w:pPr>
              <w:spacing w:after="0"/>
              <w:rPr>
                <w:sz w:val="1"/>
                <w:szCs w:val="1"/>
                <w:color w:val="auto"/>
              </w:rPr>
            </w:pPr>
          </w:p>
        </w:tc>
      </w:tr>
      <w:tr>
        <w:trPr>
          <w:trHeight w:val="27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58,304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58,304</w:t>
            </w: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Short-term deposits and investments</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24,839</w:t>
            </w:r>
          </w:p>
        </w:tc>
        <w:tc>
          <w:tcPr>
            <w:tcW w:w="0" w:type="dxa"/>
            <w:vAlign w:val="bottom"/>
          </w:tcPr>
          <w:p>
            <w:pPr>
              <w:spacing w:after="0"/>
              <w:rPr>
                <w:sz w:val="1"/>
                <w:szCs w:val="1"/>
                <w:color w:val="auto"/>
              </w:rPr>
            </w:pPr>
          </w:p>
        </w:tc>
      </w:tr>
      <w:tr>
        <w:trPr>
          <w:trHeight w:val="264"/>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22"/>
                <w:szCs w:val="22"/>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50"/>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Total current assets</w:t>
            </w:r>
          </w:p>
        </w:tc>
        <w:tc>
          <w:tcPr>
            <w:tcW w:w="400" w:type="dxa"/>
            <w:vAlign w:val="bottom"/>
          </w:tcPr>
          <w:p>
            <w:pPr>
              <w:spacing w:after="0"/>
              <w:rPr>
                <w:sz w:val="21"/>
                <w:szCs w:val="21"/>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84,984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84,753</w:t>
            </w: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 and other assets</w:t>
            </w:r>
          </w:p>
        </w:tc>
        <w:tc>
          <w:tcPr>
            <w:tcW w:w="4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2,696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87,339</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6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Accounts payable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9,062</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Deferred revenue, current portion</w:t>
            </w:r>
          </w:p>
        </w:tc>
        <w:tc>
          <w:tcPr>
            <w:tcW w:w="4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5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4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11,810</w:t>
            </w:r>
          </w:p>
        </w:tc>
        <w:tc>
          <w:tcPr>
            <w:tcW w:w="0" w:type="dxa"/>
            <w:vAlign w:val="bottom"/>
          </w:tcPr>
          <w:p>
            <w:pPr>
              <w:spacing w:after="0"/>
              <w:rPr>
                <w:sz w:val="1"/>
                <w:szCs w:val="1"/>
                <w:color w:val="auto"/>
              </w:rPr>
            </w:pPr>
          </w:p>
        </w:tc>
      </w:tr>
      <w:tr>
        <w:trPr>
          <w:trHeight w:val="264"/>
        </w:trPr>
        <w:tc>
          <w:tcPr>
            <w:tcW w:w="64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4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rent and lease incentive</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Loans payable, net of current portion</w:t>
            </w:r>
          </w:p>
        </w:tc>
        <w:tc>
          <w:tcPr>
            <w:tcW w:w="400" w:type="dxa"/>
            <w:vAlign w:val="bottom"/>
          </w:tcPr>
          <w:p>
            <w:pPr>
              <w:spacing w:after="0"/>
              <w:rPr>
                <w:sz w:val="22"/>
                <w:szCs w:val="22"/>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21,127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21,127</w:t>
            </w: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revenue, net of current portion</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15,747</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gridSpan w:val="2"/>
          </w:tcPr>
          <w:p>
            <w:pPr>
              <w:ind w:left="2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4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256"/>
        </w:trPr>
        <w:tc>
          <w:tcPr>
            <w:tcW w:w="6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48,355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50,185</w:t>
            </w:r>
          </w:p>
        </w:tc>
        <w:tc>
          <w:tcPr>
            <w:tcW w:w="0" w:type="dxa"/>
            <w:vAlign w:val="bottom"/>
          </w:tcPr>
          <w:p>
            <w:pPr>
              <w:spacing w:after="0"/>
              <w:rPr>
                <w:sz w:val="1"/>
                <w:szCs w:val="1"/>
                <w:color w:val="auto"/>
              </w:rPr>
            </w:pPr>
          </w:p>
        </w:tc>
      </w:tr>
      <w:tr>
        <w:trPr>
          <w:trHeight w:val="258"/>
        </w:trPr>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4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Additional paid-in capital</w:t>
            </w:r>
          </w:p>
        </w:tc>
        <w:tc>
          <w:tcPr>
            <w:tcW w:w="400" w:type="dxa"/>
            <w:vAlign w:val="bottom"/>
          </w:tcPr>
          <w:p>
            <w:pPr>
              <w:spacing w:after="0"/>
              <w:rPr>
                <w:sz w:val="22"/>
                <w:szCs w:val="22"/>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274,334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274,334</w:t>
            </w: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4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(228,357)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(232,785)</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Accumulated other comprehensive loss</w:t>
            </w:r>
          </w:p>
        </w:tc>
        <w:tc>
          <w:tcPr>
            <w:tcW w:w="4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250"/>
        </w:trPr>
        <w:tc>
          <w:tcPr>
            <w:tcW w:w="6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stockholders’ equity</w:t>
            </w:r>
          </w:p>
        </w:tc>
        <w:tc>
          <w:tcPr>
            <w:tcW w:w="4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41,582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37,154</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0"/>
              <w:spacing w:after="0"/>
              <w:rPr>
                <w:sz w:val="20"/>
                <w:szCs w:val="20"/>
                <w:color w:val="auto"/>
              </w:rPr>
            </w:pPr>
            <w:r>
              <w:rPr>
                <w:rFonts w:ascii="Arial" w:cs="Arial" w:eastAsia="Arial" w:hAnsi="Arial"/>
                <w:sz w:val="14"/>
                <w:szCs w:val="14"/>
                <w:color w:val="auto"/>
              </w:rPr>
              <w:t>Total liabilities and stockholders’ equity</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89,937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87,339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Total reported assets were $2.6 million more than the pro-forma balance sheet, which assumes the previous guidance remained in effect as of March 31,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higher reported assets were a result of the recognition of other assets of $2.6 million relating to incremental costs of obtaining the contract with Spark.</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reported liabilities were $1.8 million less than the pro-forma balance sheet, which assumes the previous guidance remained in effect as of March 31, 2018. The lower reported liabilities were due to reductions recognized to deferred revenue balances, as follows: less than $0.1 million relating to Spark, and $1.8 million related to Skolkovo.</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was no difference in the amounts reported in the statement of operations under ASC 606 during the three months ended March 31, 2018, and the pro-forma statement of operations, which assumes the previous guidance remained in effect as of March 31,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and excludes unexercised contract options. As of March 31, 2018, the aggregate amount of the transaction price allocated to remaining performance obligations was $8.6 million. The Company expects to recognize revenue on approximately 9.0% of the remaining performance obligations over the next 12 months.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during the three months ended March 31,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 Period</w:t>
            </w:r>
          </w:p>
        </w:tc>
        <w:tc>
          <w:tcPr>
            <w:tcW w:w="16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End of Period</w:t>
            </w:r>
          </w:p>
        </w:tc>
      </w:tr>
      <w:tr>
        <w:trPr>
          <w:trHeight w:val="270"/>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14,876</w:t>
            </w:r>
          </w:p>
        </w:tc>
      </w:tr>
      <w:tr>
        <w:trPr>
          <w:trHeight w:val="264"/>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 (i)</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2,231</w:t>
            </w: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17,107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0" w:firstLine="8"/>
        <w:spacing w:after="0" w:line="273" w:lineRule="auto"/>
        <w:tabs>
          <w:tab w:leader="none" w:pos="1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current portion of other liabilities in the amount of $0.8 million is presented in the accrued expenses line of the consolidated balance sheet. The noncurrent portion of other liabilities in the amount of $1.4 million is presented in the other long-term liabilities line of the consolidated balance sheet.</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timing of revenue recognition and cash collections results in contract liabilities on the consolidated balance sheets.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products or services is transferred to the customer and all revenue recognition criteria have been met.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2017 PIPE, the Company sold to Timothy Springer, Ph.D., a member of its Board of Directors, an aggregate of 338,791 shares of common stock at a purchase price equal to $17.71 per share, which was equal to the most recent consolidated closing bid price on the Nasdaq Global Market on June 23, 2017. In addition, the Company sold warrants to Dr. Springer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totaling less than $0.1 million during each of the three months ended March 31, 2018 and 2017.</w:t>
      </w:r>
    </w:p>
    <w:p>
      <w:pPr>
        <w:spacing w:after="0" w:line="166" w:lineRule="exact"/>
        <w:rPr>
          <w:sz w:val="20"/>
          <w:szCs w:val="20"/>
          <w:color w:val="auto"/>
        </w:rPr>
      </w:pPr>
    </w:p>
    <w:p>
      <w:pPr>
        <w:ind w:right="8500" w:firstLine="8"/>
        <w:spacing w:after="0" w:line="604" w:lineRule="auto"/>
        <w:tabs>
          <w:tab w:leader="none" w:pos="27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Technology License Agreements Massachusetts Institute of Technology</w:t>
      </w:r>
    </w:p>
    <w:p>
      <w:pPr>
        <w:spacing w:after="0" w:line="218" w:lineRule="exact"/>
        <w:rPr>
          <w:sz w:val="20"/>
          <w:szCs w:val="20"/>
          <w:color w:val="auto"/>
        </w:rPr>
      </w:pPr>
      <w:r>
        <w:rPr>
          <w:rFonts w:ascii="Arial" w:cs="Arial" w:eastAsia="Arial" w:hAnsi="Arial"/>
          <w:sz w:val="16"/>
          <w:szCs w:val="16"/>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6"/>
          <w:szCs w:val="16"/>
          <w:color w:val="auto"/>
        </w:rPr>
        <w:t>‑</w:t>
      </w:r>
      <w:r>
        <w:rPr>
          <w:rFonts w:ascii="Arial" w:cs="Arial" w:eastAsia="Arial" w:hAnsi="Arial"/>
          <w:sz w:val="16"/>
          <w:szCs w:val="16"/>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6"/>
          <w:szCs w:val="16"/>
          <w:color w:val="auto"/>
        </w:rPr>
        <w:t>‑</w:t>
      </w:r>
      <w:r>
        <w:rPr>
          <w:rFonts w:ascii="Arial" w:cs="Arial" w:eastAsia="Arial" w:hAnsi="Arial"/>
          <w:sz w:val="16"/>
          <w:szCs w:val="16"/>
          <w:color w:val="auto"/>
        </w:rPr>
        <w:t>cross</w:t>
      </w:r>
      <w:r>
        <w:rPr>
          <w:rFonts w:ascii="MS PGothic" w:cs="MS PGothic" w:eastAsia="MS PGothic" w:hAnsi="MS PGothic"/>
          <w:sz w:val="16"/>
          <w:szCs w:val="16"/>
          <w:color w:val="auto"/>
        </w:rPr>
        <w:t>‑</w:t>
      </w:r>
      <w:r>
        <w:rPr>
          <w:rFonts w:ascii="Arial" w:cs="Arial" w:eastAsia="Arial" w:hAnsi="Arial"/>
          <w:sz w:val="16"/>
          <w:szCs w:val="16"/>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6"/>
          <w:szCs w:val="16"/>
          <w:color w:val="auto"/>
        </w:rPr>
        <w:t>‑</w:t>
      </w:r>
      <w:r>
        <w:rPr>
          <w:rFonts w:ascii="Arial" w:cs="Arial" w:eastAsia="Arial" w:hAnsi="Arial"/>
          <w:sz w:val="16"/>
          <w:szCs w:val="16"/>
          <w:color w:val="auto"/>
        </w:rPr>
        <w:t>time expense in 2008.</w:t>
      </w:r>
    </w:p>
    <w:p>
      <w:pPr>
        <w:spacing w:after="0" w:line="2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2017,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three months ended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License. Pursuant to the 3SBio License, which was amended and restated in May 2017, the Company was granted an exclusive license to certain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products based thereupon for human therapeutic, diagnostic and prophylactic use. The Company was also granted a worldwide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Greater China) exclusive license to develop, commercialize and manufacture or have manufactured products combining the Company’s proprietary SVP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with pegsiticase or related compounds supplied by 3SBio (or otherwise supplied if the Company’s rights to manufacture are in effect) for human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pegsiticase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compounds for preclinical and clinical use or, if the 3SBio License is terminated for 3SBio’s material breach, for any use under the 3SBio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the Company is obligated to obtain all of its supply of such compounds for Phase 3 clinical trials and commercial use from 3SBio under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supply agreements to be negotiated.</w:t>
      </w:r>
    </w:p>
    <w:p>
      <w:pPr>
        <w:spacing w:after="0" w:line="211"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United States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7"/>
          <w:szCs w:val="17"/>
          <w:color w:val="auto"/>
        </w:rPr>
        <w:t>‑</w:t>
      </w:r>
      <w:r>
        <w:rPr>
          <w:rFonts w:ascii="Arial" w:cs="Arial" w:eastAsia="Arial" w:hAnsi="Arial"/>
          <w:sz w:val="17"/>
          <w:szCs w:val="17"/>
          <w:color w:val="auto"/>
        </w:rPr>
        <w:t>based payments under the 3SBio License. An additional liability totaling $2.0 million for milestone payments was expensed in 2016 and is included within accounts payable on the balance sheet as of December 31, 2016.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related to the pegsiticase component of products at percentages ranging from the low</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mid single digits for products containing the Company’s SVP technology, and a range of no more than ten percent points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low double</w:t>
      </w:r>
      <w:r>
        <w:rPr>
          <w:rFonts w:ascii="MS PGothic" w:cs="MS PGothic" w:eastAsia="MS PGothic" w:hAnsi="MS PGothic"/>
          <w:sz w:val="17"/>
          <w:szCs w:val="17"/>
          <w:color w:val="auto"/>
        </w:rPr>
        <w:t>‑</w:t>
      </w:r>
      <w:r>
        <w:rPr>
          <w:rFonts w:ascii="Arial" w:cs="Arial" w:eastAsia="Arial" w:hAnsi="Arial"/>
          <w:sz w:val="17"/>
          <w:szCs w:val="17"/>
          <w:color w:val="auto"/>
        </w:rPr>
        <w:t>digits for products without the Company’s SVP technology. The Company will pay these royalties to 3SBio, subject to specified reductions,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until the later of (i) the date that all of the patent rights for that product have expired in that country, or (ii) a specified number of years from the first commercial sale of such product in such country.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240"/>
        <w:spacing w:after="0" w:line="219" w:lineRule="exact"/>
        <w:rPr>
          <w:sz w:val="20"/>
          <w:szCs w:val="20"/>
          <w:color w:val="auto"/>
        </w:rPr>
      </w:pPr>
      <w:r>
        <w:rPr>
          <w:rFonts w:ascii="Arial" w:cs="Arial" w:eastAsia="Arial" w:hAnsi="Arial"/>
          <w:sz w:val="17"/>
          <w:szCs w:val="17"/>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MEE, for use of Anc80 gene therapy vectors for gene augmentation therapies expressing certain target sequences.</w:t>
      </w:r>
    </w:p>
    <w:p>
      <w:pPr>
        <w:spacing w:after="0" w:line="2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MEE License, the Company agreed to pay MEE a license fee in the low six figures, annual license maintenance fees ranging from the</w:t>
      </w:r>
    </w:p>
    <w:p>
      <w:pPr>
        <w:spacing w:after="0" w:line="35"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mid</w:t>
      </w:r>
      <w:r>
        <w:rPr>
          <w:rFonts w:ascii="MS PGothic" w:cs="MS PGothic" w:eastAsia="MS PGothic" w:hAnsi="MS PGothic"/>
          <w:sz w:val="18"/>
          <w:szCs w:val="18"/>
          <w:color w:val="auto"/>
        </w:rPr>
        <w:t>‑</w:t>
      </w:r>
      <w:r>
        <w:rPr>
          <w:rFonts w:ascii="Arial" w:cs="Arial" w:eastAsia="Arial" w:hAnsi="Arial"/>
          <w:sz w:val="18"/>
          <w:szCs w:val="18"/>
          <w:color w:val="auto"/>
        </w:rPr>
        <w:t>twenty thousands to mid</w:t>
      </w:r>
      <w:r>
        <w:rPr>
          <w:rFonts w:ascii="MS PGothic" w:cs="MS PGothic" w:eastAsia="MS PGothic" w:hAnsi="MS PGothic"/>
          <w:sz w:val="18"/>
          <w:szCs w:val="18"/>
          <w:color w:val="auto"/>
        </w:rPr>
        <w:t>‑</w:t>
      </w:r>
      <w:r>
        <w:rPr>
          <w:rFonts w:ascii="Arial" w:cs="Arial" w:eastAsia="Arial" w:hAnsi="Arial"/>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equal to a percentage of net sales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Arial" w:cs="Arial" w:eastAsia="Arial" w:hAnsi="Arial"/>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Arial" w:cs="Arial" w:eastAsia="Arial" w:hAnsi="Arial"/>
          <w:sz w:val="18"/>
          <w:szCs w:val="18"/>
          <w:color w:val="auto"/>
        </w:rPr>
        <w:t>six figures to mid</w:t>
      </w:r>
      <w:r>
        <w:rPr>
          <w:rFonts w:ascii="MS PGothic" w:cs="MS PGothic" w:eastAsia="MS PGothic" w:hAnsi="MS PGothic"/>
          <w:sz w:val="18"/>
          <w:szCs w:val="18"/>
          <w:color w:val="auto"/>
        </w:rPr>
        <w:t>‑</w:t>
      </w:r>
      <w:r>
        <w:rPr>
          <w:rFonts w:ascii="Arial" w:cs="Arial" w:eastAsia="Arial" w:hAnsi="Arial"/>
          <w:sz w:val="18"/>
          <w:szCs w:val="18"/>
          <w:color w:val="auto"/>
        </w:rPr>
        <w:t>six figures, depending on the prevalence of the targeted disease.</w:t>
      </w:r>
    </w:p>
    <w:p>
      <w:pPr>
        <w:spacing w:after="0" w:line="20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2016, the Company had paid a total of $0.1 million in license fees due under the MEE License. No additional license fees are due under the MEE License as of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The Company provides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For the three months ended March 31, 2018 and 2017, the Company did not record a current or deferred income tax expense or benefit.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provided a full valuation allowance against its net deferred tax assets because the Company believes it is more likely than not that its deferred tax assets will not be realized. Realization of future tax benefits is dependent on many factors,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In 2014, the Company's Russian subsidiary was granted a 10 year tax holiday in Russia. The Company's foreign operations continue to benefit from the tax holiday, which is set to expire on December 31, 2023.</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The Company recognized the impact of the Tax Reform Act in these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the Company recorded provisional amounts reflecting the impact of the Tax Reform Act in these consolidated financial statements and related disclosures. The impact of the remeasurement of the Company’s U.S. deferred tax assets and liabilities to 21% resulted in the reduction of deferred tax assets of approximately $23.4 million, which is offset by a full valuation allowance, thus there is no net effect. The Company recorded no tax expense related to the deemed repatriation tax because its foreign entity, Selecta (RUS) is a foreign disregarded entity, which is not subject to the repatriation tax.</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preliminary estimate of the Tax Reform Act and the remeasurement of its deferred tax assets and liabilities is subject to the finalization of management’s analysis related to certain matters, such as developing interpretations of the provisions of the Tax Reform Act, changes to certain estimates and the filing of its tax returns. U.S. Treasury regulations, administrative interpretations or court decisions interpreting the Tax Reform Act may require further adjustments and changes in the Company's estimates. The final determination of the Tax Reform Act and the remeasurement of the Company's deferred assets and liabilities will be completed as additional information becomes available, but no later than one year from the enactment of the Tax Reform Act.</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March 31, 2018, the Company had no unrecognized tax benefits or related interest and penalties accrued.</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3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statement of operations and comprehensive loss. As of March 31, 2018, the Company had no accrued interest related to uncertain tax positions.</w:t>
      </w:r>
    </w:p>
    <w:p>
      <w:pPr>
        <w:spacing w:after="0" w:line="34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229"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Contributions by the Company totaled $0.1 million for each of the three months ended March 31, 2018 and 2017, and have been recorded in the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proprietary tolerogenic SVP technology, SVP-Rapamycin, encapsulates an immunomodulator in biodegradable nanoparticles to mitigate the formation of anti-drug antibodies, or ADAs, and induce antigen-specific immune tolerance to life-sustaining biologic drugs. We believe our SVP-Rapamycin has potential to enhance the efficacy and safety of existing approved biologic drugs, improve product candidates under development and enable novel therapies. Our lead product candidate, SEL-212, is a combination of a therapeutic uricase enzyme and our SVP technology that is designed to be the first biologic treatment that durably controls uric acid while also dissolving harmful deposits of uric acid in patients with chronic severe gout, a debilitating rare disease with an unmet medical need. We have submitted to the FDA two investigational new drug, or IND, applications for SEL-212, both of which are active. Each IND lists us as the named sponsor and is indicated for the treatment of chronic gout in adult patients refractory to conventional therapy. SEL-212 is currently in a Phase 2 clinical program in multiple clinical sites in the United States. Based on our Phase 1/2 clinical data, we believe that SEL-212 has the potential to control serum uric acid levels and mitigate the formation of ADAs in response to the therapeutic enzyme.</w:t>
      </w:r>
    </w:p>
    <w:p>
      <w:pPr>
        <w:spacing w:after="0" w:line="5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SEL-212 is designed as a monthly treatment for chronic severe gout consisting of SVP-Rapamycin co-administered with pegsiticase, our proprietary pegylated uricase. Our preclinical data indicate that SVP-Rapamycin, when co-administered with pegsiticase, induces antigen-specific immune tolerance to pegsiticase and substantially reduces the formation of associated ADAs. Our Phase 1 data shows that SVP-Rapamycin mitigated the formation of ADAs against pegsiticase after a single dose of SEL-212. We believe that SEL-212 has the potential to offer a uniquely effective treatment for patients with chronic severe gout, while also demonstrating the clinical effectiveness of our SVP technology. We expect our clinical and marketing strategy for SEL-212 to initially focus on the estimated 160,000 patients in the United States with chronic severe gout that are being treated by rheumatologists.</w:t>
      </w:r>
    </w:p>
    <w:p>
      <w:pPr>
        <w:spacing w:after="0" w:line="5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to SEL-212, we have two other product candidates in clinical development: SEL-403 and SELA-070. We are developing SEL-403, which is a combination of LMB-100 and SVP-Rapamycin, for the treatment of mesothelioma. In May 2017, we in-licensed LMB-100 from the Center for Cancer Research at the National Cancer Institute, or NCI, part of the National Institutes of Health. In March 2018, we initiated a Phase I trial of SEL-403 in patients with malignant pleural or peritoneal mesothelioma who have undergone at least one regimen of chemotherapy under a CRADA at NCI. We are also developing SELA-070, a nicotine vaccine product candidate for smoking cessation and relapse prevention. In May 2017, we commenced dosing of SELA-070 in a Phase 1 clinical trial assessing safety, tolerability and pharmacodynamic profile.</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developing two gene therapy product candidates in preclinical development for rare inborn errors of metabolism. SEL-302, our lead gene therapy product candidate, is a potential treatment for methylmalonic acidemia, which can cause severe developmental defects and premature death as a result of an accumulation of toxic metabolites. Our second gene therapy product candidate, SEL-313, is intended to treat ornithine transcarbamylase deficiency.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Since inception, we have incurred significant operating losses. We incurred net losses of $15.9 million and $15.1 million for the three months ended March 31, 2018 and 2017, respectively. As of March 31, 2018, we had an accumulated deficit of $228.4 million. We expect to continue incurring significant expenses and operating losses for at least the next several years as we:</w:t>
      </w:r>
    </w:p>
    <w:p>
      <w:pPr>
        <w:spacing w:after="0" w:line="181" w:lineRule="exact"/>
        <w:rPr>
          <w:sz w:val="20"/>
          <w:szCs w:val="20"/>
          <w:color w:val="auto"/>
        </w:rPr>
      </w:pPr>
    </w:p>
    <w:p>
      <w:pPr>
        <w:ind w:left="240" w:hanging="232"/>
        <w:spacing w:after="0" w:line="207" w:lineRule="exact"/>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86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expect that our existing cash, cash equivalents, short-term investments and restricted cash as of March 31, 2018, will enable us to fund our operating expenses and capital expenditure requirements into mid-2019. For additional information, see “Liquidity and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12 to our consolidated financial statements included elsewhere in this Quarterly Report on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research and development costs are often devoted to expanding our programs and are not necessarily allocable to a specific target.</w:t>
      </w:r>
    </w:p>
    <w:p>
      <w:pPr>
        <w:spacing w:after="0" w:line="206" w:lineRule="exact"/>
        <w:rPr>
          <w:sz w:val="20"/>
          <w:szCs w:val="20"/>
          <w:color w:val="auto"/>
        </w:rPr>
      </w:pPr>
    </w:p>
    <w:p>
      <w:pPr>
        <w:ind w:right="260"/>
        <w:spacing w:after="0" w:line="221" w:lineRule="exact"/>
        <w:rPr>
          <w:sz w:val="20"/>
          <w:szCs w:val="20"/>
          <w:color w:val="auto"/>
        </w:rPr>
      </w:pPr>
      <w:r>
        <w:rPr>
          <w:rFonts w:ascii="Arial" w:cs="Arial" w:eastAsia="Arial" w:hAnsi="Arial"/>
          <w:sz w:val="18"/>
          <w:szCs w:val="18"/>
          <w:color w:val="auto"/>
        </w:rPr>
        <w:t>We have incurred a total of $161.5 million in research and development expenses from inception through March 31, 2018,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and the remainder being spent on our various discovery and preclinical stage product candidate programs and the general expansion of our technology.</w:t>
      </w:r>
    </w:p>
    <w:p>
      <w:pPr>
        <w:spacing w:after="0" w:line="202" w:lineRule="exact"/>
        <w:rPr>
          <w:sz w:val="20"/>
          <w:szCs w:val="20"/>
          <w:color w:val="auto"/>
        </w:rPr>
      </w:pPr>
    </w:p>
    <w:p>
      <w:pPr>
        <w:jc w:val="both"/>
        <w:ind w:right="20"/>
        <w:spacing w:after="0" w:line="221" w:lineRule="exact"/>
        <w:rPr>
          <w:sz w:val="20"/>
          <w:szCs w:val="20"/>
          <w:color w:val="auto"/>
        </w:rPr>
      </w:pPr>
      <w:r>
        <w:rPr>
          <w:rFonts w:ascii="Arial" w:cs="Arial" w:eastAsia="Arial" w:hAnsi="Arial"/>
          <w:sz w:val="18"/>
          <w:szCs w:val="18"/>
          <w:color w:val="auto"/>
        </w:rPr>
        <w:t>As we expand the clinical development of SEL</w:t>
      </w:r>
      <w:r>
        <w:rPr>
          <w:rFonts w:ascii="MS PGothic" w:cs="MS PGothic" w:eastAsia="MS PGothic" w:hAnsi="MS PGothic"/>
          <w:sz w:val="18"/>
          <w:szCs w:val="18"/>
          <w:color w:val="auto"/>
        </w:rPr>
        <w:t>‑</w:t>
      </w:r>
      <w:r>
        <w:rPr>
          <w:rFonts w:ascii="Arial" w:cs="Arial" w:eastAsia="Arial" w:hAnsi="Arial"/>
          <w:sz w:val="18"/>
          <w:szCs w:val="18"/>
          <w:color w:val="auto"/>
        </w:rPr>
        <w:t>212,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w:t>
      </w:r>
    </w:p>
    <w:p>
      <w:pPr>
        <w:sectPr>
          <w:pgSz w:w="11900" w:h="16838" w:orient="portrait"/>
          <w:cols w:equalWidth="0" w:num="1">
            <w:col w:w="11380"/>
          </w:cols>
          <w:pgMar w:left="240" w:top="125" w:right="27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125" w:right="2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Sanofi. We are solely responsible for performing and funding any development and clinical trial activities relating to further development of vaccine candidates that we choose to undertake after the termination date of the Sanofi Agreement.</w:t>
      </w:r>
    </w:p>
    <w:p>
      <w:pPr>
        <w:spacing w:after="0" w:line="170"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expenses (key projects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SELA-070 (i)</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Discovery and preclinical stage product candidate programs,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internal research and development expenses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500"/>
        <w:spacing w:after="0"/>
        <w:tabs>
          <w:tab w:leader="none" w:pos="18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4,802</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4,996</w:t>
            </w:r>
          </w:p>
        </w:tc>
      </w:tr>
      <w:tr>
        <w:trPr>
          <w:trHeight w:val="270"/>
        </w:trPr>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522</w:t>
            </w:r>
          </w:p>
        </w:tc>
      </w:tr>
      <w:tr>
        <w:trPr>
          <w:trHeight w:val="270"/>
        </w:trPr>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333</w:t>
            </w:r>
          </w:p>
        </w:tc>
      </w:tr>
      <w:tr>
        <w:trPr>
          <w:trHeight w:val="276"/>
        </w:trPr>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5,956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5,193</w:t>
            </w:r>
          </w:p>
        </w:tc>
      </w:tr>
      <w:tr>
        <w:trPr>
          <w:trHeight w:val="190"/>
        </w:trPr>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11,139</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11,044</w:t>
            </w:r>
          </w:p>
        </w:tc>
      </w:tr>
      <w:tr>
        <w:trPr>
          <w:trHeight w:val="53"/>
        </w:trPr>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p>
      <w:pPr>
        <w:spacing w:after="0" w:line="213" w:lineRule="exact"/>
        <w:rPr>
          <w:sz w:val="20"/>
          <w:szCs w:val="20"/>
          <w:color w:val="auto"/>
        </w:rPr>
      </w:pPr>
    </w:p>
    <w:p>
      <w:pPr>
        <w:ind w:right="160" w:firstLine="8"/>
        <w:spacing w:after="0" w:line="273" w:lineRule="auto"/>
        <w:tabs>
          <w:tab w:leader="none" w:pos="172" w:val="left"/>
        </w:tabs>
        <w:numPr>
          <w:ilvl w:val="0"/>
          <w:numId w:val="13"/>
        </w:numPr>
        <w:rPr>
          <w:rFonts w:ascii="Arial" w:cs="Arial" w:eastAsia="Arial" w:hAnsi="Arial"/>
          <w:sz w:val="14"/>
          <w:szCs w:val="14"/>
          <w:color w:val="auto"/>
        </w:rPr>
      </w:pPr>
      <w:r>
        <w:rPr>
          <w:rFonts w:ascii="Arial" w:cs="Arial" w:eastAsia="Arial" w:hAnsi="Arial"/>
          <w:sz w:val="14"/>
          <w:szCs w:val="14"/>
          <w:color w:val="auto"/>
        </w:rPr>
        <w:t>Beginning in the third quarter of 2017, we began presenting research and development costs incurred on SELA-070, our SVP-nicotine vaccine candidate. As a result, prior period amounts were reclassified to conform to the current period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income (expense) amounts for each of the three months ended March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March 31, 2018 and December 31, 2017, we maintained cash of $1.1 million and $1.3 million, respectively, in Russian banks, of which $1.0 million and $1.2 million was denominated in U.S. dollars for the three months ended March 31, 2018 and the year ended December 31, 2017, respectively. The amounts denominated in U.S. dollars and used in transacting the day-to-day operations of our Russian subsidiary are subject to transaction gains and losses, which are reported as incurred.</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We recognized the impact of the Tax Reform Act in our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we recorded provisional amounts reflecting the impact of the Tax Reform Act in our consolidated financial statements and related disclosures. The impact of the remeasurement of our U.S. deferred tax assets and liabilities to 21% resulted in the reduction of deferred tax assets of approximately $23.4 million, which is offset by a full valuation allowance, thus there is no net effect. We recorded no tax expense related to the deemed repatriation tax because our foreign entity, Selecta (RUS) is a foreign disregarded entity, which is not subject to the repatriation tax.</w:t>
      </w:r>
    </w:p>
    <w:p>
      <w:pPr>
        <w:spacing w:after="0" w:line="16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preliminary estimate of the Tax Reform Act and the remeasurement of our deferred tax assets and liabilities is subject to the finalization of management’s analysis related to certain matters, such as developing interpretations of the provisions of the Tax Reform Act, changes to certain estimates and the filing of our tax returns. U.S. Treasury regulations, administrative interpretations or court decisions interpreting the Tax Reform Act may require further adjustments and changes in our estimates. The final determination of the Tax Reform Act and the remeasurement of our deferred assets and liabilities will be completed as additional information becomes available, but no later than one year from the enactment of the Tax Reform Act.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March 31, 2018 and 2017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gridSpan w:val="3"/>
            <w:vMerge w:val="restart"/>
          </w:tcPr>
          <w:p>
            <w:pPr>
              <w:jc w:val="center"/>
              <w:ind w:left="26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three months ended March 31, 2018, total revenue decreased by $0.1 million, or 100%, as compared to 2017. The decrease in grant revenue was the result of the wind down of the grant terms associated with our other grant revenues. Unlike during the three months ended March 31, 2017, the Company recognized no collaboration revenue from Spark during the three months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March 31, 2018 and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316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c>
          <w:tcPr>
            <w:tcW w:w="15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1"/>
              </w:rPr>
              <w:t>Increase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4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8"/>
              </w:rPr>
              <w:t>(decrease)</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11,139</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11,044</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95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March 31, 2018</w:t>
      </w:r>
      <w:r>
        <w:rPr>
          <w:rFonts w:ascii="Arial" w:cs="Arial" w:eastAsia="Arial" w:hAnsi="Arial"/>
          <w:sz w:val="18"/>
          <w:szCs w:val="18"/>
          <w:color w:val="2C2C2C"/>
        </w:rPr>
        <w:t>, our research and development expenses remained relatively unchanged as compared to the same period in</w:t>
      </w:r>
      <w:r>
        <w:rPr>
          <w:rFonts w:ascii="Arial" w:cs="Arial" w:eastAsia="Arial" w:hAnsi="Arial"/>
          <w:sz w:val="18"/>
          <w:szCs w:val="18"/>
          <w:color w:val="auto"/>
        </w:rPr>
        <w:t xml:space="preserve"> </w:t>
      </w:r>
      <w:r>
        <w:rPr>
          <w:rFonts w:ascii="Arial" w:cs="Arial" w:eastAsia="Arial" w:hAnsi="Arial"/>
          <w:sz w:val="18"/>
          <w:szCs w:val="18"/>
          <w:color w:val="2C2C2C"/>
        </w:rPr>
        <w:t>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March 31, 2018 and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c>
          <w:tcPr>
            <w:tcW w:w="15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1"/>
              </w:rPr>
              <w:t>Increase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8"/>
              </w:rPr>
              <w:t>(decrease)</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4,674</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3,875</w:t>
            </w: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799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March 31, 2018, our general and administrative expenses increased $0.8 million, or 21%, as compared to 2017, primarily due to greater headcount and related salaries needed to support a maturing clinical-stage public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 income increased by $0.2 million during the three months ended March 31, 2018 as compared to the same period in 2017. This increase was due to the mix of investments and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recognized foreign currency losses of less than $0.1 million and $0.2 million during the three months ended March 31, 2018 and 2017, respectively, reflecting the fluctuation of the U.S. dollar to the Russian ruble from the beginning to the end of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was $0.4 million and $0.3 million for the three months ended March 31, 2018 and 2017,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income (expense) amounts for each of the three months ended March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our inception through March 31, 2018, we have raised an aggregate of $309.6 million to fund our operations, of which $118.5 million was from the sale of preferred stock, $9.9 million was from government grants, $25.3 million was from borrowings under our credit facility, $44.3 million was through our collaborations and license agreements, $64.5 million in combined net proceeds was raised from our initial public offering in June 2016 and the underwriters' exercise in part of their option to purchase additional shares of our common stock in July 2016, and $47.1 million in combined net proceeds was raised from our private placement of common stock in June 2017, or the 2017 PIPE.</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board of directors.</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Pursuant to the Institutional Purchase Agreement, we agreed to sell an aggregate of 2,750,000 shares of our common stock to the Institutional Investors for aggregate gross proceeds of $44.0 million, at a purchase price equal to $16.00 per share. Pursuant to the Springer Purchase Agreement, we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or the Warrant Shares, exercisable at $17.71 per Warrant Share. The purchase price for each warrant was equal to $0.125 for each Warrant Share, consistent with Nasdaq Global Market requirements for an “at the market” offering. The Springer Offering resulted in additional aggregate gross proceeds to us of approximately $6.0 million for total aggregate gross proceeds to us of $50.0 million. On June 27, 2017, in connection with issuance of the Warrant Shares, we entered into a Common Stock Purchase Warrant with Dr. Springer, or the Warrant. The Warrant has a term of five years. We closed under the Institutional Purchase Agreement and the Springer Purchase Agreement on June 27, 2017.</w:t>
      </w:r>
    </w:p>
    <w:p>
      <w:pPr>
        <w:spacing w:after="0" w:line="18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August 10, 2017, we entered into a sales agreement with Jefferies LLC, as sales agent, or the Sales Agreement, pursuant to which we may, from time to time, issue and sell common stock with an aggregate value of up to $50 million in an at-the market, or ATM, offering. To date, there have been no sales of common stock pursuant to the Sales Agreement.</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2018, our cash, cash equivalents, short-term deposits and short-term investments were $83.1 million, of which $1.1 million was held by our Russian subsidiary designated solely for use in its operations including $0.1 million of restricted cash. Our Russian subsidiary cash is consolidated for financial reporting purposes.</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to our existing cash equivalents and short-term investments, we receive research and development funding pursuant to our research grants and collaboration agreements. In November 2016, we received written notice from Sanofi that Sanofi had elected to terminate in its entirety the Sanofi Agreement. The termination of the Sanofi Agreement was effective on May 8, 2017. Currently, funding from research grants and payments under our remaining collaboration agreements represent our only source of committed external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 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on the current operating plan, we expect that our cash, cash equivalents, short-term investments and restricted cash as of March 31, 2018, will fund our operating expenses and capital expenditure requirements into mid-2019.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65"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1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license and collaboration arrangements with partners, and research grants.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(15,316)</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(16,532)</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decrease in cash, cash equivalents, and restricted cash</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(32,016)</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cash used in operating activities for the three months ended March 31, 2018 was $13.4 million compared to $15.3 million in the same period in 2017, a decrease of $1.9 million period over period. The decrease in net cash used in operating activities is primarily due to (i) an increase in accounts payable of $2.8 million, (ii) an increase of $0.7 million in prepaid expenses and other current assets, and (iii) an increase in stock-based compensation expense of $0.5 million. This was offset by changes in cash from operating activities due to a $0.8 million increase in recorded net loss associated with the increased research and development expenses as we advanced from Phase 1 to Phase 2 clinical trials, and a decrease of $1.0 million to accrued expenses and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investing activities for the three months ended March 31, 2018 was $0.9 million compared to net cash used in investing activities of</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$16.5 million in the same period in 2017. The net cash provided by investing activities in the 2018 period was primarily due to $15.0 million of receipts from maturities of investments, offset by $13.9 million of purchases of short-term investments. The net cash used in investing activities in 2017 was primarily due to $16.5 million of purchases of short-term investments.</w:t>
      </w:r>
    </w:p>
    <w:p>
      <w:pPr>
        <w:sectPr>
          <w:pgSz w:w="11900" w:h="16838" w:orient="portrait"/>
          <w:cols w:equalWidth="0" w:num="1">
            <w:col w:w="11420"/>
          </w:cols>
          <w:pgMar w:left="240" w:top="125"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Net cash provided by financing activities for the three months ended March 31, 2018 was less than $0.1 million compared to net cash used in financing activities of $0.3 million in the same period in 2017. The net cash provided by financing activities in the 2018 period was due to $0.1 million from the issuance of common stock under the ESPP. The net cash used in financing activities in the 2017 period was due to $0.7 million of loan repayments of the 2015 Term Loan, partially offset by $0.4 million of cash received from the exercise of employee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2018, there were no significant changes to our principal contractual obligations and commitments as reported in our 2017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of March 31, 2018, we did not have any off-balance sheet arrangements as defined in the rules and regulations of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three months ended March 31, 2018, with the exception of revenue recognition, there were no significant changes to our critical accounting policies as reported in our 2017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 currently generate our revenue through grants, collaboration and license agreements with strategic collaborators for the development and commercialization of product candidates. Prior to January 1, 2018, we recognized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Under ASC 605, we recognized revenue when all of the following criteria were met:</w:t>
      </w:r>
    </w:p>
    <w:p>
      <w:pPr>
        <w:spacing w:after="0" w:line="181" w:lineRule="exact"/>
        <w:rPr>
          <w:sz w:val="20"/>
          <w:szCs w:val="20"/>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our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We adopted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on January 1, 2018, using the modified retrospective method for all contracts not completed as of the date of adoption. The reported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for 2018 reflect the application of ASC 606 guidance while the reported results for 2017 were prepared under the guidance of ASC 605, which is also referred to herein as "legacy GAAP" or the "previous guidance". Refer to Note 12 to our consolidated financial statements included elsewhere in this Quarterly Report on Form 10-Q for the impact of adoption of ASU 2014-09 on our consolidated financial position, results of operations, equity and cash flows as of the adoption date and for the three months ended March 31, 2018. The adoption of ASC 606 represents a change in accounting principle that will more closely align revenue recognition with the delivery of our services and will provide financial statement readers with enhanced disclosures.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52" w:lineRule="exact"/>
        <w:rPr>
          <w:sz w:val="20"/>
          <w:szCs w:val="20"/>
          <w:color w:val="auto"/>
        </w:rPr>
      </w:pPr>
    </w:p>
    <w:p>
      <w:pPr>
        <w:ind w:right="1280"/>
        <w:spacing w:after="0" w:line="342" w:lineRule="auto"/>
        <w:rPr>
          <w:sz w:val="20"/>
          <w:szCs w:val="20"/>
          <w:color w:val="auto"/>
        </w:rPr>
      </w:pPr>
      <w:r>
        <w:rPr>
          <w:rFonts w:ascii="Arial" w:cs="Arial" w:eastAsia="Arial" w:hAnsi="Arial"/>
          <w:sz w:val="16"/>
          <w:szCs w:val="16"/>
          <w:color w:val="auto"/>
        </w:rPr>
        <w:t>We currently generate our revenue through grants, collaboration and license agreements with strategic collaborators for the development and commercialization of product candidates. The grants, collaboration and license agreements are within the scope of ASC 606.</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the agreements,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capitalize the incremental costs of obtaining a contract with a customer if we expect to recover those costs. Such incremental costs would not have been incurred if the contract with a customer had not been obtained.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our intellectual property is determined to be distinct from the other performance obligations identified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optional. For optional services that are distinct, we assess if they are priced at a discount, and therefore, provide a material right to the licensee to be accounted for as separate performance obligations.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March 31, 2018 and December 31, 2017, we had cash, cash equivalents, short-term deposits and short-term investments of $83.1 million and $96.6 million, respectively, consisting of non</w:t>
      </w:r>
      <w:r>
        <w:rPr>
          <w:rFonts w:ascii="MS PGothic" w:cs="MS PGothic" w:eastAsia="MS PGothic" w:hAnsi="MS PGothic"/>
          <w:sz w:val="16"/>
          <w:szCs w:val="16"/>
          <w:color w:val="auto"/>
        </w:rPr>
        <w:t>‑</w:t>
      </w:r>
      <w:r>
        <w:rPr>
          <w:rFonts w:ascii="Arial" w:cs="Arial" w:eastAsia="Arial" w:hAnsi="Arial"/>
          <w:sz w:val="16"/>
          <w:szCs w:val="16"/>
          <w:color w:val="auto"/>
        </w:rPr>
        <w:t>interest and interest</w:t>
      </w:r>
      <w:r>
        <w:rPr>
          <w:rFonts w:ascii="MS PGothic" w:cs="MS PGothic" w:eastAsia="MS PGothic" w:hAnsi="MS PGothic"/>
          <w:sz w:val="16"/>
          <w:szCs w:val="16"/>
          <w:color w:val="auto"/>
        </w:rPr>
        <w:t>‑</w:t>
      </w:r>
      <w:r>
        <w:rPr>
          <w:rFonts w:ascii="Arial" w:cs="Arial" w:eastAsia="Arial" w:hAnsi="Arial"/>
          <w:sz w:val="16"/>
          <w:szCs w:val="16"/>
          <w:color w:val="auto"/>
        </w:rPr>
        <w:t>bearing money market accounts, repurchase agreements,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6"/>
          <w:szCs w:val="16"/>
          <w:color w:val="auto"/>
        </w:rPr>
        <w:t>‑</w:t>
      </w:r>
      <w:r>
        <w:rPr>
          <w:rFonts w:ascii="Arial" w:cs="Arial" w:eastAsia="Arial" w:hAnsi="Arial"/>
          <w:sz w:val="16"/>
          <w:szCs w:val="16"/>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March 31, 2018, we held $1.1 million of total cash in Russian banks to support our Russian subsidiary, which includes $1.0 million of cash and cash equivalents and $0.1 million of restricted cash, of which $1.0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During the three months ended March 31, 2018, we implemented certain internal controls in connection with 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There were no other changes in our internal control over financial reporting (as defined in Rules 13a-15(f) and 15d-15(f) under the Exchange Act) during the three months ended March 31, 2018 that has materially affected, or is reasonably likely to materially affect, our internal control over financial reporting.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inception, we have incurred significant operating losses in every year. Our net loss was $15.9 million for the three months ended March 31, 2018 and $65.3 million and $36.2 million for the years ended December 31, 2017 and 2016, respectively. As of March 31, 2018, we had an accumulated deficit of $228.4 million. To date, we have financed our operations primarily through our initial public offering of our common stock, a private placement of our common stock, issuances of preferred stock, debt, research grants and research collaborations.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SVP-enabled therapies. We expect to continue to incur significant expenses and operating losses for the foreseeable future. We expect that our expenses will increase substantially as we:</w:t>
      </w:r>
    </w:p>
    <w:p>
      <w:pPr>
        <w:spacing w:after="0" w:line="197" w:lineRule="exact"/>
        <w:rPr>
          <w:sz w:val="20"/>
          <w:szCs w:val="20"/>
          <w:color w:val="auto"/>
        </w:rPr>
      </w:pPr>
    </w:p>
    <w:p>
      <w:pPr>
        <w:ind w:left="240" w:hanging="232"/>
        <w:spacing w:after="0" w:line="207" w:lineRule="exact"/>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clinical trials for our other product candidates, including SEL-403;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9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7" w:lineRule="exact"/>
        <w:rPr>
          <w:sz w:val="20"/>
          <w:szCs w:val="20"/>
          <w:color w:val="auto"/>
        </w:rPr>
      </w:pPr>
    </w:p>
    <w:p>
      <w:pPr>
        <w:ind w:left="340" w:right="180" w:hanging="251"/>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addition to those currently expected, or if there are any delays in completing our clinical trials or the development of any of our product candidates, our expenses could increase and revenue could be further delayed.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1"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SEL-403 and SELA-070,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2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believe that our existing cash, cash equivalents, investments, and restricted cash as of March 31, 2018 will enable us to fund our operating expenses and capital expenditure requirements into mid-2019. We have based this estimate on assumptions that may prove to be wrong, and we could use our capital resources sooner than we currently expect. Our future capital requirements will depend on many factors, including:</w:t>
      </w:r>
    </w:p>
    <w:p>
      <w:pPr>
        <w:spacing w:after="0" w:line="166" w:lineRule="exact"/>
        <w:rPr>
          <w:sz w:val="20"/>
          <w:szCs w:val="20"/>
          <w:color w:val="auto"/>
        </w:rPr>
      </w:pPr>
    </w:p>
    <w:p>
      <w:pPr>
        <w:ind w:left="240" w:hanging="232"/>
        <w:spacing w:after="0" w:line="207" w:lineRule="exact"/>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and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hanging="332"/>
        <w:spacing w:after="0" w:line="223" w:lineRule="exact"/>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product candidates, or be unable to expand our</w:t>
      </w:r>
    </w:p>
    <w:p>
      <w:pPr>
        <w:sectPr>
          <w:pgSz w:w="11900" w:h="16838" w:orient="portrait"/>
          <w:cols w:equalWidth="0" w:num="1">
            <w:col w:w="11380"/>
          </w:cols>
          <w:pgMar w:left="240" w:top="125"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80"/>
          </w:cols>
          <w:pgMar w:left="240" w:top="125" w:right="2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operations or otherwise capitalize on our business opportunities, as desired, which could materially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SEL-212, our lead product candidate, SEL-403, our product candidate utilizing LMB-100 in combination with SVP-Rapamycin, and SELA-070, our nicotine vaccine product candidate for smoking cessation and relapse prevention, our product candidates are still in preclinical development. While we have completed our Phase 1 clinical trial for SEL</w:t>
      </w:r>
      <w:r>
        <w:rPr>
          <w:rFonts w:ascii="MS PGothic" w:cs="MS PGothic" w:eastAsia="MS PGothic" w:hAnsi="MS PGothic"/>
          <w:sz w:val="17"/>
          <w:szCs w:val="17"/>
          <w:color w:val="auto"/>
        </w:rPr>
        <w:t>‑</w:t>
      </w:r>
      <w:r>
        <w:rPr>
          <w:rFonts w:ascii="Arial" w:cs="Arial" w:eastAsia="Arial" w:hAnsi="Arial"/>
          <w:sz w:val="17"/>
          <w:szCs w:val="17"/>
          <w:color w:val="auto"/>
        </w:rPr>
        <w:t>212, we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 We initiated our Phase 2 clinical trial of SEL</w:t>
      </w:r>
      <w:r>
        <w:rPr>
          <w:rFonts w:ascii="MS PGothic" w:cs="MS PGothic" w:eastAsia="MS PGothic" w:hAnsi="MS PGothic"/>
          <w:sz w:val="17"/>
          <w:szCs w:val="17"/>
          <w:color w:val="auto"/>
        </w:rPr>
        <w:t>‑</w:t>
      </w:r>
      <w:r>
        <w:rPr>
          <w:rFonts w:ascii="Arial" w:cs="Arial" w:eastAsia="Arial" w:hAnsi="Arial"/>
          <w:sz w:val="17"/>
          <w:szCs w:val="17"/>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b w:val="1"/>
          <w:bCs w:val="1"/>
          <w:i w:val="1"/>
          <w:iCs w:val="1"/>
          <w:color w:val="auto"/>
        </w:rPr>
        <w:t>Our product candidates are based on our SVP technology,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or stimulate the immune system. We are very early in our clinical</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development efforts and may not be successful in our efforts to use our SVP technology to build a pipeline of product candidates and develop marketable drugs.</w:t>
      </w:r>
    </w:p>
    <w:p>
      <w:pPr>
        <w:spacing w:after="0" w:line="170"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All of our product candidates are derived from our SVP technology, which is an unproven approach to inducing antigen</w:t>
      </w:r>
      <w:r>
        <w:rPr>
          <w:rFonts w:ascii="MS PGothic" w:cs="MS PGothic" w:eastAsia="MS PGothic" w:hAnsi="MS PGothic"/>
          <w:sz w:val="16"/>
          <w:szCs w:val="16"/>
          <w:color w:val="auto"/>
        </w:rPr>
        <w:t>‑</w:t>
      </w:r>
      <w:r>
        <w:rPr>
          <w:rFonts w:ascii="Arial" w:cs="Arial" w:eastAsia="Arial" w:hAnsi="Arial"/>
          <w:sz w:val="16"/>
          <w:szCs w:val="16"/>
          <w:color w:val="auto"/>
        </w:rPr>
        <w:t>specific tolerance or stimulating the immune system. We are primarily using our SVP technology to improve and enable biologics that treat rare and serious diseases, with an initial focus on developing SEL</w:t>
      </w:r>
      <w:r>
        <w:rPr>
          <w:rFonts w:ascii="MS PGothic" w:cs="MS PGothic" w:eastAsia="MS PGothic" w:hAnsi="MS PGothic"/>
          <w:sz w:val="16"/>
          <w:szCs w:val="16"/>
          <w:color w:val="auto"/>
        </w:rPr>
        <w:t>‑</w:t>
      </w:r>
      <w:r>
        <w:rPr>
          <w:rFonts w:ascii="Arial" w:cs="Arial" w:eastAsia="Arial" w:hAnsi="Arial"/>
          <w:sz w:val="16"/>
          <w:szCs w:val="16"/>
          <w:color w:val="auto"/>
        </w:rPr>
        <w:t xml:space="preserve">212 for the treatment of chronic severe gout. We are also leveraging our SVP platform to pursue programs in additional therapeutic areas such as oncology and gene therapy. For instance, in May 2017 we licensed LMB-100, a potent anti-bacterial toxin, and in March 2018 initiated a Phase 1 trial of our product candidate SEL-403 to evaluate LMB-100 in combination with our SVP technology in patients with malignant pleural or peritoneal mesothelioma who have undergone at least one regimen of chemotherapy. In addition, we are developing two gene therapy product candidates for rare inborn errors of metabolism. Our lead gene therapy program is a potential treatment for </w:t>
      </w:r>
      <w:r>
        <w:rPr>
          <w:rFonts w:ascii="Arial" w:cs="Arial" w:eastAsia="Arial" w:hAnsi="Arial"/>
          <w:sz w:val="16"/>
          <w:szCs w:val="16"/>
          <w:color w:val="333333"/>
        </w:rPr>
        <w:t>methylmalonic acidemia</w:t>
      </w:r>
      <w:r>
        <w:rPr>
          <w:rFonts w:ascii="Arial" w:cs="Arial" w:eastAsia="Arial" w:hAnsi="Arial"/>
          <w:sz w:val="16"/>
          <w:szCs w:val="16"/>
          <w:color w:val="auto"/>
        </w:rPr>
        <w:t>. This product candidate is known as SEL-302. Our second gene therapy product candidate, or SEL-313, is intended to treat ornithine transcarbamylase deficiency.</w:t>
      </w:r>
    </w:p>
    <w:p>
      <w:pPr>
        <w:spacing w:after="0" w:line="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8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14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have not received FDA approval for a therapeutic based on SVP or for a biologic product manufactured in China and we know of only one company who has received FDA approval for a therapeutic based on a biologic sourced from China. In addition, we may use biologics other than pegsiticase with our SVP technology.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6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unproven nature of our SVP therapeutics, they may have different efficacy and safety rates in various indications;</w:t>
      </w:r>
    </w:p>
    <w:p>
      <w:pPr>
        <w:spacing w:after="0" w:line="225" w:lineRule="exact"/>
        <w:rPr>
          <w:rFonts w:ascii="Arial" w:cs="Arial" w:eastAsia="Arial" w:hAnsi="Arial"/>
          <w:sz w:val="18"/>
          <w:szCs w:val="18"/>
          <w:color w:val="auto"/>
        </w:rPr>
      </w:pPr>
    </w:p>
    <w:p>
      <w:pPr>
        <w:ind w:left="340" w:right="20" w:hanging="332"/>
        <w:spacing w:after="0" w:line="221" w:lineRule="exact"/>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ectPr>
          <w:pgSz w:w="11900" w:h="16838" w:orient="portrait"/>
          <w:cols w:equalWidth="0" w:num="1">
            <w:col w:w="11380"/>
          </w:cols>
          <w:pgMar w:left="240" w:top="125" w:right="27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125" w:right="2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20" w:hanging="332"/>
        <w:spacing w:after="0" w:line="221" w:lineRule="exact"/>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a biologics license application for SEL</w:t>
      </w:r>
      <w:r>
        <w:rPr>
          <w:rFonts w:ascii="MS PGothic" w:cs="MS PGothic" w:eastAsia="MS PGothic" w:hAnsi="MS PGothic"/>
          <w:sz w:val="18"/>
          <w:szCs w:val="18"/>
          <w:color w:val="auto"/>
        </w:rPr>
        <w:t>‑</w:t>
      </w:r>
      <w:r>
        <w:rPr>
          <w:rFonts w:ascii="Arial" w:cs="Arial" w:eastAsia="Arial" w:hAnsi="Arial"/>
          <w:sz w:val="18"/>
          <w:szCs w:val="18"/>
          <w:color w:val="auto"/>
        </w:rPr>
        <w:t>212 or another product and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by the FDA of the facilities of Shenyang Sunshine Pharmaceutical Co., Ltd., or 3SBio, or any other manufacturer of biologics we may use, the FDA may not approve the facility for production or may make observations that will take significant time for 3SBio or such other provider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are applying our SVP technology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8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regulatory approval process and clinical trial requirements for novel product candidates can be more expensive and take longer than for other, better known or more extensively studied product candidates. 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and must be authorized by both an applicable Institutional Review Board (“IRB”) and an Institutional Biosafety Committee, which provides oversight of recombinant DNA research.</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the IBC approves the protocol, and the IBC cannot approve the protocol until confirmation from the NIH that such registration is complete. In the event that RAC review is warranted, the protocol registration process cannot be completed until RAC review has taken place. 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if the study is not subject to in-depth, public RAC review.</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2012, the European Medicines Agency approved a gene therapy product called Glybera, which became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and to date only one gene therapy product, Luxturna, has been approved for use in the United States by the FDA.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 Similarly, the EMA may issue new guidelines concerning the development and marketing authorization for gene therapy medicinal products and require that we comply with these new guidelines.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lead product candidate, SEL-212, is currently being evaluated in a Phase 2 clinical program that we initiated in October 2016 and that we expect will conclude in 2018. In May 2017, we in-licensed LMB-100, a next-generation immunotoxin that completed a Phase 1 clinical program at the Center for Cancer Research at the NCI, for pancreatic cancer, mesothelioma and other cancers in 2017. For this product candidate, known as SEL-403, we plan to co-administer LMB-100 with SVP-Rapamycin. In March 2018, we initiated a Phase 1 trial of SEL-403 in patients with malignant pleural or peritoneal mesothelioma who have undergone at least one regimen of chemotherapy under a CRADA at NCI. In May 2017, we commenced dosing for a Phase 1 clinical trial for SELA-070, a nicotine vaccine candidate in development for smoking cessation and relapse prevention, to assess its safety, tolerability and pharmacodynamic profile. 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to date from our Phase 2 trial of SEL-212 may not be predictive of future results as we continue to enroll patients in ascending dose cohorts and cohorts to receive combination therapy for the entire treatment period. Moreover, we may not be able to complete, or may be required to deviate from, currently planned dosing levels in the Phase 2 trial for a variety of reasons, including, but not limited to, feedback from the FDA.</w:t>
      </w:r>
    </w:p>
    <w:p>
      <w:pPr>
        <w:spacing w:after="0" w:line="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We expect to conduct more than one Phase 3 trial for SEL-212 in the refractory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gout indication in order to gain approval. Additional clinical trials could cause us to incur significant development costs, delay or prevent the commercialization of SEL-212 or otherwise adversely affect our business.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that we expect;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w:t>
      </w:r>
    </w:p>
    <w:p>
      <w:pPr>
        <w:spacing w:after="0" w:line="225"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w:t>
      </w:r>
    </w:p>
    <w:p>
      <w:pPr>
        <w:sectPr>
          <w:pgSz w:w="11900" w:h="16838" w:orient="portrait"/>
          <w:cols w:equalWidth="0" w:num="1">
            <w:col w:w="11420"/>
          </w:cols>
          <w:pgMar w:left="240" w:top="125" w:right="239" w:bottom="568"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568"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87"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severe gout, which affects approximately 160,000 patients in the United States. Accordingly, there is a limited number of patients who could enroll in our clinical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3"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5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26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3SBio in China as our primary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obtain the biologic pegsiticase,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 primarily from 3SBio in China. Under our license agreement with 3SBio, we have limited rights to manufacture pegsiticase and, while we have entered into a contract with a back-up supplier located outside of China, we expect to continue to rely on 3SBio as the primary supplier of pegsiticase for the foreseeable future. In addition, to our knowledge only one company has received FDA approval for a therapeutic based on a biologic product manufactured in China.</w:t>
      </w:r>
    </w:p>
    <w:p>
      <w:pPr>
        <w:spacing w:after="0" w:line="204" w:lineRule="exact"/>
        <w:rPr>
          <w:sz w:val="20"/>
          <w:szCs w:val="20"/>
          <w:color w:val="auto"/>
        </w:rPr>
      </w:pPr>
    </w:p>
    <w:p>
      <w:pPr>
        <w:ind w:right="80"/>
        <w:spacing w:after="0" w:line="217" w:lineRule="exact"/>
        <w:rPr>
          <w:sz w:val="20"/>
          <w:szCs w:val="20"/>
          <w:color w:val="auto"/>
        </w:rPr>
      </w:pPr>
      <w:r>
        <w:rPr>
          <w:rFonts w:ascii="Arial" w:cs="Arial" w:eastAsia="Arial" w:hAnsi="Arial"/>
          <w:sz w:val="16"/>
          <w:szCs w:val="16"/>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w:t>
      </w:r>
      <w:r>
        <w:rPr>
          <w:rFonts w:ascii="MS PGothic" w:cs="MS PGothic" w:eastAsia="MS PGothic" w:hAnsi="MS PGothic"/>
          <w:sz w:val="16"/>
          <w:szCs w:val="16"/>
          <w:color w:val="auto"/>
        </w:rPr>
        <w:t>‑</w:t>
      </w:r>
      <w:r>
        <w:rPr>
          <w:rFonts w:ascii="Arial" w:cs="Arial" w:eastAsia="Arial" w:hAnsi="Arial"/>
          <w:sz w:val="16"/>
          <w:szCs w:val="16"/>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71" w:lineRule="exact"/>
        <w:rPr>
          <w:sz w:val="20"/>
          <w:szCs w:val="20"/>
          <w:color w:val="auto"/>
        </w:rPr>
      </w:pPr>
    </w:p>
    <w:p>
      <w:pPr>
        <w:ind w:right="14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60" w:hanging="332"/>
        <w:spacing w:after="0" w:line="223"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700" w:hanging="332"/>
        <w:spacing w:after="0" w:line="223"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100" w:hanging="332"/>
        <w:spacing w:after="0" w:line="221"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manufacturing organizations, or CMOs, or 3SBio, are unable to comply with cGMP regulations or if the FDA does not approve their facilities upon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40" w:hanging="332"/>
        <w:spacing w:after="0" w:line="221" w:lineRule="exact"/>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4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5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had elected to terminate in its entirety the Sanofi Agreement related to the development of product candidates to treat peanut allergy and celiac disease, and as a result we will not receive any future payments related in the Sanofi Agreement.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in the future collaborate with additional pharmaceutical and biotechnology companies for development and potential commercialization of therapeutic products.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340"/>
        <w:spacing w:after="0" w:line="221"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clinical trial of SEL</w:t>
      </w:r>
      <w:r>
        <w:rPr>
          <w:rFonts w:ascii="MS PGothic" w:cs="MS PGothic" w:eastAsia="MS PGothic" w:hAnsi="MS PGothic"/>
          <w:sz w:val="18"/>
          <w:szCs w:val="18"/>
          <w:color w:val="auto"/>
        </w:rPr>
        <w:t>‑</w:t>
      </w:r>
      <w:r>
        <w:rPr>
          <w:rFonts w:ascii="Arial" w:cs="Arial" w:eastAsia="Arial" w:hAnsi="Arial"/>
          <w:sz w:val="18"/>
          <w:szCs w:val="18"/>
          <w:color w:val="auto"/>
        </w:rPr>
        <w:t>212. We also expect to rely on other third parties to store and distribute drug supplies for our clinical trials.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218"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9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development and commercialization of new drug and biologic products and technologies is highly competitive and is characterized by rapid and substantial technological development and product innovations.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5" w:lineRule="exact"/>
        <w:rPr>
          <w:sz w:val="20"/>
          <w:szCs w:val="20"/>
          <w:color w:val="auto"/>
        </w:rPr>
      </w:pPr>
    </w:p>
    <w:p>
      <w:pPr>
        <w:ind w:right="60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ectPr>
          <w:pgSz w:w="11900" w:h="16838" w:orient="portrait"/>
          <w:cols w:equalWidth="0" w:num="1">
            <w:col w:w="11400"/>
          </w:cols>
          <w:pgMar w:left="240" w:top="125" w:right="25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125" w:right="2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that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203"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7"/>
          <w:szCs w:val="17"/>
          <w:color w:val="auto"/>
        </w:rPr>
        <w:t>‑</w:t>
      </w:r>
      <w:r>
        <w:rPr>
          <w:rFonts w:ascii="Arial" w:cs="Arial" w:eastAsia="Arial" w:hAnsi="Arial"/>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bills designed to, among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things, bring more transparency to product pricing, review the relationship between pricing and manufacturer patient programs, and reform government program reimbursement methodologies for drug products.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65" w:lineRule="exact"/>
        <w:rPr>
          <w:sz w:val="20"/>
          <w:szCs w:val="20"/>
          <w:color w:val="auto"/>
        </w:rPr>
      </w:pPr>
    </w:p>
    <w:p>
      <w:pPr>
        <w:ind w:right="420"/>
        <w:spacing w:after="0" w:line="221"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140" w:hanging="332"/>
        <w:spacing w:after="0" w:line="219"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387" w:lineRule="exact"/>
        <w:rPr>
          <w:sz w:val="20"/>
          <w:szCs w:val="20"/>
          <w:color w:val="auto"/>
        </w:rPr>
      </w:pPr>
    </w:p>
    <w:p>
      <w:pPr>
        <w:ind w:left="340" w:right="200"/>
        <w:spacing w:after="0" w:line="244" w:lineRule="exact"/>
        <w:rPr>
          <w:sz w:val="20"/>
          <w:szCs w:val="20"/>
          <w:color w:val="auto"/>
        </w:rPr>
      </w:pPr>
      <w:r>
        <w:rPr>
          <w:rFonts w:ascii="Arial" w:cs="Arial" w:eastAsia="Arial" w:hAnsi="Arial"/>
          <w:sz w:val="18"/>
          <w:szCs w:val="18"/>
          <w:color w:val="auto"/>
        </w:rPr>
        <w:t>the government may assert that a claim including items or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216" w:lineRule="exact"/>
        <w:rPr>
          <w:sz w:val="20"/>
          <w:szCs w:val="20"/>
          <w:color w:val="auto"/>
        </w:rPr>
      </w:pPr>
    </w:p>
    <w:p>
      <w:pPr>
        <w:ind w:left="340" w:right="30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81"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6" w:lineRule="exact"/>
        <w:rPr>
          <w:rFonts w:ascii="Arial" w:cs="Arial" w:eastAsia="Arial" w:hAnsi="Arial"/>
          <w:sz w:val="16"/>
          <w:szCs w:val="16"/>
          <w:color w:val="auto"/>
        </w:rPr>
      </w:pPr>
    </w:p>
    <w:p>
      <w:pPr>
        <w:jc w:val="both"/>
        <w:ind w:left="340" w:right="2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 and</w:t>
      </w:r>
    </w:p>
    <w:p>
      <w:pPr>
        <w:spacing w:after="0" w:line="165" w:lineRule="exact"/>
        <w:rPr>
          <w:rFonts w:ascii="Arial" w:cs="Arial" w:eastAsia="Arial" w:hAnsi="Arial"/>
          <w:sz w:val="17"/>
          <w:szCs w:val="17"/>
          <w:color w:val="auto"/>
        </w:rPr>
      </w:pPr>
    </w:p>
    <w:p>
      <w:pPr>
        <w:ind w:left="340" w:right="80" w:hanging="332"/>
        <w:spacing w:after="0" w:line="220" w:lineRule="exact"/>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which may apply to sales or marketing arrangements and claims involving healthcare items or services reimbursed by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requirements to comply with federal and pharmaceutical industry compliance guidelines; state data privacy and price transparency laws, many of which differ from each other in significant ways and often are broader than and not preempted by HIPAA or the Sunshine Act, thus complicating compliance efforts.</w:t>
      </w:r>
    </w:p>
    <w:p>
      <w:pPr>
        <w:spacing w:after="0" w:line="20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The Trump Administration and the U.S. Congress may take further action regarding the Affordable Care Act, including, but not limited to, repeal or replacement. Most recently, the Tax Cuts and Jobs Acts was enacted, which, among other things, removes penalties for not complying with the individual mandate to carry health insurance. We cannot predict the ultimate content, timing or effect of any healthcare reform legislation or the impact of potential legislation on us.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0"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125" w:right="2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63"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w:t>
      </w:r>
    </w:p>
    <w:p>
      <w:pPr>
        <w:sectPr>
          <w:pgSz w:w="11900" w:h="16838" w:orient="portrait"/>
          <w:cols w:equalWidth="0" w:num="1">
            <w:col w:w="11320"/>
          </w:cols>
          <w:pgMar w:left="240" w:top="125" w:right="339" w:bottom="1440" w:gutter="0" w:footer="0" w:header="0"/>
        </w:sect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20"/>
          </w:cols>
          <w:pgMar w:left="24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currently own ten issued U.S. patents. We cannot provide any assurances that such patents,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20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some foreign countries do not protect proprietary rights to the same extent or in the same manner as the laws of the United States. As a result, we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encounter significant problems in protecting and defending our intellectual property globally. If we are unable to prevent unauthorized disclosure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related to our product candidates and technology to third parties, we may not be able to establish or maintain a competitive advantage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market, which could adversely affect our business and operations.</w:t>
      </w:r>
    </w:p>
    <w:p>
      <w:pPr>
        <w:spacing w:after="0" w:line="103"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8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20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6" w:lineRule="exact"/>
        <w:rPr>
          <w:sz w:val="20"/>
          <w:szCs w:val="20"/>
          <w:color w:val="auto"/>
        </w:rPr>
      </w:pPr>
    </w:p>
    <w:p>
      <w:pPr>
        <w:ind w:right="16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100"/>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3"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4"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248"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8"/>
          <w:szCs w:val="18"/>
          <w:color w:val="auto"/>
        </w:rPr>
        <w:t>‑</w:t>
      </w:r>
      <w:r>
        <w:rPr>
          <w:rFonts w:ascii="Arial" w:cs="Arial" w:eastAsia="Arial" w:hAnsi="Arial"/>
          <w:sz w:val="18"/>
          <w:szCs w:val="18"/>
          <w:color w:val="auto"/>
        </w:rPr>
        <w:t>party infringement or unauthorized use. This can be expensive, particularly for a company of our size, and time</w:t>
      </w:r>
      <w:r>
        <w:rPr>
          <w:rFonts w:ascii="MS PGothic" w:cs="MS PGothic" w:eastAsia="MS PGothic" w:hAnsi="MS PGothic"/>
          <w:sz w:val="18"/>
          <w:szCs w:val="18"/>
          <w:color w:val="auto"/>
        </w:rPr>
        <w:t>‑</w:t>
      </w:r>
      <w:r>
        <w:rPr>
          <w:rFonts w:ascii="Arial" w:cs="Arial" w:eastAsia="Arial" w:hAnsi="Arial"/>
          <w:sz w:val="18"/>
          <w:szCs w:val="18"/>
          <w:color w:val="auto"/>
        </w:rPr>
        <w:t>consuming. If we initiated legal proceedings against a third party to enforce a patent, if and when issued, covering one of our product candidates, the defendant could counterclaim that the patent covering our product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candidate is invalid and/or unenforceable. In patent litigation in the United States, defendant counterclaims alleging invalidity and/or unenforceability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commonplace. Grounds for a validity challenge include alleged failures to meet any of several statutory requirements, including lack of novelty, obviousness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prosecution of the patent withheld relevant information from the USPTO, or made a misleading statement, during prosecution. Third parties may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raise similar claims before administrative bodies in the United States or abroad, even outside the context of litigation. Such mechanisms include</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w:t>
      </w:r>
      <w:r>
        <w:rPr>
          <w:rFonts w:ascii="MS PGothic" w:cs="MS PGothic" w:eastAsia="MS PGothic" w:hAnsi="MS PGothic"/>
          <w:sz w:val="17"/>
          <w:szCs w:val="17"/>
          <w:color w:val="auto"/>
        </w:rPr>
        <w:t>‑</w:t>
      </w:r>
      <w:r>
        <w:rPr>
          <w:rFonts w:ascii="Arial" w:cs="Arial" w:eastAsia="Arial" w:hAnsi="Arial"/>
          <w:sz w:val="17"/>
          <w:szCs w:val="17"/>
          <w:color w:val="auto"/>
        </w:rPr>
        <w:t>examination, post</w:t>
      </w:r>
      <w:r>
        <w:rPr>
          <w:rFonts w:ascii="MS PGothic" w:cs="MS PGothic" w:eastAsia="MS PGothic" w:hAnsi="MS PGothic"/>
          <w:sz w:val="17"/>
          <w:szCs w:val="17"/>
          <w:color w:val="auto"/>
        </w:rPr>
        <w:t>‑</w:t>
      </w:r>
      <w:r>
        <w:rPr>
          <w:rFonts w:ascii="Arial" w:cs="Arial" w:eastAsia="Arial" w:hAnsi="Arial"/>
          <w:sz w:val="17"/>
          <w:szCs w:val="17"/>
          <w:color w:val="auto"/>
        </w:rPr>
        <w:t>grant review, inter partes review, interference proceedings and equivalent proceedings in foreign jurisdictions, such as opposition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proceedings. Such proceedings could result in revocation or amendment of our patents in such a way that they no longer cover our product candidates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competitive products. The outcome following legal assertions of invalidity and unenforceability is unpredictable. With respect to validity, for example,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cannot be certain that there is no invalidating prior art, of which we and the patent examiner were unaware during prosecution. If a defendant were to prevail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a legal assertion of invalidity and/or unenforceability, we would lose at least part, and perhaps all, of the patent protection on our product candidates.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Moreover, even if not found invalid or unenforceable, the claims of our patents could be construed narrowly or in a manner that does not cover the allegedly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infringing technology in question. Such a loss of patent protection would have a material adverse impact on our business.</w:t>
      </w:r>
    </w:p>
    <w:p>
      <w:pPr>
        <w:spacing w:after="0" w:line="211"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8"/>
          <w:szCs w:val="18"/>
          <w:color w:val="auto"/>
        </w:rPr>
        <w:t>‑</w:t>
      </w:r>
      <w:r>
        <w:rPr>
          <w:rFonts w:ascii="Arial" w:cs="Arial" w:eastAsia="Arial" w:hAnsi="Arial"/>
          <w:sz w:val="18"/>
          <w:szCs w:val="18"/>
          <w:color w:val="auto"/>
        </w:rPr>
        <w:t>license or use these proprietary rights. We may be unable to acquire or in</w:t>
      </w:r>
      <w:r>
        <w:rPr>
          <w:rFonts w:ascii="MS PGothic" w:cs="MS PGothic" w:eastAsia="MS PGothic" w:hAnsi="MS PGothic"/>
          <w:sz w:val="18"/>
          <w:szCs w:val="18"/>
          <w:color w:val="auto"/>
        </w:rPr>
        <w:t>‑</w:t>
      </w:r>
      <w:r>
        <w:rPr>
          <w:rFonts w:ascii="Arial" w:cs="Arial" w:eastAsia="Arial" w:hAnsi="Arial"/>
          <w:sz w:val="18"/>
          <w:szCs w:val="18"/>
          <w:color w:val="auto"/>
        </w:rPr>
        <w:t>license compositions, methods of use, processes or other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from third parties that we identify as necessary for our product candidates. The licensing and acquisition of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is a competitive area, and a number of more established companies are also pursuing strategies to license or acquire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0"/>
        <w:spacing w:after="0" w:line="223" w:lineRule="exact"/>
        <w:rPr>
          <w:sz w:val="20"/>
          <w:szCs w:val="20"/>
          <w:color w:val="auto"/>
        </w:rPr>
      </w:pPr>
      <w:r>
        <w:rPr>
          <w:rFonts w:ascii="Arial" w:cs="Arial" w:eastAsia="Arial" w:hAnsi="Arial"/>
          <w:sz w:val="18"/>
          <w:szCs w:val="18"/>
          <w:color w:val="auto"/>
        </w:rPr>
        <w:t>to assign or license rights to us. We also may be unable to license or acquire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on terms that would allow us to make an appropriate return on our investment.</w:t>
      </w:r>
    </w:p>
    <w:p>
      <w:pPr>
        <w:spacing w:after="0" w:line="203" w:lineRule="exact"/>
        <w:rPr>
          <w:sz w:val="20"/>
          <w:szCs w:val="20"/>
          <w:color w:val="auto"/>
        </w:rPr>
      </w:pPr>
    </w:p>
    <w:p>
      <w:pPr>
        <w:ind w:right="20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highly dependent on Werner Cautreels, Ph.D., our President and Chief Executive Officer, as well as the other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2018, Dr. Cautreels announced his intention to retire effective December 31, 2018. Recruiting and retaining a new President and Chief Executive Officer will be critical to our success. We anticipate that we will experience a transitional period until our new Chief Executive Officer is hired and then fully integrated into his or her new role. Any delay or failure to recruit Dr. Cautreels’ successor may adversely affect our business and financial results. We cannot predict how long it will take to hire a new Chief Executive Officer and if we are not able to appoint a new President and Chief Executive Officer in a timely manner, or we are forced to operate with a transitional leadership team, our business, financial condition, and results of operations could be materially and adversely affected. Moreover, we cannot provide any assurance that the transition in leadership will not result in a disruption that adversely impacts our business and employee morale.</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w:t>
      </w:r>
    </w:p>
    <w:p>
      <w:pPr>
        <w:spacing w:after="0" w:line="2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 Russia and internationally could adversely affect our business.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w:t>
      </w:r>
    </w:p>
    <w:p>
      <w:pPr>
        <w:spacing w:after="0" w:line="18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We may also rely on collaborators to commercialize any approved product candidates outside of the United States. Doing business in Russia and internationally involves a number of risks, including but not limited to:</w:t>
      </w:r>
    </w:p>
    <w:p>
      <w:pPr>
        <w:spacing w:after="0" w:line="170" w:lineRule="exact"/>
        <w:rPr>
          <w:sz w:val="20"/>
          <w:szCs w:val="20"/>
          <w:color w:val="auto"/>
        </w:rPr>
      </w:pPr>
    </w:p>
    <w:p>
      <w:pPr>
        <w:ind w:left="340" w:right="7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jc w:val="both"/>
        <w:ind w:left="340" w:right="10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Sanctions relating to Russia, and Russia’s response to those sanctions, could adversely affect our business.</w:t>
      </w:r>
    </w:p>
    <w:p>
      <w:pPr>
        <w:spacing w:after="0" w:line="22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In response to the events in Crimea and other factors, the United States and the European Union have imposed sanctions on certain individuals, companies and financial institutions in Russia and additional sanctions could be forthcoming. In response, Russia has imposed entry bans on certain U.S. lawmakers and officials, and Russia has also announced that it is prepared to take additional retaliatory action in response to further Russia-related sanctions imposed by the United States in August 2017. If the United States and European Union were to impose additional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7"/>
          <w:szCs w:val="17"/>
          <w:color w:val="auto"/>
        </w:rPr>
        <w:t>‑</w:t>
      </w:r>
      <w:r>
        <w:rPr>
          <w:rFonts w:ascii="Arial" w:cs="Arial" w:eastAsia="Arial" w:hAnsi="Arial"/>
          <w:sz w:val="17"/>
          <w:szCs w:val="17"/>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8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25" w:right="2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2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executive officers, directors and stockholders who own more than 5% of our outstanding common stock and their respective affiliates, in the aggregate, hold shares representing approximately 33.5% of our outstanding voting stock as of</w:t>
      </w:r>
    </w:p>
    <w:p>
      <w:pPr>
        <w:sectPr>
          <w:pgSz w:w="11900" w:h="16838" w:orient="portrait"/>
          <w:cols w:equalWidth="0" w:num="1">
            <w:col w:w="11360"/>
          </w:cols>
          <w:pgMar w:left="240" w:top="125" w:right="299" w:bottom="352"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60"/>
          </w:cols>
          <w:pgMar w:left="240" w:top="125" w:right="299" w:bottom="352"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March 31, 2018.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12.3 million shares of our common stock as of the completion of the initial public offering of our common stock on June 27,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on June 27, 2017, we issued and sold in a private placement 3,088,791 shares of our common stock and a warrant to purchase 79,130 shares of our common stock.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160"/>
        <w:spacing w:after="0" w:line="216" w:lineRule="exact"/>
        <w:rPr>
          <w:sz w:val="20"/>
          <w:szCs w:val="20"/>
          <w:color w:val="auto"/>
        </w:rPr>
      </w:pPr>
      <w:r>
        <w:rPr>
          <w:rFonts w:ascii="Arial" w:cs="Arial" w:eastAsia="Arial" w:hAnsi="Arial"/>
          <w:sz w:val="16"/>
          <w:szCs w:val="16"/>
          <w:color w:val="auto"/>
        </w:rPr>
        <w:t>$1.07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U.S. government recently enacted comprehensive federal income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holders of our common stock. We urge our stockholders to consult with their legal and tax advisors with respect to any such legislation and the potential tax consequences of investing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125"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74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88"/>
        </w:trPr>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gridSpan w:val="7"/>
          </w:tcPr>
          <w:p>
            <w:pPr>
              <w:ind w:left="180"/>
              <w:spacing w:after="0"/>
              <w:rPr>
                <w:sz w:val="20"/>
                <w:szCs w:val="20"/>
                <w:color w:val="auto"/>
              </w:rPr>
            </w:pPr>
            <w:r>
              <w:rPr>
                <w:rFonts w:ascii="Arial" w:cs="Arial" w:eastAsia="Arial" w:hAnsi="Arial"/>
                <w:sz w:val="18"/>
                <w:szCs w:val="18"/>
                <w:b w:val="1"/>
                <w:bCs w:val="1"/>
                <w:color w:val="auto"/>
              </w:rPr>
              <w:t>EXHIBIT INDEX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18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Filing</w:t>
            </w: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Filed</w:t>
            </w:r>
          </w:p>
        </w:tc>
      </w:tr>
      <w:tr>
        <w:trPr>
          <w:trHeight w:val="234"/>
        </w:trPr>
        <w:tc>
          <w:tcPr>
            <w:tcW w:w="180" w:type="dxa"/>
            <w:vAlign w:val="bottom"/>
          </w:tcPr>
          <w:p>
            <w:pPr>
              <w:spacing w:after="0"/>
              <w:rPr>
                <w:sz w:val="20"/>
                <w:szCs w:val="20"/>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Number</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1"/>
          </w:tcPr>
          <w:p>
            <w:pPr>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w:t>
            </w: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File No.</w:t>
            </w: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Herewith</w:t>
            </w:r>
          </w:p>
        </w:tc>
      </w:tr>
      <w:tr>
        <w:trPr>
          <w:trHeight w:val="27"/>
        </w:trPr>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780" w:type="dxa"/>
            <w:vAlign w:val="bottom"/>
            <w:gridSpan w:val="3"/>
          </w:tcPr>
          <w:p>
            <w:pPr>
              <w:spacing w:after="0"/>
              <w:rPr>
                <w:sz w:val="17"/>
                <w:szCs w:val="17"/>
                <w:color w:val="auto"/>
              </w:rPr>
            </w:pPr>
          </w:p>
        </w:tc>
        <w:tc>
          <w:tcPr>
            <w:tcW w:w="280" w:type="dxa"/>
            <w:vAlign w:val="bottom"/>
            <w:gridSpan w:val="3"/>
          </w:tcPr>
          <w:p>
            <w:pPr>
              <w:jc w:val="center"/>
              <w:ind w:right="60"/>
              <w:spacing w:after="0" w:line="196" w:lineRule="exact"/>
              <w:rPr>
                <w:rFonts w:ascii="Arial" w:cs="Arial" w:eastAsia="Arial" w:hAnsi="Arial"/>
                <w:sz w:val="18"/>
                <w:szCs w:val="18"/>
                <w:color w:val="0000FF"/>
                <w:w w:val="87"/>
              </w:rPr>
            </w:pPr>
            <w:hyperlink r:id="rId1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1"/>
          </w:tcPr>
          <w:p>
            <w:pPr>
              <w:spacing w:after="0" w:line="196" w:lineRule="exact"/>
              <w:rPr>
                <w:rFonts w:ascii="Arial" w:cs="Arial" w:eastAsia="Arial" w:hAnsi="Arial"/>
                <w:sz w:val="18"/>
                <w:szCs w:val="18"/>
                <w:color w:val="0000FF"/>
                <w:w w:val="97"/>
              </w:rPr>
            </w:pPr>
            <w:hyperlink r:id="rId12">
              <w:r>
                <w:rPr>
                  <w:rFonts w:ascii="Arial" w:cs="Arial" w:eastAsia="Arial" w:hAnsi="Arial"/>
                  <w:sz w:val="18"/>
                  <w:szCs w:val="18"/>
                  <w:color w:val="0000FF"/>
                  <w:w w:val="97"/>
                </w:rPr>
                <w:t>Restated Certificate of Incorporation of Selecta</w:t>
              </w:r>
            </w:hyperlink>
          </w:p>
        </w:tc>
        <w:tc>
          <w:tcPr>
            <w:tcW w:w="10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560" w:type="dxa"/>
            <w:vAlign w:val="bottom"/>
          </w:tcPr>
          <w:p>
            <w:pPr>
              <w:ind w:left="40"/>
              <w:spacing w:after="0" w:line="196"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100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Biosciences, Inc.</w:t>
              </w:r>
            </w:hyperlink>
          </w:p>
        </w:tc>
        <w:tc>
          <w:tcPr>
            <w:tcW w:w="2160" w:type="dxa"/>
            <w:vAlign w:val="bottom"/>
            <w:tcBorders>
              <w:top w:val="single" w:sz="8" w:color="0000FF"/>
            </w:tcBorders>
            <w:gridSpan w:val="5"/>
          </w:tcPr>
          <w:p>
            <w:pPr>
              <w:spacing w:after="0"/>
              <w:rPr>
                <w:sz w:val="17"/>
                <w:szCs w:val="17"/>
                <w:color w:val="auto"/>
              </w:rPr>
            </w:pPr>
          </w:p>
        </w:tc>
        <w:tc>
          <w:tcPr>
            <w:tcW w:w="2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780" w:type="dxa"/>
            <w:vAlign w:val="bottom"/>
            <w:gridSpan w:val="3"/>
          </w:tcPr>
          <w:p>
            <w:pPr>
              <w:spacing w:after="0"/>
              <w:rPr>
                <w:sz w:val="21"/>
                <w:szCs w:val="21"/>
                <w:color w:val="auto"/>
              </w:rPr>
            </w:pPr>
          </w:p>
        </w:tc>
        <w:tc>
          <w:tcPr>
            <w:tcW w:w="280" w:type="dxa"/>
            <w:vAlign w:val="bottom"/>
            <w:gridSpan w:val="3"/>
          </w:tcPr>
          <w:p>
            <w:pPr>
              <w:jc w:val="center"/>
              <w:ind w:right="60"/>
              <w:spacing w:after="0"/>
              <w:rPr>
                <w:rFonts w:ascii="Arial" w:cs="Arial" w:eastAsia="Arial" w:hAnsi="Arial"/>
                <w:sz w:val="18"/>
                <w:szCs w:val="18"/>
                <w:color w:val="0000FF"/>
                <w:w w:val="87"/>
              </w:rPr>
            </w:pPr>
            <w:hyperlink r:id="rId1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1"/>
          </w:tcPr>
          <w:p>
            <w:pPr>
              <w:spacing w:after="0"/>
              <w:rPr>
                <w:rFonts w:ascii="Arial" w:cs="Arial" w:eastAsia="Arial" w:hAnsi="Arial"/>
                <w:sz w:val="18"/>
                <w:szCs w:val="18"/>
                <w:color w:val="0000FF"/>
              </w:rPr>
            </w:pPr>
            <w:hyperlink r:id="rId13">
              <w:r>
                <w:rPr>
                  <w:rFonts w:ascii="Arial" w:cs="Arial" w:eastAsia="Arial" w:hAnsi="Arial"/>
                  <w:sz w:val="18"/>
                  <w:szCs w:val="18"/>
                  <w:color w:val="0000FF"/>
                </w:rPr>
                <w:t>Amended and Restated By-laws of Selecta</w:t>
              </w:r>
            </w:hyperlink>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560" w:type="dxa"/>
            <w:vAlign w:val="bottom"/>
          </w:tcPr>
          <w:p>
            <w:pPr>
              <w:ind w:left="4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Biosciences, Inc.</w:t>
              </w:r>
            </w:hyperlink>
          </w:p>
        </w:tc>
        <w:tc>
          <w:tcPr>
            <w:tcW w:w="58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80" w:type="dxa"/>
            <w:vAlign w:val="bottom"/>
            <w:gridSpan w:val="7"/>
          </w:tcPr>
          <w:p>
            <w:pPr>
              <w:jc w:val="center"/>
              <w:ind w:left="430"/>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1"/>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Rule 13a-14(a) / 15d-14(a) Certification of</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Chief Executive Officer</w:t>
              </w:r>
            </w:hyperlink>
          </w:p>
        </w:tc>
        <w:tc>
          <w:tcPr>
            <w:tcW w:w="58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80" w:type="dxa"/>
            <w:vAlign w:val="bottom"/>
            <w:gridSpan w:val="7"/>
          </w:tcPr>
          <w:p>
            <w:pPr>
              <w:jc w:val="center"/>
              <w:ind w:left="430"/>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1"/>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Rule 13a-14(a) / 15d-14(a) Certification of</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4"/>
              </w:rPr>
            </w:pPr>
            <w:hyperlink w:anchor="page79">
              <w:r>
                <w:rPr>
                  <w:rFonts w:ascii="Arial" w:cs="Arial" w:eastAsia="Arial" w:hAnsi="Arial"/>
                  <w:sz w:val="18"/>
                  <w:szCs w:val="18"/>
                  <w:color w:val="0000FF"/>
                  <w:w w:val="94"/>
                </w:rPr>
                <w:t>Chief Financial Officer</w:t>
              </w:r>
            </w:hyperlink>
          </w:p>
        </w:tc>
        <w:tc>
          <w:tcPr>
            <w:tcW w:w="1360" w:type="dxa"/>
            <w:vAlign w:val="bottom"/>
            <w:tcBorders>
              <w:top w:val="single" w:sz="8" w:color="0000FF"/>
            </w:tcBorders>
          </w:tcPr>
          <w:p>
            <w:pPr>
              <w:spacing w:after="0"/>
              <w:rPr>
                <w:sz w:val="17"/>
                <w:szCs w:val="17"/>
                <w:color w:val="auto"/>
              </w:rPr>
            </w:pPr>
          </w:p>
        </w:tc>
        <w:tc>
          <w:tcPr>
            <w:tcW w:w="58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1280" w:type="dxa"/>
            <w:vAlign w:val="bottom"/>
            <w:gridSpan w:val="7"/>
          </w:tcPr>
          <w:p>
            <w:pPr>
              <w:jc w:val="center"/>
              <w:ind w:left="430"/>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1"/>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Section 1350 Certification of Chief Executive</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7"/>
              </w:rPr>
            </w:pPr>
            <w:hyperlink w:anchor="page80">
              <w:r>
                <w:rPr>
                  <w:rFonts w:ascii="Arial" w:cs="Arial" w:eastAsia="Arial" w:hAnsi="Arial"/>
                  <w:sz w:val="18"/>
                  <w:szCs w:val="18"/>
                  <w:color w:val="0000FF"/>
                  <w:w w:val="97"/>
                </w:rPr>
                <w:t>Officer</w:t>
              </w:r>
            </w:hyperlink>
          </w:p>
        </w:tc>
        <w:tc>
          <w:tcPr>
            <w:tcW w:w="2760" w:type="dxa"/>
            <w:vAlign w:val="bottom"/>
            <w:tcBorders>
              <w:top w:val="single" w:sz="8" w:color="0000FF"/>
            </w:tcBorders>
            <w:gridSpan w:val="6"/>
          </w:tcPr>
          <w:p>
            <w:pPr>
              <w:spacing w:after="0"/>
              <w:rPr>
                <w:sz w:val="17"/>
                <w:szCs w:val="17"/>
                <w:color w:val="auto"/>
              </w:rPr>
            </w:pPr>
          </w:p>
        </w:tc>
        <w:tc>
          <w:tcPr>
            <w:tcW w:w="3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1280" w:type="dxa"/>
            <w:vAlign w:val="bottom"/>
            <w:gridSpan w:val="7"/>
          </w:tcPr>
          <w:p>
            <w:pPr>
              <w:jc w:val="center"/>
              <w:ind w:left="430"/>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1"/>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Section 1350 Certification of Chief Financial</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81">
              <w:r>
                <w:rPr>
                  <w:rFonts w:ascii="Arial" w:cs="Arial" w:eastAsia="Arial" w:hAnsi="Arial"/>
                  <w:sz w:val="18"/>
                  <w:szCs w:val="18"/>
                  <w:color w:val="0000FF"/>
                  <w:w w:val="94"/>
                </w:rPr>
                <w:t>Officer</w:t>
              </w:r>
            </w:hyperlink>
          </w:p>
        </w:tc>
        <w:tc>
          <w:tcPr>
            <w:tcW w:w="2740" w:type="dxa"/>
            <w:vAlign w:val="bottom"/>
            <w:tcBorders>
              <w:top w:val="single" w:sz="8" w:color="0000FF"/>
            </w:tcBorders>
            <w:gridSpan w:val="6"/>
          </w:tcPr>
          <w:p>
            <w:pPr>
              <w:spacing w:after="0"/>
              <w:rPr>
                <w:sz w:val="17"/>
                <w:szCs w:val="17"/>
                <w:color w:val="auto"/>
              </w:rPr>
            </w:pPr>
          </w:p>
        </w:tc>
        <w:tc>
          <w:tcPr>
            <w:tcW w:w="4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91"/>
        </w:trPr>
        <w:tc>
          <w:tcPr>
            <w:tcW w:w="180" w:type="dxa"/>
            <w:vAlign w:val="bottom"/>
          </w:tcPr>
          <w:p>
            <w:pPr>
              <w:spacing w:after="0"/>
              <w:rPr>
                <w:sz w:val="24"/>
                <w:szCs w:val="24"/>
                <w:color w:val="auto"/>
              </w:rPr>
            </w:pPr>
          </w:p>
        </w:tc>
        <w:tc>
          <w:tcPr>
            <w:tcW w:w="1560" w:type="dxa"/>
            <w:vAlign w:val="bottom"/>
            <w:gridSpan w:val="8"/>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560" w:type="dxa"/>
            <w:vAlign w:val="bottom"/>
            <w:gridSpan w:val="8"/>
          </w:tcPr>
          <w:p>
            <w:pPr>
              <w:jc w:val="center"/>
              <w:ind w:right="14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w w:val="96"/>
              </w:rPr>
              <w:t>XBRL Taxonomy Extension Schema Document</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80" w:type="dxa"/>
            <w:vAlign w:val="bottom"/>
          </w:tcPr>
          <w:p>
            <w:pPr>
              <w:spacing w:after="0"/>
              <w:rPr>
                <w:sz w:val="22"/>
                <w:szCs w:val="22"/>
                <w:color w:val="auto"/>
              </w:rPr>
            </w:pPr>
          </w:p>
        </w:tc>
        <w:tc>
          <w:tcPr>
            <w:tcW w:w="1560" w:type="dxa"/>
            <w:vAlign w:val="bottom"/>
            <w:gridSpan w:val="8"/>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2"/>
                <w:szCs w:val="22"/>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1560" w:type="dxa"/>
            <w:vAlign w:val="bottom"/>
            <w:gridSpan w:val="8"/>
          </w:tcPr>
          <w:p>
            <w:pPr>
              <w:jc w:val="center"/>
              <w:ind w:right="14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2"/>
                <w:szCs w:val="22"/>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XBRL Taxonomy Extension Definition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1560" w:type="dxa"/>
            <w:vAlign w:val="bottom"/>
            <w:gridSpan w:val="8"/>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1560" w:type="dxa"/>
            <w:vAlign w:val="bottom"/>
            <w:gridSpan w:val="8"/>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2"/>
                <w:szCs w:val="22"/>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7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540" w:type="dxa"/>
            <w:vAlign w:val="bottom"/>
            <w:gridSpan w:val="17"/>
          </w:tcPr>
          <w:p>
            <w:pPr>
              <w:ind w:left="40"/>
              <w:spacing w:after="0"/>
              <w:rPr>
                <w:sz w:val="20"/>
                <w:szCs w:val="20"/>
                <w:color w:val="auto"/>
              </w:rPr>
            </w:pPr>
            <w:r>
              <w:rPr>
                <w:rFonts w:ascii="Arial" w:cs="Arial" w:eastAsia="Arial" w:hAnsi="Arial"/>
                <w:sz w:val="18"/>
                <w:szCs w:val="18"/>
                <w:color w:val="auto"/>
              </w:rPr>
              <w:t>Filed herewith.</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88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4540" w:type="dxa"/>
            <w:vAlign w:val="bottom"/>
            <w:gridSpan w:val="17"/>
          </w:tcPr>
          <w:p>
            <w:pPr>
              <w:ind w:left="40"/>
              <w:spacing w:after="0"/>
              <w:rPr>
                <w:sz w:val="20"/>
                <w:szCs w:val="20"/>
                <w:color w:val="auto"/>
              </w:rPr>
            </w:pPr>
            <w:r>
              <w:rPr>
                <w:rFonts w:ascii="Arial" w:cs="Arial" w:eastAsia="Arial" w:hAnsi="Arial"/>
                <w:sz w:val="18"/>
                <w:szCs w:val="18"/>
                <w:color w:val="auto"/>
              </w:rPr>
              <w:t>Furnished herewith.</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60"/>
          </w:cols>
          <w:pgMar w:left="240" w:top="108"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SELECTA BIOSCIENCES, INC.</w:t>
      </w:r>
    </w:p>
    <w:p>
      <w:pPr>
        <w:spacing w:after="0" w:line="337" w:lineRule="exact"/>
        <w:rPr>
          <w:sz w:val="20"/>
          <w:szCs w:val="20"/>
          <w:color w:val="auto"/>
        </w:rPr>
      </w:pPr>
    </w:p>
    <w:p>
      <w:pPr>
        <w:ind w:left="40"/>
        <w:spacing w:after="0"/>
        <w:tabs>
          <w:tab w:leader="none" w:pos="6300" w:val="left"/>
          <w:tab w:leader="none" w:pos="808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jc w:val="center"/>
        <w:ind w:left="676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63" w:lineRule="exact"/>
        <w:rPr>
          <w:sz w:val="20"/>
          <w:szCs w:val="20"/>
          <w:color w:val="auto"/>
        </w:rPr>
      </w:pPr>
    </w:p>
    <w:p>
      <w:pPr>
        <w:jc w:val="cente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6300" w:val="left"/>
          <w:tab w:leader="none" w:pos="824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John Leaman, M.D.</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7"/>
          <w:szCs w:val="17"/>
          <w:i w:val="1"/>
          <w:iCs w:val="1"/>
          <w:color w:val="auto"/>
        </w:rPr>
        <w:t>Chief Financial Officer, Head of Corporate Strategy, and</w:t>
      </w:r>
    </w:p>
    <w:p>
      <w:pPr>
        <w:spacing w:after="0" w:line="35" w:lineRule="exact"/>
        <w:rPr>
          <w:sz w:val="20"/>
          <w:szCs w:val="20"/>
          <w:color w:val="auto"/>
        </w:rPr>
      </w:pPr>
    </w:p>
    <w:p>
      <w:pPr>
        <w:jc w:val="center"/>
        <w:ind w:left="6760"/>
        <w:spacing w:after="0"/>
        <w:rPr>
          <w:sz w:val="20"/>
          <w:szCs w:val="20"/>
          <w:color w:val="auto"/>
        </w:rPr>
      </w:pPr>
      <w:r>
        <w:rPr>
          <w:rFonts w:ascii="Arial" w:cs="Arial" w:eastAsia="Arial" w:hAnsi="Arial"/>
          <w:sz w:val="18"/>
          <w:szCs w:val="18"/>
          <w:i w:val="1"/>
          <w:iCs w:val="1"/>
          <w:color w:val="auto"/>
        </w:rPr>
        <w:t>Treasurer</w:t>
      </w:r>
    </w:p>
    <w:p>
      <w:pPr>
        <w:spacing w:after="0" w:line="49" w:lineRule="exact"/>
        <w:rPr>
          <w:sz w:val="20"/>
          <w:szCs w:val="20"/>
          <w:color w:val="auto"/>
        </w:rPr>
      </w:pPr>
    </w:p>
    <w:p>
      <w:pPr>
        <w:jc w:val="center"/>
        <w:ind w:left="67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May 9,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John Leaman, certify that:</w:t>
      </w:r>
    </w:p>
    <w:p>
      <w:pPr>
        <w:spacing w:after="0" w:line="39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May 9, 2018</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7020"/>
        <w:spacing w:after="0"/>
        <w:rPr>
          <w:sz w:val="20"/>
          <w:szCs w:val="20"/>
          <w:color w:val="auto"/>
        </w:rPr>
      </w:pPr>
      <w:r>
        <w:rPr>
          <w:rFonts w:ascii="Arial" w:cs="Arial" w:eastAsia="Arial" w:hAnsi="Arial"/>
          <w:sz w:val="20"/>
          <w:szCs w:val="20"/>
          <w:i w:val="1"/>
          <w:iCs w:val="1"/>
          <w:color w:val="auto"/>
        </w:rPr>
        <w:t>Chief Financial Officer, Head of Corporate</w:t>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20"/>
          <w:szCs w:val="20"/>
          <w:i w:val="1"/>
          <w:iCs w:val="1"/>
          <w:color w:val="auto"/>
        </w:rPr>
        <w:t>Strategy and Treasurer</w:t>
      </w:r>
    </w:p>
    <w:p>
      <w:pPr>
        <w:sectPr>
          <w:pgSz w:w="11900" w:h="16838" w:orient="portrait"/>
          <w:cols w:equalWidth="0" w:num="1">
            <w:col w:w="11420"/>
          </w:cols>
          <w:pgMar w:left="240" w:top="576"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Werner Cautreels,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520" w:hanging="328"/>
        <w:spacing w:after="0" w:line="26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March 31, 2018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May 9,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John Leaman,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520" w:hanging="328"/>
        <w:spacing w:after="0" w:line="26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March 31, 2018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40" w:val="left"/>
        </w:tabs>
        <w:rPr>
          <w:sz w:val="20"/>
          <w:szCs w:val="20"/>
          <w:color w:val="auto"/>
        </w:rPr>
      </w:pPr>
      <w:r>
        <w:rPr>
          <w:rFonts w:ascii="Arial" w:cs="Arial" w:eastAsia="Arial" w:hAnsi="Arial"/>
          <w:sz w:val="20"/>
          <w:szCs w:val="20"/>
          <w:color w:val="auto"/>
        </w:rPr>
        <w:t>May 9, 2018</w:t>
      </w:r>
      <w:r>
        <w:rPr>
          <w:sz w:val="20"/>
          <w:szCs w:val="20"/>
          <w:color w:val="auto"/>
        </w:rPr>
        <w:tab/>
      </w:r>
      <w:r>
        <w:rPr>
          <w:rFonts w:ascii="Arial" w:cs="Arial" w:eastAsia="Arial" w:hAnsi="Arial"/>
          <w:sz w:val="18"/>
          <w:szCs w:val="18"/>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27305</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7"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6720"/>
        <w:spacing w:after="0"/>
        <w:rPr>
          <w:sz w:val="20"/>
          <w:szCs w:val="20"/>
          <w:color w:val="auto"/>
        </w:rPr>
      </w:pPr>
      <w:r>
        <w:rPr>
          <w:rFonts w:ascii="Arial" w:cs="Arial" w:eastAsia="Arial" w:hAnsi="Arial"/>
          <w:sz w:val="19"/>
          <w:szCs w:val="19"/>
          <w:i w:val="1"/>
          <w:iCs w:val="1"/>
          <w:color w:val="auto"/>
        </w:rPr>
        <w:t>Chief Financial Officer, Head of Corporate Strategy and</w:t>
      </w:r>
    </w:p>
    <w:p>
      <w:pPr>
        <w:spacing w:after="0" w:line="27" w:lineRule="exact"/>
        <w:rPr>
          <w:sz w:val="20"/>
          <w:szCs w:val="20"/>
          <w:color w:val="auto"/>
        </w:rPr>
      </w:pPr>
    </w:p>
    <w:p>
      <w:pPr>
        <w:ind w:left="8580"/>
        <w:spacing w:after="0"/>
        <w:rPr>
          <w:sz w:val="20"/>
          <w:szCs w:val="20"/>
          <w:color w:val="auto"/>
        </w:rPr>
      </w:pPr>
      <w:r>
        <w:rPr>
          <w:rFonts w:ascii="Arial" w:cs="Arial" w:eastAsia="Arial" w:hAnsi="Arial"/>
          <w:sz w:val="20"/>
          <w:szCs w:val="20"/>
          <w:i w:val="1"/>
          <w:iCs w:val="1"/>
          <w:color w:val="auto"/>
        </w:rPr>
        <w:t>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8"/>
    </w:lvl>
  </w:abstractNum>
  <w:abstractNum w:abstractNumId="6">
    <w:nsid w:val="2CA88611"/>
    <w:multiLevelType w:val="hybridMultilevel"/>
    <w:lvl w:ilvl="0">
      <w:lvlJc w:val="left"/>
      <w:lvlText w:val="(%1)"/>
      <w:numFmt w:val="lowerRoman"/>
      <w:start w:val="2"/>
    </w:lvl>
  </w:abstractNum>
  <w:abstractNum w:abstractNumId="7">
    <w:nsid w:val="836C40E"/>
    <w:multiLevelType w:val="hybridMultilevel"/>
    <w:lvl w:ilvl="0">
      <w:lvlJc w:val="left"/>
      <w:lvlText w:val="%1."/>
      <w:numFmt w:val="decimal"/>
      <w:start w:val="1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1."/>
      <w:numFmt w:val="decimal"/>
      <w:start w:val="14"/>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lowerRoman"/>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Archives/edgar/data/1453687/000110465916129891/a16-14002_1ex3d1.htm" TargetMode="External"/><Relationship Id="rId13" Type="http://schemas.openxmlformats.org/officeDocument/2006/relationships/hyperlink" Target="http://www.sec.gov/Archives/edgar/data/1453687/000110465916129891/a16-1400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2019-12-28T22:10:15Z</dcterms:created>
  <dcterms:modified xsi:type="dcterms:W3CDTF">2019-12-28T22:10:15Z</dcterms:modified>
</cp:coreProperties>
</file>