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May 7, 2020</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220" w:right="499" w:bottom="1440" w:gutter="0" w:footer="0" w:header="0"/>
        </w:sectPr>
      </w:pPr>
    </w:p>
    <w:p>
      <w:pPr>
        <w:spacing w:after="0" w:line="273"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480" w:space="720"/>
            <w:col w:w="3160" w:space="720"/>
            <w:col w:w="2000"/>
          </w:cols>
          <w:pgMar w:left="320" w:top="220" w:right="4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80" w:space="720"/>
            <w:col w:w="3020" w:space="720"/>
            <w:col w:w="2240"/>
          </w:cols>
          <w:pgMar w:left="320" w:top="220" w:right="499" w:bottom="1440" w:gutter="0" w:footer="0" w:header="0"/>
          <w:type w:val="continuous"/>
        </w:sectPr>
      </w:pPr>
    </w:p>
    <w:p>
      <w:pPr>
        <w:spacing w:after="0" w:line="15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65 Grove Street, Watertown, MA 02472</w:t>
      </w:r>
    </w:p>
    <w:p>
      <w:pPr>
        <w:spacing w:after="0" w:line="27" w:lineRule="exact"/>
        <w:rPr>
          <w:sz w:val="24"/>
          <w:szCs w:val="24"/>
          <w:color w:val="auto"/>
        </w:rPr>
      </w:pPr>
    </w:p>
    <w:p>
      <w:pPr>
        <w:ind w:left="3940"/>
        <w:spacing w:after="0"/>
        <w:rPr>
          <w:sz w:val="20"/>
          <w:szCs w:val="20"/>
          <w:color w:val="auto"/>
        </w:rPr>
      </w:pPr>
      <w:r>
        <w:rPr>
          <w:rFonts w:ascii="Arial" w:cs="Arial" w:eastAsia="Arial" w:hAnsi="Arial"/>
          <w:sz w:val="17"/>
          <w:szCs w:val="17"/>
          <w:color w:val="auto"/>
        </w:rPr>
        <w:t>(Address of principal executive offices)(Zip Code)</w:t>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080"/>
          </w:cols>
          <w:pgMar w:left="320" w:top="220" w:right="499" w:bottom="1440" w:gutter="0" w:footer="0" w:header="0"/>
          <w:type w:val="continuous"/>
        </w:sect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80"/>
          </w:cols>
          <w:pgMar w:left="320" w:top="220" w:right="499" w:bottom="1440" w:gutter="0" w:footer="0" w:header="0"/>
          <w:type w:val="continuous"/>
        </w:sectPr>
      </w:pPr>
    </w:p>
    <w:p>
      <w:pPr>
        <w:spacing w:after="0" w:line="189" w:lineRule="exact"/>
        <w:rPr>
          <w:sz w:val="24"/>
          <w:szCs w:val="24"/>
          <w:color w:val="auto"/>
        </w:rPr>
      </w:pPr>
    </w:p>
    <w:p>
      <w:pPr>
        <w:ind w:left="16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180" w:space="720"/>
            <w:col w:w="1720" w:space="720"/>
            <w:col w:w="3740"/>
          </w:cols>
          <w:pgMar w:left="320" w:top="220" w:right="499" w:bottom="1440" w:gutter="0" w:footer="0" w:header="0"/>
          <w:type w:val="continuous"/>
        </w:sectPr>
      </w:pPr>
    </w:p>
    <w:p>
      <w:pPr>
        <w:ind w:left="940"/>
        <w:spacing w:after="0"/>
        <w:rPr>
          <w:sz w:val="20"/>
          <w:szCs w:val="20"/>
          <w:color w:val="auto"/>
        </w:rPr>
      </w:pPr>
      <w:r>
        <w:rPr>
          <w:rFonts w:ascii="Arial" w:cs="Arial" w:eastAsia="Arial" w:hAnsi="Arial"/>
          <w:sz w:val="16"/>
          <w:szCs w:val="16"/>
          <w:color w:val="auto"/>
        </w:rPr>
        <w:t>Common Stock (Par Value $0.0001)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Global Market</w:t>
      </w:r>
    </w:p>
    <w:p>
      <w:pPr>
        <w:spacing w:after="0" w:line="211" w:lineRule="exact"/>
        <w:rPr>
          <w:sz w:val="24"/>
          <w:szCs w:val="24"/>
          <w:color w:val="auto"/>
        </w:rPr>
      </w:pPr>
    </w:p>
    <w:p>
      <w:pPr>
        <w:sectPr>
          <w:pgSz w:w="11900" w:h="16838" w:orient="portrait"/>
          <w:cols w:equalWidth="0" w:num="3">
            <w:col w:w="4640" w:space="720"/>
            <w:col w:w="1880" w:space="720"/>
            <w:col w:w="3120"/>
          </w:cols>
          <w:pgMar w:left="320" w:top="220" w:right="499" w:bottom="1440" w:gutter="0" w:footer="0" w:header="0"/>
          <w:type w:val="continuous"/>
        </w:sectPr>
      </w:pPr>
    </w:p>
    <w:p>
      <w:pPr>
        <w:spacing w:after="0" w:line="239"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May 7, 2020, Selecta Biosciences, Inc. announced its financial results for the quarter ended March 31, 2020. The full text of the press release issued in connection with the announcement is furnished as Exhibit 99.1 to this Current Report and on Form 8-K.</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42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9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240" w:type="dxa"/>
            <w:vAlign w:val="bottom"/>
            <w:tcBorders>
              <w:top w:val="single" w:sz="8" w:color="auto"/>
            </w:tcBorders>
          </w:tcPr>
          <w:p>
            <w:pPr>
              <w:jc w:val="right"/>
              <w:ind w:right="382"/>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580" w:type="dxa"/>
            <w:vAlign w:val="bottom"/>
          </w:tcPr>
          <w:p>
            <w:pPr>
              <w:spacing w:after="0"/>
              <w:rPr>
                <w:sz w:val="24"/>
                <w:szCs w:val="24"/>
                <w:color w:val="auto"/>
              </w:rPr>
            </w:pPr>
          </w:p>
        </w:tc>
        <w:tc>
          <w:tcPr>
            <w:tcW w:w="942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issued on May 7, 2020</w:t>
              </w:r>
            </w:hyperlink>
          </w:p>
        </w:tc>
        <w:tc>
          <w:tcPr>
            <w:tcW w:w="0" w:type="dxa"/>
            <w:vAlign w:val="bottom"/>
          </w:tcPr>
          <w:p>
            <w:pPr>
              <w:spacing w:after="0"/>
              <w:rPr>
                <w:sz w:val="1"/>
                <w:szCs w:val="1"/>
                <w:color w:val="auto"/>
              </w:rPr>
            </w:pPr>
          </w:p>
        </w:tc>
      </w:tr>
    </w:tbl>
    <w:p>
      <w:pPr>
        <w:sectPr>
          <w:pgSz w:w="11900" w:h="16838" w:orient="portrait"/>
          <w:cols w:equalWidth="0" w:num="1">
            <w:col w:w="11240"/>
          </w:cols>
          <w:pgMar w:left="320" w:top="39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20" w:val="left"/>
          <w:tab w:leader="none" w:pos="610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00"/>
          </w:cols>
          <w:pgMar w:left="320" w:top="337" w:right="37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1748790"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Selecta Biosciences Reports First Quarter 2020 Financial Results</w:t>
      </w:r>
    </w:p>
    <w:p>
      <w:pPr>
        <w:spacing w:after="0" w:line="38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Topline data announcement from the ongoing head-to-head COMPARE trial of SEL-212 remains on schedule for Q3 2020</w:t>
      </w:r>
    </w:p>
    <w:p>
      <w:pPr>
        <w:spacing w:after="0" w:line="173" w:lineRule="exact"/>
        <w:rPr>
          <w:rFonts w:ascii="Arial" w:cs="Arial" w:eastAsia="Arial" w:hAnsi="Arial"/>
          <w:sz w:val="19"/>
          <w:szCs w:val="19"/>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Phase 3 clinical program of SEL-212 to commence in 2H 2020</w:t>
      </w:r>
    </w:p>
    <w:p>
      <w:pPr>
        <w:spacing w:after="0" w:line="161" w:lineRule="exact"/>
        <w:rPr>
          <w:rFonts w:ascii="Arial" w:cs="Arial" w:eastAsia="Arial" w:hAnsi="Arial"/>
          <w:sz w:val="20"/>
          <w:szCs w:val="20"/>
          <w:i w:val="1"/>
          <w:iCs w:val="1"/>
          <w:color w:val="auto"/>
        </w:rPr>
      </w:pPr>
    </w:p>
    <w:p>
      <w:pPr>
        <w:ind w:left="660" w:right="1000" w:hanging="328"/>
        <w:spacing w:after="0" w:line="260"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Ongoing COVID-19 pandemic has not materially impacted COMPARE trial progress; continual ongoing assessment and coordination with CRO and clinical sites taking place</w:t>
      </w:r>
    </w:p>
    <w:p>
      <w:pPr>
        <w:spacing w:after="0" w:line="122"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Gene therapy program in collaboration with AskBio remains on track to enter the clinic by Q4 2020</w:t>
      </w:r>
    </w:p>
    <w:p>
      <w:pPr>
        <w:spacing w:after="0" w:line="161"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Company to host conference call today at 8:30 a.m. ET</w:t>
      </w:r>
    </w:p>
    <w:p>
      <w:pPr>
        <w:spacing w:after="0" w:line="37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 xml:space="preserve">Watertown, Mass., May 7, 2020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 clinical-stage biotechnology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unlocking the full potential of biologic therapies based on its immune tolerance platform, ImmTOR™, today reported financial results for the first quarter ended March 31, 2020.</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“To date, Selecta has been able to navigate many of the challenges presented by the COVID-19 pandemic, and as such, the ongoing COMPARE clinical trial of SEL-212 in chronic, refractory gout is still on schedule, and we continue to expect to announce topline data in the third quarter of this year. However, we continue to recognize the inherent unpredictability of this ongoing situation. During this time, we have made the health and safety of our patients and healthcare providers the top priority, and we continue to work with our CRO and clinical sites to ensure that any risk posed to a patient or provider coming in for visits is properly mitigated,” said Carsten Brunn, Ph.D., President and CEO of Selecta. “We have also continued to advance our operations in other critical areas, including preparations for the commencement of the Phase 3 trial of SEL-212, and collaborating with AskBio to advance our gene therapy program. We remain on track to enter the clinic under this collaboration by the end of the year.”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Highlights and Anticipated Upcoming Milestones:</w:t>
      </w:r>
    </w:p>
    <w:p>
      <w:pPr>
        <w:spacing w:after="0" w:line="216" w:lineRule="exact"/>
        <w:rPr>
          <w:sz w:val="20"/>
          <w:szCs w:val="20"/>
          <w:color w:val="auto"/>
        </w:rPr>
      </w:pPr>
    </w:p>
    <w:p>
      <w:pPr>
        <w:ind w:left="660" w:right="100" w:hanging="328"/>
        <w:spacing w:after="0" w:line="244"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Topline Results from COMPARE Clinical Trial Expected in the Third Quarter of 2020: </w:t>
      </w:r>
      <w:r>
        <w:rPr>
          <w:rFonts w:ascii="Arial" w:cs="Arial" w:eastAsia="Arial" w:hAnsi="Arial"/>
          <w:sz w:val="20"/>
          <w:szCs w:val="20"/>
          <w:color w:val="auto"/>
        </w:rPr>
        <w:t>The head-to-head COMPARE study of</w:t>
      </w:r>
      <w:r>
        <w:rPr>
          <w:rFonts w:ascii="Arial" w:cs="Arial" w:eastAsia="Arial" w:hAnsi="Arial"/>
          <w:sz w:val="20"/>
          <w:szCs w:val="20"/>
          <w:b w:val="1"/>
          <w:bCs w:val="1"/>
          <w:color w:val="auto"/>
        </w:rPr>
        <w:t xml:space="preserve"> </w:t>
      </w:r>
      <w:r>
        <w:rPr>
          <w:rFonts w:ascii="Arial" w:cs="Arial" w:eastAsia="Arial" w:hAnsi="Arial"/>
          <w:sz w:val="20"/>
          <w:szCs w:val="20"/>
          <w:color w:val="auto"/>
        </w:rPr>
        <w:t>Selecta’s lead product candidate, SEL-212 (ImmTOR + pegadricase), vs. pegloticase is expected to readout on schedule, as the Company continues to work closely with the CRO and clinical sites to monitor patient follow-up in light of the COVID-19 pandemic. The trial is evaluating a once-monthly dose of SEL-212 compared to biweekly doses of pegloticase, with the primary endpoint of the maintenance of serum uric acid (SUA) levels of &lt;6mg/dL at three and six months. The trial completed enrollment in December 2019, and as of April 2020, half of the patients had completed the study and all patients had reached three months of treatment.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4" w:name="page5"/>
    <w:bookmarkEnd w:id="4"/>
    <w:p>
      <w:pPr>
        <w:ind w:left="660" w:right="20" w:hanging="328"/>
        <w:spacing w:after="0" w:line="28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Gene Therapy Program Expected to Enter the Clinic by the End of 2020: </w:t>
      </w:r>
      <w:r>
        <w:rPr>
          <w:rFonts w:ascii="Arial" w:cs="Arial" w:eastAsia="Arial" w:hAnsi="Arial"/>
          <w:sz w:val="18"/>
          <w:szCs w:val="18"/>
          <w:color w:val="auto"/>
        </w:rPr>
        <w:t>Selecta and its partner AskBio are jointly developing a</w:t>
      </w:r>
      <w:r>
        <w:rPr>
          <w:rFonts w:ascii="Arial" w:cs="Arial" w:eastAsia="Arial" w:hAnsi="Arial"/>
          <w:sz w:val="18"/>
          <w:szCs w:val="18"/>
          <w:b w:val="1"/>
          <w:bCs w:val="1"/>
          <w:color w:val="auto"/>
        </w:rPr>
        <w:t xml:space="preserve"> </w:t>
      </w:r>
      <w:r>
        <w:rPr>
          <w:rFonts w:ascii="Arial" w:cs="Arial" w:eastAsia="Arial" w:hAnsi="Arial"/>
          <w:sz w:val="18"/>
          <w:szCs w:val="18"/>
          <w:color w:val="auto"/>
        </w:rPr>
        <w:t>broad portfolio of next-generation AAV gene therapies. This partnership will leverage the unique proprietary technology platforms of both companies with a human proof of concept trial to validate this portfolio of products and their potential for re-dosing in patients, which could represent a significant advancement in the gene therapy field. Selecta and AskBio anticipate entering the clinic by the end of 2020. Additionally, Selecta intends to advance its proprietary program in Ornithine Transcarbamylase (OTC) deficiency.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2020 Financial Results:</w:t>
      </w:r>
    </w:p>
    <w:p>
      <w:pPr>
        <w:spacing w:after="0" w:line="229" w:lineRule="exact"/>
        <w:rPr>
          <w:sz w:val="20"/>
          <w:szCs w:val="20"/>
          <w:color w:val="auto"/>
        </w:rPr>
      </w:pPr>
    </w:p>
    <w:p>
      <w:pPr>
        <w:ind w:left="660" w:right="380" w:hanging="328"/>
        <w:spacing w:after="0" w:line="29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Selecta had $74.3 million in cash, cash equivalents, and restricted cash as of March 31, 2020, which compares to</w:t>
      </w:r>
      <w:r>
        <w:rPr>
          <w:rFonts w:ascii="Arial" w:cs="Arial" w:eastAsia="Arial" w:hAnsi="Arial"/>
          <w:sz w:val="18"/>
          <w:szCs w:val="18"/>
          <w:b w:val="1"/>
          <w:bCs w:val="1"/>
          <w:color w:val="auto"/>
        </w:rPr>
        <w:t xml:space="preserve"> </w:t>
      </w:r>
      <w:r>
        <w:rPr>
          <w:rFonts w:ascii="Arial" w:cs="Arial" w:eastAsia="Arial" w:hAnsi="Arial"/>
          <w:sz w:val="18"/>
          <w:szCs w:val="18"/>
          <w:color w:val="auto"/>
        </w:rPr>
        <w:t>cash, cash equivalents, and restricted cash of $91.6 million as of December 31, 2019. Selecta believes its available cash, cash equivalents, and restricted cash will be sufficient to meet its operating requirements into the first quarter of 2021.</w:t>
      </w:r>
    </w:p>
    <w:p>
      <w:pPr>
        <w:spacing w:after="0" w:line="163" w:lineRule="exact"/>
        <w:rPr>
          <w:rFonts w:ascii="Arial" w:cs="Arial" w:eastAsia="Arial" w:hAnsi="Arial"/>
          <w:sz w:val="16"/>
          <w:szCs w:val="16"/>
          <w:color w:val="auto"/>
        </w:rPr>
      </w:pPr>
    </w:p>
    <w:p>
      <w:pPr>
        <w:ind w:left="1300" w:right="420" w:hanging="320"/>
        <w:spacing w:after="0" w:line="260" w:lineRule="auto"/>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Net cash used in operating activities was $11.7 million for the first quarter of 2020, as compared to $20.2 million for the same period in 2019.</w:t>
      </w:r>
    </w:p>
    <w:p>
      <w:pPr>
        <w:spacing w:after="0" w:line="184" w:lineRule="exact"/>
        <w:rPr>
          <w:rFonts w:ascii="Arial" w:cs="Arial" w:eastAsia="Arial" w:hAnsi="Arial"/>
          <w:sz w:val="20"/>
          <w:szCs w:val="20"/>
          <w:color w:val="auto"/>
        </w:rPr>
      </w:pPr>
    </w:p>
    <w:p>
      <w:pPr>
        <w:ind w:left="660" w:right="220" w:hanging="328"/>
        <w:spacing w:after="0" w:line="29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Research and development expenses for the first quarter 2020 were $14.7 million,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compares with $7.4 million for the same period in 2019. The increase in costs was primarily the result of expenses incurred for our Phase 2 COMPARE trial for SEL-212 and for our gene therapy program in collaboration with AskBio.</w:t>
      </w:r>
    </w:p>
    <w:p>
      <w:pPr>
        <w:spacing w:after="0" w:line="157" w:lineRule="exact"/>
        <w:rPr>
          <w:rFonts w:ascii="Arial" w:cs="Arial" w:eastAsia="Arial" w:hAnsi="Arial"/>
          <w:sz w:val="16"/>
          <w:szCs w:val="16"/>
          <w:color w:val="auto"/>
        </w:rPr>
      </w:pPr>
    </w:p>
    <w:p>
      <w:pPr>
        <w:jc w:val="both"/>
        <w:ind w:left="660" w:right="34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expenses for the first quarter 2020 were $4.1 million, which</w:t>
      </w:r>
      <w:r>
        <w:rPr>
          <w:rFonts w:ascii="Arial" w:cs="Arial" w:eastAsia="Arial" w:hAnsi="Arial"/>
          <w:sz w:val="20"/>
          <w:szCs w:val="20"/>
          <w:b w:val="1"/>
          <w:bCs w:val="1"/>
          <w:color w:val="auto"/>
        </w:rPr>
        <w:t xml:space="preserve"> </w:t>
      </w:r>
      <w:r>
        <w:rPr>
          <w:rFonts w:ascii="Arial" w:cs="Arial" w:eastAsia="Arial" w:hAnsi="Arial"/>
          <w:sz w:val="20"/>
          <w:szCs w:val="20"/>
          <w:color w:val="auto"/>
        </w:rPr>
        <w:t>compares with $4.5 million for the same period in 2019. The reduction in costs was the result of reduced salaries, consulting and professional fees offset by increased stock compensation expense.</w:t>
      </w:r>
    </w:p>
    <w:p>
      <w:pPr>
        <w:spacing w:after="0" w:line="190" w:lineRule="exact"/>
        <w:rPr>
          <w:rFonts w:ascii="Arial" w:cs="Arial" w:eastAsia="Arial" w:hAnsi="Arial"/>
          <w:sz w:val="18"/>
          <w:szCs w:val="18"/>
          <w:color w:val="auto"/>
        </w:rPr>
      </w:pPr>
    </w:p>
    <w:p>
      <w:pPr>
        <w:ind w:left="660" w:right="140" w:hanging="328"/>
        <w:spacing w:after="0" w:line="26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For the first quarter 2020, Selecta reported a net loss of $19.6 million, or $0.21 per share, compared to a net loss of $12.1</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or $0.31 per share, for the same period in 2019.</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and Webcast Reminder:</w:t>
      </w:r>
    </w:p>
    <w:p>
      <w:pPr>
        <w:spacing w:after="0" w:line="22"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color w:val="auto"/>
        </w:rPr>
        <w:t xml:space="preserve">Selecta management will host a conference call at 8:30 a.m. ET today to provide a corporate update and review the company’s first quarter 2020 financial results. Individuals may participate in the live call via telephone by dialing (844) 845-4170 (domestic) or (412) 717-9621 (international) and may access a teleconference replay for one week by dialing (877) 344-7529 (domestic) or (412) 317-0088 (international) and using confirmation code 10138607. Investors and the public can access the live and archived webcast of this call via the Investors &amp; Media section of the company’s website, </w:t>
      </w:r>
      <w:r>
        <w:rPr>
          <w:rFonts w:ascii="Arial" w:cs="Arial" w:eastAsia="Arial" w:hAnsi="Arial"/>
          <w:sz w:val="19"/>
          <w:szCs w:val="19"/>
          <w:u w:val="single" w:color="auto"/>
          <w:color w:val="0000FF"/>
        </w:rPr>
        <w:t>www.selectabio.com.</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Selecta Biosciences, Inc. is a clinical-stage biotechnology company focused on unlocking the full potential of biologic therapies based on its immune tolerance technology (ImmTOR) platform. Selecta plans to combine ImmTOR with a range of biologic therapies for rare and serious diseases that require new treatment options due to high immunogenicity. The company’s current proprietary pipeline includes ImmTOR-powered therapeutic enzyme and gene therapy product candidates. SEL-212, the company’s lead product candidate, is being developed to treat chronic refractory gout patients and resolve their debilitating symptoms, including flares and gouty arthritis. Selecta’s</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49" w:right="339" w:bottom="1440" w:gutter="0" w:footer="0" w:header="0"/>
        </w:sectPr>
      </w:pPr>
    </w:p>
    <w:bookmarkStart w:id="5" w:name="page6"/>
    <w:bookmarkEnd w:id="5"/>
    <w:p>
      <w:pPr>
        <w:ind w:right="120"/>
        <w:spacing w:after="0" w:line="250" w:lineRule="auto"/>
        <w:rPr>
          <w:sz w:val="20"/>
          <w:szCs w:val="20"/>
          <w:color w:val="auto"/>
        </w:rPr>
      </w:pPr>
      <w:r>
        <w:rPr>
          <w:rFonts w:ascii="Arial" w:cs="Arial" w:eastAsia="Arial" w:hAnsi="Arial"/>
          <w:sz w:val="20"/>
          <w:szCs w:val="20"/>
          <w:color w:val="auto"/>
        </w:rPr>
        <w:t xml:space="preserve">proprietary gene therapy product candidates are in preclinical development for certain rare inborn errors of metabolism and incorporate ImmTOR with the goal of addressing barriers to repeat administration. Selecta is based in Watertown, Massachusetts. For more information, please visit </w:t>
      </w:r>
      <w:r>
        <w:rPr>
          <w:rFonts w:ascii="Arial" w:cs="Arial" w:eastAsia="Arial" w:hAnsi="Arial"/>
          <w:sz w:val="20"/>
          <w:szCs w:val="20"/>
          <w:u w:val="single" w:color="auto"/>
          <w:color w:val="0000FF"/>
        </w:rPr>
        <w:t>www.selectabio.com</w:t>
      </w:r>
      <w:r>
        <w:rPr>
          <w:rFonts w:ascii="Arial" w:cs="Arial" w:eastAsia="Arial" w:hAnsi="Arial"/>
          <w:sz w:val="20"/>
          <w:szCs w:val="20"/>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Any statements in this press release about the future expectations, plans and prospects of Selecta Biosciences, Inc. (“the company”), including without limitation, the company’s actions regarding the monitoring and assessment of COVID-19 on the company’s operations, clinical trials and manufacturing, statements regarding the progress of the clinical development of SEL-212, timing of related data readouts from the head-to-head (COMPARE) clinical trial comparing SEL-212 and pegloticase, the anticipated timing and commencement of the planned Phase 3 clinical trial, the unique proprietary technology platform of the company and the unique proprietary platform of its partners, the potential of ImmTOR to enable re-dosing of AAV gene therapy, the potential of SEL-212 to fulfill unmet needs in chronic refractory gout patients including sustained SUA reduction, reduced flares, and once monthly dosing, and to resolve their debilitating symptoms, the company’s commercial plans, the ability of the company’s ImmTOR platform, including SEL-212, to unlock the full potential of biologic therapies, the potential treatment applications for product candidates utilizing the ImmTOR platform in areas such as enzyme therapy and gene therapy, plans to advance the company’s gene therapy program with AskBio and the timing of entering the clinic under this collaboration, including a human proof of concept trial, the ability of the Company and AskBio to develop gene therapy products using ImmTOR and AskBio’s core technology, the novelty of treatment paradigms that the Company and AskBio are able to develop, the potential of any therapies developed by the Company and AskBio to fulfill unmet medical needs, the company’s plans to advance its gene therapy program to treat Ornithine Transcarbamylase deficiency, the company’s plan to apply its ImmTOR technology platform to a range of biologics for rare and serious diseases, the potential of the ImmTOR technology platform generally and the company’s ability to grow its strategic partnerships, the sufficiency of the company’s cash, cash equivalents and short-term investments,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effect of the COVID-19 outbreak on any of the company’s planned or ongoing clinical trials, manufacturing activities, supply chain and operations,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ImmTOR technology, undesirable side effects of the company’s product candidates, its reliance on third parties to manufacture its product candidates and to conduct its clinical trials as well as the impact of the COVID-19 outbreak on those third parties and their ability to continue their operations, the company’s inability to maintain its existing or future collaborations, licenses or contractual relationships, its inability to protect its proprietary technology and intellectual property, management’s ability to perform as expected,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including stock market fluctuations that occur as a result of the COVID-19 outbreak, and other important factors discussed in the “Risk Factors” section of the</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5" w:right="339" w:bottom="1440" w:gutter="0" w:footer="0" w:header="0"/>
        </w:sectPr>
      </w:pPr>
    </w:p>
    <w:bookmarkStart w:id="6" w:name="page7"/>
    <w:bookmarkEnd w:id="6"/>
    <w:p>
      <w:pPr>
        <w:ind w:right="180"/>
        <w:spacing w:after="0" w:line="263" w:lineRule="auto"/>
        <w:rPr>
          <w:sz w:val="20"/>
          <w:szCs w:val="20"/>
          <w:color w:val="auto"/>
        </w:rPr>
      </w:pPr>
      <w:r>
        <w:rPr>
          <w:rFonts w:ascii="Arial" w:cs="Arial" w:eastAsia="Arial" w:hAnsi="Arial"/>
          <w:sz w:val="19"/>
          <w:szCs w:val="19"/>
          <w:i w:val="1"/>
          <w:iCs w:val="1"/>
          <w:color w:val="auto"/>
        </w:rPr>
        <w:t>company’s most recent Annual Report on Form 10-K,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5"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6"/>
              </w:rPr>
              <w:t>March 31, 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8"/>
        </w:trPr>
        <w:tc>
          <w:tcPr>
            <w:tcW w:w="7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72,606</w:t>
            </w:r>
          </w:p>
        </w:tc>
        <w:tc>
          <w:tcPr>
            <w:tcW w:w="100" w:type="dxa"/>
            <w:vAlign w:val="bottom"/>
          </w:tcPr>
          <w:p>
            <w:pPr>
              <w:spacing w:after="0"/>
              <w:rPr>
                <w:sz w:val="23"/>
                <w:szCs w:val="23"/>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89,893</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7"/>
                <w:szCs w:val="17"/>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7"/>
                <w:szCs w:val="17"/>
                <w:color w:val="auto"/>
              </w:rPr>
            </w:pPr>
          </w:p>
        </w:tc>
        <w:tc>
          <w:tcPr>
            <w:tcW w:w="1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7"/>
                <w:szCs w:val="17"/>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1,555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15"/>
                <w:szCs w:val="15"/>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74,440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96,667</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17"/>
                <w:szCs w:val="17"/>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1,134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Right-of-use asset, net</w:t>
            </w:r>
          </w:p>
        </w:tc>
        <w:tc>
          <w:tcPr>
            <w:tcW w:w="300" w:type="dxa"/>
            <w:vAlign w:val="bottom"/>
          </w:tcPr>
          <w:p>
            <w:pPr>
              <w:spacing w:after="0"/>
              <w:rPr>
                <w:sz w:val="17"/>
                <w:szCs w:val="17"/>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11,847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300" w:type="dxa"/>
            <w:vAlign w:val="bottom"/>
          </w:tcPr>
          <w:p>
            <w:pPr>
              <w:spacing w:after="0"/>
              <w:rPr>
                <w:sz w:val="17"/>
                <w:szCs w:val="17"/>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assets</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88,800</w:t>
            </w:r>
          </w:p>
        </w:tc>
        <w:tc>
          <w:tcPr>
            <w:tcW w:w="10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65"/>
        </w:trPr>
        <w:tc>
          <w:tcPr>
            <w:tcW w:w="7280" w:type="dxa"/>
            <w:vAlign w:val="bottom"/>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2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Accounts payable</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1,330</w:t>
            </w:r>
          </w:p>
        </w:tc>
        <w:tc>
          <w:tcPr>
            <w:tcW w:w="100" w:type="dxa"/>
            <w:vAlign w:val="bottom"/>
          </w:tcPr>
          <w:p>
            <w:pPr>
              <w:spacing w:after="0"/>
              <w:rPr>
                <w:sz w:val="23"/>
                <w:szCs w:val="23"/>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17"/>
                <w:szCs w:val="17"/>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8,775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13,492</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Loan payable</w:t>
            </w:r>
          </w:p>
        </w:tc>
        <w:tc>
          <w:tcPr>
            <w:tcW w:w="300" w:type="dxa"/>
            <w:vAlign w:val="bottom"/>
          </w:tcPr>
          <w:p>
            <w:pPr>
              <w:spacing w:after="0"/>
              <w:rPr>
                <w:sz w:val="17"/>
                <w:szCs w:val="17"/>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16,868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18,905</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Lease liability</w:t>
            </w:r>
          </w:p>
        </w:tc>
        <w:tc>
          <w:tcPr>
            <w:tcW w:w="300" w:type="dxa"/>
            <w:vAlign w:val="bottom"/>
          </w:tcPr>
          <w:p>
            <w:pPr>
              <w:spacing w:after="0"/>
              <w:rPr>
                <w:sz w:val="17"/>
                <w:szCs w:val="17"/>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1,425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7"/>
                <w:szCs w:val="17"/>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1,674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5"/>
                <w:szCs w:val="15"/>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30,072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34,943</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p>
      <w:pPr>
        <w:sectPr>
          <w:pgSz w:w="11900" w:h="16838" w:orient="portrait"/>
          <w:cols w:equalWidth="0" w:num="1">
            <w:col w:w="11200"/>
          </w:cols>
          <w:pgMar w:left="360" w:top="823" w:right="339" w:bottom="1440" w:gutter="0" w:footer="0" w:header="0"/>
        </w:sectPr>
      </w:pP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80" w:type="dxa"/>
            <w:vAlign w:val="bottom"/>
          </w:tcPr>
          <w:p>
            <w:pPr>
              <w:spacing w:after="0"/>
              <w:rPr>
                <w:sz w:val="20"/>
                <w:szCs w:val="20"/>
                <w:color w:val="auto"/>
              </w:rPr>
            </w:pPr>
            <w:r>
              <w:rPr>
                <w:rFonts w:ascii="Arial" w:cs="Arial" w:eastAsia="Arial" w:hAnsi="Arial"/>
                <w:sz w:val="14"/>
                <w:szCs w:val="14"/>
                <w:color w:val="auto"/>
              </w:rPr>
              <w:t>Lease liability</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0"/>
                <w:szCs w:val="20"/>
                <w:color w:val="auto"/>
              </w:rPr>
            </w:pPr>
            <w:r>
              <w:rPr>
                <w:rFonts w:ascii="Arial" w:cs="Arial" w:eastAsia="Arial" w:hAnsi="Arial"/>
                <w:sz w:val="14"/>
                <w:szCs w:val="14"/>
                <w:color w:val="auto"/>
              </w:rPr>
              <w:t>Warrant liabilities</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0"/>
                <w:szCs w:val="20"/>
                <w:color w:val="auto"/>
              </w:rPr>
            </w:pPr>
            <w:r>
              <w:rPr>
                <w:rFonts w:ascii="Arial" w:cs="Arial" w:eastAsia="Arial" w:hAnsi="Arial"/>
                <w:sz w:val="14"/>
                <w:szCs w:val="14"/>
                <w:b w:val="1"/>
                <w:bCs w:val="1"/>
                <w:color w:val="auto"/>
              </w:rPr>
              <w:t>Stockholders’ equity (deficit):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7180" w:type="dxa"/>
            <w:vAlign w:val="bottom"/>
          </w:tcPr>
          <w:p>
            <w:pPr>
              <w:spacing w:after="0"/>
              <w:rPr>
                <w:sz w:val="20"/>
                <w:szCs w:val="20"/>
                <w:color w:val="auto"/>
              </w:rPr>
            </w:pPr>
            <w:r>
              <w:rPr>
                <w:rFonts w:ascii="Arial" w:cs="Arial" w:eastAsia="Arial" w:hAnsi="Arial"/>
                <w:sz w:val="14"/>
                <w:szCs w:val="14"/>
                <w:color w:val="auto"/>
                <w:w w:val="93"/>
              </w:rPr>
              <w:t>Preferred stock, $0.0001 par value; 10,000,000 shares authorized; no shares issued and outstanding at March 31, 2020 and</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180" w:type="dxa"/>
            <w:vAlign w:val="bottom"/>
          </w:tcPr>
          <w:p>
            <w:pPr>
              <w:spacing w:after="0"/>
              <w:rPr>
                <w:sz w:val="20"/>
                <w:szCs w:val="20"/>
                <w:color w:val="auto"/>
              </w:rPr>
            </w:pPr>
            <w:r>
              <w:rPr>
                <w:rFonts w:ascii="Arial" w:cs="Arial" w:eastAsia="Arial" w:hAnsi="Arial"/>
                <w:sz w:val="14"/>
                <w:szCs w:val="14"/>
                <w:color w:val="auto"/>
              </w:rPr>
              <w:t>December 31, 2019, respectively</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80" w:type="dxa"/>
            <w:vAlign w:val="bottom"/>
          </w:tcPr>
          <w:p>
            <w:pPr>
              <w:spacing w:after="0"/>
              <w:rPr>
                <w:sz w:val="20"/>
                <w:szCs w:val="20"/>
                <w:color w:val="auto"/>
              </w:rPr>
            </w:pPr>
            <w:r>
              <w:rPr>
                <w:rFonts w:ascii="Arial" w:cs="Arial" w:eastAsia="Arial" w:hAnsi="Arial"/>
                <w:sz w:val="14"/>
                <w:szCs w:val="14"/>
                <w:color w:val="auto"/>
              </w:rPr>
              <w:t>Common stock, $0.0001 par value; 200,000,000 shares authorized; 87,019,172 and 86,325,547 shares issued and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180" w:type="dxa"/>
            <w:vAlign w:val="bottom"/>
          </w:tcPr>
          <w:p>
            <w:pPr>
              <w:spacing w:after="0"/>
              <w:rPr>
                <w:sz w:val="20"/>
                <w:szCs w:val="20"/>
                <w:color w:val="auto"/>
              </w:rPr>
            </w:pPr>
            <w:r>
              <w:rPr>
                <w:rFonts w:ascii="Arial" w:cs="Arial" w:eastAsia="Arial" w:hAnsi="Arial"/>
                <w:sz w:val="14"/>
                <w:szCs w:val="14"/>
                <w:color w:val="auto"/>
              </w:rPr>
              <w:t>outstanding as of March 31, 2020 and December 31, 2019, respectively</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0"/>
                <w:szCs w:val="20"/>
                <w:color w:val="auto"/>
              </w:rPr>
            </w:pPr>
            <w:r>
              <w:rPr>
                <w:rFonts w:ascii="Arial" w:cs="Arial" w:eastAsia="Arial" w:hAnsi="Arial"/>
                <w:sz w:val="14"/>
                <w:szCs w:val="14"/>
                <w:color w:val="auto"/>
              </w:rPr>
              <w:t>Total liabilities and stockholders’ equity (deficit)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71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10,440</w:t>
            </w:r>
          </w:p>
        </w:tc>
        <w:tc>
          <w:tcPr>
            <w:tcW w:w="700" w:type="dxa"/>
            <w:vAlign w:val="bottom"/>
          </w:tcPr>
          <w:p>
            <w:pPr>
              <w:spacing w:after="0"/>
              <w:rPr>
                <w:sz w:val="15"/>
                <w:szCs w:val="15"/>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14,656</w:t>
            </w:r>
          </w:p>
        </w:tc>
        <w:tc>
          <w:tcPr>
            <w:tcW w:w="70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14,680</w:t>
            </w:r>
          </w:p>
        </w:tc>
      </w:tr>
      <w:tr>
        <w:trPr>
          <w:trHeight w:val="276"/>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42,395</w:t>
            </w: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41,549</w:t>
            </w:r>
          </w:p>
        </w:tc>
      </w:tr>
      <w:tr>
        <w:trPr>
          <w:trHeight w:val="250"/>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97,563</w:t>
            </w: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91,172</w:t>
            </w:r>
          </w:p>
        </w:tc>
      </w:tr>
      <w:tr>
        <w:trPr>
          <w:trHeight w:val="595"/>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70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8"/>
              </w:rPr>
              <w:t>351,184</w:t>
            </w:r>
          </w:p>
        </w:tc>
        <w:tc>
          <w:tcPr>
            <w:tcW w:w="70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348,664</w:t>
            </w:r>
          </w:p>
        </w:tc>
      </w:tr>
      <w:tr>
        <w:trPr>
          <w:trHeight w:val="270"/>
        </w:trPr>
        <w:tc>
          <w:tcPr>
            <w:tcW w:w="720" w:type="dxa"/>
            <w:vAlign w:val="bottom"/>
          </w:tcPr>
          <w:p>
            <w:pPr>
              <w:jc w:val="right"/>
              <w:ind w:right="88"/>
              <w:spacing w:after="0"/>
              <w:rPr>
                <w:sz w:val="20"/>
                <w:szCs w:val="20"/>
                <w:color w:val="auto"/>
              </w:rPr>
            </w:pPr>
            <w:r>
              <w:rPr>
                <w:rFonts w:ascii="Arial" w:cs="Arial" w:eastAsia="Arial" w:hAnsi="Arial"/>
                <w:sz w:val="14"/>
                <w:szCs w:val="14"/>
                <w:color w:val="auto"/>
                <w:w w:val="90"/>
              </w:rPr>
              <w:t>(355,373)</w:t>
            </w:r>
          </w:p>
        </w:tc>
        <w:tc>
          <w:tcPr>
            <w:tcW w:w="7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(335,753)</w:t>
            </w:r>
          </w:p>
        </w:tc>
      </w:tr>
      <w:tr>
        <w:trPr>
          <w:trHeight w:val="276"/>
        </w:trPr>
        <w:tc>
          <w:tcPr>
            <w:tcW w:w="720" w:type="dxa"/>
            <w:vAlign w:val="bottom"/>
          </w:tcPr>
          <w:p>
            <w:pPr>
              <w:jc w:val="right"/>
              <w:ind w:right="88"/>
              <w:spacing w:after="0"/>
              <w:rPr>
                <w:sz w:val="20"/>
                <w:szCs w:val="20"/>
                <w:color w:val="auto"/>
              </w:rPr>
            </w:pPr>
            <w:r>
              <w:rPr>
                <w:rFonts w:ascii="Arial" w:cs="Arial" w:eastAsia="Arial" w:hAnsi="Arial"/>
                <w:sz w:val="14"/>
                <w:szCs w:val="14"/>
                <w:color w:val="auto"/>
              </w:rPr>
              <w:t>(4,583)</w:t>
            </w: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(4,523)</w:t>
            </w:r>
          </w:p>
        </w:tc>
      </w:tr>
      <w:tr>
        <w:trPr>
          <w:trHeight w:val="250"/>
        </w:trPr>
        <w:tc>
          <w:tcPr>
            <w:tcW w:w="720" w:type="dxa"/>
            <w:vAlign w:val="bottom"/>
          </w:tcPr>
          <w:p>
            <w:pPr>
              <w:jc w:val="right"/>
              <w:ind w:right="88"/>
              <w:spacing w:after="0"/>
              <w:rPr>
                <w:sz w:val="20"/>
                <w:szCs w:val="20"/>
                <w:color w:val="auto"/>
              </w:rPr>
            </w:pPr>
            <w:r>
              <w:rPr>
                <w:rFonts w:ascii="Arial" w:cs="Arial" w:eastAsia="Arial" w:hAnsi="Arial"/>
                <w:sz w:val="14"/>
                <w:szCs w:val="14"/>
                <w:color w:val="auto"/>
              </w:rPr>
              <w:t>(8,763)</w:t>
            </w: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8,397</w:t>
            </w:r>
          </w:p>
        </w:tc>
      </w:tr>
      <w:tr>
        <w:trPr>
          <w:trHeight w:val="237"/>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88,800</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99,569</w:t>
            </w:r>
          </w:p>
        </w:tc>
      </w:tr>
      <w:tr>
        <w:trPr>
          <w:trHeight w:val="20"/>
        </w:trPr>
        <w:tc>
          <w:tcPr>
            <w:tcW w:w="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-24765</wp:posOffset>
            </wp:positionV>
            <wp:extent cx="1217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-8255</wp:posOffset>
            </wp:positionV>
            <wp:extent cx="12172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7295" cy="8890"/>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-187960</wp:posOffset>
            </wp:positionV>
            <wp:extent cx="1217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-359410</wp:posOffset>
            </wp:positionV>
            <wp:extent cx="1217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-1490980</wp:posOffset>
            </wp:positionV>
            <wp:extent cx="1217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-1662430</wp:posOffset>
            </wp:positionV>
            <wp:extent cx="1217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620"/>
          </w:cols>
          <w:pgMar w:left="360" w:top="823"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1112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00"/>
          </w:cols>
          <w:pgMar w:left="360" w:top="823"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(Amounts in thousands, except share data and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7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4"/>
        </w:trPr>
        <w:tc>
          <w:tcPr>
            <w:tcW w:w="7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14,724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7,353</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4,098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4,513</w:t>
            </w:r>
          </w:p>
        </w:tc>
        <w:tc>
          <w:tcPr>
            <w:tcW w:w="0" w:type="dxa"/>
            <w:vAlign w:val="bottom"/>
          </w:tcPr>
          <w:p>
            <w:pPr>
              <w:spacing w:after="0"/>
              <w:rPr>
                <w:sz w:val="1"/>
                <w:szCs w:val="1"/>
                <w:color w:val="auto"/>
              </w:rPr>
            </w:pPr>
          </w:p>
        </w:tc>
      </w:tr>
      <w:tr>
        <w:trPr>
          <w:trHeight w:val="80"/>
        </w:trPr>
        <w:tc>
          <w:tcPr>
            <w:tcW w:w="7740" w:type="dxa"/>
            <w:vAlign w:val="bottom"/>
            <w:vMerge w:val="restart"/>
          </w:tcPr>
          <w:p>
            <w:pPr>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7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18,822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11,866</w:t>
            </w:r>
          </w:p>
        </w:tc>
        <w:tc>
          <w:tcPr>
            <w:tcW w:w="0" w:type="dxa"/>
            <w:vAlign w:val="bottom"/>
          </w:tcPr>
          <w:p>
            <w:pPr>
              <w:spacing w:after="0"/>
              <w:rPr>
                <w:sz w:val="1"/>
                <w:szCs w:val="1"/>
                <w:color w:val="auto"/>
              </w:rPr>
            </w:pPr>
          </w:p>
        </w:tc>
      </w:tr>
      <w:tr>
        <w:trPr>
          <w:trHeight w:val="66"/>
        </w:trPr>
        <w:tc>
          <w:tcPr>
            <w:tcW w:w="7740" w:type="dxa"/>
            <w:vAlign w:val="bottom"/>
            <w:vMerge w:val="restart"/>
          </w:tcPr>
          <w:p>
            <w:pPr>
              <w:spacing w:after="0"/>
              <w:rPr>
                <w:sz w:val="20"/>
                <w:szCs w:val="20"/>
                <w:color w:val="auto"/>
              </w:rPr>
            </w:pPr>
            <w:r>
              <w:rPr>
                <w:rFonts w:ascii="Arial" w:cs="Arial" w:eastAsia="Arial" w:hAnsi="Arial"/>
                <w:sz w:val="14"/>
                <w:szCs w:val="14"/>
                <w:color w:val="auto"/>
              </w:rPr>
              <w:t>Loss from operations</w:t>
            </w: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77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(18,822)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(11,856)</w:t>
            </w:r>
          </w:p>
        </w:tc>
        <w:tc>
          <w:tcPr>
            <w:tcW w:w="0" w:type="dxa"/>
            <w:vAlign w:val="bottom"/>
          </w:tcPr>
          <w:p>
            <w:pPr>
              <w:spacing w:after="0"/>
              <w:rPr>
                <w:sz w:val="1"/>
                <w:szCs w:val="1"/>
                <w:color w:val="auto"/>
              </w:rPr>
            </w:pPr>
          </w:p>
        </w:tc>
      </w:tr>
      <w:tr>
        <w:trPr>
          <w:trHeight w:val="257"/>
        </w:trPr>
        <w:tc>
          <w:tcPr>
            <w:tcW w:w="7740" w:type="dxa"/>
            <w:vAlign w:val="bottom"/>
          </w:tcPr>
          <w:p>
            <w:pPr>
              <w:spacing w:after="0"/>
              <w:rPr>
                <w:sz w:val="20"/>
                <w:szCs w:val="20"/>
                <w:color w:val="auto"/>
              </w:rPr>
            </w:pPr>
            <w:r>
              <w:rPr>
                <w:rFonts w:ascii="Arial" w:cs="Arial" w:eastAsia="Arial" w:hAnsi="Arial"/>
                <w:sz w:val="14"/>
                <w:szCs w:val="14"/>
                <w:color w:val="auto"/>
              </w:rPr>
              <w:t>Investment income</w:t>
            </w: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4"/>
                <w:szCs w:val="14"/>
                <w:color w:val="auto"/>
              </w:rPr>
              <w:t>Foreign currency transaction (loss), net</w:t>
            </w: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4"/>
                <w:szCs w:val="14"/>
                <w:color w:val="auto"/>
              </w:rPr>
              <w:t>Change in fair value of warrant liabilities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4"/>
                <w:szCs w:val="14"/>
                <w:color w:val="auto"/>
              </w:rPr>
              <w:t>Other (expense), net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80"/>
        </w:trPr>
        <w:tc>
          <w:tcPr>
            <w:tcW w:w="774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7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(19,620)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66"/>
        </w:trPr>
        <w:tc>
          <w:tcPr>
            <w:tcW w:w="7740" w:type="dxa"/>
            <w:vAlign w:val="bottom"/>
            <w:vMerge w:val="restart"/>
          </w:tcPr>
          <w:p>
            <w:pPr>
              <w:spacing w:after="0"/>
              <w:rPr>
                <w:sz w:val="20"/>
                <w:szCs w:val="20"/>
                <w:color w:val="auto"/>
              </w:rPr>
            </w:pPr>
            <w:r>
              <w:rPr>
                <w:rFonts w:ascii="Arial" w:cs="Arial" w:eastAsia="Arial" w:hAnsi="Arial"/>
                <w:sz w:val="14"/>
                <w:szCs w:val="14"/>
                <w:color w:val="auto"/>
              </w:rPr>
              <w:t>Other comprehensive loss:</w:t>
            </w: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77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4"/>
                <w:szCs w:val="14"/>
                <w:color w:val="auto"/>
              </w:rPr>
              <w:t>Unrealized gain on securities</w:t>
            </w:r>
          </w:p>
        </w:tc>
        <w:tc>
          <w:tcPr>
            <w:tcW w:w="38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7740" w:type="dxa"/>
            <w:vAlign w:val="bottom"/>
            <w:vMerge w:val="restart"/>
          </w:tcPr>
          <w:p>
            <w:pPr>
              <w:spacing w:after="0"/>
              <w:rPr>
                <w:sz w:val="20"/>
                <w:szCs w:val="20"/>
                <w:color w:val="auto"/>
              </w:rPr>
            </w:pPr>
            <w:r>
              <w:rPr>
                <w:rFonts w:ascii="Arial" w:cs="Arial" w:eastAsia="Arial" w:hAnsi="Arial"/>
                <w:sz w:val="14"/>
                <w:szCs w:val="14"/>
                <w:color w:val="auto"/>
              </w:rPr>
              <w:t>Total comprehensive loss</w:t>
            </w: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740" w:type="dxa"/>
            <w:vAlign w:val="bottom"/>
            <w:vMerge w:val="continue"/>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(19,680)</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(12,050)</w:t>
            </w:r>
          </w:p>
        </w:tc>
        <w:tc>
          <w:tcPr>
            <w:tcW w:w="0" w:type="dxa"/>
            <w:vAlign w:val="bottom"/>
          </w:tcPr>
          <w:p>
            <w:pPr>
              <w:spacing w:after="0"/>
              <w:rPr>
                <w:sz w:val="1"/>
                <w:szCs w:val="1"/>
                <w:color w:val="auto"/>
              </w:rPr>
            </w:pPr>
          </w:p>
        </w:tc>
      </w:tr>
      <w:tr>
        <w:trPr>
          <w:trHeight w:val="53"/>
        </w:trPr>
        <w:tc>
          <w:tcPr>
            <w:tcW w:w="7740" w:type="dxa"/>
            <w:vAlign w:val="bottom"/>
            <w:vMerge w:val="restart"/>
          </w:tcPr>
          <w:p>
            <w:pPr>
              <w:spacing w:after="0"/>
              <w:rPr>
                <w:sz w:val="20"/>
                <w:szCs w:val="20"/>
                <w:color w:val="auto"/>
              </w:rPr>
            </w:pPr>
            <w:r>
              <w:rPr>
                <w:rFonts w:ascii="Arial" w:cs="Arial" w:eastAsia="Arial" w:hAnsi="Arial"/>
                <w:sz w:val="14"/>
                <w:szCs w:val="14"/>
                <w:color w:val="auto"/>
              </w:rPr>
              <w:t>Net loss per share:</w:t>
            </w: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74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7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23"/>
                <w:szCs w:val="23"/>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66"/>
        </w:trPr>
        <w:tc>
          <w:tcPr>
            <w:tcW w:w="774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4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94,723,513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38,447,319</w:t>
            </w:r>
          </w:p>
        </w:tc>
        <w:tc>
          <w:tcPr>
            <w:tcW w:w="0" w:type="dxa"/>
            <w:vAlign w:val="bottom"/>
          </w:tcPr>
          <w:p>
            <w:pPr>
              <w:spacing w:after="0"/>
              <w:rPr>
                <w:sz w:val="1"/>
                <w:szCs w:val="1"/>
                <w:color w:val="auto"/>
              </w:rPr>
            </w:pPr>
          </w:p>
        </w:tc>
      </w:tr>
      <w:tr>
        <w:trPr>
          <w:trHeight w:val="66"/>
        </w:trPr>
        <w:tc>
          <w:tcPr>
            <w:tcW w:w="77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Joshua R. Mansbach</w:t>
      </w:r>
    </w:p>
    <w:p>
      <w:pPr>
        <w:spacing w:after="0"/>
        <w:rPr>
          <w:sz w:val="20"/>
          <w:szCs w:val="20"/>
          <w:color w:val="auto"/>
        </w:rPr>
      </w:pPr>
      <w:r>
        <w:rPr>
          <w:rFonts w:ascii="Arial" w:cs="Arial" w:eastAsia="Arial" w:hAnsi="Arial"/>
          <w:sz w:val="20"/>
          <w:szCs w:val="20"/>
          <w:color w:val="auto"/>
        </w:rPr>
        <w:t>Solebury Trout</w:t>
      </w:r>
    </w:p>
    <w:p>
      <w:pPr>
        <w:spacing w:after="0"/>
        <w:rPr>
          <w:sz w:val="20"/>
          <w:szCs w:val="20"/>
          <w:color w:val="auto"/>
        </w:rPr>
      </w:pPr>
      <w:r>
        <w:rPr>
          <w:rFonts w:ascii="Arial" w:cs="Arial" w:eastAsia="Arial" w:hAnsi="Arial"/>
          <w:sz w:val="20"/>
          <w:szCs w:val="20"/>
          <w:color w:val="auto"/>
        </w:rPr>
        <w:t>+1-646-378-2964</w:t>
      </w:r>
    </w:p>
    <w:p>
      <w:pPr>
        <w:spacing w:after="0"/>
        <w:rPr>
          <w:sz w:val="20"/>
          <w:szCs w:val="20"/>
          <w:color w:val="auto"/>
        </w:rPr>
      </w:pPr>
      <w:r>
        <w:rPr>
          <w:rFonts w:ascii="Arial" w:cs="Arial" w:eastAsia="Arial" w:hAnsi="Arial"/>
          <w:sz w:val="20"/>
          <w:szCs w:val="20"/>
          <w:u w:val="single" w:color="auto"/>
          <w:color w:val="0000FF"/>
        </w:rPr>
        <w:t>jmansbach@soleburytrout.com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Lee M. Stern</w:t>
      </w:r>
    </w:p>
    <w:p>
      <w:pPr>
        <w:spacing w:after="0"/>
        <w:rPr>
          <w:sz w:val="20"/>
          <w:szCs w:val="20"/>
          <w:color w:val="auto"/>
        </w:rPr>
      </w:pPr>
      <w:r>
        <w:rPr>
          <w:rFonts w:ascii="Arial" w:cs="Arial" w:eastAsia="Arial" w:hAnsi="Arial"/>
          <w:sz w:val="20"/>
          <w:szCs w:val="20"/>
          <w:color w:val="auto"/>
        </w:rPr>
        <w:t>Solebury Trout</w:t>
      </w:r>
    </w:p>
    <w:p>
      <w:pPr>
        <w:spacing w:after="0"/>
        <w:rPr>
          <w:sz w:val="20"/>
          <w:szCs w:val="20"/>
          <w:color w:val="auto"/>
        </w:rPr>
      </w:pPr>
      <w:r>
        <w:rPr>
          <w:rFonts w:ascii="Arial" w:cs="Arial" w:eastAsia="Arial" w:hAnsi="Arial"/>
          <w:sz w:val="20"/>
          <w:szCs w:val="20"/>
          <w:color w:val="auto"/>
        </w:rPr>
        <w:t>+1-646-378-2922</w:t>
      </w:r>
    </w:p>
    <w:p>
      <w:pPr>
        <w:spacing w:after="0"/>
        <w:rPr>
          <w:sz w:val="20"/>
          <w:szCs w:val="20"/>
          <w:color w:val="auto"/>
        </w:rPr>
      </w:pPr>
      <w:r>
        <w:rPr>
          <w:rFonts w:ascii="Arial" w:cs="Arial" w:eastAsia="Arial" w:hAnsi="Arial"/>
          <w:sz w:val="20"/>
          <w:szCs w:val="20"/>
          <w:u w:val="single" w:color="auto"/>
          <w:color w:val="0000FF"/>
        </w:rPr>
        <w:t>lstern@soleburytrout.com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sectPr>
      <w:pgSz w:w="11900" w:h="16838" w:orient="portrait"/>
      <w:cols w:equalWidth="0" w:num="1">
        <w:col w:w="11240"/>
      </w:cols>
      <w:pgMar w:left="320" w:top="8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2020-05-07T07:04:26Z</dcterms:created>
  <dcterms:modified xsi:type="dcterms:W3CDTF">2020-05-07T07:04:26Z</dcterms:modified>
</cp:coreProperties>
</file>