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0086723.xml.htm"/>
      <w:bookmarkStart w:id="1" w:name="kswkform4_17000867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DeSilva Nishan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CARTESIAN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GROVE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Cartesian Therapeutics, Inc.</w:t>
              </w:r>
            </w:hyperlink>
            <w:r>
              <w:rPr/>
              <w:t xml:space="preserve"> [ </w:t>
            </w:r>
            <w:r>
              <w:rPr>
                <w:rFonts w:ascii="Times;serif" w:hAnsi="Times;serif"/>
                <w:color w:val="0000FF"/>
                <w:sz w:val="24"/>
                <w:shd w:fill="FFFFFF" w:val="clear"/>
              </w:rPr>
              <w:t>RNAC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06/22/2031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which provided for vesting in thirty-six (36) substantially equal monthly installments over three years following the date of grant on June 23, 2021, was canceled in the merger (the "Merger") between Selecta Biosciences, Inc. and Cartesian Therapeutics,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which provided for vesting in full on January 3, 2023, was canceled in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which provided for vesting in full on January 2, 2024, was canceled in the Merger in exchange for a cash payment of $69,750, representing the difference between the exercise price of the option and $2.06, the Cash-out Amount as applied in the Merger.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Bartholomae, Attorney-in-Fact for Nishan de Silva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92386" TargetMode="External"/><Relationship Id="rId4" Type="http://schemas.openxmlformats.org/officeDocument/2006/relationships/hyperlink" Target="http://www.sec.gov/cgi-bin/browse-edgar?action=getcompany&amp;CIK=000145368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3813</Characters>
  <CharactersWithSpaces>4433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