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17,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reported, Selecta Biosciences, Inc. (the “Company”) has provided SVP-Rapamycin to the Center for Cancer Research at the National Cancer Institute (the “NCI”), part of the National Institutes of Health, to use in an NCI-sponsored Phase 1 clinical trial of the combination product candidate consisting of SVP-Rapamycin and LMB-100, an investigational immunotoxin targeting mesothelin, which is expressed on mesothelioma, pancreatic and other solid tumors. In this combination product candidate (referred to as SEL-403), SVP-Rapamycin may reduce the immunogenicity of LMB-100 potentially enhancing its efficacy and enabling repeat dosing through the mitigation of anti-drug antibody formation. The Company licensed LMB-100 from the NCI and the Phase 1 clinical trial of SEL-403 is being conducted under a Cooperative Research and Development Agreement (CRADA) between the NCI and the Company.</w:t>
      </w:r>
    </w:p>
    <w:p>
      <w:pPr>
        <w:spacing w:after="0" w:line="108"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To date four patients have been dosed in this trial. The NCI informed the Company of a Grade 5 Serious Adverse Event (patient death) in this clinical trial related to pneumonitis, which was deemed by the trial investigator to be probably related to SVP-Rapamycin and possibly related to the patient’s pleural mesothelioma condition. This patient had received previous therapies, including two courses of radiation therapy and three different immune checkpoint inhibitors, which can be associated with pneumonitis</w:t>
      </w:r>
      <w:r>
        <w:rPr>
          <w:rFonts w:ascii="Arial" w:cs="Arial" w:eastAsia="Arial" w:hAnsi="Arial"/>
          <w:sz w:val="24"/>
          <w:szCs w:val="24"/>
          <w:color w:val="auto"/>
          <w:vertAlign w:val="superscript"/>
        </w:rPr>
        <w:t>1,2</w:t>
      </w:r>
      <w:r>
        <w:rPr>
          <w:rFonts w:ascii="Arial" w:cs="Arial" w:eastAsia="Arial" w:hAnsi="Arial"/>
          <w:sz w:val="17"/>
          <w:szCs w:val="17"/>
          <w:color w:val="auto"/>
        </w:rPr>
        <w:t>; however, the possible relationship to SVP-Rapamycin cannot be excluded. Pneumonitis has been reported in patients receiving mTOR therapies, including daily oral rapamycin</w:t>
      </w:r>
      <w:r>
        <w:rPr>
          <w:rFonts w:ascii="Arial" w:cs="Arial" w:eastAsia="Arial" w:hAnsi="Arial"/>
          <w:sz w:val="24"/>
          <w:szCs w:val="24"/>
          <w:color w:val="auto"/>
          <w:vertAlign w:val="superscript"/>
        </w:rPr>
        <w:t>3</w:t>
      </w:r>
      <w:r>
        <w:rPr>
          <w:rFonts w:ascii="Arial" w:cs="Arial" w:eastAsia="Arial" w:hAnsi="Arial"/>
          <w:sz w:val="17"/>
          <w:szCs w:val="17"/>
          <w:color w:val="auto"/>
        </w:rPr>
        <w:t>.</w:t>
      </w:r>
    </w:p>
    <w:p>
      <w:pPr>
        <w:spacing w:after="0" w:line="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addition, a Serious Adverse Event (pericardial effusion) was seen in one of the other three patients dosed in the SEL-403 clinical trial. Pericardial effusion can be a side effect of immunotoxin therapies targeting mesothelin</w:t>
      </w:r>
      <w:r>
        <w:rPr>
          <w:rFonts w:ascii="Arial" w:cs="Arial" w:eastAsia="Arial" w:hAnsi="Arial"/>
          <w:sz w:val="25"/>
          <w:szCs w:val="25"/>
          <w:color w:val="auto"/>
          <w:vertAlign w:val="superscript"/>
        </w:rPr>
        <w:t>4</w:t>
      </w:r>
      <w:r>
        <w:rPr>
          <w:rFonts w:ascii="Arial" w:cs="Arial" w:eastAsia="Arial" w:hAnsi="Arial"/>
          <w:sz w:val="18"/>
          <w:szCs w:val="18"/>
          <w:color w:val="auto"/>
        </w:rPr>
        <w:t>.</w:t>
      </w:r>
    </w:p>
    <w:p>
      <w:pPr>
        <w:spacing w:after="0" w:line="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are currently no patients active in the SEL-403 clinical trial nor are new patients being enrolled at this time. The Company is working with the NCI investigators to fully understand the data from the trial in order to define the future development of SEL-403 in mesothelioma, pancreatic cancer and other oncology indications.</w:t>
      </w:r>
    </w:p>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SVP-Rapamycin is also being investigated as a component of SEL-212 (combination of SVP-Rapamycin and pegsiticase) in an ongoing Phase 2 clinical trial in patients with symptomatic gout. In the Phase 2 trial to date, over 150 patients have received multiple (up to 5) doses of SEL-212 and no cases of pneumonitis have been reported.</w:t>
      </w:r>
    </w:p>
    <w:p>
      <w:pPr>
        <w:spacing w:after="0" w:line="1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continues to dose patients in the SEL-212 Phase 2 trial and plans to report data from the trial at the 2018 American College of Rheumatology (ACR)/Association for Rheumatology Health Professionals (ARHP) Annual Meeting on October 23, 2018.</w:t>
      </w:r>
    </w:p>
    <w:p>
      <w:pPr>
        <w:spacing w:after="0" w:line="301" w:lineRule="exact"/>
        <w:rPr>
          <w:sz w:val="20"/>
          <w:szCs w:val="20"/>
          <w:color w:val="auto"/>
        </w:rPr>
      </w:pPr>
    </w:p>
    <w:p>
      <w:pPr>
        <w:ind w:left="80" w:hanging="72"/>
        <w:spacing w:after="0"/>
        <w:tabs>
          <w:tab w:leader="none" w:pos="80" w:val="left"/>
        </w:tabs>
        <w:numPr>
          <w:ilvl w:val="0"/>
          <w:numId w:val="2"/>
        </w:numPr>
        <w:rPr>
          <w:rFonts w:ascii="Arial" w:cs="Arial" w:eastAsia="Arial" w:hAnsi="Arial"/>
          <w:sz w:val="9"/>
          <w:szCs w:val="9"/>
          <w:color w:val="auto"/>
        </w:rPr>
      </w:pPr>
      <w:r>
        <w:rPr>
          <w:rFonts w:ascii="Arial" w:cs="Arial" w:eastAsia="Arial" w:hAnsi="Arial"/>
          <w:sz w:val="14"/>
          <w:szCs w:val="14"/>
          <w:color w:val="auto"/>
        </w:rPr>
        <w:t>Keytruda Label Section 5.1 (</w:t>
      </w:r>
      <w:r>
        <w:rPr>
          <w:rFonts w:ascii="Arial" w:cs="Arial" w:eastAsia="Arial" w:hAnsi="Arial"/>
          <w:sz w:val="14"/>
          <w:szCs w:val="14"/>
          <w:u w:val="single" w:color="auto"/>
          <w:color w:val="0563C1"/>
        </w:rPr>
        <w:t>https://www.accessdata.fda.gov/drugsatfda_docs/label/2015/125514s004s006lbl.pdf</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Bledsoe TJ, Nath S2, Decker RH. Radiation Pneumonitis. Clin Chest Med. 2017 38(2):201-208</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Rapamune Label Section 5.11 (</w:t>
      </w:r>
      <w:r>
        <w:rPr>
          <w:rFonts w:ascii="Arial" w:cs="Arial" w:eastAsia="Arial" w:hAnsi="Arial"/>
          <w:sz w:val="14"/>
          <w:szCs w:val="14"/>
          <w:u w:val="single" w:color="auto"/>
          <w:color w:val="0563C1"/>
        </w:rPr>
        <w:t>https://www.accessdata.fda.gov/drugsatfda_docs/label/2010/021110s058lbl.pdf</w:t>
      </w:r>
      <w:r>
        <w:rPr>
          <w:rFonts w:ascii="Arial" w:cs="Arial" w:eastAsia="Arial" w:hAnsi="Arial"/>
          <w:sz w:val="14"/>
          <w:szCs w:val="14"/>
          <w:color w:val="auto"/>
        </w:rPr>
        <w:t>)</w:t>
      </w:r>
    </w:p>
    <w:p>
      <w:pPr>
        <w:spacing w:after="0" w:line="1" w:lineRule="exact"/>
        <w:rPr>
          <w:rFonts w:ascii="Arial" w:cs="Arial" w:eastAsia="Arial" w:hAnsi="Arial"/>
          <w:sz w:val="9"/>
          <w:szCs w:val="9"/>
          <w:color w:val="auto"/>
        </w:rPr>
      </w:pPr>
    </w:p>
    <w:p>
      <w:pPr>
        <w:ind w:right="240"/>
        <w:spacing w:after="0" w:line="255"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Hassan R, et al., Phase I study of SS1P, a recombinant anti-mesothelin immunotoxin given as a bolus I.V. infusion to patients with mesothelin-expressing mesothelioma, ovarian, and pancreatic</w:t>
      </w:r>
      <w:r>
        <w:rPr>
          <w:rFonts w:ascii="Arial" w:cs="Arial" w:eastAsia="Arial" w:hAnsi="Arial"/>
          <w:sz w:val="9"/>
          <w:szCs w:val="9"/>
          <w:color w:val="auto"/>
        </w:rPr>
        <w:t xml:space="preserve"> </w:t>
      </w:r>
      <w:r>
        <w:rPr>
          <w:rFonts w:ascii="Arial" w:cs="Arial" w:eastAsia="Arial" w:hAnsi="Arial"/>
          <w:sz w:val="14"/>
          <w:szCs w:val="14"/>
          <w:color w:val="auto"/>
        </w:rPr>
        <w:t>cancers. Clin Cancer Res. 2007 13(17):5144-9.</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Disclaimer</w:t>
      </w:r>
    </w:p>
    <w:p>
      <w:pPr>
        <w:spacing w:after="0" w:line="14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ability of SVP-Rapamycin to reduce the immunogenicity of LMB-100, enhance its efficacy and enable repeat dosing, the potential relationship between SVP-Rapamycin and pneumonitis, ongoing discussions with NCI investigators and the future development of SEL-403, and the continued dosing and anticipated timing for reporting further data from the Phase 2 trial of SEL-212.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including potential drug-related patient deaths;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August 8, 2018, and our other reports filed with the SEC could cause actual results to differ materially from those indicated by the forward-looking statements made</w:t>
      </w:r>
    </w:p>
    <w:p>
      <w:pPr>
        <w:sectPr>
          <w:pgSz w:w="11900" w:h="16838" w:orient="portrait"/>
          <w:cols w:equalWidth="0" w:num="1">
            <w:col w:w="11400"/>
          </w:cols>
          <w:pgMar w:left="240" w:top="580" w:right="259" w:bottom="1440" w:gutter="0" w:footer="0" w:header="0"/>
        </w:sectPr>
      </w:pPr>
    </w:p>
    <w:bookmarkStart w:id="2" w:name="page3"/>
    <w:bookmarkEnd w:id="2"/>
    <w:p>
      <w:pPr>
        <w:spacing w:after="0" w:line="312" w:lineRule="auto"/>
        <w:rPr>
          <w:sz w:val="20"/>
          <w:szCs w:val="20"/>
          <w:color w:val="auto"/>
        </w:rPr>
      </w:pPr>
      <w:r>
        <w:rPr>
          <w:rFonts w:ascii="Arial" w:cs="Arial" w:eastAsia="Arial" w:hAnsi="Arial"/>
          <w:sz w:val="16"/>
          <w:szCs w:val="16"/>
          <w:color w:val="auto"/>
        </w:rPr>
        <w:t>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ectPr>
          <w:pgSz w:w="11900" w:h="16838" w:orient="portrait"/>
          <w:cols w:equalWidth="0" w:num="1">
            <w:col w:w="11400"/>
          </w:cols>
          <w:pgMar w:left="240" w:top="584"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October 17,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2019-12-07T15:02:00Z</dcterms:created>
  <dcterms:modified xsi:type="dcterms:W3CDTF">2019-12-07T15:02:00Z</dcterms:modified>
</cp:coreProperties>
</file>