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August 8, 2024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220" w:type="dxa"/>
            <w:vAlign w:val="bottom"/>
          </w:tcPr>
          <w:p>
            <w:pPr>
              <w:jc w:val="center"/>
              <w:ind w:right="8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7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4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220" w:type="dxa"/>
            <w:vAlign w:val="bottom"/>
          </w:tcPr>
          <w:p>
            <w:pPr>
              <w:jc w:val="center"/>
              <w:ind w:right="90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720" w:type="dxa"/>
            <w:vAlign w:val="bottom"/>
          </w:tcPr>
          <w:p>
            <w:pPr>
              <w:jc w:val="center"/>
              <w:ind w:right="2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40" w:type="dxa"/>
            <w:vAlign w:val="bottom"/>
          </w:tcPr>
          <w:p>
            <w:pPr>
              <w:jc w:val="center"/>
              <w:ind w:left="100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220" w:type="dxa"/>
            <w:vAlign w:val="bottom"/>
          </w:tcPr>
          <w:p>
            <w:pPr>
              <w:jc w:val="center"/>
              <w:ind w:right="860"/>
              <w:spacing w:after="0"/>
              <w:rPr>
                <w:sz w:val="20"/>
                <w:szCs w:val="20"/>
                <w:color w:val="auto"/>
              </w:rPr>
            </w:pPr>
            <w:r>
              <w:rPr>
                <w:rFonts w:ascii="Times New Roman" w:cs="Times New Roman" w:eastAsia="Times New Roman" w:hAnsi="Times New Roman"/>
                <w:sz w:val="12"/>
                <w:szCs w:val="12"/>
                <w:color w:val="auto"/>
              </w:rPr>
              <w:t>of incorporation)</w:t>
            </w:r>
          </w:p>
        </w:tc>
        <w:tc>
          <w:tcPr>
            <w:tcW w:w="472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8"/>
              </w:rPr>
              <w:t>File Number)</w:t>
            </w:r>
          </w:p>
        </w:tc>
        <w:tc>
          <w:tcPr>
            <w:tcW w:w="19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704 Quince Orchard Road, Gaithersburg, MD 20878</w:t>
            </w:r>
          </w:p>
        </w:tc>
        <w:tc>
          <w:tcPr>
            <w:tcW w:w="1940" w:type="dxa"/>
            <w:vAlign w:val="bottom"/>
          </w:tcPr>
          <w:p>
            <w:pPr>
              <w:spacing w:after="0"/>
              <w:rPr>
                <w:sz w:val="24"/>
                <w:szCs w:val="24"/>
                <w:color w:val="auto"/>
              </w:rPr>
            </w:pPr>
          </w:p>
        </w:tc>
      </w:tr>
      <w:tr>
        <w:trPr>
          <w:trHeight w:val="155"/>
        </w:trPr>
        <w:tc>
          <w:tcPr>
            <w:tcW w:w="2220" w:type="dxa"/>
            <w:vAlign w:val="bottom"/>
          </w:tcPr>
          <w:p>
            <w:pPr>
              <w:spacing w:after="0"/>
              <w:rPr>
                <w:sz w:val="13"/>
                <w:szCs w:val="13"/>
                <w:color w:val="auto"/>
              </w:rPr>
            </w:pPr>
          </w:p>
        </w:tc>
        <w:tc>
          <w:tcPr>
            <w:tcW w:w="472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40" w:type="dxa"/>
            <w:vAlign w:val="bottom"/>
          </w:tcPr>
          <w:p>
            <w:pPr>
              <w:spacing w:after="0"/>
              <w:rPr>
                <w:sz w:val="13"/>
                <w:szCs w:val="13"/>
                <w:color w:val="auto"/>
              </w:rPr>
            </w:pPr>
          </w:p>
        </w:tc>
      </w:tr>
      <w:tr>
        <w:trPr>
          <w:trHeight w:val="277"/>
        </w:trPr>
        <w:tc>
          <w:tcPr>
            <w:tcW w:w="2220" w:type="dxa"/>
            <w:vAlign w:val="bottom"/>
          </w:tcPr>
          <w:p>
            <w:pPr>
              <w:spacing w:after="0"/>
              <w:rPr>
                <w:sz w:val="24"/>
                <w:szCs w:val="24"/>
                <w:color w:val="auto"/>
              </w:rPr>
            </w:pPr>
          </w:p>
        </w:tc>
        <w:tc>
          <w:tcPr>
            <w:tcW w:w="47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(617) 923-1400</w:t>
            </w:r>
          </w:p>
        </w:tc>
        <w:tc>
          <w:tcPr>
            <w:tcW w:w="1940" w:type="dxa"/>
            <w:vAlign w:val="bottom"/>
          </w:tcPr>
          <w:p>
            <w:pPr>
              <w:spacing w:after="0"/>
              <w:rPr>
                <w:sz w:val="24"/>
                <w:szCs w:val="24"/>
                <w:color w:val="auto"/>
              </w:rPr>
            </w:pPr>
          </w:p>
        </w:tc>
      </w:tr>
      <w:tr>
        <w:trPr>
          <w:trHeight w:val="155"/>
        </w:trPr>
        <w:tc>
          <w:tcPr>
            <w:tcW w:w="2220" w:type="dxa"/>
            <w:vAlign w:val="bottom"/>
          </w:tcPr>
          <w:p>
            <w:pPr>
              <w:spacing w:after="0"/>
              <w:rPr>
                <w:sz w:val="13"/>
                <w:szCs w:val="13"/>
                <w:color w:val="auto"/>
              </w:rPr>
            </w:pPr>
          </w:p>
        </w:tc>
        <w:tc>
          <w:tcPr>
            <w:tcW w:w="47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4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RNAC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82"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On August 8, 2024, Cartesian Therapeutics, Inc. (the “Company”) announced its financial results for the quarter ended June 30, 2024. The full text of the press release issued in connection with the announcement is furnished as Exhibit 99.1 to this Current Report on Form 8-K.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ind w:right="460" w:firstLine="216"/>
        <w:spacing w:after="0" w:line="279" w:lineRule="auto"/>
        <w:rPr>
          <w:sz w:val="20"/>
          <w:szCs w:val="20"/>
          <w:color w:val="auto"/>
        </w:rPr>
      </w:pPr>
      <w:r>
        <w:rPr>
          <w:rFonts w:ascii="Times New Roman" w:cs="Times New Roman" w:eastAsia="Times New Roman" w:hAnsi="Times New Roman"/>
          <w:sz w:val="12"/>
          <w:szCs w:val="12"/>
          <w:color w:val="auto"/>
        </w:rPr>
        <w:t>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99.2.</w:t>
      </w:r>
    </w:p>
    <w:p>
      <w:pPr>
        <w:spacing w:after="0" w:line="39"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The information in Items 2.02 and 7.01 of this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 99.2, except as required by law.</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700" w:type="dxa"/>
            <w:vAlign w:val="bottom"/>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70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720" w:type="dxa"/>
            <w:vAlign w:val="bottom"/>
            <w:gridSpan w:val="2"/>
          </w:tcPr>
          <w:p>
            <w:pPr>
              <w:jc w:val="center"/>
              <w:ind w:left="464"/>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of Cartesian Therapeutics, Inc. dated August 8, 2024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20" w:type="dxa"/>
            <w:vAlign w:val="bottom"/>
            <w:gridSpan w:val="2"/>
          </w:tcPr>
          <w:p>
            <w:pPr>
              <w:jc w:val="center"/>
              <w:ind w:left="464"/>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2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Corporate slide presentation of Cartesian Therapeutics, Inc. dated August 2024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30"/>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7980" w:type="dxa"/>
            <w:vAlign w:val="bottom"/>
            <w:gridSpan w:val="2"/>
          </w:tcPr>
          <w:p>
            <w:pPr>
              <w:ind w:left="2240"/>
              <w:spacing w:after="0"/>
              <w:rPr>
                <w:sz w:val="20"/>
                <w:szCs w:val="20"/>
                <w:color w:val="auto"/>
              </w:rPr>
            </w:pPr>
            <w:r>
              <w:rPr>
                <w:rFonts w:ascii="Times New Roman" w:cs="Times New Roman" w:eastAsia="Times New Roman" w:hAnsi="Times New Roman"/>
                <w:sz w:val="12"/>
                <w:szCs w:val="12"/>
                <w:color w:val="auto"/>
              </w:rPr>
              <w:t>CARTESIAN THERAPEUTICS, INC.</w:t>
            </w:r>
          </w:p>
        </w:tc>
      </w:tr>
      <w:tr>
        <w:trPr>
          <w:trHeight w:val="45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August 8, 2024</w:t>
            </w:r>
          </w:p>
        </w:tc>
        <w:tc>
          <w:tcPr>
            <w:tcW w:w="282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13335</wp:posOffset>
            </wp:positionV>
            <wp:extent cx="1034415" cy="314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4415"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Calibri" w:cs="Calibri" w:eastAsia="Calibri" w:hAnsi="Calibri"/>
          <w:sz w:val="13"/>
          <w:szCs w:val="13"/>
          <w:b w:val="1"/>
          <w:bCs w:val="1"/>
          <w:color w:val="auto"/>
        </w:rPr>
        <w:t>Cartesian Therapeutcs Reports Second Quarter 2024 Financial Results and Provides Business Update</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Presented positve topline results from Phase 2b trial of Descartes-08 in patents with myasthenia gravis; End-of-Phase 2 meetng with FDA expected by year-end</w:t>
      </w:r>
    </w:p>
    <w:p>
      <w:pPr>
        <w:spacing w:after="0" w:line="138"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Dosed frst SLE patent in Phase 2 trial of Descartes-08</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IND fling for pediatric basket study of Descartes-08 with focus in neurology and rheumatology expected by year-end</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PIPE fnancing strengthened balance sheet, with net proceeds expected to support development of Descartes-08 in MG through planned Phase 3 trial</w:t>
      </w:r>
    </w:p>
    <w:p>
      <w:pPr>
        <w:spacing w:after="0" w:line="302" w:lineRule="exact"/>
        <w:rPr>
          <w:sz w:val="20"/>
          <w:szCs w:val="20"/>
          <w:color w:val="auto"/>
        </w:rPr>
      </w:pPr>
    </w:p>
    <w:p>
      <w:pPr>
        <w:ind w:right="540"/>
        <w:spacing w:after="0" w:line="227" w:lineRule="auto"/>
        <w:rPr>
          <w:sz w:val="20"/>
          <w:szCs w:val="20"/>
          <w:color w:val="auto"/>
        </w:rPr>
      </w:pPr>
      <w:r>
        <w:rPr>
          <w:rFonts w:ascii="Calibri" w:cs="Calibri" w:eastAsia="Calibri" w:hAnsi="Calibri"/>
          <w:sz w:val="13"/>
          <w:szCs w:val="13"/>
          <w:color w:val="auto"/>
        </w:rPr>
        <w:t>GAITHERSBURG, MD, August 8, 2024 (GLOBE NEWSWIRE) – Cartesian Therapeutcs, Inc. (NASDAQ: RNAC) (the “Company”), a clinical-stage biotechnology company pioneering mRNA cell therapy for autoimmune diseases, today reported fnancial results for the second quarter of 2024, and provided recent business and corporate updates.</w:t>
      </w:r>
    </w:p>
    <w:p>
      <w:pPr>
        <w:spacing w:after="0" w:line="150" w:lineRule="exact"/>
        <w:rPr>
          <w:sz w:val="20"/>
          <w:szCs w:val="20"/>
          <w:color w:val="auto"/>
        </w:rPr>
      </w:pPr>
    </w:p>
    <w:p>
      <w:pPr>
        <w:jc w:val="both"/>
        <w:spacing w:after="0" w:line="219" w:lineRule="auto"/>
        <w:rPr>
          <w:sz w:val="20"/>
          <w:szCs w:val="20"/>
          <w:color w:val="auto"/>
        </w:rPr>
      </w:pPr>
      <w:r>
        <w:rPr>
          <w:rFonts w:ascii="Calibri" w:cs="Calibri" w:eastAsia="Calibri" w:hAnsi="Calibri"/>
          <w:sz w:val="13"/>
          <w:szCs w:val="13"/>
          <w:color w:val="auto"/>
        </w:rPr>
        <w:t>“Last quarter marked a pivotal milestone in Cartesian’s history as we demonstrated clinical diferentaton of our novel mRNA platorm,” said Carsten Brunn, Ph.D., President and Chief Executve Ofcer of Cartesian. “MG patents treated with Descartes-08 were observed to have deep and durable responses, supportng the potental breadth and applicaton of Cartesian’s approach to treatng autoimmune diseases. Additonally, we raised approximately $130 million from both new and existng investors to help us execute the planned Phase 3 trial of Descartes-08 in MG. We look forward to contnuing our strong momentum, meetng with the FDA before year-end and initatng a Phase 3 clinical trial in MG, fling an IND for a pediatric basket study, and expanding our pipeline to address new disease indicatons.”</w:t>
      </w:r>
    </w:p>
    <w:p>
      <w:pPr>
        <w:spacing w:after="0" w:line="148"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Recent Pipeline Progress and Antcipated Milestones</w:t>
      </w:r>
    </w:p>
    <w:p>
      <w:pPr>
        <w:spacing w:after="0" w:line="138" w:lineRule="exact"/>
        <w:rPr>
          <w:sz w:val="20"/>
          <w:szCs w:val="20"/>
          <w:color w:val="auto"/>
        </w:rPr>
      </w:pPr>
    </w:p>
    <w:p>
      <w:pPr>
        <w:ind w:left="200"/>
        <w:spacing w:after="0"/>
        <w:rPr>
          <w:sz w:val="20"/>
          <w:szCs w:val="20"/>
          <w:color w:val="auto"/>
        </w:rPr>
      </w:pPr>
      <w:r>
        <w:rPr>
          <w:rFonts w:ascii="Calibri" w:cs="Calibri" w:eastAsia="Calibri" w:hAnsi="Calibri"/>
          <w:sz w:val="13"/>
          <w:szCs w:val="13"/>
          <w:b w:val="1"/>
          <w:bCs w:val="1"/>
          <w:color w:val="auto"/>
        </w:rPr>
        <w:t>Descartes-08 for Myasthenia Gravis (MG)</w:t>
      </w:r>
    </w:p>
    <w:p>
      <w:pPr>
        <w:ind w:left="420" w:hanging="212"/>
        <w:spacing w:after="0" w:line="217" w:lineRule="auto"/>
        <w:tabs>
          <w:tab w:leader="none" w:pos="420"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 xml:space="preserve">In July 2024, the Company </w:t>
      </w:r>
      <w:hyperlink r:id="rId14">
        <w:r>
          <w:rPr>
            <w:rFonts w:ascii="Calibri" w:cs="Calibri" w:eastAsia="Calibri" w:hAnsi="Calibri"/>
            <w:sz w:val="13"/>
            <w:szCs w:val="13"/>
            <w:u w:val="single" w:color="auto"/>
            <w:color w:val="0000FF"/>
          </w:rPr>
          <w:t>presented positve topline results</w:t>
        </w:r>
        <w:r>
          <w:rPr>
            <w:rFonts w:ascii="Calibri" w:cs="Calibri" w:eastAsia="Calibri" w:hAnsi="Calibri"/>
            <w:sz w:val="13"/>
            <w:szCs w:val="13"/>
            <w:u w:val="single" w:color="auto"/>
            <w:color w:val="auto"/>
          </w:rPr>
          <w:t xml:space="preserve"> </w:t>
        </w:r>
      </w:hyperlink>
      <w:r>
        <w:rPr>
          <w:rFonts w:ascii="Calibri" w:cs="Calibri" w:eastAsia="Calibri" w:hAnsi="Calibri"/>
          <w:sz w:val="13"/>
          <w:szCs w:val="13"/>
          <w:color w:val="auto"/>
        </w:rPr>
        <w:t>from its Phase 2b trial of Descartes-08 in patents with generalized MG.</w:t>
      </w:r>
    </w:p>
    <w:p>
      <w:pPr>
        <w:ind w:left="860" w:right="20" w:hanging="220"/>
        <w:spacing w:after="0" w:line="210" w:lineRule="auto"/>
        <w:tabs>
          <w:tab w:leader="none" w:pos="871" w:val="left"/>
        </w:tabs>
        <w:numPr>
          <w:ilvl w:val="1"/>
          <w:numId w:val="2"/>
        </w:numPr>
        <w:rPr>
          <w:rFonts w:ascii="Arial" w:cs="Arial" w:eastAsia="Arial" w:hAnsi="Arial"/>
          <w:sz w:val="13"/>
          <w:szCs w:val="13"/>
          <w:color w:val="auto"/>
        </w:rPr>
      </w:pPr>
      <w:r>
        <w:rPr>
          <w:rFonts w:ascii="Calibri" w:cs="Calibri" w:eastAsia="Calibri" w:hAnsi="Calibri"/>
          <w:sz w:val="13"/>
          <w:szCs w:val="13"/>
          <w:color w:val="auto"/>
        </w:rPr>
        <w:t>The trial achieved its primary endpoint with statstcal signifcance in the pre-specifed modifed intent-to-treat efcacy populaton, with 71% (10/14) of patents treated with Descartes-08 observed to have 5-point or greater improvements in MG Composite (MGC) score at Month 3 compared to 25% (3/12) of patents treated with placebo (p=0.018).</w:t>
      </w:r>
    </w:p>
    <w:p>
      <w:pPr>
        <w:spacing w:after="0" w:line="1" w:lineRule="exact"/>
        <w:rPr>
          <w:rFonts w:ascii="Arial" w:cs="Arial" w:eastAsia="Arial" w:hAnsi="Arial"/>
          <w:sz w:val="13"/>
          <w:szCs w:val="13"/>
          <w:color w:val="auto"/>
        </w:rPr>
      </w:pPr>
    </w:p>
    <w:p>
      <w:pPr>
        <w:ind w:left="860" w:hanging="220"/>
        <w:spacing w:after="0" w:line="217" w:lineRule="auto"/>
        <w:tabs>
          <w:tab w:leader="none" w:pos="860" w:val="left"/>
        </w:tabs>
        <w:numPr>
          <w:ilvl w:val="1"/>
          <w:numId w:val="2"/>
        </w:numPr>
        <w:rPr>
          <w:rFonts w:ascii="Arial" w:cs="Arial" w:eastAsia="Arial" w:hAnsi="Arial"/>
          <w:sz w:val="13"/>
          <w:szCs w:val="13"/>
          <w:color w:val="auto"/>
        </w:rPr>
      </w:pPr>
      <w:r>
        <w:rPr>
          <w:rFonts w:ascii="Calibri" w:cs="Calibri" w:eastAsia="Calibri" w:hAnsi="Calibri"/>
          <w:sz w:val="13"/>
          <w:szCs w:val="13"/>
          <w:color w:val="auto"/>
        </w:rPr>
        <w:t>Responders that reached their four-month and six-month assessments were observed to have deep, durable, and clinically meaningful improvements in their MGC severity scores.</w:t>
      </w:r>
    </w:p>
    <w:p>
      <w:pPr>
        <w:spacing w:after="0" w:line="10" w:lineRule="exact"/>
        <w:rPr>
          <w:rFonts w:ascii="Arial" w:cs="Arial" w:eastAsia="Arial" w:hAnsi="Arial"/>
          <w:sz w:val="13"/>
          <w:szCs w:val="13"/>
          <w:color w:val="auto"/>
        </w:rPr>
      </w:pPr>
    </w:p>
    <w:p>
      <w:pPr>
        <w:ind w:left="860" w:hanging="220"/>
        <w:spacing w:after="0" w:line="202" w:lineRule="auto"/>
        <w:tabs>
          <w:tab w:leader="none" w:pos="860" w:val="left"/>
        </w:tabs>
        <w:numPr>
          <w:ilvl w:val="1"/>
          <w:numId w:val="2"/>
        </w:numPr>
        <w:rPr>
          <w:rFonts w:ascii="Arial" w:cs="Arial" w:eastAsia="Arial" w:hAnsi="Arial"/>
          <w:sz w:val="13"/>
          <w:szCs w:val="13"/>
          <w:color w:val="auto"/>
        </w:rPr>
      </w:pPr>
      <w:r>
        <w:rPr>
          <w:rFonts w:ascii="Calibri" w:cs="Calibri" w:eastAsia="Calibri" w:hAnsi="Calibri"/>
          <w:sz w:val="13"/>
          <w:szCs w:val="13"/>
          <w:color w:val="auto"/>
        </w:rPr>
        <w:t>Descartes-08 was observed to have a favorable safety profle supportng outpatent administraton without the need for lymphodepletng chemotherapy.</w:t>
      </w:r>
    </w:p>
    <w:p>
      <w:pPr>
        <w:spacing w:after="0" w:line="4" w:lineRule="exact"/>
        <w:rPr>
          <w:rFonts w:ascii="Arial" w:cs="Arial" w:eastAsia="Arial" w:hAnsi="Arial"/>
          <w:sz w:val="13"/>
          <w:szCs w:val="13"/>
          <w:color w:val="auto"/>
        </w:rPr>
      </w:pPr>
    </w:p>
    <w:p>
      <w:pPr>
        <w:jc w:val="both"/>
        <w:ind w:left="420" w:hanging="212"/>
        <w:spacing w:after="0" w:line="211" w:lineRule="auto"/>
        <w:tabs>
          <w:tab w:leader="none" w:pos="415"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The Company expects to hold an End-of-Phase 2 meetng with the U.S. Food and Drug Administraton (FDA) by year-end 2024 to review data from the Phase 2b trial and discuss plans for initatng a Phase 3 clinical trial of Descartes-08 in MG. Descartes-08 was previously granted Regeneratve Medicine Advanced Therapy (RMAT) Designaton, which allows for more frequent regulatory engagement, and Orphan Drug Designaton by the FDA for the treatment of MG.</w:t>
      </w:r>
    </w:p>
    <w:p>
      <w:pPr>
        <w:ind w:left="420" w:hanging="212"/>
        <w:spacing w:after="0" w:line="204" w:lineRule="auto"/>
        <w:tabs>
          <w:tab w:leader="none" w:pos="420"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Descartes-08, the Company’s lead product candidate, is an autologous ant-B cell maturaton antgen (BCMA) mRNA-engineered chimeric antgen receptor T-cell therapy (mRNA CAR-T).</w:t>
      </w:r>
    </w:p>
    <w:p>
      <w:pPr>
        <w:spacing w:after="0" w:line="147" w:lineRule="exact"/>
        <w:rPr>
          <w:sz w:val="20"/>
          <w:szCs w:val="20"/>
          <w:color w:val="auto"/>
        </w:rPr>
      </w:pPr>
    </w:p>
    <w:p>
      <w:pPr>
        <w:ind w:left="200"/>
        <w:spacing w:after="0"/>
        <w:rPr>
          <w:sz w:val="20"/>
          <w:szCs w:val="20"/>
          <w:color w:val="auto"/>
        </w:rPr>
      </w:pPr>
      <w:r>
        <w:rPr>
          <w:rFonts w:ascii="Calibri" w:cs="Calibri" w:eastAsia="Calibri" w:hAnsi="Calibri"/>
          <w:sz w:val="13"/>
          <w:szCs w:val="13"/>
          <w:b w:val="1"/>
          <w:bCs w:val="1"/>
          <w:color w:val="auto"/>
        </w:rPr>
        <w:t>Descartes-08 for Systemic Lupus Erythematosus (SLE)</w:t>
      </w:r>
    </w:p>
    <w:p>
      <w:pPr>
        <w:ind w:left="420" w:hanging="212"/>
        <w:spacing w:after="0" w:line="217"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In July 2024, the Company announced dosing of the frst patent in a Phase 2 clinical trial.</w:t>
      </w:r>
    </w:p>
    <w:p>
      <w:pPr>
        <w:ind w:left="420" w:hanging="212"/>
        <w:spacing w:after="0" w:line="217"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The trial is designed to assess the safety, tolerability and clinical actvity of outpatent Descartes-08 administraton without preconditoning chemotherapy in patents with SLE.</w:t>
      </w:r>
    </w:p>
    <w:p>
      <w:pPr>
        <w:ind w:left="420" w:hanging="212"/>
        <w:spacing w:after="0" w:line="204"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The Company believes that the mechanism of acton of Descartes-08, which targets both plasma cells and plasmacytoid dendritc cells, could lead to clinical beneft in patents with SLE.</w:t>
      </w:r>
    </w:p>
    <w:p>
      <w:pPr>
        <w:ind w:left="420" w:hanging="212"/>
        <w:spacing w:after="0" w:line="217"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SLE is an incurable autoimmune disease marked by systemic infammaton that afects multple organ systems and impacts approximately 1.5 million people in the United States.</w:t>
      </w:r>
    </w:p>
    <w:p>
      <w:pPr>
        <w:sectPr>
          <w:pgSz w:w="11900" w:h="16838" w:orient="portrait"/>
          <w:cols w:equalWidth="0" w:num="1">
            <w:col w:w="11300"/>
          </w:cols>
          <w:pgMar w:left="300" w:top="125" w:right="299" w:bottom="1440" w:gutter="0" w:footer="0" w:header="0"/>
        </w:sectPr>
      </w:pPr>
    </w:p>
    <w:bookmarkStart w:id="4" w:name="page5"/>
    <w:bookmarkEnd w:id="4"/>
    <w:p>
      <w:pPr>
        <w:ind w:left="200"/>
        <w:spacing w:after="0"/>
        <w:rPr>
          <w:sz w:val="20"/>
          <w:szCs w:val="20"/>
          <w:color w:val="auto"/>
        </w:rPr>
      </w:pPr>
      <w:r>
        <w:rPr>
          <w:rFonts w:ascii="Calibri" w:cs="Calibri" w:eastAsia="Calibri" w:hAnsi="Calibri"/>
          <w:sz w:val="13"/>
          <w:szCs w:val="13"/>
          <w:b w:val="1"/>
          <w:bCs w:val="1"/>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Descartes-08 for Pediatric Autoimmune Diseases</w:t>
      </w:r>
    </w:p>
    <w:p>
      <w:pPr>
        <w:ind w:left="420" w:hanging="212"/>
        <w:spacing w:after="0" w:line="217" w:lineRule="auto"/>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Cartesian plans to fle an Investgatonal New Drug (IND) applicaton for Descartes-08 in pediatric autoimmune disease indicatons by year-end 2024.</w:t>
      </w:r>
    </w:p>
    <w:p>
      <w:pPr>
        <w:ind w:left="420" w:hanging="212"/>
        <w:spacing w:after="0" w:line="204" w:lineRule="auto"/>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The planned basket trial will focus on certain pediatric neurological and rheumatological autoimmune diseases that have high unmet medical need.</w:t>
      </w:r>
    </w:p>
    <w:p>
      <w:pPr>
        <w:ind w:left="420" w:right="20" w:hanging="212"/>
        <w:spacing w:after="0" w:line="217" w:lineRule="auto"/>
        <w:tabs>
          <w:tab w:leader="none" w:pos="415"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To date, Descartes-08 has been observed to have a favorable safety profle in adult patents treated in an outpatent setng without lymphodepletng chemotherapy, which the Company believes could be a key diferentator for treatng pediatric patents.</w:t>
      </w:r>
    </w:p>
    <w:p>
      <w:pPr>
        <w:spacing w:after="0" w:line="139" w:lineRule="exact"/>
        <w:rPr>
          <w:sz w:val="20"/>
          <w:szCs w:val="20"/>
          <w:color w:val="auto"/>
        </w:rPr>
      </w:pPr>
    </w:p>
    <w:p>
      <w:pPr>
        <w:ind w:left="200"/>
        <w:spacing w:after="0"/>
        <w:rPr>
          <w:sz w:val="20"/>
          <w:szCs w:val="20"/>
          <w:color w:val="auto"/>
        </w:rPr>
      </w:pPr>
      <w:r>
        <w:rPr>
          <w:rFonts w:ascii="Calibri" w:cs="Calibri" w:eastAsia="Calibri" w:hAnsi="Calibri"/>
          <w:sz w:val="13"/>
          <w:szCs w:val="13"/>
          <w:b w:val="1"/>
          <w:bCs w:val="1"/>
          <w:color w:val="auto"/>
        </w:rPr>
        <w:t>Descartes-15 for Autoimmune Diseases</w:t>
      </w:r>
    </w:p>
    <w:p>
      <w:pPr>
        <w:ind w:left="420" w:hanging="212"/>
        <w:spacing w:after="0" w:line="217" w:lineRule="auto"/>
        <w:tabs>
          <w:tab w:leader="none" w:pos="4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The Company expects to dose the frst patent in its planned Phase 1 trial of Descartes-15 in the second half of 2024.</w:t>
      </w:r>
    </w:p>
    <w:p>
      <w:pPr>
        <w:ind w:left="420" w:hanging="212"/>
        <w:spacing w:after="0" w:line="217" w:lineRule="auto"/>
        <w:tabs>
          <w:tab w:leader="none" w:pos="415"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The Phase 1 dose escalaton trial will assess the safety and tolerability of outpatent Descartes-15 administraton in patents with multple myeloma. Following the Phase 1 dose escalaton trial, the Company expects to subsequently assess Descartes-15 in autoimmune indicatons.</w:t>
      </w:r>
    </w:p>
    <w:p>
      <w:pPr>
        <w:spacing w:after="0" w:line="1" w:lineRule="exact"/>
        <w:rPr>
          <w:rFonts w:ascii="Calibri" w:cs="Calibri" w:eastAsia="Calibri" w:hAnsi="Calibri"/>
          <w:sz w:val="13"/>
          <w:szCs w:val="13"/>
          <w:color w:val="auto"/>
        </w:rPr>
      </w:pPr>
    </w:p>
    <w:p>
      <w:pPr>
        <w:ind w:left="420" w:right="20" w:hanging="212"/>
        <w:spacing w:after="0" w:line="210" w:lineRule="auto"/>
        <w:tabs>
          <w:tab w:leader="none" w:pos="415"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Descartes-15 is a next-generaton autologous ant-BCMA mRNA CAR-T product candidate designed to have predictable and controllable pharmacokinetcs, including technological advances that enhance CAR stability even in the presence of target-driven suppression of CAR.</w:t>
      </w:r>
    </w:p>
    <w:p>
      <w:pPr>
        <w:spacing w:after="0" w:line="1" w:lineRule="exact"/>
        <w:rPr>
          <w:rFonts w:ascii="Calibri" w:cs="Calibri" w:eastAsia="Calibri" w:hAnsi="Calibri"/>
          <w:sz w:val="13"/>
          <w:szCs w:val="13"/>
          <w:color w:val="auto"/>
        </w:rPr>
      </w:pPr>
    </w:p>
    <w:p>
      <w:pPr>
        <w:ind w:left="420" w:hanging="212"/>
        <w:spacing w:after="0" w:line="217" w:lineRule="auto"/>
        <w:tabs>
          <w:tab w:leader="none" w:pos="4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Similar to Descartes-08, Descartes-15 is designed to be administered without preconditoning chemotherapy and eliminate integratng vectors.</w:t>
      </w:r>
    </w:p>
    <w:p>
      <w:pPr>
        <w:ind w:left="420" w:hanging="212"/>
        <w:spacing w:after="0" w:line="204" w:lineRule="auto"/>
        <w:tabs>
          <w:tab w:leader="none" w:pos="4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Relatve to Descartes-08, Descartes-15 has been observed to achieve an approximately ten-fold increase in CAR expression and selectve target-specifc killing in preclinical studies.</w:t>
      </w:r>
    </w:p>
    <w:p>
      <w:pPr>
        <w:spacing w:after="0" w:line="147"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Corporate Updates</w:t>
      </w:r>
    </w:p>
    <w:p>
      <w:pPr>
        <w:spacing w:after="0" w:line="147" w:lineRule="exact"/>
        <w:rPr>
          <w:sz w:val="20"/>
          <w:szCs w:val="20"/>
          <w:color w:val="auto"/>
        </w:rPr>
      </w:pPr>
    </w:p>
    <w:p>
      <w:pPr>
        <w:ind w:left="200"/>
        <w:spacing w:after="0"/>
        <w:rPr>
          <w:sz w:val="20"/>
          <w:szCs w:val="20"/>
          <w:color w:val="auto"/>
        </w:rPr>
      </w:pPr>
      <w:r>
        <w:rPr>
          <w:rFonts w:ascii="Calibri" w:cs="Calibri" w:eastAsia="Calibri" w:hAnsi="Calibri"/>
          <w:sz w:val="13"/>
          <w:szCs w:val="13"/>
          <w:b w:val="1"/>
          <w:bCs w:val="1"/>
          <w:color w:val="auto"/>
        </w:rPr>
        <w:t>Completed $130 Million Private Placement Equity Financing</w:t>
      </w:r>
    </w:p>
    <w:p>
      <w:pPr>
        <w:ind w:left="420" w:right="20" w:hanging="212"/>
        <w:spacing w:after="0" w:line="210" w:lineRule="auto"/>
        <w:tabs>
          <w:tab w:leader="none" w:pos="415"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 xml:space="preserve">In July 2024, Cartesian </w:t>
      </w:r>
      <w:hyperlink r:id="rId16">
        <w:r>
          <w:rPr>
            <w:rFonts w:ascii="Calibri" w:cs="Calibri" w:eastAsia="Calibri" w:hAnsi="Calibri"/>
            <w:sz w:val="13"/>
            <w:szCs w:val="13"/>
            <w:u w:val="single" w:color="auto"/>
            <w:color w:val="0000FF"/>
          </w:rPr>
          <w:t>announced</w:t>
        </w:r>
        <w:r>
          <w:rPr>
            <w:rFonts w:ascii="Calibri" w:cs="Calibri" w:eastAsia="Calibri" w:hAnsi="Calibri"/>
            <w:sz w:val="13"/>
            <w:szCs w:val="13"/>
            <w:u w:val="single" w:color="auto"/>
            <w:color w:val="auto"/>
          </w:rPr>
          <w:t xml:space="preserve"> </w:t>
        </w:r>
      </w:hyperlink>
      <w:r>
        <w:rPr>
          <w:rFonts w:ascii="Calibri" w:cs="Calibri" w:eastAsia="Calibri" w:hAnsi="Calibri"/>
          <w:sz w:val="13"/>
          <w:szCs w:val="13"/>
          <w:color w:val="auto"/>
        </w:rPr>
        <w:t>a private investment in public equity (PIPE) fnancing, which included partcipaton from both new and existng investors, resultng in gross proceeds of approximately $130.0 million.</w:t>
      </w:r>
    </w:p>
    <w:p>
      <w:pPr>
        <w:spacing w:after="0" w:line="1" w:lineRule="exact"/>
        <w:rPr>
          <w:rFonts w:ascii="Calibri" w:cs="Calibri" w:eastAsia="Calibri" w:hAnsi="Calibri"/>
          <w:sz w:val="13"/>
          <w:szCs w:val="13"/>
          <w:color w:val="auto"/>
        </w:rPr>
      </w:pPr>
    </w:p>
    <w:p>
      <w:pPr>
        <w:ind w:left="420" w:hanging="212"/>
        <w:spacing w:after="0" w:line="210" w:lineRule="auto"/>
        <w:tabs>
          <w:tab w:leader="none" w:pos="415"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The Company intends to use the net proceeds from the PIPE fnancing, together with the Company’s existng cash, cash equivalents, and restricted cash, to contnue development of Descartes-08 in MG, specifcally supportng antcipated manufacturing costs associated with a Phase 3 clinical trial and early commercial actvites in preparaton for a potental launch, if approved.</w:t>
      </w:r>
    </w:p>
    <w:p>
      <w:pPr>
        <w:spacing w:after="0" w:line="1" w:lineRule="exact"/>
        <w:rPr>
          <w:rFonts w:ascii="Calibri" w:cs="Calibri" w:eastAsia="Calibri" w:hAnsi="Calibri"/>
          <w:sz w:val="13"/>
          <w:szCs w:val="13"/>
          <w:color w:val="auto"/>
        </w:rPr>
      </w:pPr>
    </w:p>
    <w:p>
      <w:pPr>
        <w:ind w:left="420" w:right="20" w:hanging="212"/>
        <w:spacing w:after="0" w:line="217" w:lineRule="auto"/>
        <w:tabs>
          <w:tab w:leader="none" w:pos="415"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Additonally, Cartesian expects to use the net proceeds to advance and expand its autoimmune pipeline through contnued development of Descartes-08 for SLE, Descartes-15 for autoimmune diseases, and prepare for a planned basket trial for autoimmune pediatric indicatons.</w:t>
      </w:r>
    </w:p>
    <w:p>
      <w:pPr>
        <w:spacing w:after="0" w:line="1" w:lineRule="exact"/>
        <w:rPr>
          <w:rFonts w:ascii="Calibri" w:cs="Calibri" w:eastAsia="Calibri" w:hAnsi="Calibri"/>
          <w:sz w:val="13"/>
          <w:szCs w:val="13"/>
          <w:color w:val="auto"/>
        </w:rPr>
      </w:pPr>
    </w:p>
    <w:p>
      <w:pPr>
        <w:ind w:left="420" w:hanging="212"/>
        <w:spacing w:after="0" w:line="204" w:lineRule="auto"/>
        <w:tabs>
          <w:tab w:leader="none" w:pos="4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Operatonally, the Company expects to contnue making enhancements to its process development and manufacturing capabilites to improve producton yields.</w:t>
      </w:r>
    </w:p>
    <w:p>
      <w:pPr>
        <w:spacing w:after="0" w:line="309" w:lineRule="exact"/>
        <w:rPr>
          <w:sz w:val="20"/>
          <w:szCs w:val="20"/>
          <w:color w:val="auto"/>
        </w:rPr>
      </w:pPr>
    </w:p>
    <w:p>
      <w:pPr>
        <w:ind w:left="200"/>
        <w:spacing w:after="0"/>
        <w:rPr>
          <w:sz w:val="20"/>
          <w:szCs w:val="20"/>
          <w:color w:val="auto"/>
        </w:rPr>
      </w:pPr>
      <w:r>
        <w:rPr>
          <w:rFonts w:ascii="Calibri" w:cs="Calibri" w:eastAsia="Calibri" w:hAnsi="Calibri"/>
          <w:sz w:val="13"/>
          <w:szCs w:val="13"/>
          <w:b w:val="1"/>
          <w:bCs w:val="1"/>
          <w:color w:val="auto"/>
        </w:rPr>
        <w:t>Strengthened Board of Directors with Appointment of Kemal Malik</w:t>
      </w:r>
    </w:p>
    <w:p>
      <w:pPr>
        <w:ind w:left="420" w:hanging="212"/>
        <w:spacing w:after="0" w:line="217" w:lineRule="auto"/>
        <w:tabs>
          <w:tab w:leader="none" w:pos="4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In July 2024, the Company announced the appointment of Kemal Malik, MBBS to its Board of Directors.</w:t>
      </w:r>
    </w:p>
    <w:p>
      <w:pPr>
        <w:ind w:left="420" w:right="20" w:hanging="212"/>
        <w:spacing w:after="0" w:line="210" w:lineRule="auto"/>
        <w:tabs>
          <w:tab w:leader="none" w:pos="415"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Dr. Malik’s appointment provides regulatory and clinical expertse and deepens the Company’s strategic leadership. He has over 30 years of global development, regulatory, and commercial experience at leading pharmaceutcal organizatons.</w:t>
      </w:r>
    </w:p>
    <w:p>
      <w:pPr>
        <w:spacing w:after="0" w:line="149"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Second Quarter 2024 Financial Results</w:t>
      </w:r>
    </w:p>
    <w:p>
      <w:pPr>
        <w:spacing w:after="0" w:line="149" w:lineRule="exact"/>
        <w:rPr>
          <w:sz w:val="20"/>
          <w:szCs w:val="20"/>
          <w:color w:val="auto"/>
        </w:rPr>
      </w:pPr>
    </w:p>
    <w:p>
      <w:pPr>
        <w:jc w:val="both"/>
        <w:ind w:left="420" w:right="20" w:hanging="212"/>
        <w:spacing w:after="0" w:line="219" w:lineRule="auto"/>
        <w:tabs>
          <w:tab w:leader="none" w:pos="415" w:val="left"/>
        </w:tabs>
        <w:numPr>
          <w:ilvl w:val="0"/>
          <w:numId w:val="8"/>
        </w:numPr>
        <w:rPr>
          <w:rFonts w:ascii="Calibri" w:cs="Calibri" w:eastAsia="Calibri" w:hAnsi="Calibri"/>
          <w:sz w:val="13"/>
          <w:szCs w:val="13"/>
          <w:color w:val="auto"/>
        </w:rPr>
      </w:pPr>
      <w:r>
        <w:rPr>
          <w:rFonts w:ascii="Calibri" w:cs="Calibri" w:eastAsia="Calibri" w:hAnsi="Calibri"/>
          <w:sz w:val="13"/>
          <w:szCs w:val="13"/>
          <w:color w:val="auto"/>
        </w:rPr>
        <w:t>Cash, cash equivalents, and restricted cash were approximately $88.9 million as of June 30, 2024. In conjuncton with net proceeds from the $130.0 million PIPE fnancing announced in July 2024, the Company’s cash, cash equivalents, and restricted cash as of June 30, 2024 are expected to support development of Descartes-08 in MG, specifcally supportng antcipated manufacturing costs associated with a Phase 3 clinical trial and early commercial actvites in preparaton for a potental launch, and help support the advancement and expansion of its autoimmune pipeline, including Descartes-08 for SLE, other potental indicatons, and enhancements to its process development and manufacturing capabilites.</w:t>
      </w:r>
    </w:p>
    <w:p>
      <w:pPr>
        <w:sectPr>
          <w:pgSz w:w="11900" w:h="16838" w:orient="portrait"/>
          <w:cols w:equalWidth="0" w:num="1">
            <w:col w:w="11300"/>
          </w:cols>
          <w:pgMar w:left="300" w:top="1030" w:right="299" w:bottom="1440" w:gutter="0" w:footer="0" w:header="0"/>
        </w:sectPr>
      </w:pPr>
    </w:p>
    <w:bookmarkStart w:id="5" w:name="page6"/>
    <w:bookmarkEnd w:id="5"/>
    <w:p>
      <w:pPr>
        <w:jc w:val="both"/>
        <w:ind w:left="420" w:hanging="212"/>
        <w:spacing w:after="0" w:line="219" w:lineRule="auto"/>
        <w:tabs>
          <w:tab w:leader="none" w:pos="415" w:val="left"/>
        </w:tabs>
        <w:numPr>
          <w:ilvl w:val="0"/>
          <w:numId w:val="9"/>
        </w:numPr>
        <w:rPr>
          <w:rFonts w:ascii="Calibri" w:cs="Calibri" w:eastAsia="Calibri" w:hAnsi="Calibri"/>
          <w:sz w:val="13"/>
          <w:szCs w:val="13"/>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Research and development expenses were $12.7 million for the quarter ended June 30, 2024, compared to $17.8 million for the quarter ended June 30, 2023. The decrease in research and development expenses of $5.1 million for the quarter ended June 30, 2024 was due to a one-tme cash charge to salaries and benefts as a result of headcount reducton in April 2023 and decreased contract license and milestone payments.</w:t>
      </w:r>
    </w:p>
    <w:p>
      <w:pPr>
        <w:spacing w:after="0" w:line="150" w:lineRule="exact"/>
        <w:rPr>
          <w:rFonts w:ascii="Calibri" w:cs="Calibri" w:eastAsia="Calibri" w:hAnsi="Calibri"/>
          <w:sz w:val="13"/>
          <w:szCs w:val="13"/>
          <w:color w:val="auto"/>
        </w:rPr>
      </w:pPr>
    </w:p>
    <w:p>
      <w:pPr>
        <w:ind w:left="420" w:hanging="212"/>
        <w:spacing w:after="0" w:line="227" w:lineRule="auto"/>
        <w:tabs>
          <w:tab w:leader="none" w:pos="415" w:val="left"/>
        </w:tabs>
        <w:numPr>
          <w:ilvl w:val="0"/>
          <w:numId w:val="9"/>
        </w:numPr>
        <w:rPr>
          <w:rFonts w:ascii="Calibri" w:cs="Calibri" w:eastAsia="Calibri" w:hAnsi="Calibri"/>
          <w:sz w:val="13"/>
          <w:szCs w:val="13"/>
          <w:color w:val="auto"/>
        </w:rPr>
      </w:pPr>
      <w:r>
        <w:rPr>
          <w:rFonts w:ascii="Calibri" w:cs="Calibri" w:eastAsia="Calibri" w:hAnsi="Calibri"/>
          <w:sz w:val="13"/>
          <w:szCs w:val="13"/>
          <w:color w:val="auto"/>
        </w:rPr>
        <w:t>General and administratve expenses were $7.0 million for the quarter ended June 30, 2024, compared to $6.1 million for the quarter ended June 30, 2023. The increase in general and administratve expenses of $0.9 million for the quarter ended June 30, 2024 was primarily due to personnel expenses.</w:t>
      </w:r>
    </w:p>
    <w:p>
      <w:pPr>
        <w:spacing w:after="0" w:line="140" w:lineRule="exact"/>
        <w:rPr>
          <w:rFonts w:ascii="Calibri" w:cs="Calibri" w:eastAsia="Calibri" w:hAnsi="Calibri"/>
          <w:sz w:val="13"/>
          <w:szCs w:val="13"/>
          <w:color w:val="auto"/>
        </w:rPr>
      </w:pPr>
    </w:p>
    <w:p>
      <w:pPr>
        <w:jc w:val="both"/>
        <w:ind w:left="420" w:hanging="212"/>
        <w:spacing w:after="0" w:line="222" w:lineRule="auto"/>
        <w:tabs>
          <w:tab w:leader="none" w:pos="415" w:val="left"/>
        </w:tabs>
        <w:numPr>
          <w:ilvl w:val="0"/>
          <w:numId w:val="9"/>
        </w:numPr>
        <w:rPr>
          <w:rFonts w:ascii="Calibri" w:cs="Calibri" w:eastAsia="Calibri" w:hAnsi="Calibri"/>
          <w:sz w:val="13"/>
          <w:szCs w:val="13"/>
          <w:color w:val="auto"/>
        </w:rPr>
      </w:pPr>
      <w:r>
        <w:rPr>
          <w:rFonts w:ascii="Calibri" w:cs="Calibri" w:eastAsia="Calibri" w:hAnsi="Calibri"/>
          <w:sz w:val="13"/>
          <w:szCs w:val="13"/>
          <w:color w:val="auto"/>
        </w:rPr>
        <w:t>Net income was $13.8 million, or basic net income per share allocable to common stockholders of $0.58, for the quarter ended June 30, 2024, compared to net loss of $(11.4) million, or basic net loss per share allocable to common stockholders of $(2.23), for the quarter ended June 30, 2023. The net income includes recogniton of revenue for a $30.0 million milestone fee, which was triggered by the initaton of a Biologics License Applicatons fling for SEL-212 by Swedish Orphan Biovitrum AB (Sobi). The milestone payment is expected to be paid out to Contngent Value Rights (CVR) holders in March 2025 net of deductons specifed in the CVR Agreement.</w:t>
      </w:r>
    </w:p>
    <w:p>
      <w:pPr>
        <w:spacing w:after="0" w:line="302"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Descartes-08</w:t>
      </w:r>
    </w:p>
    <w:p>
      <w:pPr>
        <w:spacing w:after="0" w:line="149" w:lineRule="exact"/>
        <w:rPr>
          <w:sz w:val="20"/>
          <w:szCs w:val="20"/>
          <w:color w:val="auto"/>
        </w:rPr>
      </w:pPr>
    </w:p>
    <w:p>
      <w:pPr>
        <w:jc w:val="both"/>
        <w:spacing w:after="0" w:line="219" w:lineRule="auto"/>
        <w:rPr>
          <w:sz w:val="20"/>
          <w:szCs w:val="20"/>
          <w:color w:val="auto"/>
        </w:rPr>
      </w:pPr>
      <w:r>
        <w:rPr>
          <w:rFonts w:ascii="Calibri" w:cs="Calibri" w:eastAsia="Calibri" w:hAnsi="Calibri"/>
          <w:sz w:val="13"/>
          <w:szCs w:val="13"/>
          <w:color w:val="auto"/>
        </w:rPr>
        <w:t>Descartes-08, Cartesian’s lead mRNA cell therapy candidate and a potental frst-in-class mRNA-engineered chimeric antgen receptor T-cell therapy (mRNA CAR-T), is an autologous mRNA CAR-T product targetng B-cell maturaton antgen (BCMA) in clinical development for generalized myasthenia gravis (MG) and systemic lupus erythematosus. In contrast to conventonal DNA-based CAR T-cell therapies, mRNA CAR-T administraton does not require preconditoning chemotherapy, can be administered in the outpatent setng, and does not carry the risk of genomic integraton associated with cancerous transformaton. Descartes-08 has been granted Orphan Drug Designaton and Regeneratve Medicine Advanced Therapy Designaton by the U.S. Food and Drug Administraton for the treatment of MG.</w:t>
      </w:r>
    </w:p>
    <w:p>
      <w:pPr>
        <w:spacing w:after="0" w:line="148"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Cartesian Therapeutcs</w:t>
      </w:r>
    </w:p>
    <w:p>
      <w:pPr>
        <w:spacing w:after="0" w:line="140" w:lineRule="exact"/>
        <w:rPr>
          <w:sz w:val="20"/>
          <w:szCs w:val="20"/>
          <w:color w:val="auto"/>
        </w:rPr>
      </w:pPr>
    </w:p>
    <w:p>
      <w:pPr>
        <w:ind w:right="20"/>
        <w:spacing w:after="0" w:line="219" w:lineRule="auto"/>
        <w:rPr>
          <w:sz w:val="20"/>
          <w:szCs w:val="20"/>
          <w:color w:val="auto"/>
        </w:rPr>
      </w:pPr>
      <w:r>
        <w:rPr>
          <w:rFonts w:ascii="Calibri" w:cs="Calibri" w:eastAsia="Calibri" w:hAnsi="Calibri"/>
          <w:sz w:val="13"/>
          <w:szCs w:val="13"/>
          <w:color w:val="auto"/>
        </w:rPr>
        <w:t>Cartesian Therapeutcs is a clinical-stage company pioneering mRNA cell therapies for the treatment of autoimmune diseases. The Company’s lead asset, Descartes-08, is a potental frst-in-class mRNA CAR-T in Phase 2b clinical development for patents with generalized myasthenia gravis and Phase 2 development for systematc lupus erythematosus, with a Phase 2 basket trial planned in additonal autoimmune indicatons. The Company’s clinical-stage pipeline also includes Descartes-15, a next-generaton, autologous ant-BCMA mRNA CAR-T. For more informaton, please visit www.cartesiantherapeutcs.com or follow the Company on LinkedIn or X, formerly known as Twiter.</w:t>
      </w:r>
    </w:p>
    <w:p>
      <w:pPr>
        <w:spacing w:after="0" w:line="14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Forward Looking Statements</w:t>
      </w:r>
    </w:p>
    <w:p>
      <w:pPr>
        <w:spacing w:after="0" w:line="147" w:lineRule="exact"/>
        <w:rPr>
          <w:sz w:val="20"/>
          <w:szCs w:val="20"/>
          <w:color w:val="auto"/>
        </w:rPr>
      </w:pPr>
    </w:p>
    <w:p>
      <w:pPr>
        <w:jc w:val="both"/>
        <w:spacing w:after="0" w:line="215" w:lineRule="auto"/>
        <w:rPr>
          <w:sz w:val="20"/>
          <w:szCs w:val="20"/>
          <w:color w:val="auto"/>
        </w:rPr>
      </w:pPr>
      <w:r>
        <w:rPr>
          <w:rFonts w:ascii="Calibri" w:cs="Calibri" w:eastAsia="Calibri" w:hAnsi="Calibri"/>
          <w:sz w:val="13"/>
          <w:szCs w:val="13"/>
          <w:color w:val="auto"/>
        </w:rPr>
        <w:t>Any statements in this press release about the future expectatons, plans and prospects of the Company, including without limitaton, statements regarding the Company’s expectaton to hold an End-of-Phase 2 meetng with the FDA by the end of 2024, the ability of Descartes-08 to be administered in an outpatent setng or without the need for preconditoning lymphodepletng chemotherapy, the Company’s in-house manufacturing capabilites, the potental of the Company’s technology to enable precision control and optmizaton of engineered cells for diverse cell therapies leveraging multple modalites, the potental of Descartes-08, Descartes-15, or any of the Company’s other product candidates to treat myasthenia gravis, systemic lupus erythematosus, or any other disease, the amount and occurrence of any payments to holders of the Company’s contngent value rights, the antcipated tming or the outcome of ongoing and planned clinical trials, studies and data readouts, the antcipated tming or the outcome of the FDA’s review of the Company’s regulatory flings, the Company’s ability to conduct its clinical trials and preclinical studies, the tming or making of any regulatory flings, the antcipated tming or outcome of selecton of developmental product candidates, the ability of the Company to consummate any expected agreements and licenses and to realize the antcipated benefts thereof, the novelty of treatment paradigms that the Company is able to develop, the potental of any therapies developed by the Company to fulfll unmet medical needs, and enrollment in the Company’s clinical trials and other statements containing the words “antcipate,” “believe,” “contnue,” “could,” “estmate,” “expect,” “hypothesize,” “intend,” “may,” “plan,” “potental,” “predict,” “project,” “should,” “target,” “would,” and similar expressions, consttute forward-looking statements within the meaning of The Private</w:t>
      </w:r>
    </w:p>
    <w:p>
      <w:pPr>
        <w:sectPr>
          <w:pgSz w:w="11900" w:h="16838" w:orient="portrait"/>
          <w:cols w:equalWidth="0" w:num="1">
            <w:col w:w="11300"/>
          </w:cols>
          <w:pgMar w:left="300" w:top="870" w:right="299" w:bottom="1440" w:gutter="0" w:footer="0" w:header="0"/>
        </w:sectPr>
      </w:pPr>
    </w:p>
    <w:bookmarkStart w:id="6" w:name="page7"/>
    <w:bookmarkEnd w:id="6"/>
    <w:p>
      <w:pPr>
        <w:jc w:val="both"/>
        <w:spacing w:after="0" w:line="215"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Securites Litgaton Reform Act of 1995. Actual results may difer materially from those indicated by such forward-looking statements as a result of various important factors, including, but not limited to, the following: the uncertaintes inherent in the initaton, completon and cost of clinical trials including proof of concept trials, including uncertain outcomes, the availability and tming of data from ongoing and future clinical trials and the results of such trials, whether preliminary results from a partcular clinical trial will be predictve of the fnal results of that trial and whether results of early clinical trials will be indicatve of the results of later clinical trials, the ability to predict results of studies performed on human beings based on results of studies performed on non-human subjects, the unproven approach of the Company’s technology, potental delays in enrollment of patents, undesirable side efects of the Company’s product candidates, its reliance on third partes to conduct its clinical trials, the Company’s inability to maintain its existng or future collaboratons, licenses or contractual relatonships, its inability to protect its proprietary technology and intellectual property, potental delays in regulatory approvals, the availability of funding sufcient for its foreseeable and unforeseeable operatng expenses and capital expenditure requirements, the Company’s recurring losses from operatons and negatve cash fows, substantal fuctuaton in the price of the Company’s common stock, risks related to geopolitcal conficts and pandemics and other important factors discussed in the “Risk Factors” secton of the Company’s most recent Annual Report on Form 10-K and subsequently fled Quarterly Reports on Form 10-Q, and in other flings that the Company makes with the Securites and Exchange Commission. In additon, any forward-looking statements included in this press release represent the Company’s views only as of the date of its publicaton and should not be relied upon as representng its views as of any subsequent date. The Company specifcally disclaims any intenton to update any forward-looking statements included in this press release, except as required by law.</w:t>
      </w:r>
    </w:p>
    <w:p>
      <w:pPr>
        <w:sectPr>
          <w:pgSz w:w="11900" w:h="16838" w:orient="portrait"/>
          <w:cols w:equalWidth="0" w:num="1">
            <w:col w:w="11300"/>
          </w:cols>
          <w:pgMar w:left="300" w:top="870"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Cartesian Therapeutics, Inc. and Subsidiaries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(Amounts in thousands, except share data and par value)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840" w:type="dxa"/>
            <w:vAlign w:val="bottom"/>
          </w:tcPr>
          <w:p>
            <w:pPr>
              <w:spacing w:after="0"/>
              <w:rPr>
                <w:sz w:val="11"/>
                <w:szCs w:val="11"/>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June 30, 2024</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0" w:type="dxa"/>
            <w:vAlign w:val="bottom"/>
          </w:tcPr>
          <w:p>
            <w:pPr>
              <w:spacing w:after="0"/>
              <w:rPr>
                <w:sz w:val="1"/>
                <w:szCs w:val="1"/>
                <w:color w:val="auto"/>
              </w:rPr>
            </w:pPr>
          </w:p>
        </w:tc>
      </w:tr>
      <w:tr>
        <w:trPr>
          <w:trHeight w:val="128"/>
        </w:trPr>
        <w:tc>
          <w:tcPr>
            <w:tcW w:w="784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20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87,227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76,911</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Accounts receivable</w:t>
            </w:r>
          </w:p>
        </w:tc>
        <w:tc>
          <w:tcPr>
            <w:tcW w:w="1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32,039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5,870</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Unbilled receivables</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2,981</w:t>
            </w:r>
          </w:p>
        </w:tc>
        <w:tc>
          <w:tcPr>
            <w:tcW w:w="0" w:type="dxa"/>
            <w:vAlign w:val="bottom"/>
          </w:tcPr>
          <w:p>
            <w:pPr>
              <w:spacing w:after="0"/>
              <w:rPr>
                <w:sz w:val="1"/>
                <w:szCs w:val="1"/>
                <w:color w:val="auto"/>
              </w:rPr>
            </w:pPr>
          </w:p>
        </w:tc>
      </w:tr>
      <w:tr>
        <w:trPr>
          <w:trHeight w:val="129"/>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1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2,044</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4,967</w:t>
            </w:r>
          </w:p>
        </w:tc>
        <w:tc>
          <w:tcPr>
            <w:tcW w:w="0" w:type="dxa"/>
            <w:vAlign w:val="bottom"/>
          </w:tcPr>
          <w:p>
            <w:pPr>
              <w:spacing w:after="0"/>
              <w:rPr>
                <w:sz w:val="1"/>
                <w:szCs w:val="1"/>
                <w:color w:val="auto"/>
              </w:rPr>
            </w:pPr>
          </w:p>
        </w:tc>
      </w:tr>
      <w:tr>
        <w:trPr>
          <w:trHeight w:val="130"/>
        </w:trPr>
        <w:tc>
          <w:tcPr>
            <w:tcW w:w="78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current assets</w:t>
            </w:r>
          </w:p>
        </w:tc>
        <w:tc>
          <w:tcPr>
            <w:tcW w:w="12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124,782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90,729</w:t>
            </w:r>
          </w:p>
        </w:tc>
        <w:tc>
          <w:tcPr>
            <w:tcW w:w="0" w:type="dxa"/>
            <w:vAlign w:val="bottom"/>
          </w:tcPr>
          <w:p>
            <w:pPr>
              <w:spacing w:after="0"/>
              <w:rPr>
                <w:sz w:val="1"/>
                <w:szCs w:val="1"/>
                <w:color w:val="auto"/>
              </w:rPr>
            </w:pPr>
          </w:p>
        </w:tc>
      </w:tr>
      <w:tr>
        <w:trPr>
          <w:trHeight w:val="130"/>
        </w:trPr>
        <w:tc>
          <w:tcPr>
            <w:tcW w:w="7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Non-current assets:</w:t>
            </w: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6,672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2,113</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Right-of-use asset, net</w:t>
            </w:r>
          </w:p>
        </w:tc>
        <w:tc>
          <w:tcPr>
            <w:tcW w:w="1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13,852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10,068</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In-process research and development assets</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150,600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150,600</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Goodwill</w:t>
            </w:r>
          </w:p>
        </w:tc>
        <w:tc>
          <w:tcPr>
            <w:tcW w:w="1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48,163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48,163</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Long-term restricted cash</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1,377</w:t>
            </w:r>
          </w:p>
        </w:tc>
        <w:tc>
          <w:tcPr>
            <w:tcW w:w="0" w:type="dxa"/>
            <w:vAlign w:val="bottom"/>
          </w:tcPr>
          <w:p>
            <w:pPr>
              <w:spacing w:after="0"/>
              <w:rPr>
                <w:sz w:val="1"/>
                <w:szCs w:val="1"/>
                <w:color w:val="auto"/>
              </w:rPr>
            </w:pPr>
          </w:p>
        </w:tc>
      </w:tr>
      <w:tr>
        <w:trPr>
          <w:trHeight w:val="129"/>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Investments</w:t>
            </w:r>
          </w:p>
        </w:tc>
        <w:tc>
          <w:tcPr>
            <w:tcW w:w="1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150"/>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20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347,738</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305,050</w:t>
            </w:r>
          </w:p>
        </w:tc>
        <w:tc>
          <w:tcPr>
            <w:tcW w:w="0" w:type="dxa"/>
            <w:vAlign w:val="bottom"/>
          </w:tcPr>
          <w:p>
            <w:pPr>
              <w:spacing w:after="0"/>
              <w:rPr>
                <w:sz w:val="1"/>
                <w:szCs w:val="1"/>
                <w:color w:val="auto"/>
              </w:rPr>
            </w:pPr>
          </w:p>
        </w:tc>
      </w:tr>
      <w:tr>
        <w:trPr>
          <w:trHeight w:val="123"/>
        </w:trPr>
        <w:tc>
          <w:tcPr>
            <w:tcW w:w="7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Liabilities, convertible preferred stock, and stockholders’ deficit</w:t>
            </w: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Accounts payable</w:t>
            </w:r>
          </w:p>
        </w:tc>
        <w:tc>
          <w:tcPr>
            <w:tcW w:w="1200" w:type="dxa"/>
            <w:vAlign w:val="bottom"/>
          </w:tcPr>
          <w:p>
            <w:pPr>
              <w:jc w:val="right"/>
              <w:ind w:right="109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2,862</w:t>
            </w:r>
          </w:p>
        </w:tc>
        <w:tc>
          <w:tcPr>
            <w:tcW w:w="8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3,150</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Accrued expenses and other current liabilities</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10,954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15,572</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Lease liability</w:t>
            </w:r>
          </w:p>
        </w:tc>
        <w:tc>
          <w:tcPr>
            <w:tcW w:w="1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2,166</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Deferred revenue</w:t>
            </w:r>
          </w:p>
        </w:tc>
        <w:tc>
          <w:tcPr>
            <w:tcW w:w="1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2,311</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Warrant liabilities</w:t>
            </w:r>
          </w:p>
        </w:tc>
        <w:tc>
          <w:tcPr>
            <w:tcW w:w="1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720</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Contingent value right liability</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8,571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15,983</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Forward contract liabilities</w:t>
            </w:r>
          </w:p>
        </w:tc>
        <w:tc>
          <w:tcPr>
            <w:tcW w:w="12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28,307</w:t>
            </w:r>
          </w:p>
        </w:tc>
        <w:tc>
          <w:tcPr>
            <w:tcW w:w="0" w:type="dxa"/>
            <w:vAlign w:val="bottom"/>
          </w:tcPr>
          <w:p>
            <w:pPr>
              <w:spacing w:after="0"/>
              <w:rPr>
                <w:sz w:val="1"/>
                <w:szCs w:val="1"/>
                <w:color w:val="auto"/>
              </w:rPr>
            </w:pPr>
          </w:p>
        </w:tc>
      </w:tr>
      <w:tr>
        <w:trPr>
          <w:trHeight w:val="130"/>
        </w:trPr>
        <w:tc>
          <w:tcPr>
            <w:tcW w:w="78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current liabilities</w:t>
            </w:r>
          </w:p>
        </w:tc>
        <w:tc>
          <w:tcPr>
            <w:tcW w:w="12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26,115</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68,209</w:t>
            </w:r>
          </w:p>
        </w:tc>
        <w:tc>
          <w:tcPr>
            <w:tcW w:w="0" w:type="dxa"/>
            <w:vAlign w:val="bottom"/>
          </w:tcPr>
          <w:p>
            <w:pPr>
              <w:spacing w:after="0"/>
              <w:rPr>
                <w:sz w:val="1"/>
                <w:szCs w:val="1"/>
                <w:color w:val="auto"/>
              </w:rPr>
            </w:pPr>
          </w:p>
        </w:tc>
      </w:tr>
      <w:tr>
        <w:trPr>
          <w:trHeight w:val="130"/>
        </w:trPr>
        <w:tc>
          <w:tcPr>
            <w:tcW w:w="7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Non-current liabilities:</w:t>
            </w: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 liability, net of current portion</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12,344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8,789</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Deferred revenue, net of current portion</w:t>
            </w:r>
          </w:p>
        </w:tc>
        <w:tc>
          <w:tcPr>
            <w:tcW w:w="12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3,538</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Warrant liabilities, net of current portion</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8,055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5,674</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Contingent value right liability, net of current portion</w:t>
            </w:r>
          </w:p>
        </w:tc>
        <w:tc>
          <w:tcPr>
            <w:tcW w:w="1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386,829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342,617</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Deferred tax liabilities, net</w:t>
            </w:r>
          </w:p>
        </w:tc>
        <w:tc>
          <w:tcPr>
            <w:tcW w:w="12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15,853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15,853</w:t>
            </w:r>
          </w:p>
        </w:tc>
        <w:tc>
          <w:tcPr>
            <w:tcW w:w="0" w:type="dxa"/>
            <w:vAlign w:val="bottom"/>
          </w:tcPr>
          <w:p>
            <w:pPr>
              <w:spacing w:after="0"/>
              <w:rPr>
                <w:sz w:val="1"/>
                <w:szCs w:val="1"/>
                <w:color w:val="auto"/>
              </w:rPr>
            </w:pPr>
          </w:p>
        </w:tc>
      </w:tr>
      <w:tr>
        <w:trPr>
          <w:trHeight w:val="118"/>
        </w:trPr>
        <w:tc>
          <w:tcPr>
            <w:tcW w:w="784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12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449,196</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444,680</w:t>
            </w:r>
          </w:p>
        </w:tc>
        <w:tc>
          <w:tcPr>
            <w:tcW w:w="0" w:type="dxa"/>
            <w:vAlign w:val="bottom"/>
          </w:tcPr>
          <w:p>
            <w:pPr>
              <w:spacing w:after="0"/>
              <w:rPr>
                <w:sz w:val="1"/>
                <w:szCs w:val="1"/>
                <w:color w:val="auto"/>
              </w:rPr>
            </w:pPr>
          </w:p>
        </w:tc>
      </w:tr>
      <w:tr>
        <w:trPr>
          <w:trHeight w:val="99"/>
        </w:trPr>
        <w:tc>
          <w:tcPr>
            <w:tcW w:w="784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w w:val="96"/>
              </w:rPr>
              <w:t>Series A Preferred Stock, $0.0001 par value; no and 548,375 shares authorized as of June 30, 2024 and December 31, 2023, respectively; no and 435,120.513 shares issued and outstanding as of June 30,</w:t>
            </w:r>
          </w:p>
        </w:tc>
        <w:tc>
          <w:tcPr>
            <w:tcW w:w="12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8"/>
                <w:szCs w:val="8"/>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296,851</w:t>
            </w:r>
          </w:p>
        </w:tc>
        <w:tc>
          <w:tcPr>
            <w:tcW w:w="0" w:type="dxa"/>
            <w:vAlign w:val="bottom"/>
          </w:tcPr>
          <w:p>
            <w:pPr>
              <w:spacing w:after="0"/>
              <w:rPr>
                <w:sz w:val="1"/>
                <w:szCs w:val="1"/>
                <w:color w:val="auto"/>
              </w:rPr>
            </w:pPr>
          </w:p>
        </w:tc>
      </w:tr>
      <w:tr>
        <w:trPr>
          <w:trHeight w:val="13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2024 and December 31, 2023, respectively</w:t>
            </w:r>
          </w:p>
        </w:tc>
        <w:tc>
          <w:tcPr>
            <w:tcW w:w="12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Options for Series A Preferred Stock</w:t>
            </w:r>
          </w:p>
        </w:tc>
        <w:tc>
          <w:tcPr>
            <w:tcW w:w="12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3,703</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78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w w:val="96"/>
              </w:rPr>
              <w:t>Series A Preferred Stock, $0.0001 par value; 180,455.753 and no shares authorized as of June 30, 2024 and December 31, 2023, respectively; 166,341.592 and no shares issued and outstanding as of June</w:t>
            </w:r>
          </w:p>
        </w:tc>
        <w:tc>
          <w:tcPr>
            <w:tcW w:w="120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30, 2024 and December 31, 2023, respectively</w:t>
            </w:r>
          </w:p>
        </w:tc>
        <w:tc>
          <w:tcPr>
            <w:tcW w:w="12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78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w w:val="98"/>
              </w:rPr>
              <w:t>Preferred stock, $0.0001 par value; 9,819,544.247 and 9,451,625 shares authorized as of June 30, 2024 and December 31, 2023, respectively; no shares issued and outstanding as of June 30, 2024 and</w:t>
            </w:r>
          </w:p>
        </w:tc>
        <w:tc>
          <w:tcPr>
            <w:tcW w:w="12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8"/>
                <w:szCs w:val="8"/>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December 31, 2023</w:t>
            </w:r>
          </w:p>
        </w:tc>
        <w:tc>
          <w:tcPr>
            <w:tcW w:w="12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8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w w:val="95"/>
              </w:rPr>
              <w:t>Common stock, $0.0001 par value; 350,000,000 shares authorized as of June 30, 2024 and December 31, 2023; 17,816,238 and 5,397,597 shares issued and outstanding as of June 30, 2024 and December</w:t>
            </w:r>
          </w:p>
        </w:tc>
        <w:tc>
          <w:tcPr>
            <w:tcW w:w="12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7"/>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31, 2023, respectively</w:t>
            </w:r>
          </w:p>
        </w:tc>
        <w:tc>
          <w:tcPr>
            <w:tcW w:w="12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560,766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179,062</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20"/>
                <w:szCs w:val="20"/>
                <w:color w:val="auto"/>
              </w:rPr>
            </w:pPr>
            <w:r>
              <w:rPr>
                <w:rFonts w:ascii="Times New Roman" w:cs="Times New Roman" w:eastAsia="Times New Roman" w:hAnsi="Times New Roman"/>
                <w:sz w:val="10"/>
                <w:szCs w:val="10"/>
                <w:color w:val="auto"/>
              </w:rPr>
              <w:t>Accumulated deficit</w:t>
            </w:r>
          </w:p>
        </w:tc>
        <w:tc>
          <w:tcPr>
            <w:tcW w:w="1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(657,635)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(614,647)</w:t>
            </w:r>
          </w:p>
        </w:tc>
        <w:tc>
          <w:tcPr>
            <w:tcW w:w="0" w:type="dxa"/>
            <w:vAlign w:val="bottom"/>
          </w:tcPr>
          <w:p>
            <w:pPr>
              <w:spacing w:after="0"/>
              <w:rPr>
                <w:sz w:val="1"/>
                <w:szCs w:val="1"/>
                <w:color w:val="auto"/>
              </w:rPr>
            </w:pPr>
          </w:p>
        </w:tc>
      </w:tr>
      <w:tr>
        <w:trPr>
          <w:trHeight w:val="141"/>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12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(4,591)</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(4,600)</w:t>
            </w:r>
          </w:p>
        </w:tc>
        <w:tc>
          <w:tcPr>
            <w:tcW w:w="0" w:type="dxa"/>
            <w:vAlign w:val="bottom"/>
          </w:tcPr>
          <w:p>
            <w:pPr>
              <w:spacing w:after="0"/>
              <w:rPr>
                <w:sz w:val="1"/>
                <w:szCs w:val="1"/>
                <w:color w:val="auto"/>
              </w:rPr>
            </w:pPr>
          </w:p>
        </w:tc>
      </w:tr>
      <w:tr>
        <w:trPr>
          <w:trHeight w:val="118"/>
        </w:trPr>
        <w:tc>
          <w:tcPr>
            <w:tcW w:w="784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Total stockholders’ deficit</w:t>
            </w:r>
          </w:p>
        </w:tc>
        <w:tc>
          <w:tcPr>
            <w:tcW w:w="1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(101,458)</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(440,184)</w:t>
            </w:r>
          </w:p>
        </w:tc>
        <w:tc>
          <w:tcPr>
            <w:tcW w:w="0" w:type="dxa"/>
            <w:vAlign w:val="bottom"/>
          </w:tcPr>
          <w:p>
            <w:pPr>
              <w:spacing w:after="0"/>
              <w:rPr>
                <w:sz w:val="1"/>
                <w:szCs w:val="1"/>
                <w:color w:val="auto"/>
              </w:rPr>
            </w:pPr>
          </w:p>
        </w:tc>
      </w:tr>
      <w:tr>
        <w:trPr>
          <w:trHeight w:val="146"/>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liabilities, convertible preferred stock, and stockholders’ deficit</w:t>
            </w:r>
          </w:p>
        </w:tc>
        <w:tc>
          <w:tcPr>
            <w:tcW w:w="120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347,738</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305,050</w:t>
            </w:r>
          </w:p>
        </w:tc>
        <w:tc>
          <w:tcPr>
            <w:tcW w:w="0" w:type="dxa"/>
            <w:vAlign w:val="bottom"/>
          </w:tcPr>
          <w:p>
            <w:pPr>
              <w:spacing w:after="0"/>
              <w:rPr>
                <w:sz w:val="1"/>
                <w:szCs w:val="1"/>
                <w:color w:val="auto"/>
              </w:rPr>
            </w:pPr>
          </w:p>
        </w:tc>
      </w:tr>
    </w:tbl>
    <w:p>
      <w:pPr>
        <w:sectPr>
          <w:pgSz w:w="11900" w:h="16838" w:orient="portrait"/>
          <w:cols w:equalWidth="0" w:num="1">
            <w:col w:w="11280"/>
          </w:cols>
          <w:pgMar w:left="300" w:top="881"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Cartesian Therapeutics, Inc. and Subsidiaries</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Consolidated Statements of Operations and Comprehensive Income (Loss)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(Amounts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40" w:type="dxa"/>
            <w:vAlign w:val="bottom"/>
            <w:gridSpan w:val="3"/>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gridSpan w:val="3"/>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1040" w:type="dxa"/>
            <w:vAlign w:val="bottom"/>
          </w:tcPr>
          <w:p>
            <w:pPr>
              <w:spacing w:after="0"/>
              <w:rPr>
                <w:sz w:val="10"/>
                <w:szCs w:val="10"/>
                <w:color w:val="auto"/>
              </w:rPr>
            </w:pPr>
          </w:p>
        </w:tc>
      </w:tr>
      <w:tr>
        <w:trPr>
          <w:trHeight w:val="125"/>
        </w:trPr>
        <w:tc>
          <w:tcPr>
            <w:tcW w:w="4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40" w:type="dxa"/>
            <w:vAlign w:val="bottom"/>
            <w:gridSpan w:val="3"/>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gridSpan w:val="3"/>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040" w:type="dxa"/>
            <w:vAlign w:val="bottom"/>
          </w:tcPr>
          <w:p>
            <w:pPr>
              <w:spacing w:after="0"/>
              <w:rPr>
                <w:sz w:val="10"/>
                <w:szCs w:val="10"/>
                <w:color w:val="auto"/>
              </w:rPr>
            </w:pPr>
          </w:p>
        </w:tc>
      </w:tr>
      <w:tr>
        <w:trPr>
          <w:trHeight w:val="134"/>
        </w:trPr>
        <w:tc>
          <w:tcPr>
            <w:tcW w:w="46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3"/>
        </w:trPr>
        <w:tc>
          <w:tcPr>
            <w:tcW w:w="4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60" w:type="dxa"/>
            <w:vAlign w:val="bottom"/>
            <w:gridSpan w:val="3"/>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81"/>
        </w:trPr>
        <w:tc>
          <w:tcPr>
            <w:tcW w:w="4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35"/>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Revenue:</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29"/>
        </w:trPr>
        <w:tc>
          <w:tcPr>
            <w:tcW w:w="4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Collaboration and license revenue</w:t>
            </w:r>
          </w:p>
        </w:tc>
        <w:tc>
          <w:tcPr>
            <w:tcW w:w="400" w:type="dxa"/>
            <w:vAlign w:val="bottom"/>
          </w:tcPr>
          <w:p>
            <w:pPr>
              <w:jc w:val="right"/>
              <w:ind w:right="29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33,271</w:t>
            </w:r>
          </w:p>
        </w:tc>
        <w:tc>
          <w:tcPr>
            <w:tcW w:w="80" w:type="dxa"/>
            <w:vAlign w:val="bottom"/>
          </w:tcPr>
          <w:p>
            <w:pPr>
              <w:spacing w:after="0"/>
              <w:rPr>
                <w:sz w:val="11"/>
                <w:szCs w:val="11"/>
                <w:color w:val="auto"/>
              </w:rPr>
            </w:pPr>
          </w:p>
        </w:tc>
        <w:tc>
          <w:tcPr>
            <w:tcW w:w="580" w:type="dxa"/>
            <w:vAlign w:val="bottom"/>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5,249</w:t>
            </w:r>
          </w:p>
        </w:tc>
        <w:tc>
          <w:tcPr>
            <w:tcW w:w="80" w:type="dxa"/>
            <w:vAlign w:val="bottom"/>
          </w:tcPr>
          <w:p>
            <w:pPr>
              <w:spacing w:after="0"/>
              <w:rPr>
                <w:sz w:val="11"/>
                <w:szCs w:val="11"/>
                <w:color w:val="auto"/>
              </w:rPr>
            </w:pPr>
          </w:p>
        </w:tc>
        <w:tc>
          <w:tcPr>
            <w:tcW w:w="3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39,111</w:t>
            </w:r>
          </w:p>
        </w:tc>
        <w:tc>
          <w:tcPr>
            <w:tcW w:w="80" w:type="dxa"/>
            <w:vAlign w:val="bottom"/>
          </w:tcPr>
          <w:p>
            <w:pPr>
              <w:spacing w:after="0"/>
              <w:rPr>
                <w:sz w:val="11"/>
                <w:szCs w:val="11"/>
                <w:color w:val="auto"/>
              </w:rPr>
            </w:pPr>
          </w:p>
        </w:tc>
        <w:tc>
          <w:tcPr>
            <w:tcW w:w="50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11,187</w:t>
            </w:r>
          </w:p>
        </w:tc>
      </w:tr>
      <w:tr>
        <w:trPr>
          <w:trHeight w:val="141"/>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Grant revenue</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8"/>
        </w:trPr>
        <w:tc>
          <w:tcPr>
            <w:tcW w:w="46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Total revenue</w:t>
            </w:r>
          </w:p>
        </w:tc>
        <w:tc>
          <w:tcPr>
            <w:tcW w:w="4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33,445</w:t>
            </w: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5,249</w:t>
            </w:r>
          </w:p>
        </w:tc>
        <w:tc>
          <w:tcPr>
            <w:tcW w:w="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39,285</w:t>
            </w: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11,187</w:t>
            </w:r>
          </w:p>
        </w:tc>
      </w:tr>
      <w:tr>
        <w:trPr>
          <w:trHeight w:val="14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Operating expenses:</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29"/>
        </w:trPr>
        <w:tc>
          <w:tcPr>
            <w:tcW w:w="4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Research and development</w:t>
            </w:r>
          </w:p>
        </w:tc>
        <w:tc>
          <w:tcPr>
            <w:tcW w:w="4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12,661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17,782</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22,399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36,406</w:t>
            </w:r>
          </w:p>
        </w:tc>
      </w:tr>
      <w:tr>
        <w:trPr>
          <w:trHeight w:val="141"/>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4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7,027</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6,105</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16,477</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11,800</w:t>
            </w:r>
          </w:p>
        </w:tc>
      </w:tr>
      <w:tr>
        <w:trPr>
          <w:trHeight w:val="118"/>
        </w:trPr>
        <w:tc>
          <w:tcPr>
            <w:tcW w:w="460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Total operating expenses</w:t>
            </w: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19,688</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23,887</w:t>
            </w: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38,876</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48,206</w:t>
            </w:r>
          </w:p>
        </w:tc>
      </w:tr>
      <w:tr>
        <w:trPr>
          <w:trHeight w:val="130"/>
        </w:trPr>
        <w:tc>
          <w:tcPr>
            <w:tcW w:w="46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Operating income (loss)</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13,757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(18,638)</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(37,019)</w:t>
            </w:r>
          </w:p>
        </w:tc>
      </w:tr>
      <w:tr>
        <w:trPr>
          <w:trHeight w:val="129"/>
        </w:trPr>
        <w:tc>
          <w:tcPr>
            <w:tcW w:w="4600" w:type="dxa"/>
            <w:vAlign w:val="bottom"/>
          </w:tcPr>
          <w:p>
            <w:pPr>
              <w:spacing w:after="0"/>
              <w:rPr>
                <w:sz w:val="20"/>
                <w:szCs w:val="20"/>
                <w:color w:val="auto"/>
              </w:rPr>
            </w:pPr>
            <w:r>
              <w:rPr>
                <w:rFonts w:ascii="Times New Roman" w:cs="Times New Roman" w:eastAsia="Times New Roman" w:hAnsi="Times New Roman"/>
                <w:sz w:val="10"/>
                <w:szCs w:val="10"/>
                <w:color w:val="auto"/>
              </w:rPr>
              <w:t>Investment income</w:t>
            </w:r>
          </w:p>
        </w:tc>
        <w:tc>
          <w:tcPr>
            <w:tcW w:w="4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2,725</w:t>
            </w:r>
          </w:p>
        </w:tc>
      </w:tr>
      <w:tr>
        <w:trPr>
          <w:trHeight w:val="14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Foreign currency transaction, net</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w:t>
            </w:r>
          </w:p>
        </w:tc>
      </w:tr>
      <w:tr>
        <w:trPr>
          <w:trHeight w:val="129"/>
        </w:trPr>
        <w:tc>
          <w:tcPr>
            <w:tcW w:w="460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400" w:type="dxa"/>
            <w:vAlign w:val="bottom"/>
          </w:tcPr>
          <w:p>
            <w:pPr>
              <w:spacing w:after="0"/>
              <w:rPr>
                <w:sz w:val="11"/>
                <w:szCs w:val="1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(752)</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(1,560)</w:t>
            </w:r>
          </w:p>
        </w:tc>
      </w:tr>
      <w:tr>
        <w:trPr>
          <w:trHeight w:val="14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 in fair value of warrant liabilities</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(3,908)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6,341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(2,866)</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2,262</w:t>
            </w:r>
          </w:p>
        </w:tc>
      </w:tr>
      <w:tr>
        <w:trPr>
          <w:trHeight w:val="129"/>
        </w:trPr>
        <w:tc>
          <w:tcPr>
            <w:tcW w:w="4600" w:type="dxa"/>
            <w:vAlign w:val="bottom"/>
          </w:tcPr>
          <w:p>
            <w:pPr>
              <w:spacing w:after="0"/>
              <w:rPr>
                <w:sz w:val="20"/>
                <w:szCs w:val="20"/>
                <w:color w:val="auto"/>
              </w:rPr>
            </w:pPr>
            <w:r>
              <w:rPr>
                <w:rFonts w:ascii="Times New Roman" w:cs="Times New Roman" w:eastAsia="Times New Roman" w:hAnsi="Times New Roman"/>
                <w:sz w:val="10"/>
                <w:szCs w:val="10"/>
                <w:color w:val="auto"/>
              </w:rPr>
              <w:t>Change in fair value of contingent value right liability</w:t>
            </w:r>
          </w:p>
        </w:tc>
        <w:tc>
          <w:tcPr>
            <w:tcW w:w="4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(36,800)</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 in fair value of forward contract liabilities</w:t>
            </w:r>
          </w:p>
        </w:tc>
        <w:tc>
          <w:tcPr>
            <w:tcW w:w="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(6,890)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Other income, net</w:t>
            </w: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292</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245</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w:t>
            </w:r>
          </w:p>
        </w:tc>
      </w:tr>
      <w:tr>
        <w:trPr>
          <w:trHeight w:val="124"/>
        </w:trPr>
        <w:tc>
          <w:tcPr>
            <w:tcW w:w="46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13,836</w:t>
            </w:r>
          </w:p>
        </w:tc>
        <w:tc>
          <w:tcPr>
            <w:tcW w:w="8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(11,387)</w:t>
            </w:r>
          </w:p>
        </w:tc>
        <w:tc>
          <w:tcPr>
            <w:tcW w:w="8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(42,988)</w:t>
            </w:r>
          </w:p>
        </w:tc>
        <w:tc>
          <w:tcPr>
            <w:tcW w:w="8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(33,050)</w:t>
            </w:r>
          </w:p>
        </w:tc>
      </w:tr>
      <w:tr>
        <w:trPr>
          <w:trHeight w:val="157"/>
        </w:trPr>
        <w:tc>
          <w:tcPr>
            <w:tcW w:w="4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35"/>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 (loss):</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29"/>
        </w:trPr>
        <w:tc>
          <w:tcPr>
            <w:tcW w:w="4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4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w:t>
            </w:r>
          </w:p>
        </w:tc>
      </w:tr>
      <w:tr>
        <w:trPr>
          <w:trHeight w:val="13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Unrealized gain on marketable securities</w:t>
            </w:r>
          </w:p>
        </w:tc>
        <w:tc>
          <w:tcPr>
            <w:tcW w:w="4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r>
      <w:tr>
        <w:trPr>
          <w:trHeight w:val="146"/>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Total comprehensive income (loss)</w:t>
            </w:r>
          </w:p>
        </w:tc>
        <w:tc>
          <w:tcPr>
            <w:tcW w:w="4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13,850</w:t>
            </w:r>
          </w:p>
        </w:tc>
        <w:tc>
          <w:tcPr>
            <w:tcW w:w="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(11,414)</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(42,979)</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(33,088)</w:t>
            </w:r>
          </w:p>
        </w:tc>
      </w:tr>
      <w:tr>
        <w:trPr>
          <w:trHeight w:val="153"/>
        </w:trPr>
        <w:tc>
          <w:tcPr>
            <w:tcW w:w="4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29"/>
        </w:trPr>
        <w:tc>
          <w:tcPr>
            <w:tcW w:w="4600" w:type="dxa"/>
            <w:vAlign w:val="bottom"/>
          </w:tcPr>
          <w:p>
            <w:pPr>
              <w:spacing w:after="0"/>
              <w:rPr>
                <w:sz w:val="20"/>
                <w:szCs w:val="20"/>
                <w:color w:val="auto"/>
              </w:rPr>
            </w:pPr>
            <w:r>
              <w:rPr>
                <w:rFonts w:ascii="Times New Roman" w:cs="Times New Roman" w:eastAsia="Times New Roman" w:hAnsi="Times New Roman"/>
                <w:sz w:val="10"/>
                <w:szCs w:val="10"/>
                <w:color w:val="auto"/>
              </w:rPr>
              <w:t>Net income (loss) per share allocable to common stockholders:</w:t>
            </w: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57"/>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Basic</w:t>
            </w: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0.58</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(3.88)</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(6.46)</w:t>
            </w:r>
          </w:p>
        </w:tc>
      </w:tr>
      <w:tr>
        <w:trPr>
          <w:trHeight w:val="151"/>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Diluted</w:t>
            </w:r>
          </w:p>
        </w:tc>
        <w:tc>
          <w:tcPr>
            <w:tcW w:w="4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0.54</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(3.88)</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(6.46)</w:t>
            </w:r>
          </w:p>
        </w:tc>
      </w:tr>
      <w:tr>
        <w:trPr>
          <w:trHeight w:val="117"/>
        </w:trPr>
        <w:tc>
          <w:tcPr>
            <w:tcW w:w="46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Weighted-average common shares outstanding:</w:t>
            </w: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51"/>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Basic</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16,723,479</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5,114,747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11,068,749</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5,113,213</w:t>
            </w:r>
          </w:p>
        </w:tc>
      </w:tr>
      <w:tr>
        <w:trPr>
          <w:trHeight w:val="151"/>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Diluted</w:t>
            </w: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17,791,143</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5,114,747</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11,068,749</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5,113,213</w:t>
            </w:r>
          </w:p>
        </w:tc>
      </w:tr>
    </w:tbl>
    <w:p>
      <w:pPr>
        <w:sectPr>
          <w:pgSz w:w="11900" w:h="16838" w:orient="portrait"/>
          <w:cols w:equalWidth="0" w:num="1">
            <w:col w:w="11280"/>
          </w:cols>
          <w:pgMar w:left="300" w:top="881" w:right="319" w:bottom="1440" w:gutter="0" w:footer="0" w:header="0"/>
        </w:sectPr>
      </w:pPr>
    </w:p>
    <w:bookmarkStart w:id="9" w:name="page10"/>
    <w:bookmarkEnd w:id="9"/>
    <w:p>
      <w:pPr>
        <w:spacing w:after="0"/>
        <w:rPr>
          <w:sz w:val="20"/>
          <w:szCs w:val="20"/>
          <w:color w:val="auto"/>
        </w:rPr>
      </w:pPr>
      <w:r>
        <w:rPr>
          <w:rFonts w:ascii="Calibri" w:cs="Calibri" w:eastAsia="Calibri" w:hAnsi="Calibri"/>
          <w:sz w:val="13"/>
          <w:szCs w:val="13"/>
          <w:b w:val="1"/>
          <w:bCs w:val="1"/>
          <w:color w:val="auto"/>
        </w:rPr>
        <w:drawing>
          <wp:anchor simplePos="0" relativeHeight="251657728" behindDoc="1" locked="0" layoutInCell="0" allowOverlap="1">
            <wp:simplePos x="0" y="0"/>
            <wp:positionH relativeFrom="page">
              <wp:posOffset>6329045</wp:posOffset>
            </wp:positionH>
            <wp:positionV relativeFrom="page">
              <wp:posOffset>88900</wp:posOffset>
            </wp:positionV>
            <wp:extent cx="1034415" cy="314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34415" cy="314325"/>
                    </a:xfrm>
                    <a:prstGeom prst="rect">
                      <a:avLst/>
                    </a:prstGeom>
                    <a:noFill/>
                  </pic:spPr>
                </pic:pic>
              </a:graphicData>
            </a:graphic>
          </wp:anchor>
        </w:drawing>
        <w:t>Investor Contact</w:t>
      </w:r>
    </w:p>
    <w:p>
      <w:pPr>
        <w:spacing w:after="0" w:line="217" w:lineRule="auto"/>
        <w:rPr>
          <w:sz w:val="20"/>
          <w:szCs w:val="20"/>
          <w:color w:val="auto"/>
        </w:rPr>
      </w:pPr>
      <w:r>
        <w:rPr>
          <w:rFonts w:ascii="Calibri" w:cs="Calibri" w:eastAsia="Calibri" w:hAnsi="Calibri"/>
          <w:sz w:val="13"/>
          <w:szCs w:val="13"/>
          <w:color w:val="auto"/>
        </w:rPr>
        <w:t>Ron Moldaver</w:t>
      </w:r>
    </w:p>
    <w:p>
      <w:pPr>
        <w:spacing w:after="0" w:line="204" w:lineRule="auto"/>
        <w:rPr>
          <w:sz w:val="20"/>
          <w:szCs w:val="20"/>
          <w:color w:val="auto"/>
        </w:rPr>
      </w:pPr>
      <w:r>
        <w:rPr>
          <w:rFonts w:ascii="Calibri" w:cs="Calibri" w:eastAsia="Calibri" w:hAnsi="Calibri"/>
          <w:sz w:val="13"/>
          <w:szCs w:val="13"/>
          <w:color w:val="auto"/>
        </w:rPr>
        <w:t>Senior Director, Investor Relatons &amp; Business Development</w:t>
      </w:r>
    </w:p>
    <w:p>
      <w:pPr>
        <w:spacing w:after="0" w:line="218" w:lineRule="auto"/>
        <w:rPr>
          <w:sz w:val="20"/>
          <w:szCs w:val="20"/>
          <w:color w:val="auto"/>
        </w:rPr>
      </w:pPr>
      <w:r>
        <w:rPr>
          <w:rFonts w:ascii="Calibri" w:cs="Calibri" w:eastAsia="Calibri" w:hAnsi="Calibri"/>
          <w:sz w:val="13"/>
          <w:szCs w:val="13"/>
          <w:color w:val="auto"/>
        </w:rPr>
        <w:t>ron.moldaver@cartesiantx.com</w:t>
      </w:r>
    </w:p>
    <w:p>
      <w:pPr>
        <w:spacing w:after="0" w:line="310"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Media Contact</w:t>
      </w:r>
    </w:p>
    <w:p>
      <w:pPr>
        <w:spacing w:after="0" w:line="204" w:lineRule="auto"/>
        <w:rPr>
          <w:sz w:val="20"/>
          <w:szCs w:val="20"/>
          <w:color w:val="auto"/>
        </w:rPr>
      </w:pPr>
      <w:r>
        <w:rPr>
          <w:rFonts w:ascii="Calibri" w:cs="Calibri" w:eastAsia="Calibri" w:hAnsi="Calibri"/>
          <w:sz w:val="13"/>
          <w:szCs w:val="13"/>
          <w:color w:val="auto"/>
        </w:rPr>
        <w:t>David Rosen</w:t>
      </w:r>
    </w:p>
    <w:p>
      <w:pPr>
        <w:spacing w:after="0" w:line="217" w:lineRule="auto"/>
        <w:rPr>
          <w:sz w:val="20"/>
          <w:szCs w:val="20"/>
          <w:color w:val="auto"/>
        </w:rPr>
      </w:pPr>
      <w:r>
        <w:rPr>
          <w:rFonts w:ascii="Calibri" w:cs="Calibri" w:eastAsia="Calibri" w:hAnsi="Calibri"/>
          <w:sz w:val="13"/>
          <w:szCs w:val="13"/>
          <w:color w:val="auto"/>
        </w:rPr>
        <w:t>Argot Partners</w:t>
      </w:r>
    </w:p>
    <w:p>
      <w:pPr>
        <w:spacing w:after="0" w:line="218" w:lineRule="auto"/>
        <w:rPr>
          <w:sz w:val="20"/>
          <w:szCs w:val="20"/>
          <w:color w:val="auto"/>
        </w:rPr>
      </w:pPr>
      <w:r>
        <w:rPr>
          <w:rFonts w:ascii="Calibri" w:cs="Calibri" w:eastAsia="Calibri" w:hAnsi="Calibri"/>
          <w:sz w:val="13"/>
          <w:szCs w:val="13"/>
          <w:color w:val="auto"/>
        </w:rPr>
        <w:t>david.rosen@argotpartners.com</w:t>
      </w:r>
    </w:p>
    <w:p>
      <w:pPr>
        <w:sectPr>
          <w:pgSz w:w="11900" w:h="16838" w:orient="portrait"/>
          <w:cols w:equalWidth="0" w:num="1">
            <w:col w:w="10159"/>
          </w:cols>
          <w:pgMar w:left="300" w:top="868" w:right="1440" w:bottom="1440" w:gutter="0" w:footer="0" w:header="0"/>
        </w:sectPr>
      </w:pPr>
    </w:p>
    <w:bookmarkStart w:id="10" w:name="page11"/>
    <w:bookmarkEnd w:id="10"/>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1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5"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14" Type="http://schemas.openxmlformats.org/officeDocument/2006/relationships/hyperlink" Target="https://www.sec.gov/Archives/edgar/data/0001453687/000114036124032080/ef20031962_ex99-2.htm" TargetMode="External"/><Relationship Id="rId16" Type="http://schemas.openxmlformats.org/officeDocument/2006/relationships/hyperlink" Target="https://www.sec.gov/Archives/edgar/data/0001453687/000114036124032080/ef20031962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2024-08-08T06:15:31Z</dcterms:created>
  <dcterms:modified xsi:type="dcterms:W3CDTF">2024-08-08T06:15:31Z</dcterms:modified>
</cp:coreProperties>
</file>