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8,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November 8, 2019, Selecta Biosciences, Inc. announced its financial results for the quarter ended September 30, 2019. The full text of the press release issued in connection with the announcement is furnished as Exhibit 99.1 to this Current Report and on Form 8-K.</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4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November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1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4942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94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Third Quarter 2019 Financial Results and Provides Corporate Update</w:t>
      </w:r>
    </w:p>
    <w:p>
      <w:pPr>
        <w:spacing w:after="0" w:line="384" w:lineRule="exact"/>
        <w:rPr>
          <w:sz w:val="20"/>
          <w:szCs w:val="20"/>
          <w:color w:val="auto"/>
        </w:rPr>
      </w:pPr>
    </w:p>
    <w:p>
      <w:pPr>
        <w:ind w:left="660" w:right="120" w:hanging="328"/>
        <w:spacing w:after="0" w:line="386" w:lineRule="auto"/>
        <w:tabs>
          <w:tab w:leader="none" w:pos="660" w:val="left"/>
        </w:tabs>
        <w:numPr>
          <w:ilvl w:val="0"/>
          <w:numId w:val="2"/>
        </w:numPr>
        <w:rPr>
          <w:rFonts w:ascii="Arial" w:cs="Arial" w:eastAsia="Arial" w:hAnsi="Arial"/>
          <w:sz w:val="15"/>
          <w:szCs w:val="15"/>
          <w:i w:val="1"/>
          <w:iCs w:val="1"/>
          <w:color w:val="auto"/>
        </w:rPr>
      </w:pPr>
      <w:r>
        <w:rPr>
          <w:rFonts w:ascii="Arial" w:cs="Arial" w:eastAsia="Arial" w:hAnsi="Arial"/>
          <w:sz w:val="16"/>
          <w:szCs w:val="16"/>
          <w:i w:val="1"/>
          <w:iCs w:val="1"/>
          <w:color w:val="auto"/>
        </w:rPr>
        <w:t>Compelling preclinical data presented at the European Society of Gene and Cell Therapy Annual Congress demonstrates the potential for redosing in AAV-mediated gene therapy; announced strategic partnership with AskBio and expect to enter the clinic in 2020</w:t>
      </w:r>
    </w:p>
    <w:p>
      <w:pPr>
        <w:spacing w:after="0" w:line="29" w:lineRule="exact"/>
        <w:rPr>
          <w:rFonts w:ascii="Arial" w:cs="Arial" w:eastAsia="Arial" w:hAnsi="Arial"/>
          <w:sz w:val="15"/>
          <w:szCs w:val="15"/>
          <w:i w:val="1"/>
          <w:iCs w:val="1"/>
          <w:color w:val="auto"/>
        </w:rPr>
      </w:pPr>
    </w:p>
    <w:p>
      <w:pPr>
        <w:ind w:left="660" w:right="18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COMPARE head-to-head trial of SEL-212 in chronic refractory gout expected to be fully enrolled by the end of 2019; confirmed FDA meeting in January 2020 regarding Phase 3 clinical development plan</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Raised $5.7 million in net proceeds in a private placement with participation from the management team and board of directors</w:t>
      </w:r>
    </w:p>
    <w:p>
      <w:pPr>
        <w:spacing w:after="0" w:line="173" w:lineRule="exact"/>
        <w:rPr>
          <w:rFonts w:ascii="Arial" w:cs="Arial" w:eastAsia="Arial" w:hAnsi="Arial"/>
          <w:sz w:val="19"/>
          <w:szCs w:val="19"/>
          <w:i w:val="1"/>
          <w:iCs w:val="1"/>
          <w:color w:val="auto"/>
        </w:rPr>
      </w:pPr>
    </w:p>
    <w:p>
      <w:pPr>
        <w:ind w:left="660" w:right="40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management team with appointments of Alison D. Schecter, M.D. as Chief Medical Officer and Brad Dahms as Chief Financial Officer</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 xml:space="preserve">Watertown, Mass., Nov. 8,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biotechnology company focused on unlocking</w:t>
      </w:r>
      <w:r>
        <w:rPr>
          <w:rFonts w:ascii="Arial" w:cs="Arial" w:eastAsia="Arial" w:hAnsi="Arial"/>
          <w:sz w:val="20"/>
          <w:szCs w:val="20"/>
          <w:b w:val="1"/>
          <w:bCs w:val="1"/>
          <w:color w:val="auto"/>
        </w:rPr>
        <w:t xml:space="preserve"> </w:t>
      </w:r>
      <w:r>
        <w:rPr>
          <w:rFonts w:ascii="Arial" w:cs="Arial" w:eastAsia="Arial" w:hAnsi="Arial"/>
          <w:sz w:val="20"/>
          <w:szCs w:val="20"/>
          <w:color w:val="auto"/>
        </w:rPr>
        <w:t>the full potential of biologic therapies based on its immune tolerance platform technology, ImmTOR™, today reported financial results for the third quarter ended September 30, 2019 and provided a corporate update.</w:t>
      </w:r>
    </w:p>
    <w:p>
      <w:pPr>
        <w:spacing w:after="0" w:line="184" w:lineRule="exact"/>
        <w:rPr>
          <w:sz w:val="20"/>
          <w:szCs w:val="20"/>
          <w:color w:val="auto"/>
        </w:rPr>
      </w:pPr>
    </w:p>
    <w:p>
      <w:pPr>
        <w:jc w:val="both"/>
        <w:ind w:right="80"/>
        <w:spacing w:after="0" w:line="276" w:lineRule="auto"/>
        <w:rPr>
          <w:sz w:val="20"/>
          <w:szCs w:val="20"/>
          <w:color w:val="auto"/>
        </w:rPr>
      </w:pPr>
      <w:r>
        <w:rPr>
          <w:rFonts w:ascii="Arial" w:cs="Arial" w:eastAsia="Arial" w:hAnsi="Arial"/>
          <w:sz w:val="18"/>
          <w:szCs w:val="18"/>
          <w:color w:val="auto"/>
        </w:rPr>
        <w:t>“We have made significant strides this quarter to advance the ImmTOR platform across its potential indications. Preclinical data from our gene therapy program presented at ESGCT demonstrates that ImmTOR prevents the formation of adenoviral vector-induced neutralizing antibodies and has the potential to enable re-administration of therapeutic AAV vectors,” said Carsten Brunn, Ph.D., President and CEO of Selecta. “This quarter, we partnered with AskBio, proven leaders in next-generation gene therapy development and scalable manufacturing, to accelerate the innovation of gene therapy medicines. Our chronic refractory gout program continues to advance, and we expect to complete enrollment in our head-to-head COMPARE trial by the end of 2019. We have also strengthened our management team with two recent C-suite additions.”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216"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Compelling Preclinical Gene Therapy Data Presented at the European Society of Gene and Cell Therapy (ESGCT): </w:t>
      </w:r>
      <w:r>
        <w:rPr>
          <w:rFonts w:ascii="Arial" w:cs="Arial" w:eastAsia="Arial" w:hAnsi="Arial"/>
          <w:sz w:val="18"/>
          <w:szCs w:val="18"/>
          <w:color w:val="auto"/>
        </w:rPr>
        <w:t>Data from</w:t>
      </w:r>
      <w:r>
        <w:rPr>
          <w:rFonts w:ascii="Arial" w:cs="Arial" w:eastAsia="Arial" w:hAnsi="Arial"/>
          <w:sz w:val="18"/>
          <w:szCs w:val="18"/>
          <w:b w:val="1"/>
          <w:bCs w:val="1"/>
          <w:color w:val="auto"/>
        </w:rPr>
        <w:t xml:space="preserve"> </w:t>
      </w:r>
      <w:r>
        <w:rPr>
          <w:rFonts w:ascii="Arial" w:cs="Arial" w:eastAsia="Arial" w:hAnsi="Arial"/>
          <w:sz w:val="18"/>
          <w:szCs w:val="18"/>
          <w:color w:val="auto"/>
        </w:rPr>
        <w:t>four preclinical studies were presented at the ESGCT Annual Congress in Barcelona, Spain. These studies highlight the ability of ImmTOR to address key challenges in gene therapy, specifically, the re-dosing limitations which stem from adaptive immune responses against the adeno-associated virus (AAV) capsid. These data demonstrate that ImmTOR enables repeat dosing and enhances first dose transgene expression up to four-fold compared to gene therapy with AAV vector alone. These conclusions support the advancement of the Company’s gene therapy pipeline, and Selecta looks forward to the clinical development of its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20"/>
          <w:szCs w:val="20"/>
          <w:color w:val="auto"/>
        </w:rPr>
        <w:t>lead gene therapy programs in Methylmalonic Acidemia (MMA) and Ornithine Transcarbamylase (OTC) deficiency.</w:t>
      </w:r>
    </w:p>
    <w:p>
      <w:pPr>
        <w:spacing w:after="0" w:line="223" w:lineRule="exact"/>
        <w:rPr>
          <w:sz w:val="20"/>
          <w:szCs w:val="20"/>
          <w:color w:val="auto"/>
        </w:rPr>
      </w:pPr>
    </w:p>
    <w:p>
      <w:pPr>
        <w:ind w:left="660" w:right="6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Announced Strategic Partnership with Gene Therapy Leader AskBio: </w:t>
      </w:r>
      <w:r>
        <w:rPr>
          <w:rFonts w:ascii="Arial" w:cs="Arial" w:eastAsia="Arial" w:hAnsi="Arial"/>
          <w:sz w:val="20"/>
          <w:szCs w:val="20"/>
          <w:color w:val="auto"/>
        </w:rPr>
        <w:t>In August 2019, Selecta announced a strategic partnership</w:t>
      </w:r>
      <w:r>
        <w:rPr>
          <w:rFonts w:ascii="Arial" w:cs="Arial" w:eastAsia="Arial" w:hAnsi="Arial"/>
          <w:sz w:val="20"/>
          <w:szCs w:val="20"/>
          <w:b w:val="1"/>
          <w:bCs w:val="1"/>
          <w:color w:val="auto"/>
        </w:rPr>
        <w:t xml:space="preserve"> </w:t>
      </w:r>
      <w:r>
        <w:rPr>
          <w:rFonts w:ascii="Arial" w:cs="Arial" w:eastAsia="Arial" w:hAnsi="Arial"/>
          <w:sz w:val="20"/>
          <w:szCs w:val="20"/>
          <w:color w:val="auto"/>
        </w:rPr>
        <w:t>with Asklepios BioPharmaceutical, Inc. (AskBio), to jointly develop, manufacture, and commercialize a broad portfolio of life-changing, next-generation AAV gene therapies. This partnership will leverage the unique proprietary technology platforms of both companies with a human proof of concept trial to validate this portfolio of products and their potential for re-dosing in patients. Selecta and AskBio anticipate entering the clinic in 2020.</w:t>
      </w:r>
    </w:p>
    <w:p>
      <w:pPr>
        <w:spacing w:after="0" w:line="198" w:lineRule="exact"/>
        <w:rPr>
          <w:rFonts w:ascii="Arial" w:cs="Arial" w:eastAsia="Arial" w:hAnsi="Arial"/>
          <w:sz w:val="18"/>
          <w:szCs w:val="18"/>
          <w:color w:val="auto"/>
        </w:rPr>
      </w:pPr>
    </w:p>
    <w:p>
      <w:pPr>
        <w:jc w:val="both"/>
        <w:ind w:left="660" w:right="60" w:hanging="328"/>
        <w:spacing w:after="0" w:line="346"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6"/>
          <w:szCs w:val="16"/>
          <w:b w:val="1"/>
          <w:bCs w:val="1"/>
          <w:color w:val="auto"/>
        </w:rPr>
        <w:t xml:space="preserve">New SEL-212 Data to be Presented at the American College of Rheumatology Annual Meeting: </w:t>
      </w:r>
      <w:r>
        <w:rPr>
          <w:rFonts w:ascii="Arial" w:cs="Arial" w:eastAsia="Arial" w:hAnsi="Arial"/>
          <w:sz w:val="16"/>
          <w:szCs w:val="16"/>
          <w:color w:val="auto"/>
        </w:rPr>
        <w:t>On November 11, three abstracts</w:t>
      </w:r>
      <w:r>
        <w:rPr>
          <w:rFonts w:ascii="Arial" w:cs="Arial" w:eastAsia="Arial" w:hAnsi="Arial"/>
          <w:sz w:val="16"/>
          <w:szCs w:val="16"/>
          <w:b w:val="1"/>
          <w:bCs w:val="1"/>
          <w:color w:val="auto"/>
        </w:rPr>
        <w:t xml:space="preserve"> </w:t>
      </w:r>
      <w:r>
        <w:rPr>
          <w:rFonts w:ascii="Arial" w:cs="Arial" w:eastAsia="Arial" w:hAnsi="Arial"/>
          <w:sz w:val="16"/>
          <w:szCs w:val="16"/>
          <w:color w:val="auto"/>
        </w:rPr>
        <w:t>of additional data from the Phase 2 dose-ranging study of SEL-212 will be presented at the American College of Rheumatology annual meeting. A press release detailing the results of these studies will be issued following the meeting’s embargo lift.</w:t>
      </w:r>
    </w:p>
    <w:p>
      <w:pPr>
        <w:spacing w:after="0" w:line="122" w:lineRule="exact"/>
        <w:rPr>
          <w:rFonts w:ascii="Arial" w:cs="Arial" w:eastAsia="Arial" w:hAnsi="Arial"/>
          <w:sz w:val="15"/>
          <w:szCs w:val="15"/>
          <w:color w:val="auto"/>
        </w:rPr>
      </w:pPr>
    </w:p>
    <w:p>
      <w:pPr>
        <w:ind w:left="660" w:right="20" w:hanging="328"/>
        <w:spacing w:after="0" w:line="25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COMPARE Clinical Trial Expected to be Fully Enrolled by End of 2019: </w:t>
      </w:r>
      <w:r>
        <w:rPr>
          <w:rFonts w:ascii="Arial" w:cs="Arial" w:eastAsia="Arial" w:hAnsi="Arial"/>
          <w:sz w:val="19"/>
          <w:szCs w:val="19"/>
          <w:color w:val="auto"/>
        </w:rPr>
        <w:t>The head-to-head COMPARE study of Selecta’s lead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candidate SEL-212 (ImmTOR + pegadricase) vs. pegloticase (KRYSTEXXA®) continues to enroll patients. The trial is evaluating a once-monthly dose of SEL-212 compared to pegloticase, with the primary endpoint of the maintenance of serum uric acid (SUA) levels of &lt;6mg/dL at six months. The COMPARE trial is built upon the Phase 2 dose-ranging study which showed that in the five monthly dose cohorts, SEL-212 maintained SUA levels below 6mg/dL in 66% of evaluable patients, and that only 35% of patients in these cohorts experienced flares in the first month. Selecta expects to report interim data from the COMPARE trial in the first quarter of 2020, with top-line statistical superiority data expected by mid-2020.</w:t>
      </w:r>
    </w:p>
    <w:p>
      <w:pPr>
        <w:spacing w:after="0" w:line="186" w:lineRule="exact"/>
        <w:rPr>
          <w:rFonts w:ascii="Arial" w:cs="Arial" w:eastAsia="Arial" w:hAnsi="Arial"/>
          <w:sz w:val="17"/>
          <w:szCs w:val="17"/>
          <w:color w:val="auto"/>
        </w:rPr>
      </w:pPr>
    </w:p>
    <w:p>
      <w:pPr>
        <w:jc w:val="both"/>
        <w:ind w:left="660" w:right="340" w:hanging="328"/>
        <w:spacing w:after="0" w:line="253"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Key Regulatory Update for SEL-212: </w:t>
      </w:r>
      <w:r>
        <w:rPr>
          <w:rFonts w:ascii="Arial" w:cs="Arial" w:eastAsia="Arial" w:hAnsi="Arial"/>
          <w:sz w:val="20"/>
          <w:szCs w:val="20"/>
          <w:color w:val="auto"/>
        </w:rPr>
        <w:t>The U.S. Food and Drug Administration (FDA) has granted Selecta a meeting to be held in</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2020, which is expected to inform the design of the Phase 3 clinical trial, and outline requirements for the Biologic License Application (BLA) filing for SEL-212.</w:t>
      </w:r>
    </w:p>
    <w:p>
      <w:pPr>
        <w:spacing w:after="0" w:line="191" w:lineRule="exact"/>
        <w:rPr>
          <w:rFonts w:ascii="Arial" w:cs="Arial" w:eastAsia="Arial" w:hAnsi="Arial"/>
          <w:sz w:val="20"/>
          <w:szCs w:val="20"/>
          <w:color w:val="auto"/>
        </w:rPr>
      </w:pPr>
    </w:p>
    <w:p>
      <w:pPr>
        <w:ind w:left="660" w:right="80" w:hanging="328"/>
        <w:spacing w:after="0" w:line="253"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Bolstered Balance Sheet with Private Equity Offering: </w:t>
      </w:r>
      <w:r>
        <w:rPr>
          <w:rFonts w:ascii="Arial" w:cs="Arial" w:eastAsia="Arial" w:hAnsi="Arial"/>
          <w:sz w:val="20"/>
          <w:szCs w:val="20"/>
          <w:color w:val="auto"/>
        </w:rPr>
        <w:t>In August 2019, Selecta announced it had raised net proceeds of</w:t>
      </w:r>
      <w:r>
        <w:rPr>
          <w:rFonts w:ascii="Arial" w:cs="Arial" w:eastAsia="Arial" w:hAnsi="Arial"/>
          <w:sz w:val="20"/>
          <w:szCs w:val="20"/>
          <w:b w:val="1"/>
          <w:bCs w:val="1"/>
          <w:color w:val="auto"/>
        </w:rPr>
        <w:t xml:space="preserve"> </w:t>
      </w:r>
      <w:r>
        <w:rPr>
          <w:rFonts w:ascii="Arial" w:cs="Arial" w:eastAsia="Arial" w:hAnsi="Arial"/>
          <w:sz w:val="20"/>
          <w:szCs w:val="20"/>
          <w:color w:val="auto"/>
        </w:rPr>
        <w:t>approximately $5.7 million in a private equity offering to primarily the management team and members of the board of directors of the Company.</w:t>
      </w:r>
    </w:p>
    <w:p>
      <w:pPr>
        <w:spacing w:after="0" w:line="191" w:lineRule="exact"/>
        <w:rPr>
          <w:rFonts w:ascii="Arial" w:cs="Arial" w:eastAsia="Arial" w:hAnsi="Arial"/>
          <w:sz w:val="20"/>
          <w:szCs w:val="20"/>
          <w:color w:val="auto"/>
        </w:rPr>
      </w:pPr>
    </w:p>
    <w:p>
      <w:pPr>
        <w:ind w:left="660" w:right="220" w:hanging="328"/>
        <w:spacing w:after="0" w:line="24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Strengthened Management Team: </w:t>
      </w:r>
      <w:r>
        <w:rPr>
          <w:rFonts w:ascii="Arial" w:cs="Arial" w:eastAsia="Arial" w:hAnsi="Arial"/>
          <w:sz w:val="20"/>
          <w:szCs w:val="20"/>
          <w:color w:val="auto"/>
        </w:rPr>
        <w:t>In the third quarter of 2019, Selecta announced the appointments of Dr. Alison D. Schecter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Medical Officer and Brad Dahms as Chief Financial Officer. Dr. Schecter brings more than 20 years of combined drug development, strategic management, and clinical experience in academia and industry. Mr. Dahms brings deep financial and strategic expertise from his experience as an investment banker for life sciences companies.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2019 Financial Results:</w:t>
      </w:r>
    </w:p>
    <w:p>
      <w:pPr>
        <w:spacing w:after="0" w:line="229" w:lineRule="exact"/>
        <w:rPr>
          <w:sz w:val="20"/>
          <w:szCs w:val="20"/>
          <w:color w:val="auto"/>
        </w:rPr>
      </w:pPr>
    </w:p>
    <w:p>
      <w:pPr>
        <w:ind w:left="660" w:right="220" w:hanging="328"/>
        <w:spacing w:after="0" w:line="29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Selecta had $35.9 million in cash, cash equivalents, and restricted cash as of September 30, 2019, which compares to</w:t>
      </w:r>
      <w:r>
        <w:rPr>
          <w:rFonts w:ascii="Arial" w:cs="Arial" w:eastAsia="Arial" w:hAnsi="Arial"/>
          <w:sz w:val="19"/>
          <w:szCs w:val="19"/>
          <w:b w:val="1"/>
          <w:bCs w:val="1"/>
          <w:color w:val="auto"/>
        </w:rPr>
        <w:t xml:space="preserve"> </w:t>
      </w:r>
      <w:r>
        <w:rPr>
          <w:rFonts w:ascii="Arial" w:cs="Arial" w:eastAsia="Arial" w:hAnsi="Arial"/>
          <w:sz w:val="19"/>
          <w:szCs w:val="19"/>
          <w:color w:val="auto"/>
        </w:rPr>
        <w:t>cash, cash equivalents, restricted cash and short-term investments of $42.0 million as of June 30, 2019.</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5" w:name="page6"/>
    <w:bookmarkEnd w:id="5"/>
    <w:p>
      <w:pPr>
        <w:ind w:left="660" w:right="20" w:hanging="328"/>
        <w:spacing w:after="0" w:line="28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third quarter ended September 30, 2019 were $8.1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which compares with $11.9 million for the third quarter of 2018, a 32% decrease compared to the same period in 2018. The decrease reflects the timing of expenses recognized for Selecta's head-to-head COMPARE study, in addition to reduced salaries and benefits resulting from the headcount reduction in early 2019 and the completion of work on prior programs.</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for the third quarter ended September 30, 2019 were</w:t>
      </w:r>
    </w:p>
    <w:p>
      <w:pPr>
        <w:spacing w:after="0" w:line="44" w:lineRule="exact"/>
        <w:rPr>
          <w:rFonts w:ascii="Arial" w:cs="Arial" w:eastAsia="Arial" w:hAnsi="Arial"/>
          <w:sz w:val="16"/>
          <w:szCs w:val="16"/>
          <w:color w:val="auto"/>
        </w:rPr>
      </w:pPr>
    </w:p>
    <w:p>
      <w:pPr>
        <w:ind w:left="660" w:right="100"/>
        <w:spacing w:after="0" w:line="244" w:lineRule="auto"/>
        <w:rPr>
          <w:rFonts w:ascii="Arial" w:cs="Arial" w:eastAsia="Arial" w:hAnsi="Arial"/>
          <w:sz w:val="16"/>
          <w:szCs w:val="16"/>
          <w:color w:val="auto"/>
        </w:rPr>
      </w:pPr>
      <w:r>
        <w:rPr>
          <w:rFonts w:ascii="Arial" w:cs="Arial" w:eastAsia="Arial" w:hAnsi="Arial"/>
          <w:sz w:val="20"/>
          <w:szCs w:val="20"/>
          <w:color w:val="auto"/>
        </w:rPr>
        <w:t>$3.7 million, which compares with $4.1 million for the third quarter of 2018, a 9% decrease compared to the same period in 2018. The reduction in costs was primarily the result of reduced legal fees and professional fees.</w:t>
      </w:r>
    </w:p>
    <w:p>
      <w:pPr>
        <w:spacing w:after="0" w:line="199" w:lineRule="exact"/>
        <w:rPr>
          <w:rFonts w:ascii="Arial" w:cs="Arial" w:eastAsia="Arial" w:hAnsi="Arial"/>
          <w:sz w:val="16"/>
          <w:szCs w:val="16"/>
          <w:color w:val="auto"/>
        </w:rPr>
      </w:pPr>
    </w:p>
    <w:p>
      <w:pPr>
        <w:ind w:left="660" w:right="6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third quarter ended September 30, 2019, Selecta reported a net loss of $12.0 million, or $0.26 per share,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a net loss of $16.0 million, or $0.71 per share, for the same period in 2018.</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23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Selecta believes its available cash, cash equivalents, and restricted cash will be sufficient to meet its operating requirements through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Selecta management will host a conference call at 8:30 AM ET today to provide a corporate update and review the company’s third quarter 2019 financial results. Investors and the public can access a live and archived webcast of this call via the Investors &amp; Media section of the company’s website, http://selectabio.com. Individuals may also participate in the live call via telephone by dialing (844) 845-4170 (domestic) or (412) 717-9621 (international) and may access a teleconference replay for one week by dialing (877) 344-7529 (domestic) or (412) 317-0088 (international) and using confirmation code 10127460.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w:t>
      </w:r>
      <w:r>
        <w:rPr>
          <w:rFonts w:ascii="Arial" w:cs="Arial" w:eastAsia="Arial" w:hAnsi="Arial"/>
          <w:sz w:val="20"/>
          <w:szCs w:val="20"/>
          <w:u w:val="single" w:color="auto"/>
          <w:color w:val="0000FF"/>
        </w:rPr>
        <w:t>http://selectabio.com</w:t>
      </w:r>
      <w:r>
        <w:rPr>
          <w:rFonts w:ascii="Arial" w:cs="Arial" w:eastAsia="Arial" w:hAnsi="Arial"/>
          <w:sz w:val="20"/>
          <w:szCs w:val="20"/>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progress of the clinical development of SEL-212, expectations surrounding the enrollment and design of the Phase 2 head-to-head (COMPARE) clinical trial comparing SEL-212 and Krystexxa, timing of related data</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2" w:right="239" w:bottom="1440" w:gutter="0" w:footer="0" w:header="0"/>
        </w:sectPr>
      </w:pPr>
    </w:p>
    <w:bookmarkStart w:id="6" w:name="page7"/>
    <w:bookmarkEnd w:id="6"/>
    <w:p>
      <w:pPr>
        <w:ind w:right="20"/>
        <w:spacing w:after="0" w:line="267" w:lineRule="auto"/>
        <w:rPr>
          <w:sz w:val="20"/>
          <w:szCs w:val="20"/>
          <w:color w:val="auto"/>
        </w:rPr>
      </w:pPr>
      <w:r>
        <w:rPr>
          <w:rFonts w:ascii="Arial" w:cs="Arial" w:eastAsia="Arial" w:hAnsi="Arial"/>
          <w:sz w:val="18"/>
          <w:szCs w:val="18"/>
          <w:i w:val="1"/>
          <w:iCs w:val="1"/>
          <w:color w:val="auto"/>
        </w:rPr>
        <w:t>readouts and the ability of the COMPARE results to inform the planned Phase 3 clinical trial of SEL-212, the anticipated timing of the planned Phase 3 clinical trial, whether the head-to-head trial with Krystexxa will demonstrate superiority, the unique proprietary technology platform of the company and the unique proprietary platform of its partners, the potential of ImmTOR to enable re-dosing of AAV gene therapy and the anticipated timing of preclinical toxicology studies in collaboration with CureCN and initiation of a clinical trial related thereto, CureCN’s abilities and timeliness in obtaining advice from the German drug regulatory authority, the potential of SEL-212 to fulfill unmet needs in chronic refractory gout patients including sustained SUA reduction, reduced flares, and once monthly dosing, the company’s commercial plans, the ability of the company’s ImmTOR platform, including SEL-212, to unlock the full potential of biologic therapies, the potential of SEL-212 to treat chronic refractory gout patients and resolve their debilitating symptoms, the potential treatment applications for product candidates utilizing the ImmTOR platform in areas such as enzyme therapy and gene therapy, the ability of the ImmTOR platform to enhance transgene expression, the ability of the Company and AskBio to develop gene therapy products using ImmTOR and AskBio’s core technology, the novelty of treatment paradigms that the Company and AskBio are able to develop, the potential of any therapies developed by the Company and AskBio to fulfill unmet medical needs, the company’s plan to apply its ImmTOR technology platform to a range of biologics for rare and serious diseases, the potential of the company’s two gene therapy product candidates to enable repeat administration, the Company’s ability to re-dose patients and the potential of ImmTOR to allow for re-dosing, the potential of the ImmTOR technology platform generally and the company’s ability to grow its strategic partnerships, the Company’s plans to present at the American College of Rheumatology Annual Meeting,the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management’s ability to perform as expected,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34,513</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7"/>
                <w:szCs w:val="17"/>
                <w:color w:val="auto"/>
              </w:rPr>
            </w:pP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5"/>
                <w:szCs w:val="15"/>
                <w:color w:val="auto"/>
              </w:rPr>
            </w:pP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36,119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42,076</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7"/>
                <w:szCs w:val="17"/>
                <w:color w:val="auto"/>
              </w:rPr>
            </w:pP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Right of Use Asset, net</w:t>
            </w:r>
          </w:p>
        </w:tc>
        <w:tc>
          <w:tcPr>
            <w:tcW w:w="240" w:type="dxa"/>
            <w:vAlign w:val="bottom"/>
          </w:tcPr>
          <w:p>
            <w:pPr>
              <w:spacing w:after="0"/>
              <w:rPr>
                <w:sz w:val="17"/>
                <w:szCs w:val="17"/>
                <w:color w:val="auto"/>
              </w:rPr>
            </w:pP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240" w:type="dxa"/>
            <w:vAlign w:val="bottom"/>
          </w:tcPr>
          <w:p>
            <w:pPr>
              <w:spacing w:after="0"/>
              <w:rPr>
                <w:sz w:val="17"/>
                <w:szCs w:val="17"/>
                <w:color w:val="auto"/>
              </w:rPr>
            </w:pP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Total assets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39,544</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7620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-95885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ectPr>
          <w:pgSz w:w="11900" w:h="16838" w:orient="portrait"/>
          <w:cols w:equalWidth="0" w:num="1">
            <w:col w:w="11380"/>
          </w:cols>
          <w:pgMar w:left="280" w:top="850"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Loan payable,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Lease liability,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Deferred revenue, current portion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105"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1,100</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5,316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11,700</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20,927</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21,385</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29,478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35,144</w:t>
            </w:r>
          </w:p>
        </w:tc>
      </w:tr>
    </w:tbl>
    <w:p>
      <w:pPr>
        <w:spacing w:after="0" w:line="290" w:lineRule="exact"/>
        <w:rPr>
          <w:sz w:val="20"/>
          <w:szCs w:val="20"/>
          <w:color w:val="auto"/>
        </w:rPr>
      </w:pPr>
    </w:p>
    <w:p>
      <w:pPr>
        <w:sectPr>
          <w:pgSz w:w="11900" w:h="16838" w:orient="portrait"/>
          <w:cols w:equalWidth="0" w:num="2">
            <w:col w:w="6680" w:space="720"/>
            <w:col w:w="398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September 30, 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and December 31, 2018, respectively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20"/>
                <w:szCs w:val="20"/>
                <w:color w:val="auto"/>
              </w:rPr>
            </w:pPr>
            <w:r>
              <w:rPr>
                <w:rFonts w:ascii="Arial" w:cs="Arial" w:eastAsia="Arial" w:hAnsi="Arial"/>
                <w:sz w:val="14"/>
                <w:szCs w:val="14"/>
                <w:color w:val="auto"/>
                <w:w w:val="92"/>
              </w:rPr>
              <w:t>Common stock, $0.0001 par value; 200,000,000 shares authorized; 48,196,387 and 22,471,776 shares issued and outstanding</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as of September 30, 2019 and December 31, 2018, respectively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14,981</w:t>
            </w:r>
          </w:p>
        </w:tc>
        <w:tc>
          <w:tcPr>
            <w:tcW w:w="7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13,818</w:t>
            </w:r>
          </w:p>
        </w:tc>
      </w:tr>
      <w:tr>
        <w:trPr>
          <w:trHeight w:val="276"/>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r>
      <w:tr>
        <w:trPr>
          <w:trHeight w:val="25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44,459</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49,900</w:t>
            </w:r>
          </w:p>
        </w:tc>
      </w:tr>
      <w:tr>
        <w:trPr>
          <w:trHeight w:val="595"/>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320,478</w:t>
            </w:r>
          </w:p>
        </w:tc>
        <w:tc>
          <w:tcPr>
            <w:tcW w:w="7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279,539</w:t>
            </w:r>
          </w:p>
        </w:tc>
      </w:tr>
      <w:tr>
        <w:trPr>
          <w:trHeight w:val="270"/>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90"/>
              </w:rPr>
              <w:t>(320,865)</w:t>
            </w:r>
          </w:p>
        </w:tc>
        <w:tc>
          <w:tcPr>
            <w:tcW w:w="7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(280,403)</w:t>
            </w:r>
          </w:p>
        </w:tc>
      </w:tr>
      <w:tr>
        <w:trPr>
          <w:trHeight w:val="276"/>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(4,533)</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r>
      <w:tr>
        <w:trPr>
          <w:trHeight w:val="250"/>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(4,915)</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r>
      <w:tr>
        <w:trPr>
          <w:trHeight w:val="237"/>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39,544</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44,482</w:t>
            </w:r>
          </w:p>
        </w:tc>
      </w:tr>
      <w:tr>
        <w:trPr>
          <w:trHeight w:val="20"/>
        </w:trPr>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-25400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-8255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-187960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-359410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-1491615</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-1663065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660"/>
          </w:cols>
          <w:pgMar w:left="280" w:top="850"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13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80" w:top="85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30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4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8,104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11,885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27,591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37,431</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3,690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4,056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12,317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13,092</w:t>
            </w:r>
          </w:p>
        </w:tc>
        <w:tc>
          <w:tcPr>
            <w:tcW w:w="0" w:type="dxa"/>
            <w:vAlign w:val="bottom"/>
          </w:tcPr>
          <w:p>
            <w:pPr>
              <w:spacing w:after="0"/>
              <w:rPr>
                <w:sz w:val="1"/>
                <w:szCs w:val="1"/>
                <w:color w:val="auto"/>
              </w:rPr>
            </w:pPr>
          </w:p>
        </w:tc>
      </w:tr>
      <w:tr>
        <w:trPr>
          <w:trHeight w:val="80"/>
        </w:trPr>
        <w:tc>
          <w:tcPr>
            <w:tcW w:w="420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11,794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15,941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39,908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50,523</w:t>
            </w:r>
          </w:p>
        </w:tc>
        <w:tc>
          <w:tcPr>
            <w:tcW w:w="0" w:type="dxa"/>
            <w:vAlign w:val="bottom"/>
          </w:tcPr>
          <w:p>
            <w:pPr>
              <w:spacing w:after="0"/>
              <w:rPr>
                <w:sz w:val="1"/>
                <w:szCs w:val="1"/>
                <w:color w:val="auto"/>
              </w:rPr>
            </w:pPr>
          </w:p>
        </w:tc>
      </w:tr>
      <w:tr>
        <w:trPr>
          <w:trHeight w:val="66"/>
        </w:trPr>
        <w:tc>
          <w:tcPr>
            <w:tcW w:w="420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(11,794)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(15,941)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(39,885)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(50,523)</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4"/>
                <w:szCs w:val="14"/>
                <w:color w:val="auto"/>
              </w:rPr>
              <w:t>Investment income</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Other (expense), net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420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(11,994)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(16,001)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(40,462)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(50,685)</w:t>
            </w:r>
          </w:p>
        </w:tc>
        <w:tc>
          <w:tcPr>
            <w:tcW w:w="0" w:type="dxa"/>
            <w:vAlign w:val="bottom"/>
          </w:tcPr>
          <w:p>
            <w:pPr>
              <w:spacing w:after="0"/>
              <w:rPr>
                <w:sz w:val="1"/>
                <w:szCs w:val="1"/>
                <w:color w:val="auto"/>
              </w:rPr>
            </w:pPr>
          </w:p>
        </w:tc>
      </w:tr>
      <w:tr>
        <w:trPr>
          <w:trHeight w:val="66"/>
        </w:trPr>
        <w:tc>
          <w:tcPr>
            <w:tcW w:w="420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20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420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(12,002)</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(16,042)</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(40,438)</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(50,782)</w:t>
            </w:r>
          </w:p>
        </w:tc>
        <w:tc>
          <w:tcPr>
            <w:tcW w:w="0" w:type="dxa"/>
            <w:vAlign w:val="bottom"/>
          </w:tcPr>
          <w:p>
            <w:pPr>
              <w:spacing w:after="0"/>
              <w:rPr>
                <w:sz w:val="1"/>
                <w:szCs w:val="1"/>
                <w:color w:val="auto"/>
              </w:rPr>
            </w:pPr>
          </w:p>
        </w:tc>
      </w:tr>
      <w:tr>
        <w:trPr>
          <w:trHeight w:val="53"/>
        </w:trPr>
        <w:tc>
          <w:tcPr>
            <w:tcW w:w="420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(0.94)</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66"/>
        </w:trPr>
        <w:tc>
          <w:tcPr>
            <w:tcW w:w="42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46,407,846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22,403,954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43,265,909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22,368,574</w:t>
            </w:r>
          </w:p>
        </w:tc>
        <w:tc>
          <w:tcPr>
            <w:tcW w:w="0" w:type="dxa"/>
            <w:vAlign w:val="bottom"/>
          </w:tcPr>
          <w:p>
            <w:pPr>
              <w:spacing w:after="0"/>
              <w:rPr>
                <w:sz w:val="1"/>
                <w:szCs w:val="1"/>
                <w:color w:val="auto"/>
              </w:rPr>
            </w:pPr>
          </w:p>
        </w:tc>
      </w:tr>
      <w:tr>
        <w:trPr>
          <w:trHeight w:val="66"/>
        </w:trPr>
        <w:tc>
          <w:tcPr>
            <w:tcW w:w="4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Joshua R. Mansbach</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+1-646-378-2964</w:t>
      </w:r>
    </w:p>
    <w:p>
      <w:pPr>
        <w:spacing w:after="0"/>
        <w:rPr>
          <w:sz w:val="20"/>
          <w:szCs w:val="20"/>
          <w:color w:val="auto"/>
        </w:rPr>
      </w:pPr>
      <w:r>
        <w:rPr>
          <w:rFonts w:ascii="Arial" w:cs="Arial" w:eastAsia="Arial" w:hAnsi="Arial"/>
          <w:sz w:val="20"/>
          <w:szCs w:val="20"/>
          <w:color w:val="auto"/>
        </w:rPr>
        <w:t>jmansbach@soleburytrout.com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Lee M. Stern</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+1-646-378-2922</w:t>
      </w:r>
    </w:p>
    <w:p>
      <w:pPr>
        <w:spacing w:after="0"/>
        <w:rPr>
          <w:sz w:val="20"/>
          <w:szCs w:val="20"/>
          <w:color w:val="auto"/>
        </w:rPr>
      </w:pPr>
      <w:r>
        <w:rPr>
          <w:rFonts w:ascii="Arial" w:cs="Arial" w:eastAsia="Arial" w:hAnsi="Arial"/>
          <w:sz w:val="20"/>
          <w:szCs w:val="20"/>
          <w:color w:val="auto"/>
        </w:rPr>
        <w:t>lstern@soleburytrout.com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2019-12-28T02:04:36Z</dcterms:created>
  <dcterms:modified xsi:type="dcterms:W3CDTF">2019-12-28T02:04:36Z</dcterms:modified>
</cp:coreProperties>
</file>